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A56B02">
      <w:pPr>
        <w:spacing w:line="240" w:lineRule="auto"/>
        <w:rPr>
          <w:rFonts w:ascii="仿宋_GB2312" w:hAnsi="仿宋_GB2312" w:eastAsia="仿宋_GB2312" w:cs="仿宋_GB2312"/>
          <w:color w:val="000000" w:themeColor="text1"/>
          <w:sz w:val="36"/>
          <w:szCs w:val="36"/>
          <w:highlight w:val="none"/>
          <w14:textFill>
            <w14:solidFill>
              <w14:schemeClr w14:val="tx1"/>
            </w14:solidFill>
          </w14:textFill>
        </w:rPr>
      </w:pPr>
      <w:bookmarkStart w:id="0" w:name="_Hlk57883707"/>
    </w:p>
    <w:p w14:paraId="472942D9">
      <w:pPr>
        <w:tabs>
          <w:tab w:val="left" w:pos="3087"/>
        </w:tabs>
        <w:spacing w:line="240" w:lineRule="auto"/>
        <w:rPr>
          <w:rFonts w:hint="eastAsia" w:ascii="仿宋_GB2312" w:hAnsi="仿宋_GB2312" w:eastAsia="仿宋_GB2312" w:cs="仿宋_GB2312"/>
          <w:color w:val="000000" w:themeColor="text1"/>
          <w:sz w:val="36"/>
          <w:szCs w:val="36"/>
          <w:highlight w:val="none"/>
          <w14:textFill>
            <w14:solidFill>
              <w14:schemeClr w14:val="tx1"/>
            </w14:solidFill>
          </w14:textFill>
        </w:rPr>
      </w:pPr>
      <w:r>
        <w:rPr>
          <w:rFonts w:hint="eastAsia" w:ascii="仿宋_GB2312" w:hAnsi="仿宋_GB2312" w:eastAsia="仿宋_GB2312" w:cs="仿宋_GB2312"/>
          <w:color w:val="000000" w:themeColor="text1"/>
          <w:sz w:val="36"/>
          <w:szCs w:val="36"/>
          <w:highlight w:val="none"/>
          <w14:textFill>
            <w14:solidFill>
              <w14:schemeClr w14:val="tx1"/>
            </w14:solidFill>
          </w14:textFill>
        </w:rPr>
        <w:tab/>
      </w:r>
    </w:p>
    <w:p w14:paraId="6BC0F668">
      <w:pPr>
        <w:spacing w:line="240" w:lineRule="auto"/>
        <w:rPr>
          <w:rFonts w:ascii="仿宋_GB2312" w:hAnsi="仿宋_GB2312" w:eastAsia="仿宋_GB2312" w:cs="仿宋_GB2312"/>
          <w:color w:val="000000" w:themeColor="text1"/>
          <w:sz w:val="36"/>
          <w:szCs w:val="36"/>
          <w:highlight w:val="none"/>
          <w14:textFill>
            <w14:solidFill>
              <w14:schemeClr w14:val="tx1"/>
            </w14:solidFill>
          </w14:textFill>
        </w:rPr>
      </w:pPr>
    </w:p>
    <w:p w14:paraId="0804B768">
      <w:pPr>
        <w:spacing w:line="240" w:lineRule="auto"/>
        <w:rPr>
          <w:rFonts w:ascii="仿宋_GB2312" w:hAnsi="仿宋_GB2312" w:eastAsia="仿宋_GB2312" w:cs="仿宋_GB2312"/>
          <w:color w:val="000000" w:themeColor="text1"/>
          <w:sz w:val="36"/>
          <w:szCs w:val="36"/>
          <w:highlight w:val="none"/>
          <w14:textFill>
            <w14:solidFill>
              <w14:schemeClr w14:val="tx1"/>
            </w14:solidFill>
          </w14:textFill>
        </w:rPr>
      </w:pPr>
    </w:p>
    <w:bookmarkEnd w:id="0"/>
    <w:p w14:paraId="30D8C810">
      <w:pPr>
        <w:adjustRightInd w:val="0"/>
        <w:snapToGrid w:val="0"/>
        <w:jc w:val="center"/>
        <w:outlineLvl w:val="0"/>
        <w:rPr>
          <w:rFonts w:eastAsia="方正小标宋_GBK"/>
          <w:bCs/>
          <w:color w:val="000000" w:themeColor="text1"/>
          <w:sz w:val="72"/>
          <w:szCs w:val="72"/>
          <w:highlight w:val="none"/>
          <w14:textFill>
            <w14:solidFill>
              <w14:schemeClr w14:val="tx1"/>
            </w14:solidFill>
          </w14:textFill>
        </w:rPr>
      </w:pPr>
      <w:bookmarkStart w:id="1" w:name="_Toc25868"/>
      <w:r>
        <w:rPr>
          <w:rFonts w:eastAsia="方正小标宋_GBK"/>
          <w:bCs/>
          <w:color w:val="000000" w:themeColor="text1"/>
          <w:sz w:val="72"/>
          <w:szCs w:val="72"/>
          <w:highlight w:val="none"/>
          <w14:textFill>
            <w14:solidFill>
              <w14:schemeClr w14:val="tx1"/>
            </w14:solidFill>
          </w14:textFill>
        </w:rPr>
        <w:t>建设项目环境影响报告表</w:t>
      </w:r>
      <w:bookmarkEnd w:id="1"/>
    </w:p>
    <w:p w14:paraId="4E7B9F3E">
      <w:pPr>
        <w:adjustRightInd w:val="0"/>
        <w:snapToGrid w:val="0"/>
        <w:spacing w:line="288" w:lineRule="auto"/>
        <w:jc w:val="center"/>
        <w:outlineLvl w:val="9"/>
        <w:rPr>
          <w:rFonts w:eastAsia="华文仿宋"/>
          <w:color w:val="000000" w:themeColor="text1"/>
          <w:kern w:val="44"/>
          <w:sz w:val="44"/>
          <w:szCs w:val="44"/>
          <w:highlight w:val="none"/>
          <w14:textFill>
            <w14:solidFill>
              <w14:schemeClr w14:val="tx1"/>
            </w14:solidFill>
          </w14:textFill>
        </w:rPr>
      </w:pPr>
    </w:p>
    <w:p w14:paraId="2B725587">
      <w:pPr>
        <w:jc w:val="center"/>
        <w:rPr>
          <w:rFonts w:eastAsia="仿宋"/>
          <w:color w:val="000000" w:themeColor="text1"/>
          <w:sz w:val="52"/>
          <w:szCs w:val="52"/>
          <w:highlight w:val="none"/>
          <w14:textFill>
            <w14:solidFill>
              <w14:schemeClr w14:val="tx1"/>
            </w14:solidFill>
          </w14:textFill>
        </w:rPr>
      </w:pPr>
    </w:p>
    <w:p w14:paraId="4B5E23D8">
      <w:pPr>
        <w:ind w:firstLine="1040"/>
        <w:rPr>
          <w:rFonts w:eastAsia="仿宋"/>
          <w:color w:val="000000" w:themeColor="text1"/>
          <w:sz w:val="44"/>
          <w:szCs w:val="44"/>
          <w:highlight w:val="none"/>
          <w14:textFill>
            <w14:solidFill>
              <w14:schemeClr w14:val="tx1"/>
            </w14:solidFill>
          </w14:textFill>
        </w:rPr>
      </w:pPr>
    </w:p>
    <w:p w14:paraId="79F4C49F">
      <w:pPr>
        <w:ind w:firstLine="1040"/>
        <w:rPr>
          <w:rFonts w:eastAsia="仿宋"/>
          <w:color w:val="000000" w:themeColor="text1"/>
          <w:sz w:val="44"/>
          <w:szCs w:val="44"/>
          <w:highlight w:val="none"/>
          <w14:textFill>
            <w14:solidFill>
              <w14:schemeClr w14:val="tx1"/>
            </w14:solidFill>
          </w14:textFill>
        </w:rPr>
      </w:pPr>
    </w:p>
    <w:p w14:paraId="6D3B7740">
      <w:pPr>
        <w:ind w:firstLine="1040"/>
        <w:rPr>
          <w:rFonts w:eastAsia="仿宋"/>
          <w:color w:val="000000" w:themeColor="text1"/>
          <w:sz w:val="44"/>
          <w:szCs w:val="44"/>
          <w:highlight w:val="none"/>
          <w14:textFill>
            <w14:solidFill>
              <w14:schemeClr w14:val="tx1"/>
            </w14:solidFill>
          </w14:textFill>
        </w:rPr>
      </w:pPr>
    </w:p>
    <w:p w14:paraId="5BC73E61">
      <w:pPr>
        <w:ind w:firstLine="1040"/>
        <w:rPr>
          <w:rFonts w:eastAsia="仿宋"/>
          <w:color w:val="000000" w:themeColor="text1"/>
          <w:sz w:val="44"/>
          <w:szCs w:val="44"/>
          <w:highlight w:val="none"/>
          <w14:textFill>
            <w14:solidFill>
              <w14:schemeClr w14:val="tx1"/>
            </w14:solidFill>
          </w14:textFill>
        </w:rPr>
      </w:pPr>
    </w:p>
    <w:p w14:paraId="55CB3223">
      <w:pPr>
        <w:ind w:firstLine="1040"/>
        <w:rPr>
          <w:rFonts w:eastAsia="仿宋"/>
          <w:color w:val="000000" w:themeColor="text1"/>
          <w:sz w:val="44"/>
          <w:szCs w:val="44"/>
          <w:highlight w:val="none"/>
          <w14:textFill>
            <w14:solidFill>
              <w14:schemeClr w14:val="tx1"/>
            </w14:solidFill>
          </w14:textFill>
        </w:rPr>
      </w:pPr>
    </w:p>
    <w:p w14:paraId="2BFC3DF3">
      <w:pPr>
        <w:adjustRightInd w:val="0"/>
        <w:snapToGrid w:val="0"/>
        <w:spacing w:line="288" w:lineRule="auto"/>
        <w:rPr>
          <w:rFonts w:hint="default" w:eastAsia="仿宋_GB2312"/>
          <w:color w:val="000000" w:themeColor="text1"/>
          <w:spacing w:val="-11"/>
          <w:w w:val="100"/>
          <w:sz w:val="36"/>
          <w:szCs w:val="36"/>
          <w:highlight w:val="none"/>
          <w:u w:val="single"/>
          <w:lang w:val="en-US" w:eastAsia="zh-CN"/>
          <w14:textFill>
            <w14:solidFill>
              <w14:schemeClr w14:val="tx1"/>
            </w14:solidFill>
          </w14:textFill>
        </w:rPr>
      </w:pPr>
      <w:r>
        <w:rPr>
          <w:rFonts w:eastAsia="仿宋_GB2312"/>
          <w:snapToGrid w:val="0"/>
          <w:color w:val="000000" w:themeColor="text1"/>
          <w:spacing w:val="20"/>
          <w:kern w:val="0"/>
          <w:sz w:val="36"/>
          <w:szCs w:val="36"/>
          <w:highlight w:val="none"/>
          <w14:textFill>
            <w14:solidFill>
              <w14:schemeClr w14:val="tx1"/>
            </w14:solidFill>
          </w14:textFill>
        </w:rPr>
        <w:t>项目名称</w:t>
      </w:r>
      <w:r>
        <w:rPr>
          <w:rFonts w:hint="eastAsia" w:eastAsia="仿宋_GB2312"/>
          <w:snapToGrid w:val="0"/>
          <w:color w:val="000000" w:themeColor="text1"/>
          <w:spacing w:val="20"/>
          <w:kern w:val="0"/>
          <w:sz w:val="36"/>
          <w:szCs w:val="36"/>
          <w:highlight w:val="none"/>
          <w:lang w:eastAsia="zh-CN"/>
          <w14:textFill>
            <w14:solidFill>
              <w14:schemeClr w14:val="tx1"/>
            </w14:solidFill>
          </w14:textFill>
        </w:rPr>
        <w:t>：</w:t>
      </w:r>
      <w:r>
        <w:rPr>
          <w:rFonts w:hint="eastAsia" w:eastAsia="仿宋_GB2312"/>
          <w:color w:val="000000" w:themeColor="text1"/>
          <w:spacing w:val="-11"/>
          <w:w w:val="100"/>
          <w:sz w:val="36"/>
          <w:szCs w:val="36"/>
          <w:highlight w:val="none"/>
          <w:u w:val="single"/>
          <w:lang w:val="en-US" w:eastAsia="zh-CN"/>
          <w14:textFill>
            <w14:solidFill>
              <w14:schemeClr w14:val="tx1"/>
            </w14:solidFill>
          </w14:textFill>
        </w:rPr>
        <w:t xml:space="preserve"> 围场县200MW风电储新能源项目</w:t>
      </w:r>
      <w:r>
        <w:rPr>
          <w:rFonts w:hint="eastAsia" w:eastAsia="仿宋_GB2312"/>
          <w:color w:val="000000" w:themeColor="text1"/>
          <w:spacing w:val="0"/>
          <w:w w:val="100"/>
          <w:sz w:val="36"/>
          <w:szCs w:val="36"/>
          <w:highlight w:val="none"/>
          <w:u w:val="single"/>
          <w:lang w:val="en-US" w:eastAsia="zh-CN"/>
          <w14:textFill>
            <w14:solidFill>
              <w14:schemeClr w14:val="tx1"/>
            </w14:solidFill>
          </w14:textFill>
        </w:rPr>
        <w:t xml:space="preserve">  </w:t>
      </w:r>
    </w:p>
    <w:p w14:paraId="691EF563">
      <w:pPr>
        <w:adjustRightInd w:val="0"/>
        <w:snapToGrid w:val="0"/>
        <w:spacing w:line="288" w:lineRule="auto"/>
        <w:ind w:firstLine="2028" w:firstLineChars="600"/>
        <w:rPr>
          <w:rFonts w:hint="default" w:eastAsia="仿宋_GB2312"/>
          <w:color w:val="000000" w:themeColor="text1"/>
          <w:spacing w:val="-11"/>
          <w:w w:val="100"/>
          <w:sz w:val="36"/>
          <w:szCs w:val="36"/>
          <w:highlight w:val="none"/>
          <w:u w:val="single"/>
          <w:lang w:val="en-US" w:eastAsia="zh-CN"/>
          <w14:textFill>
            <w14:solidFill>
              <w14:schemeClr w14:val="tx1"/>
            </w14:solidFill>
          </w14:textFill>
        </w:rPr>
      </w:pPr>
      <w:r>
        <w:rPr>
          <w:rFonts w:hint="eastAsia" w:eastAsia="仿宋_GB2312"/>
          <w:color w:val="000000" w:themeColor="text1"/>
          <w:spacing w:val="-11"/>
          <w:w w:val="100"/>
          <w:sz w:val="36"/>
          <w:szCs w:val="36"/>
          <w:highlight w:val="none"/>
          <w:u w:val="single"/>
          <w:lang w:val="en-US" w:eastAsia="zh-CN"/>
          <w14:textFill>
            <w14:solidFill>
              <w14:schemeClr w14:val="tx1"/>
            </w14:solidFill>
          </w14:textFill>
        </w:rPr>
        <w:t xml:space="preserve">        送出线路工程项目          </w:t>
      </w:r>
    </w:p>
    <w:p w14:paraId="3A60F0C7">
      <w:pPr>
        <w:adjustRightInd w:val="0"/>
        <w:snapToGrid w:val="0"/>
        <w:spacing w:line="288" w:lineRule="auto"/>
        <w:ind w:left="2628" w:hanging="2628" w:hangingChars="900"/>
        <w:rPr>
          <w:rFonts w:hint="default" w:ascii="Times New Roman" w:hAnsi="Times New Roman" w:eastAsia="仿宋_GB2312" w:cs="Times New Roman"/>
          <w:color w:val="000000" w:themeColor="text1"/>
          <w:spacing w:val="0"/>
          <w:sz w:val="36"/>
          <w:szCs w:val="36"/>
          <w:highlight w:val="none"/>
          <w:u w:val="single"/>
          <w:lang w:val="en-US" w:eastAsia="zh-CN"/>
          <w14:textFill>
            <w14:solidFill>
              <w14:schemeClr w14:val="tx1"/>
            </w14:solidFill>
          </w14:textFill>
        </w:rPr>
      </w:pPr>
      <w:r>
        <w:rPr>
          <w:rFonts w:eastAsia="仿宋_GB2312"/>
          <w:color w:val="000000" w:themeColor="text1"/>
          <w:spacing w:val="-34"/>
          <w:sz w:val="36"/>
          <w:szCs w:val="36"/>
          <w:highlight w:val="none"/>
          <w14:textFill>
            <w14:solidFill>
              <w14:schemeClr w14:val="tx1"/>
            </w14:solidFill>
          </w14:textFill>
        </w:rPr>
        <w:t>建设单位（盖章）：</w:t>
      </w:r>
      <w:r>
        <w:rPr>
          <w:rFonts w:hint="default" w:ascii="Times New Roman" w:hAnsi="Times New Roman" w:eastAsia="仿宋_GB2312" w:cs="Times New Roman"/>
          <w:color w:val="000000" w:themeColor="text1"/>
          <w:spacing w:val="0"/>
          <w:sz w:val="36"/>
          <w:szCs w:val="36"/>
          <w:highlight w:val="none"/>
          <w:u w:val="single"/>
          <w:lang w:val="en-US" w:eastAsia="zh-CN"/>
          <w14:textFill>
            <w14:solidFill>
              <w14:schemeClr w14:val="tx1"/>
            </w14:solidFill>
          </w14:textFill>
        </w:rPr>
        <w:t>围场满族蒙古族自治县百世能</w:t>
      </w:r>
      <w:r>
        <w:rPr>
          <w:rFonts w:hint="eastAsia" w:eastAsia="仿宋_GB2312" w:cs="Times New Roman"/>
          <w:color w:val="000000" w:themeColor="text1"/>
          <w:spacing w:val="-20"/>
          <w:sz w:val="36"/>
          <w:szCs w:val="36"/>
          <w:highlight w:val="none"/>
          <w:u w:val="single"/>
          <w:lang w:val="en-US" w:eastAsia="zh-CN"/>
          <w14:textFill>
            <w14:solidFill>
              <w14:schemeClr w14:val="tx1"/>
            </w14:solidFill>
          </w14:textFill>
        </w:rPr>
        <w:t xml:space="preserve">  </w:t>
      </w:r>
    </w:p>
    <w:p w14:paraId="07C7F4C7">
      <w:pPr>
        <w:adjustRightInd w:val="0"/>
        <w:snapToGrid w:val="0"/>
        <w:spacing w:line="288" w:lineRule="auto"/>
        <w:ind w:left="2100" w:leftChars="0" w:firstLine="420" w:firstLineChars="0"/>
        <w:rPr>
          <w:rFonts w:hint="default"/>
          <w:b/>
          <w:bCs/>
          <w:color w:val="000000" w:themeColor="text1"/>
          <w:sz w:val="36"/>
          <w:szCs w:val="36"/>
          <w:highlight w:val="none"/>
          <w:u w:val="single"/>
          <w:lang w:val="en-US"/>
          <w14:textFill>
            <w14:solidFill>
              <w14:schemeClr w14:val="tx1"/>
            </w14:solidFill>
          </w14:textFill>
        </w:rPr>
      </w:pPr>
      <w:r>
        <w:rPr>
          <w:rFonts w:hint="eastAsia" w:ascii="Times New Roman" w:hAnsi="Times New Roman" w:eastAsia="仿宋_GB2312" w:cs="Times New Roman"/>
          <w:color w:val="000000" w:themeColor="text1"/>
          <w:spacing w:val="0"/>
          <w:sz w:val="36"/>
          <w:szCs w:val="36"/>
          <w:highlight w:val="none"/>
          <w:u w:val="single"/>
          <w:lang w:val="en-US" w:eastAsia="zh-CN"/>
          <w14:textFill>
            <w14:solidFill>
              <w14:schemeClr w14:val="tx1"/>
            </w14:solidFill>
          </w14:textFill>
        </w:rPr>
        <w:t xml:space="preserve">   </w:t>
      </w:r>
      <w:r>
        <w:rPr>
          <w:rFonts w:hint="eastAsia" w:eastAsia="仿宋_GB2312" w:cs="Times New Roman"/>
          <w:color w:val="000000" w:themeColor="text1"/>
          <w:spacing w:val="0"/>
          <w:sz w:val="36"/>
          <w:szCs w:val="36"/>
          <w:highlight w:val="none"/>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0"/>
          <w:sz w:val="36"/>
          <w:szCs w:val="36"/>
          <w:highlight w:val="none"/>
          <w:u w:val="single"/>
          <w:lang w:val="en-US" w:eastAsia="zh-CN"/>
          <w14:textFill>
            <w14:solidFill>
              <w14:schemeClr w14:val="tx1"/>
            </w14:solidFill>
          </w14:textFill>
        </w:rPr>
        <w:t>光伏发电有限公司</w:t>
      </w:r>
      <w:r>
        <w:rPr>
          <w:rFonts w:hint="eastAsia" w:ascii="Times New Roman" w:hAnsi="Times New Roman" w:eastAsia="仿宋_GB2312" w:cs="Times New Roman"/>
          <w:color w:val="000000" w:themeColor="text1"/>
          <w:spacing w:val="0"/>
          <w:sz w:val="36"/>
          <w:szCs w:val="36"/>
          <w:highlight w:val="none"/>
          <w:u w:val="single"/>
          <w:lang w:val="en-US" w:eastAsia="zh-CN"/>
          <w14:textFill>
            <w14:solidFill>
              <w14:schemeClr w14:val="tx1"/>
            </w14:solidFill>
          </w14:textFill>
        </w:rPr>
        <w:t xml:space="preserve">  </w:t>
      </w:r>
      <w:r>
        <w:rPr>
          <w:rFonts w:hint="eastAsia" w:eastAsia="仿宋_GB2312" w:cs="Times New Roman"/>
          <w:color w:val="000000" w:themeColor="text1"/>
          <w:spacing w:val="0"/>
          <w:sz w:val="36"/>
          <w:szCs w:val="36"/>
          <w:highlight w:val="none"/>
          <w:u w:val="single"/>
          <w:lang w:val="en-US" w:eastAsia="zh-CN"/>
          <w14:textFill>
            <w14:solidFill>
              <w14:schemeClr w14:val="tx1"/>
            </w14:solidFill>
          </w14:textFill>
        </w:rPr>
        <w:t xml:space="preserve">    </w:t>
      </w:r>
    </w:p>
    <w:p w14:paraId="67035E7A">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pPr>
    </w:p>
    <w:p w14:paraId="07E62E8C">
      <w:pPr>
        <w:outlineLvl w:val="9"/>
        <w:rPr>
          <w:color w:val="000000" w:themeColor="text1"/>
          <w:highlight w:val="none"/>
          <w14:textFill>
            <w14:solidFill>
              <w14:schemeClr w14:val="tx1"/>
            </w14:solidFill>
          </w14:textFill>
        </w:rPr>
      </w:pPr>
    </w:p>
    <w:p w14:paraId="40C5288C">
      <w:pPr>
        <w:adjustRightInd w:val="0"/>
        <w:snapToGrid w:val="0"/>
        <w:spacing w:line="288" w:lineRule="auto"/>
        <w:ind w:firstLine="1040"/>
        <w:outlineLvl w:val="9"/>
        <w:rPr>
          <w:rFonts w:hint="eastAsia" w:eastAsia="仿宋_GB2312"/>
          <w:color w:val="000000" w:themeColor="text1"/>
          <w:sz w:val="36"/>
          <w:szCs w:val="36"/>
          <w:highlight w:val="none"/>
          <w:lang w:val="en-US" w:eastAsia="zh-CN"/>
          <w14:textFill>
            <w14:solidFill>
              <w14:schemeClr w14:val="tx1"/>
            </w14:solidFill>
          </w14:textFill>
        </w:rPr>
      </w:pPr>
    </w:p>
    <w:p w14:paraId="1CC04ED9">
      <w:pPr>
        <w:outlineLvl w:val="9"/>
        <w:rPr>
          <w:color w:val="000000" w:themeColor="text1"/>
          <w:highlight w:val="none"/>
          <w14:textFill>
            <w14:solidFill>
              <w14:schemeClr w14:val="tx1"/>
            </w14:solidFill>
          </w14:textFill>
        </w:rPr>
      </w:pPr>
    </w:p>
    <w:p w14:paraId="7D8F5FF5">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pPr>
    </w:p>
    <w:p w14:paraId="629237E7">
      <w:pPr>
        <w:adjustRightInd w:val="0"/>
        <w:snapToGrid w:val="0"/>
        <w:spacing w:line="288" w:lineRule="auto"/>
        <w:rPr>
          <w:rFonts w:hint="default" w:eastAsia="仿宋_GB2312"/>
          <w:color w:val="000000" w:themeColor="text1"/>
          <w:sz w:val="36"/>
          <w:szCs w:val="36"/>
          <w:highlight w:val="none"/>
          <w:lang w:val="en-US" w:eastAsia="zh-CN"/>
          <w14:textFill>
            <w14:solidFill>
              <w14:schemeClr w14:val="tx1"/>
            </w14:solidFill>
          </w14:textFill>
        </w:rPr>
      </w:pPr>
      <w:r>
        <w:rPr>
          <w:rFonts w:hint="eastAsia" w:eastAsia="仿宋_GB2312"/>
          <w:color w:val="000000" w:themeColor="text1"/>
          <w:sz w:val="36"/>
          <w:szCs w:val="36"/>
          <w:highlight w:val="none"/>
          <w:lang w:eastAsia="zh-CN"/>
          <w14:textFill>
            <w14:solidFill>
              <w14:schemeClr w14:val="tx1"/>
            </w14:solidFill>
          </w14:textFill>
        </w:rPr>
        <w:t>编制单位：</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hint="eastAsia" w:eastAsia="仿宋_GB2312"/>
          <w:color w:val="000000" w:themeColor="text1"/>
          <w:sz w:val="36"/>
          <w:szCs w:val="36"/>
          <w:highlight w:val="none"/>
          <w:u w:val="single"/>
          <w:lang w:eastAsia="zh-CN"/>
          <w14:textFill>
            <w14:solidFill>
              <w14:schemeClr w14:val="tx1"/>
            </w14:solidFill>
          </w14:textFill>
        </w:rPr>
        <w:t>河北</w:t>
      </w:r>
      <w:r>
        <w:rPr>
          <w:rFonts w:hint="eastAsia" w:eastAsia="仿宋_GB2312"/>
          <w:color w:val="000000" w:themeColor="text1"/>
          <w:sz w:val="36"/>
          <w:szCs w:val="36"/>
          <w:highlight w:val="none"/>
          <w:u w:val="single"/>
          <w:lang w:val="en-US" w:eastAsia="zh-CN"/>
          <w14:textFill>
            <w14:solidFill>
              <w14:schemeClr w14:val="tx1"/>
            </w14:solidFill>
          </w14:textFill>
        </w:rPr>
        <w:t xml:space="preserve">福祚工程技术咨询有限公司  </w:t>
      </w:r>
    </w:p>
    <w:p w14:paraId="5EC85725">
      <w:pPr>
        <w:adjustRightInd w:val="0"/>
        <w:snapToGrid w:val="0"/>
        <w:spacing w:line="288" w:lineRule="auto"/>
        <w:rPr>
          <w:rFonts w:eastAsia="仿宋_GB2312"/>
          <w:color w:val="000000" w:themeColor="text1"/>
          <w:sz w:val="36"/>
          <w:szCs w:val="36"/>
          <w:highlight w:val="none"/>
          <w:u w:val="none"/>
          <w14:textFill>
            <w14:solidFill>
              <w14:schemeClr w14:val="tx1"/>
            </w14:solidFill>
          </w14:textFill>
        </w:rPr>
      </w:pPr>
      <w:r>
        <w:rPr>
          <w:rFonts w:eastAsia="仿宋_GB2312"/>
          <w:color w:val="000000" w:themeColor="text1"/>
          <w:sz w:val="36"/>
          <w:szCs w:val="36"/>
          <w:highlight w:val="none"/>
          <w14:textFill>
            <w14:solidFill>
              <w14:schemeClr w14:val="tx1"/>
            </w14:solidFill>
          </w14:textFill>
        </w:rPr>
        <w:t>编制日期：</w:t>
      </w:r>
      <w:r>
        <w:rPr>
          <w:rFonts w:eastAsia="仿宋_GB2312"/>
          <w:color w:val="000000" w:themeColor="text1"/>
          <w:sz w:val="36"/>
          <w:szCs w:val="36"/>
          <w:highlight w:val="none"/>
          <w:u w:val="single"/>
          <w14:textFill>
            <w14:solidFill>
              <w14:schemeClr w14:val="tx1"/>
            </w14:solidFill>
          </w14:textFill>
        </w:rPr>
        <w:t xml:space="preserve">  </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eastAsia="仿宋_GB2312"/>
          <w:color w:val="000000" w:themeColor="text1"/>
          <w:sz w:val="36"/>
          <w:szCs w:val="36"/>
          <w:highlight w:val="none"/>
          <w:u w:val="single"/>
          <w14:textFill>
            <w14:solidFill>
              <w14:schemeClr w14:val="tx1"/>
            </w14:solidFill>
          </w14:textFill>
        </w:rPr>
        <w:t>二〇二</w:t>
      </w:r>
      <w:r>
        <w:rPr>
          <w:rFonts w:hint="eastAsia" w:eastAsia="仿宋_GB2312"/>
          <w:color w:val="000000" w:themeColor="text1"/>
          <w:sz w:val="36"/>
          <w:szCs w:val="36"/>
          <w:highlight w:val="none"/>
          <w:u w:val="single"/>
          <w:lang w:val="en-US" w:eastAsia="zh-CN"/>
          <w14:textFill>
            <w14:solidFill>
              <w14:schemeClr w14:val="tx1"/>
            </w14:solidFill>
          </w14:textFill>
        </w:rPr>
        <w:t>五</w:t>
      </w:r>
      <w:r>
        <w:rPr>
          <w:rFonts w:eastAsia="仿宋_GB2312"/>
          <w:color w:val="000000" w:themeColor="text1"/>
          <w:sz w:val="36"/>
          <w:szCs w:val="36"/>
          <w:highlight w:val="none"/>
          <w:u w:val="single"/>
          <w14:textFill>
            <w14:solidFill>
              <w14:schemeClr w14:val="tx1"/>
            </w14:solidFill>
          </w14:textFill>
        </w:rPr>
        <w:t>年</w:t>
      </w:r>
      <w:r>
        <w:rPr>
          <w:rFonts w:hint="eastAsia" w:eastAsia="仿宋_GB2312"/>
          <w:color w:val="000000" w:themeColor="text1"/>
          <w:sz w:val="36"/>
          <w:szCs w:val="36"/>
          <w:highlight w:val="none"/>
          <w:u w:val="single"/>
          <w:lang w:val="en-US" w:eastAsia="zh-CN"/>
          <w14:textFill>
            <w14:solidFill>
              <w14:schemeClr w14:val="tx1"/>
            </w14:solidFill>
          </w14:textFill>
        </w:rPr>
        <w:t>四</w:t>
      </w:r>
      <w:r>
        <w:rPr>
          <w:rFonts w:hint="eastAsia" w:eastAsia="仿宋_GB2312"/>
          <w:color w:val="000000" w:themeColor="text1"/>
          <w:sz w:val="36"/>
          <w:szCs w:val="36"/>
          <w:highlight w:val="none"/>
          <w:u w:val="single"/>
          <w14:textFill>
            <w14:solidFill>
              <w14:schemeClr w14:val="tx1"/>
            </w14:solidFill>
          </w14:textFill>
        </w:rPr>
        <w:t>月</w:t>
      </w:r>
      <w:r>
        <w:rPr>
          <w:rFonts w:eastAsia="仿宋_GB2312"/>
          <w:color w:val="000000" w:themeColor="text1"/>
          <w:sz w:val="36"/>
          <w:szCs w:val="36"/>
          <w:highlight w:val="none"/>
          <w:u w:val="single"/>
          <w14:textFill>
            <w14:solidFill>
              <w14:schemeClr w14:val="tx1"/>
            </w14:solidFill>
          </w14:textFill>
        </w:rPr>
        <w:t xml:space="preserve">  </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eastAsia="仿宋_GB2312"/>
          <w:color w:val="000000" w:themeColor="text1"/>
          <w:sz w:val="36"/>
          <w:szCs w:val="36"/>
          <w:highlight w:val="none"/>
          <w:u w:val="single"/>
          <w14:textFill>
            <w14:solidFill>
              <w14:schemeClr w14:val="tx1"/>
            </w14:solidFill>
          </w14:textFill>
        </w:rPr>
        <w:t xml:space="preserve"> </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eastAsia="仿宋_GB2312"/>
          <w:color w:val="000000" w:themeColor="text1"/>
          <w:sz w:val="36"/>
          <w:szCs w:val="36"/>
          <w:highlight w:val="none"/>
          <w:u w:val="single"/>
          <w14:textFill>
            <w14:solidFill>
              <w14:schemeClr w14:val="tx1"/>
            </w14:solidFill>
          </w14:textFill>
        </w:rPr>
        <w:t xml:space="preserve">  </w:t>
      </w:r>
    </w:p>
    <w:p w14:paraId="1CAEE0C5">
      <w:pPr>
        <w:pStyle w:val="28"/>
        <w:rPr>
          <w:rFonts w:hint="eastAsia" w:ascii="楷体_GB2312" w:eastAsia="楷体_GB2312"/>
          <w:color w:val="000000" w:themeColor="text1"/>
          <w:sz w:val="36"/>
          <w:szCs w:val="36"/>
          <w:highlight w:val="none"/>
          <w14:textFill>
            <w14:solidFill>
              <w14:schemeClr w14:val="tx1"/>
            </w14:solidFill>
          </w14:textFill>
        </w:rPr>
      </w:pPr>
    </w:p>
    <w:p w14:paraId="3FCFD61C">
      <w:pPr>
        <w:rPr>
          <w:rFonts w:hint="eastAsia" w:ascii="楷体_GB2312" w:eastAsia="楷体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440" w:right="1800" w:bottom="1440" w:left="1800" w:header="851" w:footer="1077" w:gutter="0"/>
          <w:pgBorders>
            <w:top w:val="none" w:sz="0" w:space="0"/>
            <w:left w:val="none" w:sz="0" w:space="0"/>
            <w:bottom w:val="none" w:sz="0" w:space="0"/>
            <w:right w:val="none" w:sz="0" w:space="0"/>
          </w:pgBorders>
          <w:pgNumType w:fmt="decimal" w:start="21"/>
          <w:cols w:space="720" w:num="1"/>
          <w:docGrid w:linePitch="312" w:charSpace="0"/>
        </w:sectPr>
      </w:pPr>
    </w:p>
    <w:p w14:paraId="1BF93B25">
      <w:pPr>
        <w:rPr>
          <w:rFonts w:hint="eastAsia" w:ascii="楷体_GB2312" w:eastAsia="楷体_GB2312"/>
          <w:color w:val="000000" w:themeColor="text1"/>
          <w:sz w:val="36"/>
          <w:szCs w:val="36"/>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sdt>
      <w:sdtPr>
        <w:rPr>
          <w:rFonts w:ascii="宋体" w:hAnsi="宋体" w:eastAsia="宋体" w:cs="Times New Roman"/>
          <w:color w:val="000000" w:themeColor="text1"/>
          <w:kern w:val="2"/>
          <w:sz w:val="32"/>
          <w:szCs w:val="32"/>
          <w:highlight w:val="none"/>
          <w:lang w:val="en-US" w:eastAsia="zh-CN" w:bidi="ar-SA"/>
          <w14:textFill>
            <w14:solidFill>
              <w14:schemeClr w14:val="tx1"/>
            </w14:solidFill>
          </w14:textFill>
        </w:rPr>
        <w:id w:val="147468384"/>
        <w15:color w:val="DBDBDB"/>
        <w:docPartObj>
          <w:docPartGallery w:val="Table of Contents"/>
          <w:docPartUnique/>
        </w:docPartObj>
      </w:sdtPr>
      <w:sdtEndPr>
        <w:rPr>
          <w:rFonts w:hint="eastAsia" w:ascii="楷体_GB2312" w:hAnsi="Times New Roman" w:eastAsia="楷体_GB2312" w:cs="Times New Roman"/>
          <w:color w:val="000000" w:themeColor="text1"/>
          <w:kern w:val="2"/>
          <w:sz w:val="21"/>
          <w:szCs w:val="36"/>
          <w:highlight w:val="none"/>
          <w:lang w:val="en-US" w:eastAsia="zh-CN" w:bidi="ar-SA"/>
          <w14:textFill>
            <w14:solidFill>
              <w14:schemeClr w14:val="tx1"/>
            </w14:solidFill>
          </w14:textFill>
        </w:rPr>
      </w:sdtEndPr>
      <w:sdtContent>
        <w:p w14:paraId="04B47679">
          <w:pPr>
            <w:keepNext w:val="0"/>
            <w:keepLines w:val="0"/>
            <w:pageBreakBefore w:val="0"/>
            <w:kinsoku/>
            <w:wordWrap/>
            <w:overflowPunct/>
            <w:topLinePunct w:val="0"/>
            <w:autoSpaceDE/>
            <w:autoSpaceDN/>
            <w:bidi w:val="0"/>
            <w:adjustRightInd/>
            <w:snapToGrid/>
            <w:spacing w:before="0" w:after="0" w:line="440" w:lineRule="exact"/>
            <w:ind w:left="0" w:leftChars="0" w:right="0" w:rightChars="0" w:firstLine="0" w:firstLineChars="0"/>
            <w:jc w:val="center"/>
            <w:textAlignment w:val="auto"/>
            <w:rPr>
              <w:color w:val="000000" w:themeColor="text1"/>
              <w:sz w:val="32"/>
              <w:szCs w:val="32"/>
              <w:highlight w:val="none"/>
              <w14:textFill>
                <w14:solidFill>
                  <w14:schemeClr w14:val="tx1"/>
                </w14:solidFill>
              </w14:textFill>
            </w:rPr>
          </w:pPr>
          <w:r>
            <w:rPr>
              <w:rFonts w:ascii="宋体" w:hAnsi="宋体" w:eastAsia="宋体"/>
              <w:color w:val="000000" w:themeColor="text1"/>
              <w:sz w:val="32"/>
              <w:szCs w:val="32"/>
              <w:highlight w:val="none"/>
              <w14:textFill>
                <w14:solidFill>
                  <w14:schemeClr w14:val="tx1"/>
                </w14:solidFill>
              </w14:textFill>
            </w:rPr>
            <w:t>目</w:t>
          </w:r>
          <w:r>
            <w:rPr>
              <w:rFonts w:hint="eastAsia" w:ascii="宋体" w:hAnsi="宋体" w:eastAsia="宋体"/>
              <w:color w:val="000000" w:themeColor="text1"/>
              <w:sz w:val="32"/>
              <w:szCs w:val="32"/>
              <w:highlight w:val="none"/>
              <w:lang w:val="en-US" w:eastAsia="zh-CN"/>
              <w14:textFill>
                <w14:solidFill>
                  <w14:schemeClr w14:val="tx1"/>
                </w14:solidFill>
              </w14:textFill>
            </w:rPr>
            <w:t xml:space="preserve">  </w:t>
          </w:r>
          <w:r>
            <w:rPr>
              <w:rFonts w:ascii="宋体" w:hAnsi="宋体" w:eastAsia="宋体"/>
              <w:color w:val="000000" w:themeColor="text1"/>
              <w:sz w:val="32"/>
              <w:szCs w:val="32"/>
              <w:highlight w:val="none"/>
              <w14:textFill>
                <w14:solidFill>
                  <w14:schemeClr w14:val="tx1"/>
                </w14:solidFill>
              </w14:textFill>
            </w:rPr>
            <w:t>录</w:t>
          </w:r>
        </w:p>
        <w:p w14:paraId="003BFE00">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TOC \o "1-1" \h \u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_Toc21196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一、建设项目基本情况</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_Toc21196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14:paraId="1C755A1F">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_Toc24693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二、建设内容</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_Toc24693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17</w:t>
          </w:r>
          <w:r>
            <w:rPr>
              <w:color w:val="000000" w:themeColor="text1"/>
              <w:sz w:val="24"/>
              <w:szCs w:val="24"/>
              <w:highlight w:val="none"/>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14:paraId="3FF0325E">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_Toc26542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三、生态环境现状、保护目标及评价标准</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_Toc26542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29</w:t>
          </w:r>
          <w:r>
            <w:rPr>
              <w:color w:val="000000" w:themeColor="text1"/>
              <w:sz w:val="24"/>
              <w:szCs w:val="24"/>
              <w:highlight w:val="none"/>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14:paraId="0FBAE0DE">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_Toc6485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四、生态环境影响分析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_Toc6485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40</w:t>
          </w:r>
          <w:r>
            <w:rPr>
              <w:color w:val="000000" w:themeColor="text1"/>
              <w:sz w:val="24"/>
              <w:szCs w:val="24"/>
              <w:highlight w:val="none"/>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14:paraId="38949801">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_Toc26269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五、主要生态环境保护措施</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_Toc26269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50</w:t>
          </w:r>
          <w:r>
            <w:rPr>
              <w:color w:val="000000" w:themeColor="text1"/>
              <w:sz w:val="24"/>
              <w:szCs w:val="24"/>
              <w:highlight w:val="none"/>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14:paraId="0DEC1D6F">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_Toc28537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六、生态环境保护措施监督检查清单</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_Toc28537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59</w:t>
          </w:r>
          <w:r>
            <w:rPr>
              <w:color w:val="000000" w:themeColor="text1"/>
              <w:sz w:val="24"/>
              <w:szCs w:val="24"/>
              <w:highlight w:val="none"/>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14:paraId="4E902548">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_Toc18767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七、结论</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_Toc18767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61</w:t>
          </w:r>
          <w:r>
            <w:rPr>
              <w:color w:val="000000" w:themeColor="text1"/>
              <w:sz w:val="24"/>
              <w:szCs w:val="24"/>
              <w:highlight w:val="none"/>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14:paraId="3219CCE0">
          <w:pPr>
            <w:pStyle w:val="28"/>
            <w:keepNext w:val="0"/>
            <w:keepLines w:val="0"/>
            <w:pageBreakBefore w:val="0"/>
            <w:kinsoku/>
            <w:wordWrap/>
            <w:overflowPunct/>
            <w:topLinePunct w:val="0"/>
            <w:autoSpaceDE/>
            <w:autoSpaceDN/>
            <w:bidi w:val="0"/>
            <w:adjustRightInd/>
            <w:snapToGrid/>
            <w:spacing w:line="440" w:lineRule="exact"/>
            <w:ind w:left="0" w:leftChars="0"/>
            <w:textAlignment w:val="auto"/>
            <w:rPr>
              <w:rFonts w:hint="eastAsia" w:ascii="楷体_GB2312" w:eastAsia="楷体_GB2312"/>
              <w:color w:val="000000" w:themeColor="text1"/>
              <w:sz w:val="36"/>
              <w:szCs w:val="36"/>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end"/>
          </w:r>
        </w:p>
      </w:sdtContent>
    </w:sdt>
    <w:p w14:paraId="2945135E">
      <w:pPr>
        <w:rPr>
          <w:rFonts w:hint="default" w:eastAsia="宋体"/>
          <w:color w:val="000000" w:themeColor="text1"/>
          <w:highlight w:val="none"/>
          <w:lang w:val="en-US"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p w14:paraId="04DE17E7">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2" w:name="_Toc31073"/>
      <w:r>
        <w:rPr>
          <w:rFonts w:ascii="Times New Roman" w:hAnsi="Times New Roman" w:cs="Times New Roman" w:eastAsiaTheme="minorEastAsia"/>
          <w:b/>
          <w:bCs/>
          <w:color w:val="000000" w:themeColor="text1"/>
          <w:sz w:val="28"/>
          <w:szCs w:val="28"/>
          <w:highlight w:val="none"/>
          <w14:textFill>
            <w14:solidFill>
              <w14:schemeClr w14:val="tx1"/>
            </w14:solidFill>
          </w14:textFill>
        </w:rPr>
        <w:t>附图</w:t>
      </w:r>
      <w:bookmarkEnd w:id="2"/>
    </w:p>
    <w:p w14:paraId="0805D3F2">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p>
    <w:p w14:paraId="4EBCFFF7">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附图1   项目地理位置图</w:t>
      </w:r>
    </w:p>
    <w:p w14:paraId="50D527B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附图2   </w:t>
      </w:r>
      <w:r>
        <w:rPr>
          <w:rFonts w:hint="eastAsia" w:cs="Times New Roman" w:eastAsiaTheme="minorEastAsia"/>
          <w:color w:val="000000" w:themeColor="text1"/>
          <w:sz w:val="24"/>
          <w:szCs w:val="24"/>
          <w:highlight w:val="none"/>
          <w:lang w:val="en-US" w:eastAsia="zh-CN"/>
          <w14:textFill>
            <w14:solidFill>
              <w14:schemeClr w14:val="tx1"/>
            </w14:solidFill>
          </w14:textFill>
        </w:rPr>
        <w:t>项目输电线路路径图</w:t>
      </w:r>
    </w:p>
    <w:p w14:paraId="22CED032">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附图3  </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项目输电线路周边关系图</w:t>
      </w:r>
    </w:p>
    <w:p w14:paraId="096CB1F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附图4   </w:t>
      </w:r>
      <w:r>
        <w:rPr>
          <w:rFonts w:hint="eastAsia" w:cs="Times New Roman" w:eastAsiaTheme="minorEastAsia"/>
          <w:color w:val="000000" w:themeColor="text1"/>
          <w:sz w:val="24"/>
          <w:szCs w:val="24"/>
          <w:highlight w:val="none"/>
          <w:lang w:val="en-US" w:eastAsia="zh-CN"/>
          <w14:textFill>
            <w14:solidFill>
              <w14:schemeClr w14:val="tx1"/>
            </w14:solidFill>
          </w14:textFill>
        </w:rPr>
        <w:t>项目现状监测布点示意图</w:t>
      </w:r>
    </w:p>
    <w:p w14:paraId="0B9925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附图5   项目输电线路断面图</w:t>
      </w:r>
    </w:p>
    <w:p w14:paraId="5D048C3E">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附图6   项目导线相序图</w:t>
      </w:r>
    </w:p>
    <w:p w14:paraId="5E659DB8">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附图7   </w:t>
      </w:r>
      <w:r>
        <w:rPr>
          <w:rFonts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hint="eastAsia" w:cs="Times New Roman" w:eastAsiaTheme="minorEastAsia"/>
          <w:color w:val="000000" w:themeColor="text1"/>
          <w:sz w:val="24"/>
          <w:szCs w:val="24"/>
          <w:highlight w:val="none"/>
          <w:lang w:val="en-US" w:eastAsia="zh-CN"/>
          <w14:textFill>
            <w14:solidFill>
              <w14:schemeClr w14:val="tx1"/>
            </w14:solidFill>
          </w14:textFill>
        </w:rPr>
        <w:t>塔型图</w:t>
      </w:r>
    </w:p>
    <w:p w14:paraId="62AB3501">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8</w:t>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hint="eastAsia" w:cs="Times New Roman" w:eastAsiaTheme="minorEastAsia"/>
          <w:color w:val="000000" w:themeColor="text1"/>
          <w:sz w:val="24"/>
          <w:szCs w:val="24"/>
          <w:highlight w:val="none"/>
          <w:lang w:val="en-US" w:eastAsia="zh-CN"/>
          <w14:textFill>
            <w14:solidFill>
              <w14:schemeClr w14:val="tx1"/>
            </w14:solidFill>
          </w14:textFill>
        </w:rPr>
        <w:t>预测塔型图</w:t>
      </w:r>
    </w:p>
    <w:p w14:paraId="5784EDE0">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9</w:t>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ascii="Times New Roman" w:hAnsi="Times New Roman" w:cs="Times New Roman" w:eastAsiaTheme="minorEastAsia"/>
          <w:color w:val="000000" w:themeColor="text1"/>
          <w:sz w:val="24"/>
          <w:szCs w:val="24"/>
          <w:highlight w:val="none"/>
          <w14:textFill>
            <w14:solidFill>
              <w14:schemeClr w14:val="tx1"/>
            </w14:solidFill>
          </w14:textFill>
        </w:rPr>
        <w:t>与</w:t>
      </w:r>
      <w:r>
        <w:rPr>
          <w:rFonts w:hint="eastAsia" w:cs="Times New Roman" w:eastAsiaTheme="minorEastAsia"/>
          <w:color w:val="000000" w:themeColor="text1"/>
          <w:sz w:val="24"/>
          <w:szCs w:val="24"/>
          <w:highlight w:val="none"/>
          <w:lang w:val="en-US" w:eastAsia="zh-CN"/>
          <w14:textFill>
            <w14:solidFill>
              <w14:schemeClr w14:val="tx1"/>
            </w14:solidFill>
          </w14:textFill>
        </w:rPr>
        <w:t>河北省主体功能区划位置关系图</w:t>
      </w:r>
    </w:p>
    <w:p w14:paraId="5935A082">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10</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ascii="Times New Roman" w:hAnsi="Times New Roman" w:cs="Times New Roman" w:eastAsiaTheme="minorEastAsia"/>
          <w:bCs/>
          <w:color w:val="000000" w:themeColor="text1"/>
          <w:sz w:val="24"/>
          <w:szCs w:val="24"/>
          <w:highlight w:val="none"/>
          <w14:textFill>
            <w14:solidFill>
              <w14:schemeClr w14:val="tx1"/>
            </w14:solidFill>
          </w14:textFill>
        </w:rPr>
        <w:t>项目与</w:t>
      </w:r>
      <w:r>
        <w:rPr>
          <w:rFonts w:hint="eastAsia" w:cs="Times New Roman" w:eastAsiaTheme="minorEastAsia"/>
          <w:bCs/>
          <w:color w:val="000000" w:themeColor="text1"/>
          <w:sz w:val="24"/>
          <w:szCs w:val="24"/>
          <w:highlight w:val="none"/>
          <w:lang w:val="en-US" w:eastAsia="zh-CN"/>
          <w14:textFill>
            <w14:solidFill>
              <w14:schemeClr w14:val="tx1"/>
            </w14:solidFill>
          </w14:textFill>
        </w:rPr>
        <w:t>河北省生态功能区划位置关系图</w:t>
      </w:r>
    </w:p>
    <w:p w14:paraId="5979D39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bookmarkStart w:id="3" w:name="_Toc5990"/>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11</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项目与围场县生态保护红线位置关系图</w:t>
      </w:r>
    </w:p>
    <w:p w14:paraId="5D79641D">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附图12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ascii="Times New Roman" w:hAnsi="Times New Roman" w:cs="Times New Roman" w:eastAsiaTheme="minorEastAsia"/>
          <w:color w:val="000000" w:themeColor="text1"/>
          <w:sz w:val="24"/>
          <w:szCs w:val="24"/>
          <w:highlight w:val="none"/>
          <w14:textFill>
            <w14:solidFill>
              <w14:schemeClr w14:val="tx1"/>
            </w14:solidFill>
          </w14:textFill>
        </w:rPr>
        <w:t>与</w:t>
      </w:r>
      <w:bookmarkEnd w:id="3"/>
      <w:r>
        <w:rPr>
          <w:rFonts w:hint="eastAsia" w:cs="Times New Roman" w:eastAsiaTheme="minorEastAsia"/>
          <w:color w:val="000000" w:themeColor="text1"/>
          <w:sz w:val="24"/>
          <w:szCs w:val="24"/>
          <w:highlight w:val="none"/>
          <w:lang w:val="en-US" w:eastAsia="zh-CN"/>
          <w14:textFill>
            <w14:solidFill>
              <w14:schemeClr w14:val="tx1"/>
            </w14:solidFill>
          </w14:textFill>
        </w:rPr>
        <w:t>承德市环境管控单元位置关系图</w:t>
      </w:r>
    </w:p>
    <w:p w14:paraId="44185C2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13</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项目与承德市环境功能区划位置关系图</w:t>
      </w:r>
    </w:p>
    <w:p w14:paraId="7C0AAC28">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14  项目与承德市重点水源涵养生态功能保护区关系图</w:t>
      </w:r>
    </w:p>
    <w:p w14:paraId="1C245A71">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附图15</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项目与围场县土地利用现状位置关系图</w:t>
      </w:r>
    </w:p>
    <w:p w14:paraId="5101E8E2">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附图16  项目塔基基础图</w:t>
      </w:r>
    </w:p>
    <w:p w14:paraId="63F0412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附图17  项目分区防治措施布置图</w:t>
      </w:r>
    </w:p>
    <w:p w14:paraId="776D964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cs="Times New Roman" w:eastAsiaTheme="minorEastAsia"/>
          <w:b/>
          <w:bCs/>
          <w:color w:val="000000" w:themeColor="text1"/>
          <w:sz w:val="24"/>
          <w:szCs w:val="24"/>
          <w:highlight w:val="none"/>
          <w14:textFill>
            <w14:solidFill>
              <w14:schemeClr w14:val="tx1"/>
            </w14:solidFill>
          </w14:textFill>
        </w:rPr>
      </w:pPr>
    </w:p>
    <w:p w14:paraId="60CEBED4">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4" w:name="_Toc24125"/>
      <w:r>
        <w:rPr>
          <w:rFonts w:ascii="Times New Roman" w:hAnsi="Times New Roman" w:cs="Times New Roman" w:eastAsiaTheme="minorEastAsia"/>
          <w:b/>
          <w:bCs/>
          <w:color w:val="000000" w:themeColor="text1"/>
          <w:sz w:val="28"/>
          <w:szCs w:val="28"/>
          <w:highlight w:val="none"/>
          <w14:textFill>
            <w14:solidFill>
              <w14:schemeClr w14:val="tx1"/>
            </w14:solidFill>
          </w14:textFill>
        </w:rPr>
        <w:t>附件</w:t>
      </w:r>
      <w:bookmarkEnd w:id="4"/>
    </w:p>
    <w:p w14:paraId="6277ECC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p>
    <w:p w14:paraId="08F5B357">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附件1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营业执照</w:t>
      </w:r>
    </w:p>
    <w:p w14:paraId="1D6C6342">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附件2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ascii="Times New Roman" w:hAnsi="Times New Roman" w:cs="Times New Roman" w:eastAsiaTheme="minorEastAsia"/>
          <w:color w:val="000000" w:themeColor="text1"/>
          <w:sz w:val="24"/>
          <w:szCs w:val="24"/>
          <w:highlight w:val="none"/>
          <w14:textFill>
            <w14:solidFill>
              <w14:schemeClr w14:val="tx1"/>
            </w14:solidFill>
          </w14:textFill>
        </w:rPr>
        <w:t>核准</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批复</w:t>
      </w:r>
    </w:p>
    <w:p w14:paraId="307B348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附件3   </w:t>
      </w:r>
      <w:r>
        <w:rPr>
          <w:rFonts w:hint="eastAsia" w:cs="Times New Roman" w:eastAsiaTheme="minorEastAsia"/>
          <w:color w:val="000000" w:themeColor="text1"/>
          <w:sz w:val="24"/>
          <w:szCs w:val="24"/>
          <w:highlight w:val="none"/>
          <w:lang w:val="en-US" w:eastAsia="zh-CN"/>
          <w14:textFill>
            <w14:solidFill>
              <w14:schemeClr w14:val="tx1"/>
            </w14:solidFill>
          </w14:textFill>
        </w:rPr>
        <w:t>承德市生态环境局不予行政处罚决定书</w:t>
      </w:r>
    </w:p>
    <w:p w14:paraId="1AE45B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附件4   </w:t>
      </w:r>
      <w:r>
        <w:rPr>
          <w:rFonts w:ascii="Times New Roman" w:hAnsi="Times New Roman" w:cs="Times New Roman" w:eastAsiaTheme="minorEastAsia"/>
          <w:color w:val="000000" w:themeColor="text1"/>
          <w:sz w:val="24"/>
          <w:szCs w:val="24"/>
          <w:highlight w:val="none"/>
          <w14:textFill>
            <w14:solidFill>
              <w14:schemeClr w14:val="tx1"/>
            </w14:solidFill>
          </w14:textFill>
        </w:rPr>
        <w:t>主体环评批复</w:t>
      </w:r>
    </w:p>
    <w:p w14:paraId="38BAEE3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附件5   升压站环评批复</w:t>
      </w:r>
    </w:p>
    <w:p w14:paraId="60664591">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承德市生态环境局围场县分局选址意见</w:t>
      </w:r>
    </w:p>
    <w:p w14:paraId="5CD7796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围场县自规局关于项目是否占用永久基本农田的情况说明</w:t>
      </w:r>
    </w:p>
    <w:p w14:paraId="5C665516">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bookmarkStart w:id="5" w:name="_Toc20792"/>
      <w:r>
        <w:rPr>
          <w:rFonts w:hint="eastAsia" w:cs="Times New Roman" w:eastAsiaTheme="minorEastAsia"/>
          <w:color w:val="000000" w:themeColor="text1"/>
          <w:sz w:val="24"/>
          <w:szCs w:val="24"/>
          <w:highlight w:val="none"/>
          <w:lang w:val="en-US" w:eastAsia="zh-CN"/>
          <w14:textFill>
            <w14:solidFill>
              <w14:schemeClr w14:val="tx1"/>
            </w14:solidFill>
          </w14:textFill>
        </w:rPr>
        <w:t>附件8   围场县自规局关于项目是否涉及生态保护红线的情况说明</w:t>
      </w:r>
    </w:p>
    <w:p w14:paraId="36A0539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9</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bookmarkEnd w:id="5"/>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eastAsia" w:eastAsiaTheme="minorEastAsia"/>
          <w:color w:val="000000" w:themeColor="text1"/>
          <w:sz w:val="24"/>
          <w:highlight w:val="none"/>
          <w:lang w:val="en-US" w:eastAsia="zh-CN"/>
          <w14:textFill>
            <w14:solidFill>
              <w14:schemeClr w14:val="tx1"/>
            </w14:solidFill>
          </w14:textFill>
        </w:rPr>
        <w:t>围场县林业和草原局选址意见</w:t>
      </w:r>
    </w:p>
    <w:p w14:paraId="0CB4E801">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bookmarkStart w:id="6" w:name="_Toc25393"/>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10</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bookmarkEnd w:id="6"/>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eastAsia" w:eastAsiaTheme="minorEastAsia"/>
          <w:color w:val="000000" w:themeColor="text1"/>
          <w:sz w:val="24"/>
          <w:highlight w:val="none"/>
          <w14:textFill>
            <w14:solidFill>
              <w14:schemeClr w14:val="tx1"/>
            </w14:solidFill>
          </w14:textFill>
        </w:rPr>
        <w:t>围场</w:t>
      </w:r>
      <w:r>
        <w:rPr>
          <w:rFonts w:eastAsiaTheme="minorEastAsia"/>
          <w:color w:val="000000" w:themeColor="text1"/>
          <w:sz w:val="24"/>
          <w:highlight w:val="none"/>
          <w14:textFill>
            <w14:solidFill>
              <w14:schemeClr w14:val="tx1"/>
            </w14:solidFill>
          </w14:textFill>
        </w:rPr>
        <w:t>县</w:t>
      </w:r>
      <w:r>
        <w:rPr>
          <w:rFonts w:hint="eastAsia" w:eastAsiaTheme="minorEastAsia"/>
          <w:color w:val="000000" w:themeColor="text1"/>
          <w:sz w:val="24"/>
          <w:highlight w:val="none"/>
          <w:lang w:val="en-US" w:eastAsia="zh-CN"/>
          <w14:textFill>
            <w14:solidFill>
              <w14:schemeClr w14:val="tx1"/>
            </w14:solidFill>
          </w14:textFill>
        </w:rPr>
        <w:t>旅游和文化局选址意见</w:t>
      </w:r>
    </w:p>
    <w:p w14:paraId="1363ED8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bookmarkStart w:id="7" w:name="_Toc26678"/>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11</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bookmarkEnd w:id="7"/>
      <w:r>
        <w:rPr>
          <w:rFonts w:hint="eastAsia" w:cs="Times New Roman" w:eastAsiaTheme="minorEastAsia"/>
          <w:color w:val="000000" w:themeColor="text1"/>
          <w:sz w:val="24"/>
          <w:szCs w:val="24"/>
          <w:highlight w:val="none"/>
          <w:lang w:val="en-US" w:eastAsia="zh-CN"/>
          <w14:textFill>
            <w14:solidFill>
              <w14:schemeClr w14:val="tx1"/>
            </w14:solidFill>
          </w14:textFill>
        </w:rPr>
        <w:t>接入系统评审意见</w:t>
      </w:r>
    </w:p>
    <w:p w14:paraId="212CC39F">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12 </w:t>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ascii="Times New Roman" w:hAnsi="Times New Roman" w:cs="Times New Roman" w:eastAsiaTheme="minorEastAsia"/>
          <w:color w:val="000000" w:themeColor="text1"/>
          <w:sz w:val="24"/>
          <w:szCs w:val="24"/>
          <w:highlight w:val="none"/>
          <w14:textFill>
            <w14:solidFill>
              <w14:schemeClr w14:val="tx1"/>
            </w14:solidFill>
          </w14:textFill>
        </w:rPr>
        <w:t>现状监测报告</w:t>
      </w:r>
    </w:p>
    <w:p w14:paraId="3733E6ED">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附件13  </w:t>
      </w:r>
      <w:r>
        <w:rPr>
          <w:rFonts w:hint="eastAsia" w:ascii="Times New Roman" w:hAnsi="Times New Roman" w:cs="Times New Roman" w:eastAsiaTheme="minorEastAsia"/>
          <w:iCs/>
          <w:color w:val="000000" w:themeColor="text1"/>
          <w:kern w:val="13"/>
          <w:sz w:val="24"/>
          <w:szCs w:val="24"/>
          <w:highlight w:val="none"/>
          <w14:textFill>
            <w14:solidFill>
              <w14:schemeClr w14:val="tx1"/>
            </w14:solidFill>
          </w14:textFill>
        </w:rPr>
        <w:t>类比</w:t>
      </w:r>
      <w:r>
        <w:rPr>
          <w:rFonts w:hint="eastAsia" w:ascii="Times New Roman" w:hAnsi="Times New Roman" w:cs="Times New Roman" w:eastAsiaTheme="minorEastAsia"/>
          <w:iCs/>
          <w:color w:val="000000" w:themeColor="text1"/>
          <w:kern w:val="13"/>
          <w:sz w:val="24"/>
          <w:szCs w:val="24"/>
          <w:highlight w:val="none"/>
          <w:lang w:val="en-US" w:eastAsia="zh-CN"/>
          <w14:textFill>
            <w14:solidFill>
              <w14:schemeClr w14:val="tx1"/>
            </w14:solidFill>
          </w14:textFill>
        </w:rPr>
        <w:t>送出线路</w:t>
      </w:r>
      <w:r>
        <w:rPr>
          <w:rFonts w:hint="eastAsia" w:ascii="Times New Roman" w:hAnsi="Times New Roman" w:cs="Times New Roman" w:eastAsiaTheme="minorEastAsia"/>
          <w:iCs/>
          <w:color w:val="000000" w:themeColor="text1"/>
          <w:kern w:val="13"/>
          <w:sz w:val="24"/>
          <w:szCs w:val="24"/>
          <w:highlight w:val="none"/>
          <w14:textFill>
            <w14:solidFill>
              <w14:schemeClr w14:val="tx1"/>
            </w14:solidFill>
          </w14:textFill>
        </w:rPr>
        <w:t>监测</w:t>
      </w:r>
      <w:r>
        <w:rPr>
          <w:rFonts w:ascii="Times New Roman" w:hAnsi="Times New Roman" w:cs="Times New Roman" w:eastAsiaTheme="minorEastAsia"/>
          <w:iCs/>
          <w:color w:val="000000" w:themeColor="text1"/>
          <w:kern w:val="13"/>
          <w:sz w:val="24"/>
          <w:szCs w:val="24"/>
          <w:highlight w:val="none"/>
          <w14:textFill>
            <w14:solidFill>
              <w14:schemeClr w14:val="tx1"/>
            </w14:solidFill>
          </w14:textFill>
        </w:rPr>
        <w:t>报告</w:t>
      </w:r>
    </w:p>
    <w:p w14:paraId="0743221D">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iCs/>
          <w:color w:val="000000" w:themeColor="text1"/>
          <w:kern w:val="13"/>
          <w:sz w:val="24"/>
          <w:szCs w:val="24"/>
          <w:highlight w:val="none"/>
          <w14:textFill>
            <w14:solidFill>
              <w14:schemeClr w14:val="tx1"/>
            </w14:solidFill>
          </w14:textFill>
        </w:rPr>
      </w:pPr>
    </w:p>
    <w:p w14:paraId="7E32E1C9">
      <w:pPr>
        <w:pStyle w:val="28"/>
        <w:rPr>
          <w:rFonts w:hint="eastAsia"/>
          <w:color w:val="000000" w:themeColor="text1"/>
          <w:highlight w:val="none"/>
          <w:lang w:val="en-US"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p w14:paraId="420B472E">
      <w:pPr>
        <w:pStyle w:val="2"/>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center"/>
        <w:textAlignment w:val="auto"/>
        <w:outlineLvl w:val="0"/>
        <w:rPr>
          <w:rFonts w:ascii="黑体" w:hAnsi="黑体"/>
          <w:snapToGrid w:val="0"/>
          <w:color w:val="000000" w:themeColor="text1"/>
          <w:highlight w:val="none"/>
          <w14:textFill>
            <w14:solidFill>
              <w14:schemeClr w14:val="tx1"/>
            </w14:solidFill>
          </w14:textFill>
        </w:rPr>
      </w:pPr>
      <w:bookmarkStart w:id="8" w:name="_Toc4113"/>
      <w:bookmarkStart w:id="9" w:name="_Toc21196"/>
      <w:bookmarkStart w:id="10" w:name="_Toc25310"/>
      <w:r>
        <w:rPr>
          <w:rFonts w:hint="eastAsia"/>
          <w:b w:val="0"/>
          <w:bCs w:val="0"/>
          <w:color w:val="000000" w:themeColor="text1"/>
          <w:highlight w:val="none"/>
          <w14:textFill>
            <w14:solidFill>
              <w14:schemeClr w14:val="tx1"/>
            </w14:solidFill>
          </w14:textFill>
        </w:rPr>
        <w:t>一、建设项目基本情况</w:t>
      </w:r>
      <w:bookmarkEnd w:id="8"/>
      <w:bookmarkEnd w:id="9"/>
      <w:bookmarkEnd w:id="10"/>
    </w:p>
    <w:tbl>
      <w:tblPr>
        <w:tblStyle w:val="34"/>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70"/>
        <w:gridCol w:w="2251"/>
        <w:gridCol w:w="2072"/>
        <w:gridCol w:w="2668"/>
      </w:tblGrid>
      <w:tr w14:paraId="01505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2" w:hRule="atLeast"/>
        </w:trPr>
        <w:tc>
          <w:tcPr>
            <w:tcW w:w="1055" w:type="pct"/>
            <w:noWrap w:val="0"/>
            <w:tcMar>
              <w:top w:w="16" w:type="dxa"/>
              <w:left w:w="16" w:type="dxa"/>
              <w:right w:w="16" w:type="dxa"/>
            </w:tcMar>
            <w:vAlign w:val="center"/>
          </w:tcPr>
          <w:p w14:paraId="03597453">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建设项目名称</w:t>
            </w:r>
          </w:p>
        </w:tc>
        <w:tc>
          <w:tcPr>
            <w:tcW w:w="3944" w:type="pct"/>
            <w:gridSpan w:val="3"/>
            <w:noWrap w:val="0"/>
            <w:vAlign w:val="center"/>
          </w:tcPr>
          <w:p w14:paraId="747EF36C">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cs="Times New Roman"/>
                <w:color w:val="000000" w:themeColor="text1"/>
                <w:sz w:val="24"/>
                <w:szCs w:val="24"/>
                <w:highlight w:val="none"/>
                <w:lang w:val="en-US" w:eastAsia="zh-CN"/>
                <w14:textFill>
                  <w14:solidFill>
                    <w14:schemeClr w14:val="tx1"/>
                  </w14:solidFill>
                </w14:textFill>
              </w:rPr>
              <w:t>送出线路工程项目</w:t>
            </w:r>
          </w:p>
        </w:tc>
      </w:tr>
      <w:tr w14:paraId="6DBBA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1055" w:type="pct"/>
            <w:noWrap w:val="0"/>
            <w:tcMar>
              <w:top w:w="16" w:type="dxa"/>
              <w:left w:w="16" w:type="dxa"/>
              <w:right w:w="16" w:type="dxa"/>
            </w:tcMar>
            <w:vAlign w:val="center"/>
          </w:tcPr>
          <w:p w14:paraId="39F18192">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项目代码</w:t>
            </w:r>
          </w:p>
        </w:tc>
        <w:tc>
          <w:tcPr>
            <w:tcW w:w="3944" w:type="pct"/>
            <w:gridSpan w:val="3"/>
            <w:noWrap w:val="0"/>
            <w:vAlign w:val="center"/>
          </w:tcPr>
          <w:p w14:paraId="6AEE3E85">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2406-130800-89-01-652294</w:t>
            </w:r>
          </w:p>
        </w:tc>
      </w:tr>
      <w:tr w14:paraId="69AEA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5" w:type="pct"/>
            <w:noWrap w:val="0"/>
            <w:tcMar>
              <w:top w:w="16" w:type="dxa"/>
              <w:left w:w="16" w:type="dxa"/>
              <w:right w:w="16" w:type="dxa"/>
            </w:tcMar>
            <w:vAlign w:val="center"/>
          </w:tcPr>
          <w:p w14:paraId="150720FE">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建设单位联系人</w:t>
            </w:r>
          </w:p>
        </w:tc>
        <w:tc>
          <w:tcPr>
            <w:tcW w:w="1270" w:type="pct"/>
            <w:noWrap w:val="0"/>
            <w:vAlign w:val="center"/>
          </w:tcPr>
          <w:p w14:paraId="463A2AC4">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p>
        </w:tc>
        <w:tc>
          <w:tcPr>
            <w:tcW w:w="1169" w:type="pct"/>
            <w:noWrap w:val="0"/>
            <w:vAlign w:val="center"/>
          </w:tcPr>
          <w:p w14:paraId="65DBF4CE">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联系方式</w:t>
            </w:r>
          </w:p>
        </w:tc>
        <w:tc>
          <w:tcPr>
            <w:tcW w:w="1504" w:type="pct"/>
            <w:noWrap w:val="0"/>
            <w:vAlign w:val="center"/>
          </w:tcPr>
          <w:p w14:paraId="5FF8B678">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color w:val="000000" w:themeColor="text1"/>
                <w:sz w:val="24"/>
                <w:highlight w:val="none"/>
                <w14:textFill>
                  <w14:solidFill>
                    <w14:schemeClr w14:val="tx1"/>
                  </w14:solidFill>
                </w14:textFill>
              </w:rPr>
            </w:pPr>
          </w:p>
        </w:tc>
      </w:tr>
      <w:tr w14:paraId="01910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5" w:type="pct"/>
            <w:noWrap w:val="0"/>
            <w:tcMar>
              <w:top w:w="16" w:type="dxa"/>
              <w:left w:w="16" w:type="dxa"/>
              <w:right w:w="16" w:type="dxa"/>
            </w:tcMar>
            <w:vAlign w:val="center"/>
          </w:tcPr>
          <w:p w14:paraId="12078D24">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建设地点</w:t>
            </w:r>
          </w:p>
        </w:tc>
        <w:tc>
          <w:tcPr>
            <w:tcW w:w="3944" w:type="pct"/>
            <w:gridSpan w:val="3"/>
            <w:noWrap w:val="0"/>
            <w:vAlign w:val="center"/>
          </w:tcPr>
          <w:p w14:paraId="7259EE2E">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河北省承德市围场满族蒙古族自治县克勒沟镇、银窝沟乡、杨家湾乡、朝阳湾镇</w:t>
            </w:r>
          </w:p>
        </w:tc>
      </w:tr>
      <w:tr w14:paraId="04228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55" w:type="pct"/>
            <w:noWrap w:val="0"/>
            <w:tcMar>
              <w:top w:w="16" w:type="dxa"/>
              <w:left w:w="16" w:type="dxa"/>
              <w:right w:w="16" w:type="dxa"/>
            </w:tcMar>
            <w:vAlign w:val="center"/>
          </w:tcPr>
          <w:p w14:paraId="70C3AC71">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地理坐标</w:t>
            </w:r>
          </w:p>
        </w:tc>
        <w:tc>
          <w:tcPr>
            <w:tcW w:w="3944" w:type="pct"/>
            <w:gridSpan w:val="3"/>
            <w:noWrap w:val="0"/>
            <w:vAlign w:val="center"/>
          </w:tcPr>
          <w:p w14:paraId="429A7405">
            <w:pPr>
              <w:keepNext w:val="0"/>
              <w:keepLines w:val="0"/>
              <w:pageBreakBefore w:val="0"/>
              <w:widowControl w:val="0"/>
              <w:kinsoku/>
              <w:wordWrap/>
              <w:overflowPunct/>
              <w:topLinePunct w:val="0"/>
              <w:autoSpaceDE/>
              <w:autoSpaceDN/>
              <w:bidi w:val="0"/>
              <w:spacing w:line="350" w:lineRule="exact"/>
              <w:jc w:val="both"/>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线路起点坐标：东经118</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48.105</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北纬</w:t>
            </w:r>
            <w:r>
              <w:rPr>
                <w:rFonts w:hint="eastAsia" w:cs="Times New Roman"/>
                <w:color w:val="000000" w:themeColor="text1"/>
                <w:sz w:val="24"/>
                <w:highlight w:val="none"/>
                <w:lang w:val="en-US" w:eastAsia="zh-CN"/>
                <w14:textFill>
                  <w14:solidFill>
                    <w14:schemeClr w14:val="tx1"/>
                  </w14:solidFill>
                </w14:textFill>
              </w:rPr>
              <w:t>41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54</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45.771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1CA3D44E">
            <w:pPr>
              <w:keepNext w:val="0"/>
              <w:keepLines w:val="0"/>
              <w:pageBreakBefore w:val="0"/>
              <w:widowControl w:val="0"/>
              <w:kinsoku/>
              <w:wordWrap/>
              <w:overflowPunct/>
              <w:topLinePunct w:val="0"/>
              <w:autoSpaceDE/>
              <w:autoSpaceDN/>
              <w:bidi w:val="0"/>
              <w:spacing w:line="350" w:lineRule="exact"/>
              <w:jc w:val="both"/>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线路终点坐标：东经117</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56</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52.174</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北纬</w:t>
            </w:r>
            <w:r>
              <w:rPr>
                <w:rFonts w:hint="eastAsia" w:cs="Times New Roman"/>
                <w:color w:val="000000" w:themeColor="text1"/>
                <w:sz w:val="24"/>
                <w:highlight w:val="none"/>
                <w:lang w:val="en-US" w:eastAsia="zh-CN"/>
                <w14:textFill>
                  <w14:solidFill>
                    <w14:schemeClr w14:val="tx1"/>
                  </w14:solidFill>
                </w14:textFill>
              </w:rPr>
              <w:t>42</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51.393</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w:t>
            </w:r>
          </w:p>
        </w:tc>
      </w:tr>
      <w:tr w14:paraId="633E3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055" w:type="pct"/>
            <w:noWrap w:val="0"/>
            <w:tcMar>
              <w:top w:w="16" w:type="dxa"/>
              <w:left w:w="16" w:type="dxa"/>
              <w:right w:w="16" w:type="dxa"/>
            </w:tcMar>
            <w:vAlign w:val="center"/>
          </w:tcPr>
          <w:p w14:paraId="046076BF">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14:paraId="6A83C57D">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行业类别</w:t>
            </w:r>
          </w:p>
        </w:tc>
        <w:tc>
          <w:tcPr>
            <w:tcW w:w="1270" w:type="pct"/>
            <w:noWrap w:val="0"/>
            <w:vAlign w:val="center"/>
          </w:tcPr>
          <w:p w14:paraId="6DA2C7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0" w:lineRule="exact"/>
              <w:ind w:left="0" w:right="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五十五、核与辐射</w:t>
            </w:r>
          </w:p>
          <w:p w14:paraId="30436708">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161 输变电工程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其他（100千伏以下除外）</w:t>
            </w:r>
          </w:p>
        </w:tc>
        <w:tc>
          <w:tcPr>
            <w:tcW w:w="1169" w:type="pct"/>
            <w:noWrap w:val="0"/>
            <w:vAlign w:val="center"/>
          </w:tcPr>
          <w:p w14:paraId="19C3DF90">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用地（用海）面积（m</w:t>
            </w:r>
            <w:r>
              <w:rPr>
                <w:b/>
                <w:bCs/>
                <w:color w:val="000000" w:themeColor="text1"/>
                <w:sz w:val="24"/>
                <w:szCs w:val="24"/>
                <w:highlight w:val="none"/>
                <w:vertAlign w:val="superscript"/>
                <w14:textFill>
                  <w14:solidFill>
                    <w14:schemeClr w14:val="tx1"/>
                  </w14:solidFill>
                </w14:textFill>
              </w:rPr>
              <w:t>2</w:t>
            </w:r>
            <w:r>
              <w:rPr>
                <w:b/>
                <w:bCs/>
                <w:color w:val="000000" w:themeColor="text1"/>
                <w:sz w:val="24"/>
                <w:szCs w:val="24"/>
                <w:highlight w:val="none"/>
                <w14:textFill>
                  <w14:solidFill>
                    <w14:schemeClr w14:val="tx1"/>
                  </w14:solidFill>
                </w14:textFill>
              </w:rPr>
              <w:t>）/长度（km）</w:t>
            </w:r>
          </w:p>
        </w:tc>
        <w:tc>
          <w:tcPr>
            <w:tcW w:w="1504" w:type="pct"/>
            <w:noWrap w:val="0"/>
            <w:vAlign w:val="center"/>
          </w:tcPr>
          <w:p w14:paraId="6C62595B">
            <w:pPr>
              <w:pStyle w:val="28"/>
              <w:keepNext w:val="0"/>
              <w:keepLines w:val="0"/>
              <w:pageBreakBefore w:val="0"/>
              <w:widowControl w:val="0"/>
              <w:kinsoku/>
              <w:wordWrap/>
              <w:overflowPunct/>
              <w:topLinePunct w:val="0"/>
              <w:autoSpaceDE/>
              <w:autoSpaceDN/>
              <w:bidi w:val="0"/>
              <w:spacing w:line="350" w:lineRule="exact"/>
              <w:ind w:left="0" w:leftChars="0"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铁塔塔基永久占地面积7300</w:t>
            </w:r>
            <w:r>
              <w:rPr>
                <w:rFonts w:hint="default"/>
                <w:color w:val="000000" w:themeColor="text1"/>
                <w:sz w:val="24"/>
                <w:szCs w:val="24"/>
                <w:highlight w:val="none"/>
                <w14:textFill>
                  <w14:solidFill>
                    <w14:schemeClr w14:val="tx1"/>
                  </w14:solidFill>
                </w14:textFill>
              </w:rPr>
              <w:t>m</w:t>
            </w:r>
            <w:r>
              <w:rPr>
                <w:rFonts w:hint="default"/>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vertAlign w:val="baseline"/>
                <w:lang w:eastAsia="zh-CN"/>
                <w14:textFill>
                  <w14:solidFill>
                    <w14:schemeClr w14:val="tx1"/>
                  </w14:solidFill>
                </w14:textFill>
              </w:rPr>
              <w:t>，</w:t>
            </w:r>
            <w:r>
              <w:rPr>
                <w:rFonts w:hint="eastAsia"/>
                <w:color w:val="000000" w:themeColor="text1"/>
                <w:sz w:val="24"/>
                <w:szCs w:val="24"/>
                <w:highlight w:val="none"/>
                <w:vertAlign w:val="baseline"/>
                <w:lang w:val="en-US" w:eastAsia="zh-CN"/>
                <w14:textFill>
                  <w14:solidFill>
                    <w14:schemeClr w14:val="tx1"/>
                  </w14:solidFill>
                </w14:textFill>
              </w:rPr>
              <w:t>施工临时占地面积40200</w:t>
            </w:r>
            <w:r>
              <w:rPr>
                <w:rFonts w:hint="default"/>
                <w:color w:val="000000" w:themeColor="text1"/>
                <w:sz w:val="24"/>
                <w:szCs w:val="24"/>
                <w:highlight w:val="none"/>
                <w14:textFill>
                  <w14:solidFill>
                    <w14:schemeClr w14:val="tx1"/>
                  </w14:solidFill>
                </w14:textFill>
              </w:rPr>
              <w:t>m</w:t>
            </w:r>
            <w:r>
              <w:rPr>
                <w:rFonts w:hint="default"/>
                <w:color w:val="000000" w:themeColor="text1"/>
                <w:sz w:val="24"/>
                <w:szCs w:val="24"/>
                <w:highlight w:val="none"/>
                <w:vertAlign w:val="superscript"/>
                <w14:textFill>
                  <w14:solidFill>
                    <w14:schemeClr w14:val="tx1"/>
                  </w14:solidFill>
                </w14:textFill>
              </w:rPr>
              <w:t>2</w:t>
            </w:r>
          </w:p>
        </w:tc>
      </w:tr>
      <w:tr w14:paraId="6E928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055" w:type="pct"/>
            <w:noWrap w:val="0"/>
            <w:tcMar>
              <w:top w:w="16" w:type="dxa"/>
              <w:left w:w="16" w:type="dxa"/>
              <w:right w:w="16" w:type="dxa"/>
            </w:tcMar>
            <w:vAlign w:val="center"/>
          </w:tcPr>
          <w:p w14:paraId="66130E6F">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建设性质</w:t>
            </w:r>
          </w:p>
        </w:tc>
        <w:tc>
          <w:tcPr>
            <w:tcW w:w="1270" w:type="pct"/>
            <w:noWrap w:val="0"/>
            <w:vAlign w:val="center"/>
          </w:tcPr>
          <w:p w14:paraId="56AAFC65">
            <w:pPr>
              <w:keepNext w:val="0"/>
              <w:keepLines w:val="0"/>
              <w:pageBreakBefore w:val="0"/>
              <w:widowControl w:val="0"/>
              <w:kinsoku/>
              <w:wordWrap/>
              <w:overflowPunct/>
              <w:topLinePunct w:val="0"/>
              <w:autoSpaceDE/>
              <w:autoSpaceDN/>
              <w:bidi w:val="0"/>
              <w:adjustRightInd w:val="0"/>
              <w:snapToGrid w:val="0"/>
              <w:spacing w:line="35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新建（迁建）</w:t>
            </w:r>
          </w:p>
          <w:p w14:paraId="1CFB353C">
            <w:pPr>
              <w:keepNext w:val="0"/>
              <w:keepLines w:val="0"/>
              <w:pageBreakBefore w:val="0"/>
              <w:widowControl w:val="0"/>
              <w:kinsoku/>
              <w:wordWrap/>
              <w:overflowPunct/>
              <w:topLinePunct w:val="0"/>
              <w:autoSpaceDE/>
              <w:autoSpaceDN/>
              <w:bidi w:val="0"/>
              <w:adjustRightInd w:val="0"/>
              <w:snapToGrid w:val="0"/>
              <w:spacing w:line="35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改建</w:t>
            </w:r>
          </w:p>
          <w:p w14:paraId="76E2BB7D">
            <w:pPr>
              <w:keepNext w:val="0"/>
              <w:keepLines w:val="0"/>
              <w:pageBreakBefore w:val="0"/>
              <w:widowControl w:val="0"/>
              <w:kinsoku/>
              <w:wordWrap/>
              <w:overflowPunct/>
              <w:topLinePunct w:val="0"/>
              <w:autoSpaceDE/>
              <w:autoSpaceDN/>
              <w:bidi w:val="0"/>
              <w:adjustRightInd w:val="0"/>
              <w:snapToGrid w:val="0"/>
              <w:spacing w:line="35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扩建</w:t>
            </w:r>
          </w:p>
          <w:p w14:paraId="620DFCC1">
            <w:pPr>
              <w:keepNext w:val="0"/>
              <w:keepLines w:val="0"/>
              <w:pageBreakBefore w:val="0"/>
              <w:widowControl w:val="0"/>
              <w:kinsoku/>
              <w:wordWrap/>
              <w:overflowPunct/>
              <w:topLinePunct w:val="0"/>
              <w:autoSpaceDE/>
              <w:autoSpaceDN/>
              <w:bidi w:val="0"/>
              <w:adjustRightInd w:val="0"/>
              <w:snapToGrid w:val="0"/>
              <w:spacing w:line="35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技术改造</w:t>
            </w:r>
          </w:p>
        </w:tc>
        <w:tc>
          <w:tcPr>
            <w:tcW w:w="1169" w:type="pct"/>
            <w:noWrap w:val="0"/>
            <w:vAlign w:val="center"/>
          </w:tcPr>
          <w:p w14:paraId="1E0BB340">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14:paraId="45E89129">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申报情形</w:t>
            </w:r>
          </w:p>
        </w:tc>
        <w:tc>
          <w:tcPr>
            <w:tcW w:w="1504" w:type="pct"/>
            <w:noWrap w:val="0"/>
            <w:vAlign w:val="center"/>
          </w:tcPr>
          <w:p w14:paraId="7FB9ACBD">
            <w:pPr>
              <w:keepNext w:val="0"/>
              <w:keepLines w:val="0"/>
              <w:pageBreakBefore w:val="0"/>
              <w:widowControl w:val="0"/>
              <w:kinsoku/>
              <w:wordWrap/>
              <w:overflowPunct/>
              <w:topLinePunct w:val="0"/>
              <w:autoSpaceDE/>
              <w:autoSpaceDN/>
              <w:bidi w:val="0"/>
              <w:adjustRightInd w:val="0"/>
              <w:snapToGrid w:val="0"/>
              <w:spacing w:line="35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☑首次申报项目</w:t>
            </w:r>
          </w:p>
          <w:p w14:paraId="084F99D2">
            <w:pPr>
              <w:keepNext w:val="0"/>
              <w:keepLines w:val="0"/>
              <w:pageBreakBefore w:val="0"/>
              <w:widowControl w:val="0"/>
              <w:kinsoku/>
              <w:wordWrap/>
              <w:overflowPunct/>
              <w:topLinePunct w:val="0"/>
              <w:autoSpaceDE/>
              <w:autoSpaceDN/>
              <w:bidi w:val="0"/>
              <w:adjustRightInd w:val="0"/>
              <w:snapToGrid w:val="0"/>
              <w:spacing w:line="35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□不予批准后再次申报项目</w:t>
            </w:r>
          </w:p>
          <w:p w14:paraId="01B0B753">
            <w:pPr>
              <w:keepNext w:val="0"/>
              <w:keepLines w:val="0"/>
              <w:pageBreakBefore w:val="0"/>
              <w:widowControl w:val="0"/>
              <w:kinsoku/>
              <w:wordWrap/>
              <w:overflowPunct/>
              <w:topLinePunct w:val="0"/>
              <w:autoSpaceDE/>
              <w:autoSpaceDN/>
              <w:bidi w:val="0"/>
              <w:adjustRightInd w:val="0"/>
              <w:snapToGrid w:val="0"/>
              <w:spacing w:line="35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□超五年重新审核项目</w:t>
            </w:r>
          </w:p>
          <w:p w14:paraId="2D0C4591">
            <w:pPr>
              <w:keepNext w:val="0"/>
              <w:keepLines w:val="0"/>
              <w:pageBreakBefore w:val="0"/>
              <w:widowControl w:val="0"/>
              <w:kinsoku/>
              <w:wordWrap/>
              <w:overflowPunct/>
              <w:topLinePunct w:val="0"/>
              <w:autoSpaceDE/>
              <w:autoSpaceDN/>
              <w:bidi w:val="0"/>
              <w:adjustRightInd w:val="0"/>
              <w:snapToGrid w:val="0"/>
              <w:spacing w:line="350" w:lineRule="exac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□重大变动重新报批项目</w:t>
            </w:r>
          </w:p>
        </w:tc>
      </w:tr>
      <w:tr w14:paraId="65023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055" w:type="pct"/>
            <w:noWrap w:val="0"/>
            <w:tcMar>
              <w:top w:w="16" w:type="dxa"/>
              <w:left w:w="16" w:type="dxa"/>
              <w:right w:w="16" w:type="dxa"/>
            </w:tcMar>
            <w:vAlign w:val="center"/>
          </w:tcPr>
          <w:p w14:paraId="3178F725">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14:paraId="20E5BC7D">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备案）部门（选填）</w:t>
            </w:r>
          </w:p>
        </w:tc>
        <w:tc>
          <w:tcPr>
            <w:tcW w:w="1270" w:type="pct"/>
            <w:noWrap w:val="0"/>
            <w:vAlign w:val="center"/>
          </w:tcPr>
          <w:p w14:paraId="7958A369">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承德市数据和政务服务局</w:t>
            </w:r>
          </w:p>
        </w:tc>
        <w:tc>
          <w:tcPr>
            <w:tcW w:w="1169" w:type="pct"/>
            <w:noWrap w:val="0"/>
            <w:vAlign w:val="center"/>
          </w:tcPr>
          <w:p w14:paraId="6B4C82D1">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14:paraId="3A055772">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备案）文号（选填）</w:t>
            </w:r>
          </w:p>
        </w:tc>
        <w:tc>
          <w:tcPr>
            <w:tcW w:w="1504" w:type="pct"/>
            <w:noWrap w:val="0"/>
            <w:vAlign w:val="center"/>
          </w:tcPr>
          <w:p w14:paraId="1F7DB681">
            <w:pPr>
              <w:keepNext w:val="0"/>
              <w:keepLines w:val="0"/>
              <w:pageBreakBefore w:val="0"/>
              <w:widowControl w:val="0"/>
              <w:kinsoku/>
              <w:wordWrap/>
              <w:overflowPunct/>
              <w:topLinePunct w:val="0"/>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承数政核字〔2024〕20号</w:t>
            </w:r>
          </w:p>
        </w:tc>
      </w:tr>
      <w:tr w14:paraId="0C6D1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55" w:type="pct"/>
            <w:noWrap w:val="0"/>
            <w:tcMar>
              <w:top w:w="16" w:type="dxa"/>
              <w:left w:w="16" w:type="dxa"/>
              <w:right w:w="16" w:type="dxa"/>
            </w:tcMar>
            <w:vAlign w:val="center"/>
          </w:tcPr>
          <w:p w14:paraId="7F6E2EF0">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总投资（万元）</w:t>
            </w:r>
          </w:p>
        </w:tc>
        <w:tc>
          <w:tcPr>
            <w:tcW w:w="1270" w:type="pct"/>
            <w:noWrap w:val="0"/>
            <w:vAlign w:val="center"/>
          </w:tcPr>
          <w:p w14:paraId="1BC45F27">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4500</w:t>
            </w:r>
          </w:p>
        </w:tc>
        <w:tc>
          <w:tcPr>
            <w:tcW w:w="1169" w:type="pct"/>
            <w:noWrap w:val="0"/>
            <w:tcMar>
              <w:top w:w="16" w:type="dxa"/>
              <w:left w:w="16" w:type="dxa"/>
              <w:right w:w="16" w:type="dxa"/>
            </w:tcMar>
            <w:vAlign w:val="center"/>
          </w:tcPr>
          <w:p w14:paraId="1F03840B">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环保投资（万元）</w:t>
            </w:r>
          </w:p>
        </w:tc>
        <w:tc>
          <w:tcPr>
            <w:tcW w:w="1504" w:type="pct"/>
            <w:noWrap w:val="0"/>
            <w:vAlign w:val="center"/>
          </w:tcPr>
          <w:p w14:paraId="3FF9FC9D">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138</w:t>
            </w:r>
          </w:p>
        </w:tc>
      </w:tr>
      <w:tr w14:paraId="30FD5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055" w:type="pct"/>
            <w:noWrap w:val="0"/>
            <w:tcMar>
              <w:top w:w="16" w:type="dxa"/>
              <w:left w:w="16" w:type="dxa"/>
              <w:right w:w="16" w:type="dxa"/>
            </w:tcMar>
            <w:vAlign w:val="center"/>
          </w:tcPr>
          <w:p w14:paraId="25415F2F">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环保投资占比（%）</w:t>
            </w:r>
          </w:p>
        </w:tc>
        <w:tc>
          <w:tcPr>
            <w:tcW w:w="1270" w:type="pct"/>
            <w:noWrap w:val="0"/>
            <w:vAlign w:val="center"/>
          </w:tcPr>
          <w:p w14:paraId="166FD5EC">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3.07</w:t>
            </w:r>
          </w:p>
        </w:tc>
        <w:tc>
          <w:tcPr>
            <w:tcW w:w="1169" w:type="pct"/>
            <w:noWrap w:val="0"/>
            <w:tcMar>
              <w:top w:w="16" w:type="dxa"/>
              <w:left w:w="16" w:type="dxa"/>
              <w:right w:w="16" w:type="dxa"/>
            </w:tcMar>
            <w:vAlign w:val="center"/>
          </w:tcPr>
          <w:p w14:paraId="64360A97">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施工工期</w:t>
            </w:r>
          </w:p>
        </w:tc>
        <w:tc>
          <w:tcPr>
            <w:tcW w:w="1504" w:type="pct"/>
            <w:noWrap w:val="0"/>
            <w:vAlign w:val="center"/>
          </w:tcPr>
          <w:p w14:paraId="77D6F71B">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已建设完成</w:t>
            </w:r>
          </w:p>
        </w:tc>
      </w:tr>
      <w:tr w14:paraId="752EA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1" w:hRule="atLeast"/>
        </w:trPr>
        <w:tc>
          <w:tcPr>
            <w:tcW w:w="1055" w:type="pct"/>
            <w:noWrap w:val="0"/>
            <w:tcMar>
              <w:top w:w="16" w:type="dxa"/>
              <w:left w:w="16" w:type="dxa"/>
              <w:right w:w="16" w:type="dxa"/>
            </w:tcMar>
            <w:vAlign w:val="center"/>
          </w:tcPr>
          <w:p w14:paraId="02665317">
            <w:pPr>
              <w:keepNext w:val="0"/>
              <w:keepLines w:val="0"/>
              <w:pageBreakBefore w:val="0"/>
              <w:widowControl w:val="0"/>
              <w:kinsoku/>
              <w:wordWrap/>
              <w:overflowPunct/>
              <w:topLinePunct w:val="0"/>
              <w:autoSpaceDE/>
              <w:autoSpaceDN/>
              <w:bidi w:val="0"/>
              <w:adjustRightInd w:val="0"/>
              <w:snapToGrid w:val="0"/>
              <w:spacing w:line="35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是否开工建设</w:t>
            </w:r>
          </w:p>
        </w:tc>
        <w:tc>
          <w:tcPr>
            <w:tcW w:w="3944" w:type="pct"/>
            <w:gridSpan w:val="3"/>
            <w:noWrap w:val="0"/>
            <w:vAlign w:val="center"/>
          </w:tcPr>
          <w:p w14:paraId="2416A2B6">
            <w:pPr>
              <w:keepNext w:val="0"/>
              <w:keepLines w:val="0"/>
              <w:pageBreakBefore w:val="0"/>
              <w:widowControl w:val="0"/>
              <w:kinsoku/>
              <w:wordWrap/>
              <w:overflowPunct/>
              <w:topLinePunct w:val="0"/>
              <w:autoSpaceDE/>
              <w:autoSpaceDN/>
              <w:bidi w:val="0"/>
              <w:adjustRightInd w:val="0"/>
              <w:snapToGrid w:val="0"/>
              <w:spacing w:line="350" w:lineRule="exact"/>
              <w:ind w:firstLine="105"/>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否</w:t>
            </w:r>
          </w:p>
          <w:p w14:paraId="1E68A9CF">
            <w:pPr>
              <w:keepNext w:val="0"/>
              <w:keepLines w:val="0"/>
              <w:pageBreakBefore w:val="0"/>
              <w:widowControl w:val="0"/>
              <w:kinsoku/>
              <w:wordWrap/>
              <w:overflowPunct/>
              <w:topLinePunct w:val="0"/>
              <w:autoSpaceDE/>
              <w:autoSpaceDN/>
              <w:bidi w:val="0"/>
              <w:adjustRightInd w:val="0"/>
              <w:snapToGrid w:val="0"/>
              <w:spacing w:line="350" w:lineRule="exact"/>
              <w:ind w:firstLine="92"/>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u w:val="none"/>
                <w14:textFill>
                  <w14:solidFill>
                    <w14:schemeClr w14:val="tx1"/>
                  </w14:solidFill>
                </w14:textFill>
              </w:rPr>
              <w:t>是：</w:t>
            </w:r>
            <w:r>
              <w:rPr>
                <w:rFonts w:hint="eastAsia"/>
                <w:color w:val="000000" w:themeColor="text1"/>
                <w:sz w:val="24"/>
                <w:highlight w:val="none"/>
                <w:u w:val="single"/>
                <w:lang w:val="en-US" w:eastAsia="zh-CN"/>
                <w14:textFill>
                  <w14:solidFill>
                    <w14:schemeClr w14:val="tx1"/>
                  </w14:solidFill>
                </w14:textFill>
              </w:rPr>
              <w:t>本项目输电线路铁塔部分已建设，架空线路部分已敷设，但处于建设阶段，无污染物产生，且主动停止建设，违法行为轻微，未造成危害后果。根据承德市生态环境局于2025年3月18日出具的《承德市生态环境局不予行政处罚决定书》（承围环不罚决〔2025〕3号），决定对围场满族蒙古族自治县百世能光伏发电有限公司不予行政处罚。</w:t>
            </w:r>
          </w:p>
        </w:tc>
      </w:tr>
      <w:tr w14:paraId="33902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5" w:type="pct"/>
            <w:noWrap w:val="0"/>
            <w:tcMar>
              <w:top w:w="16" w:type="dxa"/>
              <w:left w:w="16" w:type="dxa"/>
              <w:right w:w="16" w:type="dxa"/>
            </w:tcMar>
            <w:vAlign w:val="center"/>
          </w:tcPr>
          <w:p w14:paraId="2C9A8ABC">
            <w:pPr>
              <w:keepNext w:val="0"/>
              <w:keepLines w:val="0"/>
              <w:pageBreakBefore w:val="0"/>
              <w:widowControl w:val="0"/>
              <w:kinsoku/>
              <w:wordWrap/>
              <w:overflowPunct/>
              <w:topLinePunct w:val="0"/>
              <w:autoSpaceDE w:val="0"/>
              <w:autoSpaceDN w:val="0"/>
              <w:bidi w:val="0"/>
              <w:adjustRightInd w:val="0"/>
              <w:snapToGrid w:val="0"/>
              <w:spacing w:line="350" w:lineRule="exact"/>
              <w:jc w:val="center"/>
              <w:textAlignment w:val="auto"/>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专项评价设置情况</w:t>
            </w:r>
          </w:p>
        </w:tc>
        <w:tc>
          <w:tcPr>
            <w:tcW w:w="3944" w:type="pct"/>
            <w:gridSpan w:val="3"/>
            <w:noWrap w:val="0"/>
            <w:tcMar>
              <w:top w:w="16" w:type="dxa"/>
              <w:left w:w="16" w:type="dxa"/>
              <w:right w:w="16" w:type="dxa"/>
            </w:tcMar>
            <w:vAlign w:val="center"/>
          </w:tcPr>
          <w:p w14:paraId="636D25BD">
            <w:pPr>
              <w:keepNext w:val="0"/>
              <w:keepLines w:val="0"/>
              <w:pageBreakBefore w:val="0"/>
              <w:widowControl w:val="0"/>
              <w:kinsoku/>
              <w:wordWrap/>
              <w:overflowPunct/>
              <w:topLinePunct w:val="0"/>
              <w:bidi w:val="0"/>
              <w:spacing w:line="350" w:lineRule="exact"/>
              <w:ind w:firstLine="480" w:firstLineChars="200"/>
              <w:jc w:val="left"/>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有，电磁环境影响专项（根据《环境影响评价技术导则 输变电》（HJ24-2020），应设置电磁环境影响专题评价）。</w:t>
            </w:r>
          </w:p>
        </w:tc>
      </w:tr>
      <w:tr w14:paraId="28CAF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5" w:type="pct"/>
            <w:noWrap w:val="0"/>
            <w:tcMar>
              <w:top w:w="16" w:type="dxa"/>
              <w:left w:w="16" w:type="dxa"/>
              <w:right w:w="16" w:type="dxa"/>
            </w:tcMar>
            <w:vAlign w:val="center"/>
          </w:tcPr>
          <w:p w14:paraId="2C3DD924">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规划情况</w:t>
            </w:r>
          </w:p>
        </w:tc>
        <w:tc>
          <w:tcPr>
            <w:tcW w:w="3944" w:type="pct"/>
            <w:gridSpan w:val="3"/>
            <w:noWrap w:val="0"/>
            <w:tcMar>
              <w:top w:w="16" w:type="dxa"/>
              <w:left w:w="16" w:type="dxa"/>
              <w:right w:w="16" w:type="dxa"/>
            </w:tcMar>
            <w:vAlign w:val="center"/>
          </w:tcPr>
          <w:p w14:paraId="36417890">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无</w:t>
            </w:r>
          </w:p>
        </w:tc>
      </w:tr>
      <w:tr w14:paraId="0D8E3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5" w:type="pct"/>
            <w:noWrap w:val="0"/>
            <w:tcMar>
              <w:top w:w="16" w:type="dxa"/>
              <w:left w:w="16" w:type="dxa"/>
              <w:right w:w="16" w:type="dxa"/>
            </w:tcMar>
            <w:vAlign w:val="center"/>
          </w:tcPr>
          <w:p w14:paraId="1319074A">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规划环境影响评价情况</w:t>
            </w:r>
          </w:p>
        </w:tc>
        <w:tc>
          <w:tcPr>
            <w:tcW w:w="3944" w:type="pct"/>
            <w:gridSpan w:val="3"/>
            <w:noWrap w:val="0"/>
            <w:tcMar>
              <w:top w:w="16" w:type="dxa"/>
              <w:left w:w="16" w:type="dxa"/>
              <w:right w:w="16" w:type="dxa"/>
            </w:tcMar>
            <w:vAlign w:val="center"/>
          </w:tcPr>
          <w:p w14:paraId="77B0CDAB">
            <w:pPr>
              <w:keepNext w:val="0"/>
              <w:keepLines w:val="0"/>
              <w:pageBreakBefore w:val="0"/>
              <w:widowControl w:val="0"/>
              <w:kinsoku/>
              <w:wordWrap/>
              <w:overflowPunct/>
              <w:topLinePunct w:val="0"/>
              <w:bidi w:val="0"/>
              <w:adjustRightInd w:val="0"/>
              <w:snapToGrid w:val="0"/>
              <w:spacing w:line="360" w:lineRule="exact"/>
              <w:jc w:val="center"/>
              <w:textAlignment w:val="auto"/>
              <w:rPr>
                <w:color w:val="000000" w:themeColor="text1"/>
                <w:kern w:val="0"/>
                <w:sz w:val="24"/>
                <w:highlight w:val="none"/>
                <w14:textFill>
                  <w14:solidFill>
                    <w14:schemeClr w14:val="tx1"/>
                  </w14:solidFill>
                </w14:textFill>
              </w:rPr>
            </w:pPr>
            <w:r>
              <w:rPr>
                <w:color w:val="000000" w:themeColor="text1"/>
                <w:spacing w:val="-2"/>
                <w:sz w:val="24"/>
                <w:highlight w:val="none"/>
                <w14:textFill>
                  <w14:solidFill>
                    <w14:schemeClr w14:val="tx1"/>
                  </w14:solidFill>
                </w14:textFill>
              </w:rPr>
              <w:t>无</w:t>
            </w:r>
          </w:p>
        </w:tc>
      </w:tr>
      <w:tr w14:paraId="6178B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5" w:type="pct"/>
            <w:noWrap w:val="0"/>
            <w:tcMar>
              <w:top w:w="16" w:type="dxa"/>
              <w:left w:w="16" w:type="dxa"/>
              <w:right w:w="16" w:type="dxa"/>
            </w:tcMar>
            <w:vAlign w:val="center"/>
          </w:tcPr>
          <w:p w14:paraId="1C95D4D8">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b/>
                <w:bCs/>
                <w:color w:val="000000" w:themeColor="text1"/>
                <w:kern w:val="0"/>
                <w:sz w:val="24"/>
                <w:highlight w:val="none"/>
                <w14:textFill>
                  <w14:solidFill>
                    <w14:schemeClr w14:val="tx1"/>
                  </w14:solidFill>
                </w14:textFill>
              </w:rPr>
              <w:t>规划及</w:t>
            </w:r>
            <w:r>
              <w:rPr>
                <w:b/>
                <w:bCs/>
                <w:color w:val="000000" w:themeColor="text1"/>
                <w:sz w:val="24"/>
                <w:highlight w:val="none"/>
                <w14:textFill>
                  <w14:solidFill>
                    <w14:schemeClr w14:val="tx1"/>
                  </w14:solidFill>
                </w14:textFill>
              </w:rPr>
              <w:t>规划环境影响评价</w:t>
            </w:r>
            <w:r>
              <w:rPr>
                <w:b/>
                <w:bCs/>
                <w:color w:val="000000" w:themeColor="text1"/>
                <w:kern w:val="0"/>
                <w:sz w:val="24"/>
                <w:highlight w:val="none"/>
                <w14:textFill>
                  <w14:solidFill>
                    <w14:schemeClr w14:val="tx1"/>
                  </w14:solidFill>
                </w14:textFill>
              </w:rPr>
              <w:t>符合性分析</w:t>
            </w:r>
          </w:p>
        </w:tc>
        <w:tc>
          <w:tcPr>
            <w:tcW w:w="3944" w:type="pct"/>
            <w:gridSpan w:val="3"/>
            <w:noWrap w:val="0"/>
            <w:tcMar>
              <w:top w:w="16" w:type="dxa"/>
              <w:left w:w="16" w:type="dxa"/>
              <w:right w:w="16" w:type="dxa"/>
            </w:tcMar>
            <w:vAlign w:val="center"/>
          </w:tcPr>
          <w:p w14:paraId="52CF4160">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Times New Roman" w:hAnsi="Times New Roman" w:eastAsia="宋体" w:cs="Times New Roman"/>
                <w:color w:val="000000" w:themeColor="text1"/>
                <w:spacing w:val="-2"/>
                <w:kern w:val="2"/>
                <w:sz w:val="24"/>
                <w:szCs w:val="24"/>
                <w:highlight w:val="none"/>
                <w:lang w:val="en-US" w:eastAsia="zh-CN" w:bidi="ar-SA"/>
                <w14:textFill>
                  <w14:solidFill>
                    <w14:schemeClr w14:val="tx1"/>
                  </w14:solidFill>
                </w14:textFill>
              </w:rPr>
            </w:pPr>
            <w:r>
              <w:rPr>
                <w:rFonts w:hint="eastAsia"/>
                <w:color w:val="000000" w:themeColor="text1"/>
                <w:spacing w:val="-2"/>
                <w:sz w:val="24"/>
                <w:highlight w:val="none"/>
                <w:lang w:val="en-US" w:eastAsia="zh-CN"/>
                <w14:textFill>
                  <w14:solidFill>
                    <w14:schemeClr w14:val="tx1"/>
                  </w14:solidFill>
                </w14:textFill>
              </w:rPr>
              <w:t>无</w:t>
            </w:r>
          </w:p>
        </w:tc>
      </w:tr>
    </w:tbl>
    <w:p w14:paraId="3790D92D">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color w:val="000000" w:themeColor="text1"/>
          <w:kern w:val="0"/>
          <w:sz w:val="24"/>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4"/>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21"/>
        <w:gridCol w:w="8375"/>
      </w:tblGrid>
      <w:tr w14:paraId="1F11D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293" w:type="pct"/>
            <w:noWrap w:val="0"/>
            <w:tcMar>
              <w:top w:w="17" w:type="dxa"/>
              <w:left w:w="28" w:type="dxa"/>
              <w:right w:w="28" w:type="dxa"/>
            </w:tcMar>
            <w:vAlign w:val="center"/>
          </w:tcPr>
          <w:p w14:paraId="55AF1A82">
            <w:pPr>
              <w:autoSpaceDE w:val="0"/>
              <w:autoSpaceDN w:val="0"/>
              <w:adjustRightInd w:val="0"/>
              <w:snapToGrid w:val="0"/>
              <w:jc w:val="center"/>
              <w:rPr>
                <w:rFonts w:hint="default"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其他符合性分析</w:t>
            </w:r>
          </w:p>
        </w:tc>
        <w:tc>
          <w:tcPr>
            <w:tcW w:w="4706" w:type="pct"/>
            <w:noWrap w:val="0"/>
            <w:tcMar>
              <w:top w:w="16" w:type="dxa"/>
              <w:left w:w="28" w:type="dxa"/>
              <w:right w:w="28" w:type="dxa"/>
            </w:tcMar>
            <w:vAlign w:val="center"/>
          </w:tcPr>
          <w:p w14:paraId="0ABF839E">
            <w:pPr>
              <w:widowControl/>
              <w:spacing w:line="440" w:lineRule="exact"/>
              <w:ind w:firstLine="474" w:firstLineChars="200"/>
              <w:rPr>
                <w:rFonts w:hint="eastAsia"/>
                <w:b/>
                <w:bCs/>
                <w:color w:val="000000" w:themeColor="text1"/>
                <w:spacing w:val="-2"/>
                <w:sz w:val="24"/>
                <w:highlight w:val="none"/>
                <w:lang w:val="en-US" w:eastAsia="zh-CN"/>
                <w14:textFill>
                  <w14:solidFill>
                    <w14:schemeClr w14:val="tx1"/>
                  </w14:solidFill>
                </w14:textFill>
              </w:rPr>
            </w:pPr>
            <w:r>
              <w:rPr>
                <w:rFonts w:hint="eastAsia"/>
                <w:b/>
                <w:bCs/>
                <w:color w:val="000000" w:themeColor="text1"/>
                <w:spacing w:val="-2"/>
                <w:sz w:val="24"/>
                <w:highlight w:val="none"/>
                <w:lang w:val="en-US" w:eastAsia="zh-CN"/>
                <w14:textFill>
                  <w14:solidFill>
                    <w14:schemeClr w14:val="tx1"/>
                  </w14:solidFill>
                </w14:textFill>
              </w:rPr>
              <w:t>1、《市场准入负面清单（2022年版）》符合性分析</w:t>
            </w:r>
          </w:p>
          <w:p w14:paraId="3C43AD45">
            <w:pPr>
              <w:widowControl/>
              <w:spacing w:line="440" w:lineRule="exact"/>
              <w:ind w:firstLine="472" w:firstLineChars="200"/>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007E1BF2">
            <w:pPr>
              <w:widowControl/>
              <w:spacing w:line="440" w:lineRule="exact"/>
              <w:ind w:firstLine="472" w:firstLineChars="200"/>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根据《市场准入负面清单（2022年版）》，禁止准入类共6项，许可准入类共20项，禁止准入类涉及生态环境保护的3项，许可准入类本项目涉及1项，如下表所示。</w:t>
            </w:r>
          </w:p>
          <w:p w14:paraId="229B343C">
            <w:pPr>
              <w:pStyle w:val="82"/>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表1-1  《市场准入负面清单（2022年版）》禁止准入类与许可准入类事项</w:t>
            </w:r>
          </w:p>
          <w:tbl>
            <w:tblPr>
              <w:tblStyle w:val="89"/>
              <w:tblW w:w="493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2174"/>
              <w:gridCol w:w="995"/>
              <w:gridCol w:w="4336"/>
            </w:tblGrid>
            <w:tr w14:paraId="389B5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429" w:type="pct"/>
                  <w:vAlign w:val="center"/>
                </w:tcPr>
                <w:p w14:paraId="01CEAB4C">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项目号</w:t>
                  </w:r>
                </w:p>
              </w:tc>
              <w:tc>
                <w:tcPr>
                  <w:tcW w:w="1324" w:type="pct"/>
                  <w:vAlign w:val="center"/>
                </w:tcPr>
                <w:p w14:paraId="2A3CBA69">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禁止或许可事项</w:t>
                  </w:r>
                </w:p>
              </w:tc>
              <w:tc>
                <w:tcPr>
                  <w:tcW w:w="606" w:type="pct"/>
                  <w:vAlign w:val="center"/>
                </w:tcPr>
                <w:p w14:paraId="21F8B5B9">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事项编码</w:t>
                  </w:r>
                </w:p>
              </w:tc>
              <w:tc>
                <w:tcPr>
                  <w:tcW w:w="2638" w:type="pct"/>
                  <w:vAlign w:val="center"/>
                </w:tcPr>
                <w:p w14:paraId="595281F0">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禁止或许可准入措施描述</w:t>
                  </w:r>
                </w:p>
              </w:tc>
            </w:tr>
            <w:tr w14:paraId="006E9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000" w:type="pct"/>
                  <w:gridSpan w:val="4"/>
                  <w:vAlign w:val="center"/>
                </w:tcPr>
                <w:p w14:paraId="1D731A43">
                  <w:pPr>
                    <w:pStyle w:val="96"/>
                    <w:keepNext w:val="0"/>
                    <w:keepLines w:val="0"/>
                    <w:pageBreakBefore w:val="0"/>
                    <w:widowControl w:val="0"/>
                    <w:kinsoku/>
                    <w:wordWrap/>
                    <w:overflowPunct/>
                    <w:topLinePunct w:val="0"/>
                    <w:autoSpaceDE/>
                    <w:autoSpaceDN/>
                    <w:bidi w:val="0"/>
                    <w:adjustRightInd/>
                    <w:snapToGrid/>
                    <w:spacing w:line="270" w:lineRule="exact"/>
                    <w:jc w:val="lef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一、禁止准入类</w:t>
                  </w:r>
                </w:p>
              </w:tc>
            </w:tr>
            <w:tr w14:paraId="69F47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429" w:type="pct"/>
                  <w:vAlign w:val="center"/>
                </w:tcPr>
                <w:p w14:paraId="1D475B29">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1</w:t>
                  </w:r>
                </w:p>
              </w:tc>
              <w:tc>
                <w:tcPr>
                  <w:tcW w:w="1324" w:type="pct"/>
                  <w:vAlign w:val="center"/>
                </w:tcPr>
                <w:p w14:paraId="2572D504">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法律、法规、国务院决定等明确设立且与市场准入相关的禁止性规定</w:t>
                  </w:r>
                </w:p>
              </w:tc>
              <w:tc>
                <w:tcPr>
                  <w:tcW w:w="606" w:type="pct"/>
                  <w:vAlign w:val="center"/>
                </w:tcPr>
                <w:p w14:paraId="5439E88D">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100001</w:t>
                  </w:r>
                </w:p>
              </w:tc>
              <w:tc>
                <w:tcPr>
                  <w:tcW w:w="2638" w:type="pct"/>
                  <w:vAlign w:val="center"/>
                </w:tcPr>
                <w:p w14:paraId="35C1BC13">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法律、法规、国务院决定等明确设立，且与</w:t>
                  </w:r>
                  <w:r>
                    <w:rPr>
                      <w:b w:val="0"/>
                      <w:color w:val="000000" w:themeColor="text1"/>
                      <w:spacing w:val="-1"/>
                      <w:sz w:val="21"/>
                      <w:szCs w:val="21"/>
                      <w:highlight w:val="none"/>
                      <w14:textFill>
                        <w14:solidFill>
                          <w14:schemeClr w14:val="tx1"/>
                        </w14:solidFill>
                      </w14:textFill>
                    </w:rPr>
                    <w:t>市场准入相关的禁止性规定（见附件）</w:t>
                  </w:r>
                </w:p>
              </w:tc>
            </w:tr>
            <w:tr w14:paraId="7AC87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jc w:val="center"/>
              </w:trPr>
              <w:tc>
                <w:tcPr>
                  <w:tcW w:w="429" w:type="pct"/>
                  <w:vAlign w:val="center"/>
                </w:tcPr>
                <w:p w14:paraId="11E44F55">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2</w:t>
                  </w:r>
                </w:p>
              </w:tc>
              <w:tc>
                <w:tcPr>
                  <w:tcW w:w="1324" w:type="pct"/>
                  <w:vAlign w:val="center"/>
                </w:tcPr>
                <w:p w14:paraId="6CC99B9A">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国家产业政策明令淘汰</w:t>
                  </w:r>
                  <w:r>
                    <w:rPr>
                      <w:b w:val="0"/>
                      <w:color w:val="000000" w:themeColor="text1"/>
                      <w:spacing w:val="-1"/>
                      <w:sz w:val="21"/>
                      <w:szCs w:val="21"/>
                      <w:highlight w:val="none"/>
                      <w14:textFill>
                        <w14:solidFill>
                          <w14:schemeClr w14:val="tx1"/>
                        </w14:solidFill>
                      </w14:textFill>
                    </w:rPr>
                    <w:t>和限制的产品、技术、</w:t>
                  </w:r>
                  <w:r>
                    <w:rPr>
                      <w:b w:val="0"/>
                      <w:color w:val="000000" w:themeColor="text1"/>
                      <w:sz w:val="21"/>
                      <w:szCs w:val="21"/>
                      <w:highlight w:val="none"/>
                      <w14:textFill>
                        <w14:solidFill>
                          <w14:schemeClr w14:val="tx1"/>
                        </w14:solidFill>
                      </w14:textFill>
                    </w:rPr>
                    <w:t>工艺、设备及行为</w:t>
                  </w:r>
                </w:p>
              </w:tc>
              <w:tc>
                <w:tcPr>
                  <w:tcW w:w="606" w:type="pct"/>
                  <w:vAlign w:val="center"/>
                </w:tcPr>
                <w:p w14:paraId="75C4E103">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100002</w:t>
                  </w:r>
                </w:p>
              </w:tc>
              <w:tc>
                <w:tcPr>
                  <w:tcW w:w="2638" w:type="pct"/>
                  <w:vAlign w:val="center"/>
                </w:tcPr>
                <w:p w14:paraId="50ACA33D">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《产业结构调整指导目录》中的淘汰类项</w:t>
                  </w:r>
                  <w:r>
                    <w:rPr>
                      <w:b w:val="0"/>
                      <w:color w:val="000000" w:themeColor="text1"/>
                      <w:spacing w:val="-3"/>
                      <w:sz w:val="21"/>
                      <w:szCs w:val="21"/>
                      <w:highlight w:val="none"/>
                      <w14:textFill>
                        <w14:solidFill>
                          <w14:schemeClr w14:val="tx1"/>
                        </w14:solidFill>
                      </w14:textFill>
                    </w:rPr>
                    <w:t>目，禁止投资；限制类项目，禁止新建</w:t>
                  </w:r>
                  <w:r>
                    <w:rPr>
                      <w:b w:val="0"/>
                      <w:color w:val="000000" w:themeColor="text1"/>
                      <w:sz w:val="21"/>
                      <w:szCs w:val="21"/>
                      <w:highlight w:val="none"/>
                      <w14:textFill>
                        <w14:solidFill>
                          <w14:schemeClr w14:val="tx1"/>
                        </w14:solidFill>
                      </w14:textFill>
                    </w:rPr>
                    <w:t>禁止投资建设《汽车产业投资管理规定》所列的汽车投资禁止类事项</w:t>
                  </w:r>
                </w:p>
              </w:tc>
            </w:tr>
            <w:tr w14:paraId="77845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429" w:type="pct"/>
                  <w:vAlign w:val="center"/>
                </w:tcPr>
                <w:p w14:paraId="71A1D5A9">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3</w:t>
                  </w:r>
                </w:p>
              </w:tc>
              <w:tc>
                <w:tcPr>
                  <w:tcW w:w="1324" w:type="pct"/>
                  <w:vAlign w:val="center"/>
                </w:tcPr>
                <w:p w14:paraId="47A79288">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不符合主体功能区建设要求的各类开发活动</w:t>
                  </w:r>
                </w:p>
              </w:tc>
              <w:tc>
                <w:tcPr>
                  <w:tcW w:w="606" w:type="pct"/>
                  <w:vAlign w:val="center"/>
                </w:tcPr>
                <w:p w14:paraId="6E45856F">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100003</w:t>
                  </w:r>
                </w:p>
              </w:tc>
              <w:tc>
                <w:tcPr>
                  <w:tcW w:w="2638" w:type="pct"/>
                  <w:vAlign w:val="center"/>
                </w:tcPr>
                <w:p w14:paraId="63514C03">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pacing w:val="-1"/>
                      <w:sz w:val="21"/>
                      <w:szCs w:val="21"/>
                      <w:highlight w:val="none"/>
                      <w14:textFill>
                        <w14:solidFill>
                          <w14:schemeClr w14:val="tx1"/>
                        </w14:solidFill>
                      </w14:textFill>
                    </w:rPr>
                    <w:t>地方国家重点生态功能区产业准入负面清</w:t>
                  </w:r>
                  <w:r>
                    <w:rPr>
                      <w:b w:val="0"/>
                      <w:color w:val="000000" w:themeColor="text1"/>
                      <w:sz w:val="21"/>
                      <w:szCs w:val="21"/>
                      <w:highlight w:val="none"/>
                      <w14:textFill>
                        <w14:solidFill>
                          <w14:schemeClr w14:val="tx1"/>
                        </w14:solidFill>
                      </w14:textFill>
                    </w:rPr>
                    <w:t>单（或禁止限制目录）、农产品主产区产业准入负面清单（或禁止限制目录）所列有关</w:t>
                  </w:r>
                  <w:r>
                    <w:rPr>
                      <w:b w:val="0"/>
                      <w:color w:val="000000" w:themeColor="text1"/>
                      <w:spacing w:val="-4"/>
                      <w:sz w:val="21"/>
                      <w:szCs w:val="21"/>
                      <w:highlight w:val="none"/>
                      <w14:textFill>
                        <w14:solidFill>
                          <w14:schemeClr w14:val="tx1"/>
                        </w14:solidFill>
                      </w14:textFill>
                    </w:rPr>
                    <w:t>事项</w:t>
                  </w:r>
                </w:p>
              </w:tc>
            </w:tr>
            <w:tr w14:paraId="7DF97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5000" w:type="pct"/>
                  <w:gridSpan w:val="4"/>
                  <w:vAlign w:val="center"/>
                </w:tcPr>
                <w:p w14:paraId="365E289C">
                  <w:pPr>
                    <w:pStyle w:val="96"/>
                    <w:keepNext w:val="0"/>
                    <w:keepLines w:val="0"/>
                    <w:pageBreakBefore w:val="0"/>
                    <w:widowControl w:val="0"/>
                    <w:kinsoku/>
                    <w:wordWrap/>
                    <w:overflowPunct/>
                    <w:topLinePunct w:val="0"/>
                    <w:autoSpaceDE/>
                    <w:autoSpaceDN/>
                    <w:bidi w:val="0"/>
                    <w:adjustRightInd/>
                    <w:snapToGrid/>
                    <w:spacing w:line="270" w:lineRule="exact"/>
                    <w:jc w:val="lef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注：该表只列出涉及生态环境保护的</w:t>
                  </w:r>
                  <w:r>
                    <w:rPr>
                      <w:rFonts w:eastAsia="Times New Roman"/>
                      <w:b w:val="0"/>
                      <w:color w:val="000000" w:themeColor="text1"/>
                      <w:sz w:val="21"/>
                      <w:szCs w:val="21"/>
                      <w:highlight w:val="none"/>
                      <w14:textFill>
                        <w14:solidFill>
                          <w14:schemeClr w14:val="tx1"/>
                        </w14:solidFill>
                      </w14:textFill>
                    </w:rPr>
                    <w:t>3</w:t>
                  </w:r>
                  <w:r>
                    <w:rPr>
                      <w:b w:val="0"/>
                      <w:color w:val="000000" w:themeColor="text1"/>
                      <w:sz w:val="21"/>
                      <w:szCs w:val="21"/>
                      <w:highlight w:val="none"/>
                      <w14:textFill>
                        <w14:solidFill>
                          <w14:schemeClr w14:val="tx1"/>
                        </w14:solidFill>
                      </w14:textFill>
                    </w:rPr>
                    <w:t>项禁止准入类事项。</w:t>
                  </w:r>
                </w:p>
              </w:tc>
            </w:tr>
            <w:tr w14:paraId="03810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000" w:type="pct"/>
                  <w:gridSpan w:val="4"/>
                  <w:vAlign w:val="center"/>
                </w:tcPr>
                <w:p w14:paraId="48ACE288">
                  <w:pPr>
                    <w:pStyle w:val="96"/>
                    <w:keepNext w:val="0"/>
                    <w:keepLines w:val="0"/>
                    <w:pageBreakBefore w:val="0"/>
                    <w:widowControl w:val="0"/>
                    <w:kinsoku/>
                    <w:wordWrap/>
                    <w:overflowPunct/>
                    <w:topLinePunct w:val="0"/>
                    <w:autoSpaceDE/>
                    <w:autoSpaceDN/>
                    <w:bidi w:val="0"/>
                    <w:adjustRightInd/>
                    <w:snapToGrid/>
                    <w:spacing w:line="270" w:lineRule="exact"/>
                    <w:jc w:val="left"/>
                    <w:textAlignment w:val="auto"/>
                    <w:rPr>
                      <w:b w:val="0"/>
                      <w:color w:val="000000" w:themeColor="text1"/>
                      <w:sz w:val="21"/>
                      <w:szCs w:val="21"/>
                      <w:highlight w:val="none"/>
                      <w14:textFill>
                        <w14:solidFill>
                          <w14:schemeClr w14:val="tx1"/>
                        </w14:solidFill>
                      </w14:textFill>
                    </w:rPr>
                  </w:pPr>
                  <w:r>
                    <w:rPr>
                      <w:b w:val="0"/>
                      <w:color w:val="000000" w:themeColor="text1"/>
                      <w:sz w:val="21"/>
                      <w:szCs w:val="21"/>
                      <w:highlight w:val="none"/>
                      <w14:textFill>
                        <w14:solidFill>
                          <w14:schemeClr w14:val="tx1"/>
                        </w14:solidFill>
                      </w14:textFill>
                    </w:rPr>
                    <w:t>二、许可准入类</w:t>
                  </w:r>
                </w:p>
              </w:tc>
            </w:tr>
            <w:tr w14:paraId="2D3C0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jc w:val="center"/>
              </w:trPr>
              <w:tc>
                <w:tcPr>
                  <w:tcW w:w="429" w:type="pct"/>
                  <w:vAlign w:val="center"/>
                </w:tcPr>
                <w:p w14:paraId="4FB08866">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101</w:t>
                  </w:r>
                </w:p>
              </w:tc>
              <w:tc>
                <w:tcPr>
                  <w:tcW w:w="1324" w:type="pct"/>
                  <w:vAlign w:val="center"/>
                </w:tcPr>
                <w:p w14:paraId="535AF4C8">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b w:val="0"/>
                      <w:color w:val="000000" w:themeColor="text1"/>
                      <w:sz w:val="21"/>
                      <w:szCs w:val="21"/>
                      <w:highlight w:val="none"/>
                      <w14:textFill>
                        <w14:solidFill>
                          <w14:schemeClr w14:val="tx1"/>
                        </w14:solidFill>
                      </w14:textFill>
                    </w:rPr>
                  </w:pPr>
                  <w:r>
                    <w:rPr>
                      <w:b w:val="0"/>
                      <w:color w:val="000000" w:themeColor="text1"/>
                      <w:spacing w:val="-1"/>
                      <w:sz w:val="21"/>
                      <w:szCs w:val="21"/>
                      <w:highlight w:val="none"/>
                      <w14:textFill>
                        <w14:solidFill>
                          <w14:schemeClr w14:val="tx1"/>
                        </w14:solidFill>
                      </w14:textFill>
                    </w:rPr>
                    <w:t>未获得许可，不得</w:t>
                  </w:r>
                  <w:r>
                    <w:rPr>
                      <w:rFonts w:hint="eastAsia"/>
                      <w:b w:val="0"/>
                      <w:color w:val="000000" w:themeColor="text1"/>
                      <w:spacing w:val="-1"/>
                      <w:sz w:val="21"/>
                      <w:szCs w:val="21"/>
                      <w:highlight w:val="none"/>
                      <w:lang w:val="en-US" w:eastAsia="zh-CN"/>
                      <w14:textFill>
                        <w14:solidFill>
                          <w14:schemeClr w14:val="tx1"/>
                        </w14:solidFill>
                      </w14:textFill>
                    </w:rPr>
                    <w:t>投资建设特定能源项目</w:t>
                  </w:r>
                </w:p>
              </w:tc>
              <w:tc>
                <w:tcPr>
                  <w:tcW w:w="606" w:type="pct"/>
                  <w:vAlign w:val="center"/>
                </w:tcPr>
                <w:p w14:paraId="2776518E">
                  <w:pPr>
                    <w:keepNext w:val="0"/>
                    <w:keepLines w:val="0"/>
                    <w:pageBreakBefore w:val="0"/>
                    <w:widowControl w:val="0"/>
                    <w:kinsoku/>
                    <w:wordWrap/>
                    <w:overflowPunct/>
                    <w:topLinePunct w:val="0"/>
                    <w:autoSpaceDE/>
                    <w:autoSpaceDN/>
                    <w:bidi w:val="0"/>
                    <w:adjustRightInd/>
                    <w:snapToGrid/>
                    <w:spacing w:line="27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pacing w:val="-1"/>
                      <w:sz w:val="21"/>
                      <w:szCs w:val="21"/>
                      <w:highlight w:val="none"/>
                      <w:lang w:val="en-US" w:eastAsia="zh-CN"/>
                      <w14:textFill>
                        <w14:solidFill>
                          <w14:schemeClr w14:val="tx1"/>
                        </w14:solidFill>
                      </w14:textFill>
                    </w:rPr>
                    <w:t>221002</w:t>
                  </w:r>
                </w:p>
              </w:tc>
              <w:tc>
                <w:tcPr>
                  <w:tcW w:w="2638" w:type="pct"/>
                  <w:vAlign w:val="center"/>
                </w:tcPr>
                <w:p w14:paraId="347D0A0F">
                  <w:pPr>
                    <w:pStyle w:val="96"/>
                    <w:keepNext w:val="0"/>
                    <w:keepLines w:val="0"/>
                    <w:pageBreakBefore w:val="0"/>
                    <w:widowControl w:val="0"/>
                    <w:kinsoku/>
                    <w:wordWrap/>
                    <w:overflowPunct/>
                    <w:topLinePunct w:val="0"/>
                    <w:autoSpaceDE/>
                    <w:autoSpaceDN/>
                    <w:bidi w:val="0"/>
                    <w:adjustRightInd/>
                    <w:snapToGrid/>
                    <w:spacing w:line="270" w:lineRule="exact"/>
                    <w:textAlignment w:val="auto"/>
                    <w:rPr>
                      <w:rFonts w:hint="default" w:eastAsiaTheme="minorEastAsia"/>
                      <w:b w:val="0"/>
                      <w:color w:val="000000" w:themeColor="text1"/>
                      <w:sz w:val="21"/>
                      <w:szCs w:val="21"/>
                      <w:highlight w:val="none"/>
                      <w:lang w:val="en-US" w:eastAsia="zh-CN"/>
                      <w14:textFill>
                        <w14:solidFill>
                          <w14:schemeClr w14:val="tx1"/>
                        </w14:solidFill>
                      </w14:textFill>
                    </w:rPr>
                  </w:pPr>
                  <w:r>
                    <w:rPr>
                      <w:rFonts w:hint="eastAsia"/>
                      <w:b w:val="0"/>
                      <w:color w:val="000000" w:themeColor="text1"/>
                      <w:sz w:val="21"/>
                      <w:szCs w:val="21"/>
                      <w:highlight w:val="none"/>
                      <w:lang w:val="en-US" w:eastAsia="zh-CN"/>
                      <w14:textFill>
                        <w14:solidFill>
                          <w14:schemeClr w14:val="tx1"/>
                        </w14:solidFill>
                      </w14:textFill>
                    </w:rPr>
                    <w:t>电网工程：涉及跨境、跨省（区、市）输电的±500千伏及以上直流项目，涉及跨境、跨省（区、市）输电的500千伏、750千伏、1000千伏交流项目，由国务院投资主管部门核准，其中±800千伏及以上直流项目和1000千伏交流项目报国务院备案；不涉及跨境、跨省（区、市）输电的±500千伏及以上直流项目和500千伏、750千伏、1000千伏交流项目由省级政府按照国家制定的相关规划核准，其余项目由地方政府按照国家规定的相关规划核准</w:t>
                  </w:r>
                </w:p>
              </w:tc>
            </w:tr>
          </w:tbl>
          <w:p w14:paraId="7AA28204">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下面分别对上述禁止准入类和许可准入类事项进行分析判定。</w:t>
            </w:r>
          </w:p>
          <w:p w14:paraId="6FF81B2F">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（1）法律、法规、国务院决定等明确设立且与市场准入相关的禁止性规定的分析</w:t>
            </w:r>
          </w:p>
          <w:p w14:paraId="2821C8C9">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根据《国民经济行业分类》（GB/T4754-2017），本项目行业类别为D4420电力供应，根据《市场准入负面清单（2022年版）》中与市场准入相关的禁止性规定，电力供应未列入禁止性规定，因此项目不属于法律、法规、国务院决定等明确设立且与市场准入相关的禁止性事项。</w:t>
            </w:r>
          </w:p>
          <w:p w14:paraId="47EEDBF8">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（2）国家产业政策明令淘汰和限制的产品、技术、工艺、设备及行为的分析</w:t>
            </w:r>
          </w:p>
          <w:p w14:paraId="60767D3C">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为风力发电项目配套送出线路工程，根据《产业结构调整指导目录（2024年本）》，本项目属于鼓励类项目。不属于《市场准入负面清单（2022年版）》禁止准入类中国家产业政策明令淘汰和限制的产品、技术、工艺、设备及行为。</w:t>
            </w:r>
          </w:p>
          <w:p w14:paraId="49016ED4">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（3）禁止不符合主体功能区建设要求的各类开发活动要求的分析</w:t>
            </w:r>
          </w:p>
          <w:p w14:paraId="6DEA166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对照《河北省主体功能区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规划</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项目所在区域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“限制开发区域—国家重点生态功能区—坝上高原山地区”。</w:t>
            </w:r>
          </w:p>
          <w:p w14:paraId="74743DF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区域现状：</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本区自然条件差异较大，西部和北部的坝上高原地区为内流区，东部和南部的燕山山区为外流区，是滦河、潮河和白河的发源地。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区域面积31591平方公里，2011年人口163.71万人，地区生产总值274.23亿元，分别占全省的16.83%、2.26%和1.12%。人均地区生产总值16751元，公路网密度0.39公里/平方公里。</w:t>
            </w:r>
          </w:p>
          <w:p w14:paraId="5883743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发展方向：公共基础设施。继续实施倾斜政策，大力支持坝上地区教育、医疗、文化、旅游等公共服务设施和农村交通、水利、电力、通讯等基础设施建设，重点推广风能、太阳能、沼气等清洁能源利用。</w:t>
            </w:r>
          </w:p>
          <w:p w14:paraId="112EE790">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本项目属于</w:t>
            </w:r>
            <w:r>
              <w:rPr>
                <w:rFonts w:hint="eastAsia" w:cs="Times New Roman"/>
                <w:color w:val="000000" w:themeColor="text1"/>
                <w:kern w:val="0"/>
                <w:sz w:val="24"/>
                <w:szCs w:val="24"/>
                <w:highlight w:val="none"/>
                <w:lang w:val="en-US" w:eastAsia="zh-CN"/>
                <w14:textFill>
                  <w14:solidFill>
                    <w14:schemeClr w14:val="tx1"/>
                  </w14:solidFill>
                </w14:textFill>
              </w:rPr>
              <w:t>风力发电项目配套的送出线路工程</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符合该区域发展方向。</w:t>
            </w:r>
          </w:p>
          <w:p w14:paraId="3CC8E2B1">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（4）许可准入类符合性分析</w:t>
            </w:r>
          </w:p>
          <w:p w14:paraId="7A362254">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本项目为风力发电项目配套送出线路工程，于2024年6月26日取得承德市数据和政务服务局出具的《关于围场县200MW风电储新能源项目送出线路工程项目核准的批复》（承数政核字〔2024〕20号）。</w:t>
            </w:r>
          </w:p>
          <w:p w14:paraId="62C2E47D">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default"/>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综上所述，本项目属于《市场准入负面清单（2022年版）》中许可准入类项目，项目建设符合市场准入要求。</w:t>
            </w:r>
          </w:p>
          <w:p w14:paraId="1F62F493">
            <w:pPr>
              <w:spacing w:line="440" w:lineRule="exact"/>
              <w:ind w:firstLine="482" w:firstLineChars="200"/>
              <w:jc w:val="left"/>
              <w:rPr>
                <w:b/>
                <w:bCs/>
                <w:color w:val="000000" w:themeColor="text1"/>
                <w:sz w:val="24"/>
                <w:highlight w:val="none"/>
                <w14:textFill>
                  <w14:solidFill>
                    <w14:schemeClr w14:val="tx1"/>
                  </w14:solidFill>
                </w14:textFill>
              </w:rPr>
            </w:pPr>
            <w:r>
              <w:rPr>
                <w:rFonts w:hint="default"/>
                <w:b/>
                <w:bCs/>
                <w:color w:val="000000" w:themeColor="text1"/>
                <w:sz w:val="24"/>
                <w:highlight w:val="none"/>
                <w:lang w:val="en-US"/>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-342900</wp:posOffset>
                      </wp:positionV>
                      <wp:extent cx="6155690" cy="55245"/>
                      <wp:effectExtent l="0" t="0" r="0" b="0"/>
                      <wp:wrapNone/>
                      <wp:docPr id="6" name="组合 1199"/>
                      <wp:cNvGraphicFramePr/>
                      <a:graphic xmlns:a="http://schemas.openxmlformats.org/drawingml/2006/main">
                        <a:graphicData uri="http://schemas.microsoft.com/office/word/2010/wordprocessingGroup">
                          <wpg:wgp>
                            <wpg:cNvGrpSpPr/>
                            <wpg:grpSpPr>
                              <a:xfrm>
                                <a:off x="0" y="0"/>
                                <a:ext cx="6155690" cy="55245"/>
                                <a:chOff x="1191" y="2860"/>
                                <a:chExt cx="9638" cy="87"/>
                              </a:xfrm>
                            </wpg:grpSpPr>
                            <wps:wsp>
                              <wps:cNvPr id="4" name="直线 1200"/>
                              <wps:cNvCnPr/>
                              <wps:spPr>
                                <a:xfrm>
                                  <a:off x="1191" y="2860"/>
                                  <a:ext cx="9638" cy="0"/>
                                </a:xfrm>
                                <a:prstGeom prst="line">
                                  <a:avLst/>
                                </a:prstGeom>
                                <a:ln w="38100">
                                  <a:noFill/>
                                </a:ln>
                              </wps:spPr>
                              <wps:bodyPr upright="1"/>
                            </wps:wsp>
                            <wps:wsp>
                              <wps:cNvPr id="5" name="直线 1201"/>
                              <wps:cNvCnPr/>
                              <wps:spPr>
                                <a:xfrm>
                                  <a:off x="1191" y="2947"/>
                                  <a:ext cx="9638" cy="0"/>
                                </a:xfrm>
                                <a:prstGeom prst="line">
                                  <a:avLst/>
                                </a:prstGeom>
                                <a:ln w="15240">
                                  <a:noFill/>
                                </a:ln>
                              </wps:spPr>
                              <wps:bodyPr upright="1"/>
                            </wps:wsp>
                          </wpg:wgp>
                        </a:graphicData>
                      </a:graphic>
                    </wp:anchor>
                  </w:drawing>
                </mc:Choice>
                <mc:Fallback>
                  <w:pict>
                    <v:group id="组合 1199" o:spid="_x0000_s1026" o:spt="203" style="position:absolute;left:0pt;margin-left:1.65pt;margin-top:-27pt;height:4.35pt;width:484.7pt;z-index:251660288;mso-width-relative:page;mso-height-relative:page;" coordorigin="1191,2860" coordsize="9638,87" o:gfxdata="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Kn8TdoAAAAJAQAADwAAAAAAAAABACAAAAAiAAAAZHJzL2Rvd25yZXYueG1s&#10;UEsBAhQAFAAAAAgAh07iQOmOC/ovAgAAvgUAAA4AAAAAAAAAAQAgAAAAKQEAAGRycy9lMm9Eb2Mu&#10;eG1sUEsFBgAAAAAGAAYAWQEAAMoFAAAAAA==&#10;">
                      <o:lock v:ext="edit" aspectratio="f"/>
                      <v:line id="直线 1200" o:spid="_x0000_s1026" o:spt="20" style="position:absolute;left:1191;top:2860;height:0;width:9638;" filled="f" stroked="f" coordsize="21600,21600" o:gfxdata="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llOLsAAADa&#10;AAAADwAAAAAAAAABACAAAAAiAAAAZHJzL2Rvd25yZXYueG1sUEsBAhQAFAAAAAgAh07iQDMvBZ47&#10;AAAAOQAAABAAAAAAAAAAAQAgAAAACgEAAGRycy9zaGFwZXhtbC54bWxQSwUGAAAAAAYABgBbAQAA&#10;tAMAAAAA&#10;">
                        <v:fill on="f" focussize="0,0"/>
                        <v:stroke on="f" weight="3pt"/>
                        <v:imagedata o:title=""/>
                        <o:lock v:ext="edit" aspectratio="f"/>
                      </v:line>
                      <v:line id="直线 1201" o:spid="_x0000_s1026" o:spt="20" style="position:absolute;left:1191;top:2947;height:0;width:9638;" filled="f" stroked="f" coordsize="21600,21600" o:gfxdata="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45X7rUAAADaAAAADwAA&#10;AAAAAAABACAAAAAiAAAAZHJzL2Rvd25yZXYueG1sUEsBAhQAFAAAAAgAh07iQDMvBZ47AAAAOQAA&#10;ABAAAAAAAAAAAQAgAAAABAEAAGRycy9zaGFwZXhtbC54bWxQSwUGAAAAAAYABgBbAQAArgMAAAAA&#10;">
                        <v:fill on="f" focussize="0,0"/>
                        <v:stroke on="f" weight="1.2pt"/>
                        <v:imagedata o:title=""/>
                        <o:lock v:ext="edit" aspectratio="f"/>
                      </v:line>
                    </v:group>
                  </w:pict>
                </mc:Fallback>
              </mc:AlternateContent>
            </w:r>
            <w:r>
              <w:rPr>
                <w:rFonts w:hint="eastAsia"/>
                <w:b/>
                <w:bCs/>
                <w:color w:val="000000" w:themeColor="text1"/>
                <w:sz w:val="24"/>
                <w:highlight w:val="none"/>
                <w:lang w:val="en-US" w:eastAsia="zh-CN"/>
                <w14:textFill>
                  <w14:solidFill>
                    <w14:schemeClr w14:val="tx1"/>
                  </w14:solidFill>
                </w14:textFill>
              </w:rPr>
              <w:t>2</w:t>
            </w:r>
            <w:r>
              <w:rPr>
                <w:rFonts w:hint="eastAsia"/>
                <w:b/>
                <w:bCs/>
                <w:color w:val="000000" w:themeColor="text1"/>
                <w:spacing w:val="-2"/>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“三线一单”符合性分析</w:t>
            </w:r>
          </w:p>
          <w:p w14:paraId="47A36935">
            <w:pPr>
              <w:spacing w:line="440" w:lineRule="exact"/>
              <w:ind w:firstLine="480" w:firstLineChars="200"/>
              <w:rPr>
                <w:rFonts w:hint="eastAsia"/>
                <w:b/>
                <w:bCs/>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根据《关于以改善环境质量为核心加强环境影响评价管理的通知》（环境保护部文件：环</w:t>
            </w:r>
            <w:r>
              <w:rPr>
                <w:rFonts w:hint="eastAsia"/>
                <w:b w:val="0"/>
                <w:bCs w:val="0"/>
                <w:color w:val="000000" w:themeColor="text1"/>
                <w:sz w:val="24"/>
                <w:highlight w:val="none"/>
                <w:lang w:val="en-US" w:eastAsia="zh-CN"/>
                <w14:textFill>
                  <w14:solidFill>
                    <w14:schemeClr w14:val="tx1"/>
                  </w14:solidFill>
                </w14:textFill>
              </w:rPr>
              <w:t>环</w:t>
            </w:r>
            <w:r>
              <w:rPr>
                <w:rFonts w:hint="eastAsia"/>
                <w:b w:val="0"/>
                <w:bCs w:val="0"/>
                <w:color w:val="000000" w:themeColor="text1"/>
                <w:sz w:val="24"/>
                <w:highlight w:val="none"/>
                <w14:textFill>
                  <w14:solidFill>
                    <w14:schemeClr w14:val="tx1"/>
                  </w14:solidFill>
                </w14:textFill>
              </w:rPr>
              <w:t>评</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2016</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150号），对</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三线一单</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提出</w:t>
            </w:r>
            <w:r>
              <w:rPr>
                <w:rFonts w:hint="eastAsia"/>
                <w:b w:val="0"/>
                <w:bCs w:val="0"/>
                <w:color w:val="000000" w:themeColor="text1"/>
                <w:sz w:val="24"/>
                <w:highlight w:val="none"/>
                <w14:textFill>
                  <w14:solidFill>
                    <w14:schemeClr w14:val="tx1"/>
                  </w14:solidFill>
                </w14:textFill>
              </w:rPr>
              <w:t>的要求，进行项目</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三线一单</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符合性分析，判定内容如下：</w:t>
            </w:r>
          </w:p>
          <w:p w14:paraId="069B0EBB">
            <w:pPr>
              <w:spacing w:line="44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（1）生态保护红线</w:t>
            </w:r>
          </w:p>
          <w:p w14:paraId="37744757">
            <w:p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14:paraId="319856E9">
            <w:pPr>
              <w:spacing w:line="440" w:lineRule="exact"/>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w:t>
            </w:r>
            <w:r>
              <w:rPr>
                <w:rFonts w:hint="eastAsia" w:cs="Times New Roman" w:eastAsiaTheme="minorEastAsia"/>
                <w:color w:val="000000" w:themeColor="text1"/>
                <w:sz w:val="24"/>
                <w:highlight w:val="none"/>
                <w:lang w:val="en-US" w:eastAsia="zh-CN"/>
                <w14:textFill>
                  <w14:solidFill>
                    <w14:schemeClr w14:val="tx1"/>
                  </w14:solidFill>
                </w14:textFill>
              </w:rPr>
              <w:t>位于承德市围场满族蒙古族自治县克勒沟镇、银窝沟乡、杨家湾乡、朝阳湾镇，为风力发电项目配套送出线路工程。根据围场满族蒙古族自治县自然资源和规划局2024年3月25日出具的项目用地情况说明（STHXHS202400059号），本项目塔基范围不占生态保护红线。</w:t>
            </w:r>
          </w:p>
          <w:p w14:paraId="24FBD51F">
            <w:pPr>
              <w:spacing w:line="440" w:lineRule="exact"/>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（2）环境质量底线</w:t>
            </w:r>
          </w:p>
          <w:p w14:paraId="72416EA0">
            <w:pPr>
              <w:spacing w:line="440" w:lineRule="exact"/>
              <w:ind w:firstLine="480" w:firstLineChars="200"/>
              <w:rPr>
                <w:color w:val="000000" w:themeColor="text1"/>
                <w:sz w:val="24"/>
                <w:highlight w:val="none"/>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30CEE4A7">
            <w:pPr>
              <w:spacing w:line="440" w:lineRule="exact"/>
              <w:ind w:firstLine="480" w:firstLineChars="20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承德市生态环境保护委员会办公室2025年1月21日发布的《关于2024年12月份全市空气质量预警监测结果的通报》（承生态环委办〔2025〕5号），围场县2024年1月至12月环境空气质量监测统计数据，围场满族蒙古族自治县PM</w:t>
            </w:r>
            <w:r>
              <w:rPr>
                <w:rFonts w:hint="eastAsia"/>
                <w:color w:val="000000" w:themeColor="text1"/>
                <w:sz w:val="24"/>
                <w:highlight w:val="none"/>
                <w:vertAlign w:val="subscript"/>
                <w:lang w:val="en-US" w:eastAsia="zh-CN"/>
                <w14:textFill>
                  <w14:solidFill>
                    <w14:schemeClr w14:val="tx1"/>
                  </w14:solidFill>
                </w14:textFill>
              </w:rPr>
              <w:t>10</w:t>
            </w:r>
            <w:r>
              <w:rPr>
                <w:rFonts w:hint="eastAsia"/>
                <w:color w:val="000000" w:themeColor="text1"/>
                <w:sz w:val="24"/>
                <w:highlight w:val="none"/>
                <w:lang w:val="en-US" w:eastAsia="zh-CN"/>
                <w14:textFill>
                  <w14:solidFill>
                    <w14:schemeClr w14:val="tx1"/>
                  </w14:solidFill>
                </w14:textFill>
              </w:rPr>
              <w:t>、PM</w:t>
            </w:r>
            <w:r>
              <w:rPr>
                <w:rFonts w:hint="eastAsia"/>
                <w:color w:val="000000" w:themeColor="text1"/>
                <w:sz w:val="24"/>
                <w:highlight w:val="none"/>
                <w:vertAlign w:val="subscript"/>
                <w:lang w:val="en-US" w:eastAsia="zh-CN"/>
                <w14:textFill>
                  <w14:solidFill>
                    <w14:schemeClr w14:val="tx1"/>
                  </w14:solidFill>
                </w14:textFill>
              </w:rPr>
              <w:t>2.5</w:t>
            </w:r>
            <w:r>
              <w:rPr>
                <w:rFonts w:hint="eastAsia"/>
                <w:color w:val="000000" w:themeColor="text1"/>
                <w:sz w:val="24"/>
                <w:highlight w:val="none"/>
                <w:lang w:val="en-US" w:eastAsia="zh-CN"/>
                <w14:textFill>
                  <w14:solidFill>
                    <w14:schemeClr w14:val="tx1"/>
                  </w14:solidFill>
                </w14:textFill>
              </w:rPr>
              <w:t>、SO</w:t>
            </w:r>
            <w:r>
              <w:rPr>
                <w:rFonts w:hint="eastAsia"/>
                <w:color w:val="000000" w:themeColor="text1"/>
                <w:sz w:val="24"/>
                <w:highlight w:val="none"/>
                <w:vertAlign w:val="subscript"/>
                <w:lang w:val="en-US" w:eastAsia="zh-CN"/>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、NO</w:t>
            </w:r>
            <w:r>
              <w:rPr>
                <w:rFonts w:hint="eastAsia"/>
                <w:color w:val="000000" w:themeColor="text1"/>
                <w:sz w:val="24"/>
                <w:highlight w:val="none"/>
                <w:vertAlign w:val="subscript"/>
                <w:lang w:val="en-US" w:eastAsia="zh-CN"/>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年平均质量浓度，O</w:t>
            </w:r>
            <w:r>
              <w:rPr>
                <w:rFonts w:hint="eastAsia"/>
                <w:color w:val="000000" w:themeColor="text1"/>
                <w:sz w:val="24"/>
                <w:highlight w:val="none"/>
                <w:vertAlign w:val="sub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最大8小时第90百分位数平均质量浓度和CO 24小时第95百分位数日平均质量浓度均满足《环境空气质量标准》(GB3095-2012)及2018年修改单中的二级标准，项目所在区域为达标区。</w:t>
            </w:r>
          </w:p>
          <w:p w14:paraId="7112758D">
            <w:pPr>
              <w:spacing w:line="440" w:lineRule="exact"/>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项目所在区域地表水为西路嘎河，根据《2023年承德市生态环境状况公报》，西路嘎河水质总体为优，与2022年持平，二道河水库入口监测断面水质为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Ⅱ类</w:t>
            </w:r>
            <w:r>
              <w:rPr>
                <w:rFonts w:hint="eastAsia" w:cs="Times New Roman" w:eastAsiaTheme="minorEastAsia"/>
                <w:color w:val="000000" w:themeColor="text1"/>
                <w:sz w:val="24"/>
                <w:highlight w:val="none"/>
                <w:lang w:val="en-US" w:eastAsia="zh-CN"/>
                <w14:textFill>
                  <w14:solidFill>
                    <w14:schemeClr w14:val="tx1"/>
                  </w14:solidFill>
                </w14:textFill>
              </w:rPr>
              <w:t>。2023年，承德市各类功能区昼间总点次达标率为85.6%，夜间为89.2%。</w:t>
            </w:r>
          </w:p>
          <w:p w14:paraId="7C01E431">
            <w:pPr>
              <w:pStyle w:val="82"/>
              <w:keepNext w:val="0"/>
              <w:keepLines w:val="0"/>
              <w:pageBreakBefore w:val="0"/>
              <w:widowControl w:val="0"/>
              <w:kinsoku/>
              <w:wordWrap/>
              <w:overflowPunct/>
              <w:topLinePunct w:val="0"/>
              <w:autoSpaceDE w:val="0"/>
              <w:autoSpaceDN w:val="0"/>
              <w:bidi w:val="0"/>
              <w:adjustRightIn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本项目为</w:t>
            </w:r>
            <w:r>
              <w:rPr>
                <w:rFonts w:hint="eastAsia" w:cs="Times New Roman" w:eastAsiaTheme="minorEastAsia"/>
                <w:color w:val="000000" w:themeColor="text1"/>
                <w:sz w:val="24"/>
                <w:highlight w:val="none"/>
                <w:lang w:val="en-US" w:eastAsia="zh-CN"/>
                <w14:textFill>
                  <w14:solidFill>
                    <w14:schemeClr w14:val="tx1"/>
                  </w14:solidFill>
                </w14:textFill>
              </w:rPr>
              <w:t>风力发电项目配套送出线路</w:t>
            </w:r>
            <w:r>
              <w:rPr>
                <w:rFonts w:hint="default" w:ascii="Times New Roman" w:hAnsi="Times New Roman" w:cs="Times New Roman" w:eastAsiaTheme="minorEastAsia"/>
                <w:color w:val="000000" w:themeColor="text1"/>
                <w:sz w:val="24"/>
                <w:highlight w:val="none"/>
                <w14:textFill>
                  <w14:solidFill>
                    <w14:schemeClr w14:val="tx1"/>
                  </w14:solidFill>
                </w14:textFill>
              </w:rPr>
              <w:t>工程，</w:t>
            </w:r>
            <w:r>
              <w:rPr>
                <w:rFonts w:hint="eastAsia" w:cs="Times New Roman" w:eastAsiaTheme="minorEastAsia"/>
                <w:color w:val="000000" w:themeColor="text1"/>
                <w:sz w:val="24"/>
                <w:highlight w:val="none"/>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施工期</w:t>
            </w:r>
            <w:r>
              <w:rPr>
                <w:rFonts w:hint="eastAsia" w:cs="Times New Roman" w:eastAsiaTheme="minorEastAsia"/>
                <w:color w:val="000000" w:themeColor="text1"/>
                <w:sz w:val="24"/>
                <w:highlight w:val="none"/>
                <w:lang w:val="en-US" w:eastAsia="zh-CN"/>
                <w14:textFill>
                  <w14:solidFill>
                    <w14:schemeClr w14:val="tx1"/>
                  </w14:solidFill>
                </w14:textFill>
              </w:rPr>
              <w:t>采取了严格的扬尘防治措施，施工期扬尘满足《施工场地扬尘排放标准》（DB13/2934-2019）；施工期噪声满足《建筑施工场界环境噪声排放标准》（GB12523-2011）；施工期无废水排放；施工建筑垃圾及生活垃圾均得到了妥善处置</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运营期线路巡检</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依托</w:t>
            </w:r>
            <w:r>
              <w:rPr>
                <w:rFonts w:hint="eastAsia" w:cs="Times New Roman"/>
                <w:color w:val="000000" w:themeColor="text1"/>
                <w:sz w:val="24"/>
                <w:highlight w:val="none"/>
                <w:lang w:val="en-US" w:eastAsia="zh-CN"/>
                <w14:textFill>
                  <w14:solidFill>
                    <w14:schemeClr w14:val="tx1"/>
                  </w14:solidFill>
                </w14:textFill>
              </w:rPr>
              <w:t>风电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场区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人员，不新增劳动定员，不新增固废和废水，</w:t>
            </w:r>
            <w:r>
              <w:rPr>
                <w:rFonts w:hint="eastAsia" w:cs="Times New Roman"/>
                <w:color w:val="000000" w:themeColor="text1"/>
                <w:sz w:val="24"/>
                <w:highlight w:val="none"/>
                <w:lang w:val="en-US" w:eastAsia="zh-CN"/>
                <w14:textFill>
                  <w14:solidFill>
                    <w14:schemeClr w14:val="tx1"/>
                  </w14:solidFill>
                </w14:textFill>
              </w:rPr>
              <w:t>不涉及废气，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运营期</w:t>
            </w:r>
            <w:r>
              <w:rPr>
                <w:rFonts w:hint="eastAsia" w:cs="Times New Roman"/>
                <w:color w:val="000000" w:themeColor="text1"/>
                <w:sz w:val="24"/>
                <w:highlight w:val="none"/>
                <w:lang w:val="en-US" w:eastAsia="zh-CN"/>
                <w14:textFill>
                  <w14:solidFill>
                    <w14:schemeClr w14:val="tx1"/>
                  </w14:solidFill>
                </w14:textFill>
              </w:rPr>
              <w:t>环境</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影响</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主要为电磁环境</w:t>
            </w:r>
            <w:r>
              <w:rPr>
                <w:rFonts w:hint="eastAsia" w:cs="Times New Roman"/>
                <w:color w:val="000000" w:themeColor="text1"/>
                <w:sz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声环境影响。</w:t>
            </w:r>
          </w:p>
          <w:p w14:paraId="13DA2CE8">
            <w:pPr>
              <w:pStyle w:val="82"/>
              <w:keepNext w:val="0"/>
              <w:keepLines w:val="0"/>
              <w:pageBreakBefore w:val="0"/>
              <w:widowControl w:val="0"/>
              <w:kinsoku/>
              <w:wordWrap/>
              <w:overflowPunct/>
              <w:topLinePunct w:val="0"/>
              <w:bidi w:val="0"/>
              <w:adjustRightInd/>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根据本项目环境质量现状监测报告，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拟建线路</w:t>
            </w:r>
            <w:r>
              <w:rPr>
                <w:rFonts w:hint="eastAsia" w:cs="Times New Roman"/>
                <w:color w:val="000000" w:themeColor="text1"/>
                <w:sz w:val="24"/>
                <w:szCs w:val="24"/>
                <w:highlight w:val="none"/>
                <w:lang w:val="en-US" w:eastAsia="zh-CN"/>
                <w14:textFill>
                  <w14:solidFill>
                    <w14:schemeClr w14:val="tx1"/>
                  </w14:solidFill>
                </w14:textFill>
              </w:rPr>
              <w:t>沿线及电磁环境敏感目标处</w:t>
            </w:r>
            <w:r>
              <w:rPr>
                <w:rFonts w:hint="default" w:ascii="Times New Roman" w:hAnsi="Times New Roman" w:eastAsia="宋体" w:cs="Times New Roman"/>
                <w:color w:val="000000" w:themeColor="text1"/>
                <w:sz w:val="24"/>
                <w:szCs w:val="24"/>
                <w:highlight w:val="none"/>
                <w14:textFill>
                  <w14:solidFill>
                    <w14:schemeClr w14:val="tx1"/>
                  </w14:solidFill>
                </w14:textFill>
              </w:rPr>
              <w:t>电磁环境现状监测值均满足《电磁环境控制限值》（GB8702-2014）中电场强度4kV/m、磁感应强度100µT的限值要求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经预测，运营</w:t>
            </w:r>
            <w:r>
              <w:rPr>
                <w:rFonts w:hint="default" w:ascii="Times New Roman" w:hAnsi="Times New Roman" w:eastAsia="宋体" w:cs="Times New Roman"/>
                <w:color w:val="000000" w:themeColor="text1"/>
                <w:sz w:val="24"/>
                <w:szCs w:val="24"/>
                <w:highlight w:val="none"/>
                <w14:textFill>
                  <w14:solidFill>
                    <w14:schemeClr w14:val="tx1"/>
                  </w14:solidFill>
                </w14:textFill>
              </w:rPr>
              <w:t>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线路</w:t>
            </w:r>
            <w:r>
              <w:rPr>
                <w:rFonts w:hint="default" w:ascii="Times New Roman" w:hAnsi="Times New Roman" w:eastAsia="宋体" w:cs="Times New Roman"/>
                <w:color w:val="000000" w:themeColor="text1"/>
                <w:sz w:val="24"/>
                <w:szCs w:val="24"/>
                <w:highlight w:val="none"/>
                <w14:textFill>
                  <w14:solidFill>
                    <w14:schemeClr w14:val="tx1"/>
                  </w14:solidFill>
                </w14:textFill>
              </w:rPr>
              <w:t>对周围</w:t>
            </w:r>
            <w:r>
              <w:rPr>
                <w:rFonts w:hint="eastAsia" w:cs="Times New Roman"/>
                <w:color w:val="000000" w:themeColor="text1"/>
                <w:sz w:val="24"/>
                <w:szCs w:val="24"/>
                <w:highlight w:val="none"/>
                <w:lang w:val="en-US" w:eastAsia="zh-CN"/>
                <w14:textFill>
                  <w14:solidFill>
                    <w14:schemeClr w14:val="tx1"/>
                  </w14:solidFill>
                </w14:textFill>
              </w:rPr>
              <w:t>及电磁环境敏感目标处</w:t>
            </w:r>
            <w:r>
              <w:rPr>
                <w:rFonts w:hint="default" w:ascii="Times New Roman" w:hAnsi="Times New Roman" w:eastAsia="宋体" w:cs="Times New Roman"/>
                <w:color w:val="000000" w:themeColor="text1"/>
                <w:sz w:val="24"/>
                <w:szCs w:val="24"/>
                <w:highlight w:val="none"/>
                <w14:textFill>
                  <w14:solidFill>
                    <w14:schemeClr w14:val="tx1"/>
                  </w14:solidFill>
                </w14:textFill>
              </w:rPr>
              <w:t>的电磁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w:t>
            </w:r>
            <w:r>
              <w:rPr>
                <w:rFonts w:hint="default" w:ascii="Times New Roman" w:hAnsi="Times New Roman" w:eastAsia="宋体" w:cs="Times New Roman"/>
                <w:color w:val="000000" w:themeColor="text1"/>
                <w:sz w:val="24"/>
                <w:szCs w:val="24"/>
                <w:highlight w:val="none"/>
                <w14:textFill>
                  <w14:solidFill>
                    <w14:schemeClr w14:val="tx1"/>
                  </w14:solidFill>
                </w14:textFill>
              </w:rPr>
              <w:t>影响满足《电磁环境控制限值》（GB8702-2014）中相关限值要求。</w:t>
            </w:r>
            <w:r>
              <w:rPr>
                <w:rFonts w:hint="eastAsia" w:cs="Times New Roman"/>
                <w:color w:val="000000" w:themeColor="text1"/>
                <w:sz w:val="24"/>
                <w:szCs w:val="24"/>
                <w:highlight w:val="none"/>
                <w:lang w:val="en-US" w:eastAsia="zh-CN"/>
                <w14:textFill>
                  <w14:solidFill>
                    <w14:schemeClr w14:val="tx1"/>
                  </w14:solidFill>
                </w14:textFill>
              </w:rPr>
              <w:t>拟建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线路沿线</w:t>
            </w:r>
            <w:r>
              <w:rPr>
                <w:rFonts w:hint="eastAsia" w:cs="Times New Roman"/>
                <w:color w:val="000000" w:themeColor="text1"/>
                <w:sz w:val="24"/>
                <w:szCs w:val="24"/>
                <w:highlight w:val="none"/>
                <w:lang w:val="en-US" w:eastAsia="zh-CN"/>
                <w14:textFill>
                  <w14:solidFill>
                    <w14:schemeClr w14:val="tx1"/>
                  </w14:solidFill>
                </w14:textFill>
              </w:rPr>
              <w:t>及声环境敏感目标处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现状</w:t>
            </w:r>
            <w:r>
              <w:rPr>
                <w:rFonts w:hint="default" w:ascii="Times New Roman" w:hAnsi="Times New Roman" w:eastAsia="宋体" w:cs="Times New Roman"/>
                <w:color w:val="000000" w:themeColor="text1"/>
                <w:sz w:val="24"/>
                <w:szCs w:val="24"/>
                <w:highlight w:val="none"/>
                <w14:textFill>
                  <w14:solidFill>
                    <w14:schemeClr w14:val="tx1"/>
                  </w14:solidFill>
                </w14:textFill>
              </w:rPr>
              <w:t>声环境质量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14:textFill>
                  <w14:solidFill>
                    <w14:schemeClr w14:val="tx1"/>
                  </w14:solidFill>
                </w14:textFill>
              </w:rPr>
              <w:t>《声环境质量标准》（GB3096-2008）中</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相应声环境功能区标准要求</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运营期噪声经</w:t>
            </w:r>
            <w:r>
              <w:rPr>
                <w:rFonts w:hint="eastAsia" w:cs="Times New Roman"/>
                <w:color w:val="000000" w:themeColor="text1"/>
                <w:sz w:val="24"/>
                <w:szCs w:val="24"/>
                <w:highlight w:val="none"/>
                <w:lang w:val="en-US" w:eastAsia="zh-CN"/>
                <w14:textFill>
                  <w14:solidFill>
                    <w14:schemeClr w14:val="tx1"/>
                  </w14:solidFill>
                </w14:textFill>
              </w:rPr>
              <w:t>类比</w:t>
            </w:r>
            <w:r>
              <w:rPr>
                <w:rFonts w:hint="default" w:ascii="Times New Roman" w:hAnsi="Times New Roman" w:eastAsia="宋体" w:cs="Times New Roman"/>
                <w:color w:val="000000" w:themeColor="text1"/>
                <w:sz w:val="24"/>
                <w:szCs w:val="24"/>
                <w:highlight w:val="none"/>
                <w14:textFill>
                  <w14:solidFill>
                    <w14:schemeClr w14:val="tx1"/>
                  </w14:solidFill>
                </w14:textFill>
              </w:rPr>
              <w:t>分析不会对周边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声环境</w:t>
            </w:r>
            <w:r>
              <w:rPr>
                <w:rFonts w:hint="default" w:ascii="Times New Roman" w:hAnsi="Times New Roman" w:eastAsia="宋体" w:cs="Times New Roman"/>
                <w:color w:val="000000" w:themeColor="text1"/>
                <w:sz w:val="24"/>
                <w:szCs w:val="24"/>
                <w:highlight w:val="none"/>
                <w14:textFill>
                  <w14:solidFill>
                    <w14:schemeClr w14:val="tx1"/>
                  </w14:solidFill>
                </w14:textFill>
              </w:rPr>
              <w:t>产生明显影响，项目运行符合声环境质量底线的要求。</w:t>
            </w:r>
          </w:p>
          <w:p w14:paraId="4641C5E1">
            <w:pPr>
              <w:pStyle w:val="82"/>
              <w:keepNext w:val="0"/>
              <w:keepLines w:val="0"/>
              <w:pageBreakBefore w:val="0"/>
              <w:widowControl w:val="0"/>
              <w:kinsoku/>
              <w:wordWrap/>
              <w:overflowPunct/>
              <w:topLinePunct w:val="0"/>
              <w:bidi w:val="0"/>
              <w:adjustRightIn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本项目永久占地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为线路塔基基础占地</w:t>
            </w:r>
            <w:r>
              <w:rPr>
                <w:rFonts w:hint="default" w:ascii="Times New Roman" w:hAnsi="Times New Roman" w:eastAsia="宋体" w:cs="Times New Roman"/>
                <w:color w:val="000000" w:themeColor="text1"/>
                <w:sz w:val="24"/>
                <w:szCs w:val="24"/>
                <w:highlight w:val="none"/>
                <w14:textFill>
                  <w14:solidFill>
                    <w14:schemeClr w14:val="tx1"/>
                  </w14:solidFill>
                </w14:textFill>
              </w:rPr>
              <w:t>，永久占地面积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较</w:t>
            </w:r>
            <w:r>
              <w:rPr>
                <w:rFonts w:hint="default" w:ascii="Times New Roman" w:hAnsi="Times New Roman" w:eastAsia="宋体" w:cs="Times New Roman"/>
                <w:color w:val="000000" w:themeColor="text1"/>
                <w:sz w:val="24"/>
                <w:szCs w:val="24"/>
                <w:highlight w:val="none"/>
                <w14:textFill>
                  <w14:solidFill>
                    <w14:schemeClr w14:val="tx1"/>
                  </w14:solidFill>
                </w14:textFill>
              </w:rPr>
              <w:t>小，不会突破土壤环境质量底线。</w:t>
            </w:r>
          </w:p>
          <w:p w14:paraId="37D6DA49">
            <w:pPr>
              <w:keepNext w:val="0"/>
              <w:keepLines w:val="0"/>
              <w:pageBreakBefore w:val="0"/>
              <w:widowControl w:val="0"/>
              <w:kinsoku/>
              <w:wordWrap/>
              <w:overflowPunct/>
              <w:topLinePunct w:val="0"/>
              <w:bidi w:val="0"/>
              <w:adjustRightInd/>
              <w:snapToGrid w:val="0"/>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综上，项目的建设与运行符合环境质量底线的要求。</w:t>
            </w:r>
          </w:p>
          <w:p w14:paraId="724B29E5">
            <w:pPr>
              <w:spacing w:line="44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（3）资源利用上线</w:t>
            </w:r>
          </w:p>
          <w:p w14:paraId="1FC748C3">
            <w:p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资源是环境的载体，资源利用上线是各地区能源、水、土地等资源消耗不得突破的</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天花板</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5B08DF5B">
            <w:pPr>
              <w:spacing w:line="44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本项目为</w:t>
            </w:r>
            <w:r>
              <w:rPr>
                <w:rFonts w:hint="eastAsia" w:cs="Times New Roman"/>
                <w:color w:val="000000" w:themeColor="text1"/>
                <w:sz w:val="24"/>
                <w:highlight w:val="none"/>
                <w:lang w:val="en-US" w:eastAsia="zh-CN"/>
                <w14:textFill>
                  <w14:solidFill>
                    <w14:schemeClr w14:val="tx1"/>
                  </w14:solidFill>
                </w14:textFill>
              </w:rPr>
              <w:t>风力</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发电项目配套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送出线路</w:t>
            </w:r>
            <w:r>
              <w:rPr>
                <w:rFonts w:hint="eastAsia"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highlight w:val="none"/>
                <w14:textFill>
                  <w14:solidFill>
                    <w14:schemeClr w14:val="tx1"/>
                  </w14:solidFill>
                </w14:textFill>
              </w:rPr>
              <w:t>，项目不属于高污染、高能耗项目。同时项目建成后将为地区经济发展提供一定的电力资源保障，建成运行后通过内部管理强化、设备的优化选用和管理、污染治理等多方面采取合理可行的防治措施，以“节能、降耗、减污”为目标，有效的控制污染。减少能耗，不会突破资源利用上线。</w:t>
            </w:r>
          </w:p>
          <w:p w14:paraId="5A8B3439">
            <w:pPr>
              <w:spacing w:line="44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环境准入负面清单</w:t>
            </w:r>
          </w:p>
          <w:p w14:paraId="1028E58D">
            <w:pPr>
              <w:spacing w:line="44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态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714E74F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GB" w:eastAsia="zh-CN"/>
                <w14:textFill>
                  <w14:solidFill>
                    <w14:schemeClr w14:val="tx1"/>
                  </w14:solidFill>
                </w14:textFill>
              </w:rPr>
              <w:t>依据《建设项目环境影响评价分类管理名录》（</w:t>
            </w:r>
            <w:r>
              <w:rPr>
                <w:rFonts w:hint="eastAsia"/>
                <w:color w:val="000000" w:themeColor="text1"/>
                <w:sz w:val="24"/>
                <w:highlight w:val="none"/>
                <w:lang w:eastAsia="zh-CN"/>
                <w14:textFill>
                  <w14:solidFill>
                    <w14:schemeClr w14:val="tx1"/>
                  </w14:solidFill>
                </w14:textFill>
              </w:rPr>
              <w:t>2021年版</w:t>
            </w:r>
            <w:r>
              <w:rPr>
                <w:rFonts w:hint="eastAsia"/>
                <w:color w:val="000000" w:themeColor="text1"/>
                <w:sz w:val="24"/>
                <w:highlight w:val="none"/>
                <w:lang w:val="en-GB" w:eastAsia="zh-CN"/>
                <w14:textFill>
                  <w14:solidFill>
                    <w14:schemeClr w14:val="tx1"/>
                  </w14:solidFill>
                </w14:textFill>
              </w:rPr>
              <w:t>），本项目属于“五十五、</w:t>
            </w:r>
            <w:r>
              <w:rPr>
                <w:rFonts w:hint="eastAsia"/>
                <w:color w:val="000000" w:themeColor="text1"/>
                <w:sz w:val="24"/>
                <w:highlight w:val="none"/>
                <w:lang w:val="en-US" w:eastAsia="zh-CN"/>
                <w14:textFill>
                  <w14:solidFill>
                    <w14:schemeClr w14:val="tx1"/>
                  </w14:solidFill>
                </w14:textFill>
              </w:rPr>
              <w:t>核与辐射</w:t>
            </w:r>
            <w:r>
              <w:rPr>
                <w:rFonts w:hint="eastAsia"/>
                <w:color w:val="000000" w:themeColor="text1"/>
                <w:sz w:val="24"/>
                <w:highlight w:val="none"/>
                <w:lang w:val="en-GB"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中的“</w:t>
            </w:r>
            <w:r>
              <w:rPr>
                <w:rFonts w:hint="eastAsia"/>
                <w:color w:val="000000" w:themeColor="text1"/>
                <w:sz w:val="24"/>
                <w:highlight w:val="none"/>
                <w:lang w:val="en-US" w:eastAsia="zh-CN"/>
                <w14:textFill>
                  <w14:solidFill>
                    <w14:schemeClr w14:val="tx1"/>
                  </w14:solidFill>
                </w14:textFill>
              </w:rPr>
              <w:t xml:space="preserve">161 </w:t>
            </w:r>
            <w:r>
              <w:rPr>
                <w:rFonts w:hint="eastAsia"/>
                <w:color w:val="000000" w:themeColor="text1"/>
                <w:sz w:val="24"/>
                <w:highlight w:val="none"/>
                <w:lang w:eastAsia="zh-CN"/>
                <w14:textFill>
                  <w14:solidFill>
                    <w14:schemeClr w14:val="tx1"/>
                  </w14:solidFill>
                </w14:textFill>
              </w:rPr>
              <w:t>输变电工程”类别中“其他（</w:t>
            </w:r>
            <w:r>
              <w:rPr>
                <w:rFonts w:hint="eastAsia"/>
                <w:color w:val="000000" w:themeColor="text1"/>
                <w:sz w:val="24"/>
                <w:highlight w:val="none"/>
                <w:lang w:val="en-US" w:eastAsia="zh-CN"/>
                <w14:textFill>
                  <w14:solidFill>
                    <w14:schemeClr w14:val="tx1"/>
                  </w14:solidFill>
                </w14:textFill>
              </w:rPr>
              <w:t>100千伏以下除外</w:t>
            </w:r>
            <w:r>
              <w:rPr>
                <w:rFonts w:hint="eastAsia"/>
                <w:color w:val="000000" w:themeColor="text1"/>
                <w:sz w:val="24"/>
                <w:highlight w:val="none"/>
                <w:lang w:eastAsia="zh-CN"/>
                <w14:textFill>
                  <w14:solidFill>
                    <w14:schemeClr w14:val="tx1"/>
                  </w14:solidFill>
                </w14:textFill>
              </w:rPr>
              <w:t>）”项目，对照《产业结构调整指导目录（</w:t>
            </w:r>
            <w:r>
              <w:rPr>
                <w:rFonts w:hint="eastAsia"/>
                <w:color w:val="000000" w:themeColor="text1"/>
                <w:sz w:val="24"/>
                <w:highlight w:val="none"/>
                <w:lang w:val="en-US" w:eastAsia="zh-CN"/>
                <w14:textFill>
                  <w14:solidFill>
                    <w14:schemeClr w14:val="tx1"/>
                  </w14:solidFill>
                </w14:textFill>
              </w:rPr>
              <w:t>2024</w:t>
            </w:r>
            <w:r>
              <w:rPr>
                <w:rFonts w:hint="eastAsia"/>
                <w:color w:val="000000" w:themeColor="text1"/>
                <w:sz w:val="24"/>
                <w:highlight w:val="none"/>
                <w:lang w:eastAsia="zh-CN"/>
                <w14:textFill>
                  <w14:solidFill>
                    <w14:schemeClr w14:val="tx1"/>
                  </w14:solidFill>
                </w14:textFill>
              </w:rPr>
              <w:t>年本）》</w:t>
            </w:r>
            <w:r>
              <w:rPr>
                <w:rFonts w:hint="eastAsia"/>
                <w:color w:val="000000" w:themeColor="text1"/>
                <w:sz w:val="24"/>
                <w:highlight w:val="none"/>
                <w:lang w:val="zh-CN" w:eastAsia="zh-CN"/>
                <w14:textFill>
                  <w14:solidFill>
                    <w14:schemeClr w14:val="tx1"/>
                  </w14:solidFill>
                </w14:textFill>
              </w:rPr>
              <w:t>，本项目属于鼓励类项目；本项目</w:t>
            </w:r>
            <w:r>
              <w:rPr>
                <w:rFonts w:hint="eastAsia"/>
                <w:color w:val="000000" w:themeColor="text1"/>
                <w:sz w:val="24"/>
                <w:highlight w:val="none"/>
                <w:lang w:val="en-US" w:eastAsia="zh-CN"/>
                <w14:textFill>
                  <w14:solidFill>
                    <w14:schemeClr w14:val="tx1"/>
                  </w14:solidFill>
                </w14:textFill>
              </w:rPr>
              <w:t>不属于《市场准入负面清单（2022年版）》中禁止类项目。</w:t>
            </w:r>
          </w:p>
          <w:p w14:paraId="7BC8C9A1">
            <w:pPr>
              <w:numPr>
                <w:ilvl w:val="0"/>
                <w:numId w:val="0"/>
              </w:numPr>
              <w:spacing w:line="440" w:lineRule="exact"/>
              <w:ind w:firstLine="480" w:firstLineChars="200"/>
              <w:rPr>
                <w:rFonts w:hint="eastAsia"/>
                <w:b w:val="0"/>
                <w:bCs w:val="0"/>
                <w:color w:val="000000" w:themeColor="text1"/>
                <w:sz w:val="24"/>
                <w:highlight w:val="none"/>
                <w:lang w:eastAsia="zh-CN"/>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综上所述，本项目建设符合国家及地方产业政策要求。</w:t>
            </w:r>
          </w:p>
          <w:p w14:paraId="704BF279">
            <w:pPr>
              <w:numPr>
                <w:ilvl w:val="0"/>
                <w:numId w:val="0"/>
              </w:numPr>
              <w:spacing w:line="440" w:lineRule="exact"/>
              <w:ind w:firstLine="482" w:firstLineChars="200"/>
              <w:rPr>
                <w:rFonts w:hint="default"/>
                <w:b/>
                <w:bCs/>
                <w:color w:val="000000" w:themeColor="text1"/>
                <w:sz w:val="24"/>
                <w:highlight w:val="none"/>
                <w:lang w:val="en-US"/>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5</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与</w:t>
            </w:r>
            <w:r>
              <w:rPr>
                <w:rFonts w:hint="eastAsia"/>
                <w:b/>
                <w:bCs/>
                <w:color w:val="000000" w:themeColor="text1"/>
                <w:sz w:val="24"/>
                <w:highlight w:val="none"/>
                <w:lang w:eastAsia="zh-CN"/>
                <w14:textFill>
                  <w14:solidFill>
                    <w14:schemeClr w14:val="tx1"/>
                  </w14:solidFill>
                </w14:textFill>
              </w:rPr>
              <w:t>《承德市人民政府关于加快实施“三线一单”生态环境分区管控的意见》、</w:t>
            </w:r>
            <w:r>
              <w:rPr>
                <w:b/>
                <w:bCs/>
                <w:color w:val="000000" w:themeColor="text1"/>
                <w:sz w:val="24"/>
                <w:highlight w:val="none"/>
                <w14:textFill>
                  <w14:solidFill>
                    <w14:schemeClr w14:val="tx1"/>
                  </w14:solidFill>
                </w14:textFill>
              </w:rPr>
              <w:t>《承德市生态环境准入清单</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2023年版</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承德市生态环境局2024年4月发布</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符合性分析</w:t>
            </w:r>
          </w:p>
          <w:p w14:paraId="7D6C1F0F">
            <w:pPr>
              <w:numPr>
                <w:ilvl w:val="0"/>
                <w:numId w:val="0"/>
              </w:numPr>
              <w:spacing w:line="440" w:lineRule="exact"/>
              <w:ind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承德市人民政府关于加快实施“三线一单”生态环境分区管控的意见</w:t>
            </w:r>
            <w:r>
              <w:rPr>
                <w:rFonts w:hint="eastAsia"/>
                <w:color w:val="000000" w:themeColor="text1"/>
                <w:sz w:val="24"/>
                <w:highlight w:val="none"/>
                <w:lang w:eastAsia="zh-CN"/>
                <w14:textFill>
                  <w14:solidFill>
                    <w14:schemeClr w14:val="tx1"/>
                  </w14:solidFill>
                </w14:textFill>
              </w:rPr>
              <w:t>》：</w:t>
            </w:r>
          </w:p>
          <w:p w14:paraId="05DC3FEE">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①生态环境管控单元划分</w:t>
            </w:r>
          </w:p>
          <w:p w14:paraId="12EBE64E">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环境管控单元包括优先保护、重点管控和一般管控单元三类。</w:t>
            </w:r>
          </w:p>
          <w:p w14:paraId="09D2601D">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优先保护单元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主要包括生态保护红线，各类自然保护地、饮用水水源保护区及其他重要生态功能区等一般生态空间。</w:t>
            </w:r>
          </w:p>
          <w:p w14:paraId="5A8267D2">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重点管控单元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主要包括城市规划区、省级以上产业园区和开发强度高、污染物排放强度大、环境问题较为突出的区域等。</w:t>
            </w:r>
          </w:p>
          <w:p w14:paraId="6BF42460">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一般管控单元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优先保护单元和重点管控单元之外的其他区域。</w:t>
            </w:r>
          </w:p>
          <w:p w14:paraId="787ED199">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②</w:t>
            </w:r>
            <w:r>
              <w:rPr>
                <w:rFonts w:hint="eastAsia"/>
                <w:color w:val="000000" w:themeColor="text1"/>
                <w:sz w:val="24"/>
                <w:highlight w:val="none"/>
                <w14:textFill>
                  <w14:solidFill>
                    <w14:schemeClr w14:val="tx1"/>
                  </w14:solidFill>
                </w14:textFill>
              </w:rPr>
              <w:t>生态环境管控要求</w:t>
            </w:r>
          </w:p>
          <w:p w14:paraId="7DBCF70D">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突出区域特征、发展定位和生态环境保护要求，立足经济绿色转型和高质量发展，以建设首都水源涵养功能区和生态环境支撑区为主导，统筹山水林田湖草沙生态系统整体保护，加大生态修复和环境治理力度，促进环境质量持续改善，实施生态空间分区管控。</w:t>
            </w:r>
          </w:p>
          <w:p w14:paraId="52F6C9E3">
            <w:pPr>
              <w:numPr>
                <w:ilvl w:val="0"/>
                <w:numId w:val="0"/>
              </w:numPr>
              <w:spacing w:line="44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构建“1+1+169”生态环境分区管控体系，实施生态环境准入清单管理。“１”为河北省生态环境准入总体清单，适用于全省范围；“１”为承德市生态环境准入清单，适用于市域范围；“169”为生态环境管控单元准入清单，适用于环境管控单元范围。</w:t>
            </w:r>
          </w:p>
          <w:p w14:paraId="4506E81C">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③</w:t>
            </w:r>
            <w:r>
              <w:rPr>
                <w:rFonts w:hint="eastAsia"/>
                <w:color w:val="000000" w:themeColor="text1"/>
                <w:sz w:val="24"/>
                <w:highlight w:val="none"/>
                <w14:textFill>
                  <w14:solidFill>
                    <w14:schemeClr w14:val="tx1"/>
                  </w14:solidFill>
                </w14:textFill>
              </w:rPr>
              <w:t>分类管控要求</w:t>
            </w:r>
          </w:p>
          <w:p w14:paraId="76168345">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优先保护单元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严格落实生态保护红线管理要求，除有限人为活动外，依法依规禁止其他城镇和建设活动。一般生态空间突出生态保护，严禁不符合主体功能定位的各类开发活动，严禁任意改变用途。</w:t>
            </w:r>
          </w:p>
          <w:p w14:paraId="7028C103">
            <w:pPr>
              <w:numPr>
                <w:ilvl w:val="0"/>
                <w:numId w:val="0"/>
              </w:numPr>
              <w:spacing w:line="440" w:lineRule="exact"/>
              <w:ind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重点管控单元</w:t>
            </w:r>
            <w:r>
              <w:rPr>
                <w:rFonts w:hint="eastAsia"/>
                <w:color w:val="000000" w:themeColor="text1"/>
                <w:sz w:val="24"/>
                <w:highlight w:val="none"/>
                <w:lang w:eastAsia="zh-CN"/>
                <w14:textFill>
                  <w14:solidFill>
                    <w14:schemeClr w14:val="tx1"/>
                  </w14:solidFill>
                </w14:textFill>
              </w:rPr>
              <w:t>：</w:t>
            </w:r>
          </w:p>
          <w:p w14:paraId="0FC588BC">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城镇重点管控单元：优化工业布局，有序实施高污染、高排放工业企业整改或搬迁退出；强化交通污染源管控；完善污水治理设施；加快城镇河流水系环境整治；加强工业污染场地环境风险防控和开发再利用监管。</w:t>
            </w:r>
          </w:p>
          <w:p w14:paraId="63394EB6">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省级以上产业园区重点管控单元：严格产业准入，完善园区设施建设，推动设施提标改造；实施污染物总量控制，落实排污许可证制度；强化资源利用效率和地下水开采管控。</w:t>
            </w:r>
          </w:p>
          <w:p w14:paraId="319C78C4">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农业农村重点管控单元：优化规模化畜禽养殖布局，加快农村生态环境综合整治，逐步推进农村污水和生活垃圾治理；减少化肥农药施用量，优化农业种植结构，推动秸秆综合利用。</w:t>
            </w:r>
          </w:p>
          <w:p w14:paraId="22F50D9C">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一般管控单元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严格执行国家和省关于产业准入、总量控制和污染物排放标准等管控要求。</w:t>
            </w:r>
          </w:p>
          <w:p w14:paraId="06C7D73B">
            <w:pPr>
              <w:adjustRightInd w:val="0"/>
              <w:snapToGrid w:val="0"/>
              <w:spacing w:before="120" w:beforeLines="50"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w:t>
            </w:r>
            <w:r>
              <w:rPr>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位于承德市围场满族蒙古族自治县克勒沟镇、银窝沟乡、杨家湾乡、朝阳湾镇</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根据《承德市生态环境准入清单</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2023年版</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承德市生态环境局2024年4月发布</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项目所属区域编码为</w:t>
            </w:r>
            <w:r>
              <w:rPr>
                <w:rFonts w:hint="eastAsia"/>
                <w:b w:val="0"/>
                <w:bCs w:val="0"/>
                <w:color w:val="000000" w:themeColor="text1"/>
                <w:sz w:val="24"/>
                <w:highlight w:val="none"/>
                <w:lang w:val="en-US" w:eastAsia="zh-CN"/>
                <w14:textFill>
                  <w14:solidFill>
                    <w14:schemeClr w14:val="tx1"/>
                  </w14:solidFill>
                </w14:textFill>
              </w:rPr>
              <w:t>优先保护单元（ZH13082810012）及一般管控单元（ZH13082830001）</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与</w:t>
            </w:r>
            <w:r>
              <w:rPr>
                <w:color w:val="000000" w:themeColor="text1"/>
                <w:sz w:val="24"/>
                <w:highlight w:val="none"/>
                <w14:textFill>
                  <w14:solidFill>
                    <w14:schemeClr w14:val="tx1"/>
                  </w14:solidFill>
                </w14:textFill>
              </w:rPr>
              <w:t>环境管控单元准入清单符合性分析</w:t>
            </w:r>
            <w:r>
              <w:rPr>
                <w:rFonts w:hint="eastAsia"/>
                <w:color w:val="000000" w:themeColor="text1"/>
                <w:sz w:val="24"/>
                <w:highlight w:val="none"/>
                <w:lang w:val="en-US" w:eastAsia="zh-CN"/>
                <w14:textFill>
                  <w14:solidFill>
                    <w14:schemeClr w14:val="tx1"/>
                  </w14:solidFill>
                </w14:textFill>
              </w:rPr>
              <w:t>见下表</w:t>
            </w:r>
            <w:r>
              <w:rPr>
                <w:color w:val="000000" w:themeColor="text1"/>
                <w:sz w:val="24"/>
                <w:highlight w:val="none"/>
                <w14:textFill>
                  <w14:solidFill>
                    <w14:schemeClr w14:val="tx1"/>
                  </w14:solidFill>
                </w14:textFill>
              </w:rPr>
              <w:t>：</w:t>
            </w:r>
          </w:p>
          <w:p w14:paraId="4E7D348F">
            <w:pPr>
              <w:autoSpaceDE w:val="0"/>
              <w:autoSpaceDN w:val="0"/>
              <w:adjustRightInd w:val="0"/>
              <w:snapToGrid w:val="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表1-</w:t>
            </w:r>
            <w:r>
              <w:rPr>
                <w:rFonts w:hint="eastAsia"/>
                <w:b/>
                <w:color w:val="000000" w:themeColor="text1"/>
                <w:sz w:val="21"/>
                <w:szCs w:val="21"/>
                <w:highlight w:val="none"/>
                <w:lang w:val="en-US" w:eastAsia="zh-CN"/>
                <w14:textFill>
                  <w14:solidFill>
                    <w14:schemeClr w14:val="tx1"/>
                  </w14:solidFill>
                </w14:textFill>
              </w:rPr>
              <w:t>2</w:t>
            </w:r>
            <w:r>
              <w:rPr>
                <w:b/>
                <w:color w:val="000000" w:themeColor="text1"/>
                <w:sz w:val="21"/>
                <w:szCs w:val="21"/>
                <w:highlight w:val="none"/>
                <w14:textFill>
                  <w14:solidFill>
                    <w14:schemeClr w14:val="tx1"/>
                  </w14:solidFill>
                </w14:textFill>
              </w:rPr>
              <w:t xml:space="preserve">  项目</w:t>
            </w:r>
            <w:r>
              <w:rPr>
                <w:rFonts w:hint="eastAsia"/>
                <w:b/>
                <w:color w:val="000000" w:themeColor="text1"/>
                <w:sz w:val="21"/>
                <w:szCs w:val="21"/>
                <w:highlight w:val="none"/>
                <w:lang w:val="en-US" w:eastAsia="zh-CN"/>
                <w14:textFill>
                  <w14:solidFill>
                    <w14:schemeClr w14:val="tx1"/>
                  </w14:solidFill>
                </w14:textFill>
              </w:rPr>
              <w:t>与</w:t>
            </w:r>
            <w:r>
              <w:rPr>
                <w:b/>
                <w:color w:val="000000" w:themeColor="text1"/>
                <w:sz w:val="21"/>
                <w:szCs w:val="21"/>
                <w:highlight w:val="none"/>
                <w14:textFill>
                  <w14:solidFill>
                    <w14:schemeClr w14:val="tx1"/>
                  </w14:solidFill>
                </w14:textFill>
              </w:rPr>
              <w:t>环境管控单元准入清单符合性分析</w:t>
            </w:r>
            <w:r>
              <w:rPr>
                <w:rFonts w:hint="eastAsia"/>
                <w:b/>
                <w:color w:val="000000" w:themeColor="text1"/>
                <w:sz w:val="21"/>
                <w:szCs w:val="21"/>
                <w:highlight w:val="none"/>
                <w:lang w:val="en-US" w:eastAsia="zh-CN"/>
                <w14:textFill>
                  <w14:solidFill>
                    <w14:schemeClr w14:val="tx1"/>
                  </w14:solidFill>
                </w14:textFill>
              </w:rPr>
              <w:t>一览</w:t>
            </w:r>
            <w:r>
              <w:rPr>
                <w:b/>
                <w:color w:val="000000" w:themeColor="text1"/>
                <w:sz w:val="21"/>
                <w:szCs w:val="21"/>
                <w:highlight w:val="none"/>
                <w14:textFill>
                  <w14:solidFill>
                    <w14:schemeClr w14:val="tx1"/>
                  </w14:solidFill>
                </w14:textFill>
              </w:rPr>
              <w:t>表</w:t>
            </w:r>
          </w:p>
          <w:tbl>
            <w:tblPr>
              <w:tblStyle w:val="34"/>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342"/>
              <w:gridCol w:w="482"/>
              <w:gridCol w:w="621"/>
              <w:gridCol w:w="708"/>
              <w:gridCol w:w="902"/>
              <w:gridCol w:w="2285"/>
              <w:gridCol w:w="1868"/>
              <w:gridCol w:w="488"/>
            </w:tblGrid>
            <w:tr w14:paraId="03DC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2" w:type="pct"/>
                  <w:noWrap w:val="0"/>
                  <w:tcMar>
                    <w:top w:w="0" w:type="dxa"/>
                    <w:left w:w="0" w:type="dxa"/>
                    <w:bottom w:w="0" w:type="dxa"/>
                    <w:right w:w="0" w:type="dxa"/>
                  </w:tcMar>
                  <w:vAlign w:val="center"/>
                </w:tcPr>
                <w:p w14:paraId="6D0EF39A">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编号</w:t>
                  </w:r>
                </w:p>
              </w:tc>
              <w:tc>
                <w:tcPr>
                  <w:tcW w:w="208" w:type="pct"/>
                  <w:noWrap w:val="0"/>
                  <w:tcMar>
                    <w:top w:w="0" w:type="dxa"/>
                    <w:left w:w="0" w:type="dxa"/>
                    <w:bottom w:w="0" w:type="dxa"/>
                    <w:right w:w="0" w:type="dxa"/>
                  </w:tcMar>
                  <w:vAlign w:val="center"/>
                </w:tcPr>
                <w:p w14:paraId="34D69E05">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县</w:t>
                  </w:r>
                </w:p>
              </w:tc>
              <w:tc>
                <w:tcPr>
                  <w:tcW w:w="294" w:type="pct"/>
                  <w:noWrap w:val="0"/>
                  <w:tcMar>
                    <w:top w:w="0" w:type="dxa"/>
                    <w:left w:w="0" w:type="dxa"/>
                    <w:bottom w:w="0" w:type="dxa"/>
                    <w:right w:w="0" w:type="dxa"/>
                  </w:tcMar>
                  <w:vAlign w:val="center"/>
                </w:tcPr>
                <w:p w14:paraId="718C646B">
                  <w:pPr>
                    <w:pStyle w:val="84"/>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管控类</w:t>
                  </w:r>
                  <w:r>
                    <w:rPr>
                      <w:rFonts w:hint="eastAsia" w:cs="Times New Roman"/>
                      <w:b w:val="0"/>
                      <w:bCs w:val="0"/>
                      <w:color w:val="000000" w:themeColor="text1"/>
                      <w:sz w:val="21"/>
                      <w:szCs w:val="21"/>
                      <w:highlight w:val="none"/>
                      <w:lang w:val="en-US" w:eastAsia="zh-CN"/>
                      <w14:textFill>
                        <w14:solidFill>
                          <w14:schemeClr w14:val="tx1"/>
                        </w14:solidFill>
                      </w14:textFill>
                    </w:rPr>
                    <w:t>别</w:t>
                  </w:r>
                </w:p>
              </w:tc>
              <w:tc>
                <w:tcPr>
                  <w:tcW w:w="379" w:type="pct"/>
                  <w:noWrap w:val="0"/>
                  <w:tcMar>
                    <w:top w:w="0" w:type="dxa"/>
                    <w:left w:w="0" w:type="dxa"/>
                    <w:bottom w:w="0" w:type="dxa"/>
                    <w:right w:w="0" w:type="dxa"/>
                  </w:tcMar>
                  <w:vAlign w:val="center"/>
                </w:tcPr>
                <w:p w14:paraId="4EDEB580">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涉及乡镇</w:t>
                  </w:r>
                </w:p>
              </w:tc>
              <w:tc>
                <w:tcPr>
                  <w:tcW w:w="432" w:type="pct"/>
                  <w:noWrap w:val="0"/>
                  <w:tcMar>
                    <w:top w:w="0" w:type="dxa"/>
                    <w:left w:w="0" w:type="dxa"/>
                    <w:bottom w:w="0" w:type="dxa"/>
                    <w:right w:w="0" w:type="dxa"/>
                  </w:tcMar>
                  <w:vAlign w:val="center"/>
                </w:tcPr>
                <w:p w14:paraId="1F316065">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环境要素类别</w:t>
                  </w:r>
                </w:p>
              </w:tc>
              <w:tc>
                <w:tcPr>
                  <w:tcW w:w="550" w:type="pct"/>
                  <w:noWrap w:val="0"/>
                  <w:tcMar>
                    <w:top w:w="0" w:type="dxa"/>
                    <w:left w:w="0" w:type="dxa"/>
                    <w:bottom w:w="0" w:type="dxa"/>
                    <w:right w:w="0" w:type="dxa"/>
                  </w:tcMar>
                  <w:vAlign w:val="center"/>
                </w:tcPr>
                <w:p w14:paraId="500B2894">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维度</w:t>
                  </w:r>
                </w:p>
              </w:tc>
              <w:tc>
                <w:tcPr>
                  <w:tcW w:w="1394" w:type="pct"/>
                  <w:noWrap w:val="0"/>
                  <w:tcMar>
                    <w:top w:w="0" w:type="dxa"/>
                    <w:left w:w="0" w:type="dxa"/>
                    <w:bottom w:w="0" w:type="dxa"/>
                    <w:right w:w="0" w:type="dxa"/>
                  </w:tcMar>
                  <w:vAlign w:val="center"/>
                </w:tcPr>
                <w:p w14:paraId="7F35363E">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管控措施</w:t>
                  </w:r>
                </w:p>
              </w:tc>
              <w:tc>
                <w:tcPr>
                  <w:tcW w:w="1140" w:type="pct"/>
                  <w:noWrap w:val="0"/>
                  <w:tcMar>
                    <w:top w:w="0" w:type="dxa"/>
                    <w:left w:w="0" w:type="dxa"/>
                    <w:bottom w:w="0" w:type="dxa"/>
                    <w:right w:w="0" w:type="dxa"/>
                  </w:tcMar>
                  <w:vAlign w:val="center"/>
                </w:tcPr>
                <w:p w14:paraId="1112D066">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情况</w:t>
                  </w:r>
                </w:p>
              </w:tc>
              <w:tc>
                <w:tcPr>
                  <w:tcW w:w="297" w:type="pct"/>
                  <w:noWrap w:val="0"/>
                  <w:tcMar>
                    <w:top w:w="0" w:type="dxa"/>
                    <w:left w:w="0" w:type="dxa"/>
                    <w:bottom w:w="0" w:type="dxa"/>
                    <w:right w:w="0" w:type="dxa"/>
                  </w:tcMar>
                  <w:vAlign w:val="center"/>
                </w:tcPr>
                <w:p w14:paraId="72FECBC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4F25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02" w:type="pct"/>
                  <w:vMerge w:val="restart"/>
                  <w:noWrap w:val="0"/>
                  <w:tcMar>
                    <w:top w:w="0" w:type="dxa"/>
                    <w:left w:w="0" w:type="dxa"/>
                    <w:bottom w:w="0" w:type="dxa"/>
                    <w:right w:w="0" w:type="dxa"/>
                  </w:tcMar>
                  <w:vAlign w:val="center"/>
                </w:tcPr>
                <w:p w14:paraId="40673BDF">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ZH130828</w:t>
                  </w:r>
                  <w:r>
                    <w:rPr>
                      <w:rFonts w:hint="eastAsia" w:cs="Times New Roman"/>
                      <w:color w:val="000000" w:themeColor="text1"/>
                      <w:sz w:val="21"/>
                      <w:szCs w:val="21"/>
                      <w:highlight w:val="none"/>
                      <w:lang w:val="en-US" w:eastAsia="zh-CN"/>
                      <w14:textFill>
                        <w14:solidFill>
                          <w14:schemeClr w14:val="tx1"/>
                        </w14:solidFill>
                      </w14:textFill>
                    </w:rPr>
                    <w:t>10012</w:t>
                  </w:r>
                </w:p>
              </w:tc>
              <w:tc>
                <w:tcPr>
                  <w:tcW w:w="208" w:type="pct"/>
                  <w:vMerge w:val="restart"/>
                  <w:noWrap w:val="0"/>
                  <w:tcMar>
                    <w:top w:w="0" w:type="dxa"/>
                    <w:left w:w="0" w:type="dxa"/>
                    <w:bottom w:w="0" w:type="dxa"/>
                    <w:right w:w="0" w:type="dxa"/>
                  </w:tcMar>
                  <w:vAlign w:val="center"/>
                </w:tcPr>
                <w:p w14:paraId="453FFBFD">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围场满蒙自治县</w:t>
                  </w:r>
                </w:p>
              </w:tc>
              <w:tc>
                <w:tcPr>
                  <w:tcW w:w="294" w:type="pct"/>
                  <w:vMerge w:val="restart"/>
                  <w:noWrap w:val="0"/>
                  <w:tcMar>
                    <w:top w:w="0" w:type="dxa"/>
                    <w:left w:w="0" w:type="dxa"/>
                    <w:bottom w:w="0" w:type="dxa"/>
                    <w:right w:w="0" w:type="dxa"/>
                  </w:tcMar>
                  <w:vAlign w:val="center"/>
                </w:tcPr>
                <w:p w14:paraId="3A7B524A">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优先保护单元</w:t>
                  </w:r>
                </w:p>
              </w:tc>
              <w:tc>
                <w:tcPr>
                  <w:tcW w:w="379" w:type="pct"/>
                  <w:vMerge w:val="restart"/>
                  <w:noWrap w:val="0"/>
                  <w:tcMar>
                    <w:top w:w="0" w:type="dxa"/>
                    <w:left w:w="0" w:type="dxa"/>
                    <w:bottom w:w="0" w:type="dxa"/>
                    <w:right w:w="0" w:type="dxa"/>
                  </w:tcMar>
                  <w:vAlign w:val="center"/>
                </w:tcPr>
                <w:p w14:paraId="6D3C310E">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克勒沟镇、朝阳湾镇、银窝沟乡、杨家湾乡</w:t>
                  </w:r>
                </w:p>
              </w:tc>
              <w:tc>
                <w:tcPr>
                  <w:tcW w:w="432" w:type="pct"/>
                  <w:vMerge w:val="restart"/>
                  <w:noWrap w:val="0"/>
                  <w:tcMar>
                    <w:top w:w="0" w:type="dxa"/>
                    <w:left w:w="0" w:type="dxa"/>
                    <w:bottom w:w="0" w:type="dxa"/>
                    <w:right w:w="0" w:type="dxa"/>
                  </w:tcMar>
                  <w:vAlign w:val="center"/>
                </w:tcPr>
                <w:p w14:paraId="03ACE7C2">
                  <w:pPr>
                    <w:keepNext w:val="0"/>
                    <w:keepLines w:val="0"/>
                    <w:pageBreakBefore w:val="0"/>
                    <w:widowControl w:val="0"/>
                    <w:kinsoku/>
                    <w:wordWrap/>
                    <w:overflowPunct/>
                    <w:topLinePunct w:val="0"/>
                    <w:autoSpaceDE/>
                    <w:autoSpaceDN/>
                    <w:bidi w:val="0"/>
                    <w:spacing w:line="2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一般生态空间、水环境其他区域、大气一般管控区</w:t>
                  </w:r>
                </w:p>
              </w:tc>
              <w:tc>
                <w:tcPr>
                  <w:tcW w:w="550" w:type="pct"/>
                  <w:noWrap w:val="0"/>
                  <w:tcMar>
                    <w:top w:w="0" w:type="dxa"/>
                    <w:left w:w="0" w:type="dxa"/>
                    <w:bottom w:w="0" w:type="dxa"/>
                    <w:right w:w="0" w:type="dxa"/>
                  </w:tcMar>
                  <w:vAlign w:val="center"/>
                </w:tcPr>
                <w:p w14:paraId="047CE5E1">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w:t>
                  </w:r>
                </w:p>
              </w:tc>
              <w:tc>
                <w:tcPr>
                  <w:tcW w:w="1394" w:type="pct"/>
                  <w:noWrap w:val="0"/>
                  <w:tcMar>
                    <w:top w:w="0" w:type="dxa"/>
                    <w:left w:w="0" w:type="dxa"/>
                    <w:bottom w:w="0" w:type="dxa"/>
                    <w:right w:w="0" w:type="dxa"/>
                  </w:tcMar>
                  <w:vAlign w:val="center"/>
                </w:tcPr>
                <w:p w14:paraId="501369D8">
                  <w:pPr>
                    <w:pStyle w:val="28"/>
                    <w:keepNext w:val="0"/>
                    <w:keepLines w:val="0"/>
                    <w:pageBreakBefore w:val="0"/>
                    <w:widowControl w:val="0"/>
                    <w:numPr>
                      <w:ilvl w:val="0"/>
                      <w:numId w:val="0"/>
                    </w:numPr>
                    <w:kinsoku/>
                    <w:wordWrap/>
                    <w:overflowPunct/>
                    <w:topLinePunct w:val="0"/>
                    <w:autoSpaceDE/>
                    <w:autoSpaceDN/>
                    <w:bidi w:val="0"/>
                    <w:spacing w:line="260" w:lineRule="exact"/>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1、执行承德市总体准入清单中一般生态空间准入要求。</w:t>
                  </w:r>
                </w:p>
                <w:p w14:paraId="39CCFC41">
                  <w:pPr>
                    <w:pStyle w:val="28"/>
                    <w:keepNext w:val="0"/>
                    <w:keepLines w:val="0"/>
                    <w:pageBreakBefore w:val="0"/>
                    <w:widowControl w:val="0"/>
                    <w:numPr>
                      <w:ilvl w:val="0"/>
                      <w:numId w:val="0"/>
                    </w:numPr>
                    <w:kinsoku/>
                    <w:wordWrap/>
                    <w:overflowPunct/>
                    <w:topLinePunct w:val="0"/>
                    <w:autoSpaceDE/>
                    <w:autoSpaceDN/>
                    <w:bidi w:val="0"/>
                    <w:spacing w:line="26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cs="Times New Roman"/>
                      <w:b w:val="0"/>
                      <w:bCs w:val="0"/>
                      <w:color w:val="000000" w:themeColor="text1"/>
                      <w:sz w:val="21"/>
                      <w:szCs w:val="21"/>
                      <w:highlight w:val="none"/>
                      <w:lang w:val="en-US" w:eastAsia="zh-CN"/>
                      <w14:textFill>
                        <w14:solidFill>
                          <w14:schemeClr w14:val="tx1"/>
                        </w14:solidFill>
                      </w14:textFill>
                    </w:rPr>
                    <w:t>在沙化土地范围内从事开发建设活动的，必须事先就该项目可能对当地及相关地区生态产生的影响进行环境影响评价，依法提交环境影响报告；环境影响报告应当包括有关防沙治沙的内容。</w:t>
                  </w:r>
                </w:p>
              </w:tc>
              <w:tc>
                <w:tcPr>
                  <w:tcW w:w="1140" w:type="pct"/>
                  <w:noWrap w:val="0"/>
                  <w:tcMar>
                    <w:top w:w="0" w:type="dxa"/>
                    <w:left w:w="0" w:type="dxa"/>
                    <w:bottom w:w="0" w:type="dxa"/>
                    <w:right w:w="0" w:type="dxa"/>
                  </w:tcMar>
                  <w:vAlign w:val="center"/>
                </w:tcPr>
                <w:p w14:paraId="5DEFFA67">
                  <w:pPr>
                    <w:pStyle w:val="84"/>
                    <w:keepNext w:val="0"/>
                    <w:keepLines w:val="0"/>
                    <w:pageBreakBefore w:val="0"/>
                    <w:widowControl w:val="0"/>
                    <w:kinsoku/>
                    <w:wordWrap/>
                    <w:overflowPunct/>
                    <w:topLinePunct w:val="0"/>
                    <w:autoSpaceDE/>
                    <w:autoSpaceDN/>
                    <w:bidi w:val="0"/>
                    <w:spacing w:line="260" w:lineRule="exact"/>
                    <w:jc w:val="both"/>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1、本项目与承德市总体准入清单中一般生态空间准入要求符合性分析见表1-3。</w:t>
                  </w:r>
                </w:p>
                <w:p w14:paraId="34E43A92">
                  <w:pPr>
                    <w:pStyle w:val="84"/>
                    <w:keepNext w:val="0"/>
                    <w:keepLines w:val="0"/>
                    <w:pageBreakBefore w:val="0"/>
                    <w:widowControl w:val="0"/>
                    <w:kinsoku/>
                    <w:wordWrap/>
                    <w:overflowPunct/>
                    <w:topLinePunct w:val="0"/>
                    <w:autoSpaceDE/>
                    <w:autoSpaceDN/>
                    <w:bidi w:val="0"/>
                    <w:spacing w:line="260" w:lineRule="exact"/>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2、本项目部分塔基占用沙化土地，本评价已包括项目对沙化土地生态环境影响及有关防风固沙的内容并且施工期已采取防风固沙措施。</w:t>
                  </w:r>
                </w:p>
              </w:tc>
              <w:tc>
                <w:tcPr>
                  <w:tcW w:w="297" w:type="pct"/>
                  <w:noWrap w:val="0"/>
                  <w:tcMar>
                    <w:top w:w="0" w:type="dxa"/>
                    <w:left w:w="0" w:type="dxa"/>
                    <w:bottom w:w="0" w:type="dxa"/>
                    <w:right w:w="0" w:type="dxa"/>
                  </w:tcMar>
                  <w:vAlign w:val="center"/>
                </w:tcPr>
                <w:p w14:paraId="6B8319B7">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F2C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02" w:type="pct"/>
                  <w:vMerge w:val="continue"/>
                  <w:noWrap w:val="0"/>
                  <w:tcMar>
                    <w:top w:w="0" w:type="dxa"/>
                    <w:left w:w="0" w:type="dxa"/>
                    <w:bottom w:w="0" w:type="dxa"/>
                    <w:right w:w="0" w:type="dxa"/>
                  </w:tcMar>
                  <w:vAlign w:val="center"/>
                </w:tcPr>
                <w:p w14:paraId="39C6971D">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8" w:type="pct"/>
                  <w:vMerge w:val="continue"/>
                  <w:noWrap w:val="0"/>
                  <w:tcMar>
                    <w:top w:w="0" w:type="dxa"/>
                    <w:left w:w="0" w:type="dxa"/>
                    <w:bottom w:w="0" w:type="dxa"/>
                    <w:right w:w="0" w:type="dxa"/>
                  </w:tcMar>
                  <w:vAlign w:val="center"/>
                </w:tcPr>
                <w:p w14:paraId="5DFFEE0F">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94" w:type="pct"/>
                  <w:vMerge w:val="continue"/>
                  <w:noWrap w:val="0"/>
                  <w:tcMar>
                    <w:top w:w="0" w:type="dxa"/>
                    <w:left w:w="0" w:type="dxa"/>
                    <w:bottom w:w="0" w:type="dxa"/>
                    <w:right w:w="0" w:type="dxa"/>
                  </w:tcMar>
                  <w:vAlign w:val="center"/>
                </w:tcPr>
                <w:p w14:paraId="272F78D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9" w:type="pct"/>
                  <w:vMerge w:val="continue"/>
                  <w:noWrap w:val="0"/>
                  <w:tcMar>
                    <w:top w:w="0" w:type="dxa"/>
                    <w:left w:w="0" w:type="dxa"/>
                    <w:bottom w:w="0" w:type="dxa"/>
                    <w:right w:w="0" w:type="dxa"/>
                  </w:tcMar>
                  <w:vAlign w:val="center"/>
                </w:tcPr>
                <w:p w14:paraId="3C91F04E">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2" w:type="pct"/>
                  <w:vMerge w:val="continue"/>
                  <w:noWrap w:val="0"/>
                  <w:tcMar>
                    <w:top w:w="0" w:type="dxa"/>
                    <w:left w:w="0" w:type="dxa"/>
                    <w:bottom w:w="0" w:type="dxa"/>
                    <w:right w:w="0" w:type="dxa"/>
                  </w:tcMar>
                  <w:vAlign w:val="center"/>
                </w:tcPr>
                <w:p w14:paraId="64E48E48">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0" w:type="pct"/>
                  <w:noWrap w:val="0"/>
                  <w:tcMar>
                    <w:top w:w="0" w:type="dxa"/>
                    <w:left w:w="0" w:type="dxa"/>
                    <w:bottom w:w="0" w:type="dxa"/>
                    <w:right w:w="0" w:type="dxa"/>
                  </w:tcMar>
                  <w:vAlign w:val="center"/>
                </w:tcPr>
                <w:p w14:paraId="577B44F8">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1394" w:type="pct"/>
                  <w:noWrap w:val="0"/>
                  <w:tcMar>
                    <w:top w:w="0" w:type="dxa"/>
                    <w:left w:w="0" w:type="dxa"/>
                    <w:bottom w:w="0" w:type="dxa"/>
                    <w:right w:w="0" w:type="dxa"/>
                  </w:tcMar>
                  <w:vAlign w:val="center"/>
                </w:tcPr>
                <w:p w14:paraId="2EBBC67E">
                  <w:pPr>
                    <w:pStyle w:val="84"/>
                    <w:keepNext w:val="0"/>
                    <w:keepLines w:val="0"/>
                    <w:pageBreakBefore w:val="0"/>
                    <w:widowControl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40" w:type="pct"/>
                  <w:noWrap w:val="0"/>
                  <w:tcMar>
                    <w:top w:w="0" w:type="dxa"/>
                    <w:left w:w="0" w:type="dxa"/>
                    <w:bottom w:w="0" w:type="dxa"/>
                    <w:right w:w="0" w:type="dxa"/>
                  </w:tcMar>
                  <w:vAlign w:val="center"/>
                </w:tcPr>
                <w:p w14:paraId="61A3E04A">
                  <w:pPr>
                    <w:pStyle w:val="84"/>
                    <w:keepNext w:val="0"/>
                    <w:keepLines w:val="0"/>
                    <w:pageBreakBefore w:val="0"/>
                    <w:widowControl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97" w:type="pct"/>
                  <w:noWrap w:val="0"/>
                  <w:tcMar>
                    <w:top w:w="0" w:type="dxa"/>
                    <w:left w:w="0" w:type="dxa"/>
                    <w:bottom w:w="0" w:type="dxa"/>
                    <w:right w:w="0" w:type="dxa"/>
                  </w:tcMar>
                  <w:vAlign w:val="center"/>
                </w:tcPr>
                <w:p w14:paraId="14C6A3DD">
                  <w:pPr>
                    <w:pStyle w:val="84"/>
                    <w:keepNext w:val="0"/>
                    <w:keepLines w:val="0"/>
                    <w:pageBreakBefore w:val="0"/>
                    <w:widowControl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3879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02" w:type="pct"/>
                  <w:vMerge w:val="continue"/>
                  <w:noWrap w:val="0"/>
                  <w:tcMar>
                    <w:top w:w="0" w:type="dxa"/>
                    <w:left w:w="0" w:type="dxa"/>
                    <w:bottom w:w="0" w:type="dxa"/>
                    <w:right w:w="0" w:type="dxa"/>
                  </w:tcMar>
                  <w:vAlign w:val="center"/>
                </w:tcPr>
                <w:p w14:paraId="333B9EC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8" w:type="pct"/>
                  <w:vMerge w:val="continue"/>
                  <w:noWrap w:val="0"/>
                  <w:tcMar>
                    <w:top w:w="0" w:type="dxa"/>
                    <w:left w:w="0" w:type="dxa"/>
                    <w:bottom w:w="0" w:type="dxa"/>
                    <w:right w:w="0" w:type="dxa"/>
                  </w:tcMar>
                  <w:vAlign w:val="center"/>
                </w:tcPr>
                <w:p w14:paraId="56A57B11">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94" w:type="pct"/>
                  <w:vMerge w:val="continue"/>
                  <w:noWrap w:val="0"/>
                  <w:tcMar>
                    <w:top w:w="0" w:type="dxa"/>
                    <w:left w:w="0" w:type="dxa"/>
                    <w:bottom w:w="0" w:type="dxa"/>
                    <w:right w:w="0" w:type="dxa"/>
                  </w:tcMar>
                  <w:vAlign w:val="center"/>
                </w:tcPr>
                <w:p w14:paraId="586A5D5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9" w:type="pct"/>
                  <w:vMerge w:val="continue"/>
                  <w:noWrap w:val="0"/>
                  <w:tcMar>
                    <w:top w:w="0" w:type="dxa"/>
                    <w:left w:w="0" w:type="dxa"/>
                    <w:bottom w:w="0" w:type="dxa"/>
                    <w:right w:w="0" w:type="dxa"/>
                  </w:tcMar>
                  <w:vAlign w:val="center"/>
                </w:tcPr>
                <w:p w14:paraId="1012C0ED">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2" w:type="pct"/>
                  <w:vMerge w:val="continue"/>
                  <w:noWrap w:val="0"/>
                  <w:tcMar>
                    <w:top w:w="0" w:type="dxa"/>
                    <w:left w:w="0" w:type="dxa"/>
                    <w:bottom w:w="0" w:type="dxa"/>
                    <w:right w:w="0" w:type="dxa"/>
                  </w:tcMar>
                  <w:vAlign w:val="center"/>
                </w:tcPr>
                <w:p w14:paraId="6BA56825">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0" w:type="pct"/>
                  <w:noWrap w:val="0"/>
                  <w:tcMar>
                    <w:top w:w="0" w:type="dxa"/>
                    <w:left w:w="0" w:type="dxa"/>
                    <w:bottom w:w="0" w:type="dxa"/>
                    <w:right w:w="0" w:type="dxa"/>
                  </w:tcMar>
                  <w:vAlign w:val="center"/>
                </w:tcPr>
                <w:p w14:paraId="545800EE">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1394" w:type="pct"/>
                  <w:noWrap w:val="0"/>
                  <w:tcMar>
                    <w:top w:w="0" w:type="dxa"/>
                    <w:left w:w="0" w:type="dxa"/>
                    <w:bottom w:w="0" w:type="dxa"/>
                    <w:right w:w="0" w:type="dxa"/>
                  </w:tcMar>
                  <w:vAlign w:val="center"/>
                </w:tcPr>
                <w:p w14:paraId="0D8D9CA7">
                  <w:pPr>
                    <w:pStyle w:val="84"/>
                    <w:keepNext w:val="0"/>
                    <w:keepLines w:val="0"/>
                    <w:pageBreakBefore w:val="0"/>
                    <w:widowControl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40" w:type="pct"/>
                  <w:noWrap w:val="0"/>
                  <w:tcMar>
                    <w:top w:w="0" w:type="dxa"/>
                    <w:left w:w="0" w:type="dxa"/>
                    <w:bottom w:w="0" w:type="dxa"/>
                    <w:right w:w="0" w:type="dxa"/>
                  </w:tcMar>
                  <w:vAlign w:val="center"/>
                </w:tcPr>
                <w:p w14:paraId="6F3E8FF7">
                  <w:pPr>
                    <w:pStyle w:val="84"/>
                    <w:keepNext w:val="0"/>
                    <w:keepLines w:val="0"/>
                    <w:pageBreakBefore w:val="0"/>
                    <w:widowControl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97" w:type="pct"/>
                  <w:noWrap w:val="0"/>
                  <w:tcMar>
                    <w:top w:w="0" w:type="dxa"/>
                    <w:left w:w="0" w:type="dxa"/>
                    <w:bottom w:w="0" w:type="dxa"/>
                    <w:right w:w="0" w:type="dxa"/>
                  </w:tcMar>
                  <w:vAlign w:val="center"/>
                </w:tcPr>
                <w:p w14:paraId="3C24D6BC">
                  <w:pPr>
                    <w:pStyle w:val="84"/>
                    <w:keepNext w:val="0"/>
                    <w:keepLines w:val="0"/>
                    <w:pageBreakBefore w:val="0"/>
                    <w:widowControl w:val="0"/>
                    <w:kinsoku/>
                    <w:wordWrap/>
                    <w:overflowPunct/>
                    <w:topLinePunct w:val="0"/>
                    <w:autoSpaceDE/>
                    <w:autoSpaceDN/>
                    <w:bidi w:val="0"/>
                    <w:spacing w:line="26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0639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02" w:type="pct"/>
                  <w:vMerge w:val="continue"/>
                  <w:noWrap w:val="0"/>
                  <w:tcMar>
                    <w:top w:w="0" w:type="dxa"/>
                    <w:left w:w="0" w:type="dxa"/>
                    <w:bottom w:w="0" w:type="dxa"/>
                    <w:right w:w="0" w:type="dxa"/>
                  </w:tcMar>
                  <w:vAlign w:val="center"/>
                </w:tcPr>
                <w:p w14:paraId="0A2DF7B7">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8" w:type="pct"/>
                  <w:vMerge w:val="continue"/>
                  <w:noWrap w:val="0"/>
                  <w:tcMar>
                    <w:top w:w="0" w:type="dxa"/>
                    <w:left w:w="0" w:type="dxa"/>
                    <w:bottom w:w="0" w:type="dxa"/>
                    <w:right w:w="0" w:type="dxa"/>
                  </w:tcMar>
                  <w:vAlign w:val="center"/>
                </w:tcPr>
                <w:p w14:paraId="10B03B9A">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94" w:type="pct"/>
                  <w:vMerge w:val="continue"/>
                  <w:noWrap w:val="0"/>
                  <w:tcMar>
                    <w:top w:w="0" w:type="dxa"/>
                    <w:left w:w="0" w:type="dxa"/>
                    <w:bottom w:w="0" w:type="dxa"/>
                    <w:right w:w="0" w:type="dxa"/>
                  </w:tcMar>
                  <w:vAlign w:val="center"/>
                </w:tcPr>
                <w:p w14:paraId="7BC37AF8">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9" w:type="pct"/>
                  <w:vMerge w:val="continue"/>
                  <w:noWrap w:val="0"/>
                  <w:tcMar>
                    <w:top w:w="0" w:type="dxa"/>
                    <w:left w:w="0" w:type="dxa"/>
                    <w:bottom w:w="0" w:type="dxa"/>
                    <w:right w:w="0" w:type="dxa"/>
                  </w:tcMar>
                  <w:vAlign w:val="center"/>
                </w:tcPr>
                <w:p w14:paraId="50E50090">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2" w:type="pct"/>
                  <w:vMerge w:val="continue"/>
                  <w:noWrap w:val="0"/>
                  <w:tcMar>
                    <w:top w:w="0" w:type="dxa"/>
                    <w:left w:w="0" w:type="dxa"/>
                    <w:bottom w:w="0" w:type="dxa"/>
                    <w:right w:w="0" w:type="dxa"/>
                  </w:tcMar>
                  <w:vAlign w:val="center"/>
                </w:tcPr>
                <w:p w14:paraId="07984B2D">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0" w:type="pct"/>
                  <w:noWrap w:val="0"/>
                  <w:tcMar>
                    <w:top w:w="0" w:type="dxa"/>
                    <w:left w:w="0" w:type="dxa"/>
                    <w:bottom w:w="0" w:type="dxa"/>
                    <w:right w:w="0" w:type="dxa"/>
                  </w:tcMar>
                  <w:vAlign w:val="center"/>
                </w:tcPr>
                <w:p w14:paraId="18E761E5">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资源利用效率</w:t>
                  </w:r>
                </w:p>
              </w:tc>
              <w:tc>
                <w:tcPr>
                  <w:tcW w:w="1394" w:type="pct"/>
                  <w:noWrap w:val="0"/>
                  <w:tcMar>
                    <w:top w:w="0" w:type="dxa"/>
                    <w:left w:w="0" w:type="dxa"/>
                    <w:bottom w:w="0" w:type="dxa"/>
                    <w:right w:w="0" w:type="dxa"/>
                  </w:tcMar>
                  <w:vAlign w:val="center"/>
                </w:tcPr>
                <w:p w14:paraId="47585328">
                  <w:pPr>
                    <w:pStyle w:val="84"/>
                    <w:keepNext w:val="0"/>
                    <w:keepLines w:val="0"/>
                    <w:pageBreakBefore w:val="0"/>
                    <w:widowControl w:val="0"/>
                    <w:kinsoku/>
                    <w:wordWrap/>
                    <w:overflowPunct/>
                    <w:topLinePunct w:val="0"/>
                    <w:autoSpaceDE/>
                    <w:autoSpaceDN/>
                    <w:bidi w:val="0"/>
                    <w:spacing w:line="260" w:lineRule="exact"/>
                    <w:jc w:val="lef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1、按照宜乔则乔、宜灌则灌、宜草则草，乔灌草结合的原则，因地制宜开展沙地治理。2、在严格保护生态环境前提下，鼓励采取多样化模式和路径，科学合理推动生态产品价值实现。</w:t>
                  </w:r>
                </w:p>
              </w:tc>
              <w:tc>
                <w:tcPr>
                  <w:tcW w:w="1140" w:type="pct"/>
                  <w:noWrap w:val="0"/>
                  <w:tcMar>
                    <w:top w:w="0" w:type="dxa"/>
                    <w:left w:w="0" w:type="dxa"/>
                    <w:bottom w:w="0" w:type="dxa"/>
                    <w:right w:w="0" w:type="dxa"/>
                  </w:tcMar>
                  <w:vAlign w:val="center"/>
                </w:tcPr>
                <w:p w14:paraId="6D4271D9">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本项目临时占地恢复按照乔、灌、草</w:t>
                  </w:r>
                  <w:r>
                    <w:rPr>
                      <w:rFonts w:hint="eastAsia" w:ascii="Times New Roman" w:hAnsi="Times New Roman" w:cs="Times New Roman"/>
                      <w:bCs/>
                      <w:color w:val="000000" w:themeColor="text1"/>
                      <w:highlight w:val="none"/>
                      <w:lang w:val="en-US" w:eastAsia="zh-CN"/>
                      <w14:textFill>
                        <w14:solidFill>
                          <w14:schemeClr w14:val="tx1"/>
                        </w14:solidFill>
                      </w14:textFill>
                    </w:rPr>
                    <w:t>相</w:t>
                  </w:r>
                  <w:r>
                    <w:rPr>
                      <w:rFonts w:hint="default" w:ascii="Times New Roman" w:hAnsi="Times New Roman" w:cs="Times New Roman"/>
                      <w:bCs/>
                      <w:color w:val="000000" w:themeColor="text1"/>
                      <w:highlight w:val="none"/>
                      <w14:textFill>
                        <w14:solidFill>
                          <w14:schemeClr w14:val="tx1"/>
                        </w14:solidFill>
                      </w14:textFill>
                    </w:rPr>
                    <w:t>结合的措施进行恢复</w:t>
                  </w:r>
                </w:p>
              </w:tc>
              <w:tc>
                <w:tcPr>
                  <w:tcW w:w="297" w:type="pct"/>
                  <w:noWrap w:val="0"/>
                  <w:tcMar>
                    <w:top w:w="0" w:type="dxa"/>
                    <w:left w:w="0" w:type="dxa"/>
                    <w:bottom w:w="0" w:type="dxa"/>
                    <w:right w:w="0" w:type="dxa"/>
                  </w:tcMar>
                  <w:vAlign w:val="center"/>
                </w:tcPr>
                <w:p w14:paraId="577BB281">
                  <w:pPr>
                    <w:pStyle w:val="84"/>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7DD0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2" w:type="pct"/>
                  <w:vMerge w:val="restart"/>
                  <w:noWrap w:val="0"/>
                  <w:tcMar>
                    <w:top w:w="0" w:type="dxa"/>
                    <w:left w:w="0" w:type="dxa"/>
                    <w:bottom w:w="0" w:type="dxa"/>
                    <w:right w:w="0" w:type="dxa"/>
                  </w:tcMar>
                  <w:vAlign w:val="center"/>
                </w:tcPr>
                <w:p w14:paraId="2CE4ADDA">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ZH13082830001</w:t>
                  </w:r>
                </w:p>
              </w:tc>
              <w:tc>
                <w:tcPr>
                  <w:tcW w:w="208" w:type="pct"/>
                  <w:vMerge w:val="restart"/>
                  <w:noWrap w:val="0"/>
                  <w:tcMar>
                    <w:top w:w="0" w:type="dxa"/>
                    <w:left w:w="0" w:type="dxa"/>
                    <w:bottom w:w="0" w:type="dxa"/>
                    <w:right w:w="0" w:type="dxa"/>
                  </w:tcMar>
                  <w:vAlign w:val="center"/>
                </w:tcPr>
                <w:p w14:paraId="2F409351">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围场满族蒙古族自治县</w:t>
                  </w:r>
                </w:p>
              </w:tc>
              <w:tc>
                <w:tcPr>
                  <w:tcW w:w="294" w:type="pct"/>
                  <w:vMerge w:val="restart"/>
                  <w:noWrap w:val="0"/>
                  <w:tcMar>
                    <w:top w:w="0" w:type="dxa"/>
                    <w:left w:w="0" w:type="dxa"/>
                    <w:bottom w:w="0" w:type="dxa"/>
                    <w:right w:w="0" w:type="dxa"/>
                  </w:tcMar>
                  <w:vAlign w:val="center"/>
                </w:tcPr>
                <w:p w14:paraId="676600F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一般管控单元</w:t>
                  </w:r>
                </w:p>
              </w:tc>
              <w:tc>
                <w:tcPr>
                  <w:tcW w:w="379" w:type="pct"/>
                  <w:vMerge w:val="restart"/>
                  <w:noWrap w:val="0"/>
                  <w:tcMar>
                    <w:top w:w="0" w:type="dxa"/>
                    <w:left w:w="0" w:type="dxa"/>
                    <w:bottom w:w="0" w:type="dxa"/>
                    <w:right w:w="0" w:type="dxa"/>
                  </w:tcMar>
                  <w:vAlign w:val="center"/>
                </w:tcPr>
                <w:p w14:paraId="6FD6E846">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克勒沟镇、长阳弯针、银窝沟乡、杨家湾乡</w:t>
                  </w:r>
                </w:p>
              </w:tc>
              <w:tc>
                <w:tcPr>
                  <w:tcW w:w="432" w:type="pct"/>
                  <w:vMerge w:val="restart"/>
                  <w:noWrap w:val="0"/>
                  <w:tcMar>
                    <w:top w:w="0" w:type="dxa"/>
                    <w:left w:w="0" w:type="dxa"/>
                    <w:bottom w:w="0" w:type="dxa"/>
                    <w:right w:w="0" w:type="dxa"/>
                  </w:tcMar>
                  <w:vAlign w:val="center"/>
                </w:tcPr>
                <w:p w14:paraId="47A3E25B">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水环境其他区域、大气一般管控区</w:t>
                  </w:r>
                </w:p>
              </w:tc>
              <w:tc>
                <w:tcPr>
                  <w:tcW w:w="550" w:type="pct"/>
                  <w:noWrap w:val="0"/>
                  <w:tcMar>
                    <w:top w:w="0" w:type="dxa"/>
                    <w:left w:w="0" w:type="dxa"/>
                    <w:bottom w:w="0" w:type="dxa"/>
                    <w:right w:w="0" w:type="dxa"/>
                  </w:tcMar>
                  <w:vAlign w:val="center"/>
                </w:tcPr>
                <w:p w14:paraId="34767C4C">
                  <w:pPr>
                    <w:pStyle w:val="84"/>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空间布局</w:t>
                  </w:r>
                </w:p>
              </w:tc>
              <w:tc>
                <w:tcPr>
                  <w:tcW w:w="1394" w:type="pct"/>
                  <w:noWrap w:val="0"/>
                  <w:tcMar>
                    <w:top w:w="0" w:type="dxa"/>
                    <w:left w:w="0" w:type="dxa"/>
                    <w:bottom w:w="0" w:type="dxa"/>
                    <w:right w:w="0" w:type="dxa"/>
                  </w:tcMar>
                  <w:vAlign w:val="center"/>
                </w:tcPr>
                <w:p w14:paraId="6EC6AEC0">
                  <w:pPr>
                    <w:pStyle w:val="84"/>
                    <w:keepNext w:val="0"/>
                    <w:keepLines w:val="0"/>
                    <w:pageBreakBefore w:val="0"/>
                    <w:widowControl w:val="0"/>
                    <w:numPr>
                      <w:ilvl w:val="0"/>
                      <w:numId w:val="2"/>
                    </w:numPr>
                    <w:kinsoku/>
                    <w:wordWrap/>
                    <w:overflowPunct/>
                    <w:topLinePunct w:val="0"/>
                    <w:autoSpaceDE/>
                    <w:autoSpaceDN/>
                    <w:bidi w:val="0"/>
                    <w:spacing w:line="260" w:lineRule="exact"/>
                    <w:jc w:val="left"/>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贯彻实施国家、河北省大气污染物排放标准，完善脱硫、脱硝、除尘等污染治理设施，实现达标排放。重点控制新增产能，加强项目论证，优先在相关产业集聚区布局，新增项目应满足环境准入条件，实现集约高效发展。</w:t>
                  </w:r>
                </w:p>
                <w:p w14:paraId="16D2C80F">
                  <w:pPr>
                    <w:pStyle w:val="84"/>
                    <w:keepNext w:val="0"/>
                    <w:keepLines w:val="0"/>
                    <w:pageBreakBefore w:val="0"/>
                    <w:widowControl w:val="0"/>
                    <w:numPr>
                      <w:ilvl w:val="0"/>
                      <w:numId w:val="0"/>
                    </w:numPr>
                    <w:kinsoku/>
                    <w:wordWrap/>
                    <w:overflowPunct/>
                    <w:topLinePunct w:val="0"/>
                    <w:autoSpaceDE/>
                    <w:autoSpaceDN/>
                    <w:bidi w:val="0"/>
                    <w:spacing w:line="26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cs="Times New Roman"/>
                      <w:b w:val="0"/>
                      <w:bCs w:val="0"/>
                      <w:color w:val="000000" w:themeColor="text1"/>
                      <w:sz w:val="21"/>
                      <w:szCs w:val="21"/>
                      <w:highlight w:val="none"/>
                      <w:lang w:val="en-US" w:eastAsia="zh-CN"/>
                      <w14:textFill>
                        <w14:solidFill>
                          <w14:schemeClr w14:val="tx1"/>
                        </w14:solidFill>
                      </w14:textFill>
                    </w:rPr>
                    <w:t>在沙化土地范围内从事开发建设活动的，必须事先就该项目可能对当地及相关地区生态产生的影响进行环境影响评价，依法提交环境影响报告；环境影响报告应当包括有关防沙治沙的内容。</w:t>
                  </w:r>
                </w:p>
              </w:tc>
              <w:tc>
                <w:tcPr>
                  <w:tcW w:w="1140" w:type="pct"/>
                  <w:noWrap w:val="0"/>
                  <w:tcMar>
                    <w:top w:w="0" w:type="dxa"/>
                    <w:left w:w="0" w:type="dxa"/>
                    <w:bottom w:w="0" w:type="dxa"/>
                    <w:right w:w="0" w:type="dxa"/>
                  </w:tcMar>
                  <w:vAlign w:val="center"/>
                </w:tcPr>
                <w:p w14:paraId="0F33F839">
                  <w:pPr>
                    <w:pStyle w:val="84"/>
                    <w:keepNext w:val="0"/>
                    <w:keepLines w:val="0"/>
                    <w:pageBreakBefore w:val="0"/>
                    <w:widowControl w:val="0"/>
                    <w:kinsoku/>
                    <w:wordWrap/>
                    <w:overflowPunct/>
                    <w:topLinePunct w:val="0"/>
                    <w:autoSpaceDE/>
                    <w:autoSpaceDN/>
                    <w:bidi w:val="0"/>
                    <w:spacing w:line="260" w:lineRule="exact"/>
                    <w:jc w:val="left"/>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1、本项目为风力发电项目配套送出线路工程，施工期采取了严格的扬尘防治措施，运营期不涉及大气污染物排放。</w:t>
                  </w:r>
                </w:p>
                <w:p w14:paraId="0F616A2F">
                  <w:pPr>
                    <w:pStyle w:val="84"/>
                    <w:keepNext w:val="0"/>
                    <w:keepLines w:val="0"/>
                    <w:pageBreakBefore w:val="0"/>
                    <w:widowControl w:val="0"/>
                    <w:kinsoku/>
                    <w:wordWrap/>
                    <w:overflowPunct/>
                    <w:topLinePunct w:val="0"/>
                    <w:autoSpaceDE/>
                    <w:autoSpaceDN/>
                    <w:bidi w:val="0"/>
                    <w:spacing w:line="260" w:lineRule="exact"/>
                    <w:jc w:val="left"/>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cs="Times New Roman"/>
                      <w:b w:val="0"/>
                      <w:bCs w:val="0"/>
                      <w:color w:val="000000" w:themeColor="text1"/>
                      <w:sz w:val="21"/>
                      <w:szCs w:val="21"/>
                      <w:highlight w:val="none"/>
                      <w:lang w:val="en-US" w:eastAsia="zh-CN"/>
                      <w14:textFill>
                        <w14:solidFill>
                          <w14:schemeClr w14:val="tx1"/>
                        </w14:solidFill>
                      </w14:textFill>
                    </w:rPr>
                    <w:t>本项目部分塔基占用沙化土地，本评价已包括项目对沙化土地生态环境影响及有关防风固沙的内容并且施工期已采取防风固沙措施。</w:t>
                  </w:r>
                </w:p>
              </w:tc>
              <w:tc>
                <w:tcPr>
                  <w:tcW w:w="297" w:type="pct"/>
                  <w:noWrap w:val="0"/>
                  <w:tcMar>
                    <w:top w:w="0" w:type="dxa"/>
                    <w:left w:w="0" w:type="dxa"/>
                    <w:bottom w:w="0" w:type="dxa"/>
                    <w:right w:w="0" w:type="dxa"/>
                  </w:tcMar>
                  <w:vAlign w:val="center"/>
                </w:tcPr>
                <w:p w14:paraId="651826BC">
                  <w:pPr>
                    <w:pStyle w:val="84"/>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7296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2" w:type="pct"/>
                  <w:vMerge w:val="continue"/>
                  <w:noWrap w:val="0"/>
                  <w:tcMar>
                    <w:top w:w="0" w:type="dxa"/>
                    <w:left w:w="0" w:type="dxa"/>
                    <w:bottom w:w="0" w:type="dxa"/>
                    <w:right w:w="0" w:type="dxa"/>
                  </w:tcMar>
                  <w:vAlign w:val="center"/>
                </w:tcPr>
                <w:p w14:paraId="0AF4462A">
                  <w:pPr>
                    <w:pStyle w:val="84"/>
                    <w:keepNext w:val="0"/>
                    <w:keepLines w:val="0"/>
                    <w:pageBreakBefore w:val="0"/>
                    <w:widowControl w:val="0"/>
                    <w:kinsoku/>
                    <w:wordWrap/>
                    <w:overflowPunct/>
                    <w:topLinePunct w:val="0"/>
                    <w:autoSpaceDE/>
                    <w:autoSpaceDN/>
                    <w:bidi w:val="0"/>
                    <w:spacing w:line="260" w:lineRule="exact"/>
                    <w:textAlignment w:val="auto"/>
                    <w:rPr>
                      <w:color w:val="000000" w:themeColor="text1"/>
                      <w:highlight w:val="none"/>
                      <w14:textFill>
                        <w14:solidFill>
                          <w14:schemeClr w14:val="tx1"/>
                        </w14:solidFill>
                      </w14:textFill>
                    </w:rPr>
                  </w:pPr>
                </w:p>
              </w:tc>
              <w:tc>
                <w:tcPr>
                  <w:tcW w:w="208" w:type="pct"/>
                  <w:vMerge w:val="continue"/>
                  <w:noWrap w:val="0"/>
                  <w:tcMar>
                    <w:top w:w="0" w:type="dxa"/>
                    <w:left w:w="0" w:type="dxa"/>
                    <w:bottom w:w="0" w:type="dxa"/>
                    <w:right w:w="0" w:type="dxa"/>
                  </w:tcMar>
                  <w:vAlign w:val="center"/>
                </w:tcPr>
                <w:p w14:paraId="35CADAA1">
                  <w:pPr>
                    <w:pStyle w:val="84"/>
                    <w:keepNext w:val="0"/>
                    <w:keepLines w:val="0"/>
                    <w:pageBreakBefore w:val="0"/>
                    <w:widowControl w:val="0"/>
                    <w:kinsoku/>
                    <w:wordWrap/>
                    <w:overflowPunct/>
                    <w:topLinePunct w:val="0"/>
                    <w:autoSpaceDE/>
                    <w:autoSpaceDN/>
                    <w:bidi w:val="0"/>
                    <w:spacing w:line="260" w:lineRule="exact"/>
                    <w:textAlignment w:val="auto"/>
                    <w:rPr>
                      <w:color w:val="000000" w:themeColor="text1"/>
                      <w:highlight w:val="none"/>
                      <w14:textFill>
                        <w14:solidFill>
                          <w14:schemeClr w14:val="tx1"/>
                        </w14:solidFill>
                      </w14:textFill>
                    </w:rPr>
                  </w:pPr>
                </w:p>
              </w:tc>
              <w:tc>
                <w:tcPr>
                  <w:tcW w:w="294" w:type="pct"/>
                  <w:vMerge w:val="continue"/>
                  <w:noWrap w:val="0"/>
                  <w:tcMar>
                    <w:top w:w="0" w:type="dxa"/>
                    <w:left w:w="0" w:type="dxa"/>
                    <w:bottom w:w="0" w:type="dxa"/>
                    <w:right w:w="0" w:type="dxa"/>
                  </w:tcMar>
                  <w:vAlign w:val="center"/>
                </w:tcPr>
                <w:p w14:paraId="372F9FCC">
                  <w:pPr>
                    <w:pStyle w:val="84"/>
                    <w:keepNext w:val="0"/>
                    <w:keepLines w:val="0"/>
                    <w:pageBreakBefore w:val="0"/>
                    <w:widowControl w:val="0"/>
                    <w:kinsoku/>
                    <w:wordWrap/>
                    <w:overflowPunct/>
                    <w:topLinePunct w:val="0"/>
                    <w:autoSpaceDE/>
                    <w:autoSpaceDN/>
                    <w:bidi w:val="0"/>
                    <w:spacing w:line="260" w:lineRule="exact"/>
                    <w:textAlignment w:val="auto"/>
                    <w:rPr>
                      <w:color w:val="000000" w:themeColor="text1"/>
                      <w:highlight w:val="none"/>
                      <w14:textFill>
                        <w14:solidFill>
                          <w14:schemeClr w14:val="tx1"/>
                        </w14:solidFill>
                      </w14:textFill>
                    </w:rPr>
                  </w:pPr>
                </w:p>
              </w:tc>
              <w:tc>
                <w:tcPr>
                  <w:tcW w:w="379" w:type="pct"/>
                  <w:vMerge w:val="continue"/>
                  <w:noWrap w:val="0"/>
                  <w:tcMar>
                    <w:top w:w="0" w:type="dxa"/>
                    <w:left w:w="0" w:type="dxa"/>
                    <w:bottom w:w="0" w:type="dxa"/>
                    <w:right w:w="0" w:type="dxa"/>
                  </w:tcMar>
                  <w:vAlign w:val="center"/>
                </w:tcPr>
                <w:p w14:paraId="6AE1D5B4">
                  <w:pPr>
                    <w:pStyle w:val="84"/>
                    <w:keepNext w:val="0"/>
                    <w:keepLines w:val="0"/>
                    <w:pageBreakBefore w:val="0"/>
                    <w:widowControl w:val="0"/>
                    <w:kinsoku/>
                    <w:wordWrap/>
                    <w:overflowPunct/>
                    <w:topLinePunct w:val="0"/>
                    <w:autoSpaceDE/>
                    <w:autoSpaceDN/>
                    <w:bidi w:val="0"/>
                    <w:spacing w:line="260" w:lineRule="exact"/>
                    <w:textAlignment w:val="auto"/>
                    <w:rPr>
                      <w:color w:val="000000" w:themeColor="text1"/>
                      <w:highlight w:val="none"/>
                      <w14:textFill>
                        <w14:solidFill>
                          <w14:schemeClr w14:val="tx1"/>
                        </w14:solidFill>
                      </w14:textFill>
                    </w:rPr>
                  </w:pPr>
                </w:p>
              </w:tc>
              <w:tc>
                <w:tcPr>
                  <w:tcW w:w="432" w:type="pct"/>
                  <w:vMerge w:val="continue"/>
                  <w:noWrap w:val="0"/>
                  <w:tcMar>
                    <w:top w:w="0" w:type="dxa"/>
                    <w:left w:w="0" w:type="dxa"/>
                    <w:bottom w:w="0" w:type="dxa"/>
                    <w:right w:w="0" w:type="dxa"/>
                  </w:tcMar>
                  <w:vAlign w:val="center"/>
                </w:tcPr>
                <w:p w14:paraId="0AF66603">
                  <w:pPr>
                    <w:pStyle w:val="84"/>
                    <w:keepNext w:val="0"/>
                    <w:keepLines w:val="0"/>
                    <w:pageBreakBefore w:val="0"/>
                    <w:widowControl w:val="0"/>
                    <w:kinsoku/>
                    <w:wordWrap/>
                    <w:overflowPunct/>
                    <w:topLinePunct w:val="0"/>
                    <w:autoSpaceDE/>
                    <w:autoSpaceDN/>
                    <w:bidi w:val="0"/>
                    <w:spacing w:line="260" w:lineRule="exact"/>
                    <w:textAlignment w:val="auto"/>
                    <w:rPr>
                      <w:color w:val="000000" w:themeColor="text1"/>
                      <w:highlight w:val="none"/>
                      <w14:textFill>
                        <w14:solidFill>
                          <w14:schemeClr w14:val="tx1"/>
                        </w14:solidFill>
                      </w14:textFill>
                    </w:rPr>
                  </w:pPr>
                </w:p>
              </w:tc>
              <w:tc>
                <w:tcPr>
                  <w:tcW w:w="550" w:type="pct"/>
                  <w:noWrap w:val="0"/>
                  <w:tcMar>
                    <w:top w:w="0" w:type="dxa"/>
                    <w:left w:w="0" w:type="dxa"/>
                    <w:bottom w:w="0" w:type="dxa"/>
                    <w:right w:w="0" w:type="dxa"/>
                  </w:tcMar>
                  <w:vAlign w:val="center"/>
                </w:tcPr>
                <w:p w14:paraId="3F39CC9D">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污染物排放管控</w:t>
                  </w:r>
                </w:p>
              </w:tc>
              <w:tc>
                <w:tcPr>
                  <w:tcW w:w="1394" w:type="pct"/>
                  <w:noWrap w:val="0"/>
                  <w:tcMar>
                    <w:top w:w="0" w:type="dxa"/>
                    <w:left w:w="0" w:type="dxa"/>
                    <w:bottom w:w="0" w:type="dxa"/>
                    <w:right w:w="0" w:type="dxa"/>
                  </w:tcMar>
                  <w:vAlign w:val="center"/>
                </w:tcPr>
                <w:p w14:paraId="3BB29E4B">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1、水环境一般管控区应注意控制新增产能水环境污染物控制，实施水污染排放项目与污水处理设施同步规划、同步建设，严格控制水环境高风险类项目准入。执行通用型水环境准入管控清单。</w:t>
                  </w:r>
                </w:p>
              </w:tc>
              <w:tc>
                <w:tcPr>
                  <w:tcW w:w="1140" w:type="pct"/>
                  <w:noWrap w:val="0"/>
                  <w:tcMar>
                    <w:top w:w="0" w:type="dxa"/>
                    <w:left w:w="0" w:type="dxa"/>
                    <w:bottom w:w="0" w:type="dxa"/>
                    <w:right w:w="0" w:type="dxa"/>
                  </w:tcMar>
                  <w:vAlign w:val="center"/>
                </w:tcPr>
                <w:p w14:paraId="5CC6DBC5">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本项目为风力发电项目配套送出线路工程，施工期无废水排放；运营期不新增劳动定员，不新增废水。</w:t>
                  </w:r>
                </w:p>
              </w:tc>
              <w:tc>
                <w:tcPr>
                  <w:tcW w:w="297" w:type="pct"/>
                  <w:noWrap w:val="0"/>
                  <w:tcMar>
                    <w:top w:w="0" w:type="dxa"/>
                    <w:left w:w="0" w:type="dxa"/>
                    <w:bottom w:w="0" w:type="dxa"/>
                    <w:right w:w="0" w:type="dxa"/>
                  </w:tcMar>
                  <w:vAlign w:val="center"/>
                </w:tcPr>
                <w:p w14:paraId="0C7C6C5C">
                  <w:pPr>
                    <w:pStyle w:val="84"/>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53E4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2" w:type="pct"/>
                  <w:vMerge w:val="continue"/>
                  <w:noWrap w:val="0"/>
                  <w:tcMar>
                    <w:top w:w="0" w:type="dxa"/>
                    <w:left w:w="0" w:type="dxa"/>
                    <w:bottom w:w="0" w:type="dxa"/>
                    <w:right w:w="0" w:type="dxa"/>
                  </w:tcMar>
                  <w:vAlign w:val="center"/>
                </w:tcPr>
                <w:p w14:paraId="771ED69F">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8" w:type="pct"/>
                  <w:vMerge w:val="continue"/>
                  <w:noWrap w:val="0"/>
                  <w:tcMar>
                    <w:top w:w="0" w:type="dxa"/>
                    <w:left w:w="0" w:type="dxa"/>
                    <w:bottom w:w="0" w:type="dxa"/>
                    <w:right w:w="0" w:type="dxa"/>
                  </w:tcMar>
                  <w:vAlign w:val="center"/>
                </w:tcPr>
                <w:p w14:paraId="27A7CAD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94" w:type="pct"/>
                  <w:vMerge w:val="continue"/>
                  <w:noWrap w:val="0"/>
                  <w:tcMar>
                    <w:top w:w="0" w:type="dxa"/>
                    <w:left w:w="0" w:type="dxa"/>
                    <w:bottom w:w="0" w:type="dxa"/>
                    <w:right w:w="0" w:type="dxa"/>
                  </w:tcMar>
                  <w:vAlign w:val="center"/>
                </w:tcPr>
                <w:p w14:paraId="75BBDD99">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9" w:type="pct"/>
                  <w:vMerge w:val="continue"/>
                  <w:noWrap w:val="0"/>
                  <w:tcMar>
                    <w:top w:w="0" w:type="dxa"/>
                    <w:left w:w="0" w:type="dxa"/>
                    <w:bottom w:w="0" w:type="dxa"/>
                    <w:right w:w="0" w:type="dxa"/>
                  </w:tcMar>
                  <w:vAlign w:val="center"/>
                </w:tcPr>
                <w:p w14:paraId="2F897D04">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2" w:type="pct"/>
                  <w:vMerge w:val="continue"/>
                  <w:noWrap w:val="0"/>
                  <w:tcMar>
                    <w:top w:w="0" w:type="dxa"/>
                    <w:left w:w="0" w:type="dxa"/>
                    <w:bottom w:w="0" w:type="dxa"/>
                    <w:right w:w="0" w:type="dxa"/>
                  </w:tcMar>
                  <w:vAlign w:val="center"/>
                </w:tcPr>
                <w:p w14:paraId="3C2C88FA">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0" w:type="pct"/>
                  <w:noWrap w:val="0"/>
                  <w:tcMar>
                    <w:top w:w="0" w:type="dxa"/>
                    <w:left w:w="0" w:type="dxa"/>
                    <w:bottom w:w="0" w:type="dxa"/>
                    <w:right w:w="0" w:type="dxa"/>
                  </w:tcMar>
                  <w:vAlign w:val="center"/>
                </w:tcPr>
                <w:p w14:paraId="4B332143">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环境风险防控</w:t>
                  </w:r>
                </w:p>
              </w:tc>
              <w:tc>
                <w:tcPr>
                  <w:tcW w:w="1394" w:type="pct"/>
                  <w:noWrap w:val="0"/>
                  <w:tcMar>
                    <w:top w:w="0" w:type="dxa"/>
                    <w:left w:w="0" w:type="dxa"/>
                    <w:bottom w:w="0" w:type="dxa"/>
                    <w:right w:w="0" w:type="dxa"/>
                  </w:tcMar>
                  <w:vAlign w:val="center"/>
                </w:tcPr>
                <w:p w14:paraId="5021794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矿山企业应当依据国家有关规定编制矿山生态环境保护与恢复治理等方案，严格履行责任义务，边开采、边治理、边恢复；依法依规有序退出的矿山及时进行生态评估并实施生态恢复。2、推进企业建立健全尾矿库全生命周期风险防控和隐患治理机制，落实管控措施，确保尾矿库安全运行、闭库。</w:t>
                  </w:r>
                </w:p>
              </w:tc>
              <w:tc>
                <w:tcPr>
                  <w:tcW w:w="1140" w:type="pct"/>
                  <w:noWrap w:val="0"/>
                  <w:tcMar>
                    <w:top w:w="0" w:type="dxa"/>
                    <w:left w:w="0" w:type="dxa"/>
                    <w:bottom w:w="0" w:type="dxa"/>
                    <w:right w:w="0" w:type="dxa"/>
                  </w:tcMar>
                  <w:vAlign w:val="center"/>
                </w:tcPr>
                <w:p w14:paraId="157AD749">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本项目为风力发电项目配套送出线路工程，不属于矿山企业，不涉及尾矿库</w:t>
                  </w:r>
                </w:p>
              </w:tc>
              <w:tc>
                <w:tcPr>
                  <w:tcW w:w="297" w:type="pct"/>
                  <w:noWrap w:val="0"/>
                  <w:tcMar>
                    <w:top w:w="0" w:type="dxa"/>
                    <w:left w:w="0" w:type="dxa"/>
                    <w:bottom w:w="0" w:type="dxa"/>
                    <w:right w:w="0" w:type="dxa"/>
                  </w:tcMar>
                  <w:vAlign w:val="center"/>
                </w:tcPr>
                <w:p w14:paraId="17CEDE18">
                  <w:pPr>
                    <w:pStyle w:val="84"/>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61C5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2" w:type="pct"/>
                  <w:vMerge w:val="continue"/>
                  <w:noWrap w:val="0"/>
                  <w:tcMar>
                    <w:top w:w="0" w:type="dxa"/>
                    <w:left w:w="0" w:type="dxa"/>
                    <w:bottom w:w="0" w:type="dxa"/>
                    <w:right w:w="0" w:type="dxa"/>
                  </w:tcMar>
                  <w:vAlign w:val="center"/>
                </w:tcPr>
                <w:p w14:paraId="14A6F6EE">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8" w:type="pct"/>
                  <w:vMerge w:val="continue"/>
                  <w:noWrap w:val="0"/>
                  <w:tcMar>
                    <w:top w:w="0" w:type="dxa"/>
                    <w:left w:w="0" w:type="dxa"/>
                    <w:bottom w:w="0" w:type="dxa"/>
                    <w:right w:w="0" w:type="dxa"/>
                  </w:tcMar>
                  <w:vAlign w:val="center"/>
                </w:tcPr>
                <w:p w14:paraId="41DE28C0">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94" w:type="pct"/>
                  <w:vMerge w:val="continue"/>
                  <w:noWrap w:val="0"/>
                  <w:tcMar>
                    <w:top w:w="0" w:type="dxa"/>
                    <w:left w:w="0" w:type="dxa"/>
                    <w:bottom w:w="0" w:type="dxa"/>
                    <w:right w:w="0" w:type="dxa"/>
                  </w:tcMar>
                  <w:vAlign w:val="center"/>
                </w:tcPr>
                <w:p w14:paraId="3F71E7FA">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9" w:type="pct"/>
                  <w:vMerge w:val="continue"/>
                  <w:noWrap w:val="0"/>
                  <w:tcMar>
                    <w:top w:w="0" w:type="dxa"/>
                    <w:left w:w="0" w:type="dxa"/>
                    <w:bottom w:w="0" w:type="dxa"/>
                    <w:right w:w="0" w:type="dxa"/>
                  </w:tcMar>
                  <w:vAlign w:val="center"/>
                </w:tcPr>
                <w:p w14:paraId="27AE7021">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2" w:type="pct"/>
                  <w:vMerge w:val="continue"/>
                  <w:noWrap w:val="0"/>
                  <w:tcMar>
                    <w:top w:w="0" w:type="dxa"/>
                    <w:left w:w="0" w:type="dxa"/>
                    <w:bottom w:w="0" w:type="dxa"/>
                    <w:right w:w="0" w:type="dxa"/>
                  </w:tcMar>
                  <w:vAlign w:val="center"/>
                </w:tcPr>
                <w:p w14:paraId="4FC86809">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0" w:type="pct"/>
                  <w:noWrap w:val="0"/>
                  <w:tcMar>
                    <w:top w:w="0" w:type="dxa"/>
                    <w:left w:w="0" w:type="dxa"/>
                    <w:bottom w:w="0" w:type="dxa"/>
                    <w:right w:w="0" w:type="dxa"/>
                  </w:tcMar>
                  <w:vAlign w:val="center"/>
                </w:tcPr>
                <w:p w14:paraId="2544BD84">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资源利用效率</w:t>
                  </w:r>
                </w:p>
              </w:tc>
              <w:tc>
                <w:tcPr>
                  <w:tcW w:w="1394" w:type="pct"/>
                  <w:noWrap w:val="0"/>
                  <w:tcMar>
                    <w:top w:w="0" w:type="dxa"/>
                    <w:left w:w="0" w:type="dxa"/>
                    <w:bottom w:w="0" w:type="dxa"/>
                    <w:right w:w="0" w:type="dxa"/>
                  </w:tcMar>
                  <w:vAlign w:val="center"/>
                </w:tcPr>
                <w:p w14:paraId="0E4B1EEC">
                  <w:pPr>
                    <w:pStyle w:val="84"/>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1、完善城镇污水处理基础设施，加强城市节约用水，加快城镇污水处理厂再生水利用系统建设，稳步提升城区污水处理厂再生水利用率。2、</w:t>
                  </w:r>
                  <w:r>
                    <w:rPr>
                      <w:rFonts w:hint="eastAsia" w:cs="Times New Roman"/>
                      <w:b w:val="0"/>
                      <w:bCs w:val="0"/>
                      <w:color w:val="000000" w:themeColor="text1"/>
                      <w:sz w:val="21"/>
                      <w:szCs w:val="21"/>
                      <w:highlight w:val="none"/>
                      <w:lang w:val="en-US" w:eastAsia="zh-CN"/>
                      <w14:textFill>
                        <w14:solidFill>
                          <w14:schemeClr w14:val="tx1"/>
                        </w14:solidFill>
                      </w14:textFill>
                    </w:rPr>
                    <w:t>按照宜乔则乔、宜灌则灌、宜草则草，乔灌草结合的原则，因地制宜开展沙地治理</w:t>
                  </w:r>
                </w:p>
              </w:tc>
              <w:tc>
                <w:tcPr>
                  <w:tcW w:w="1140" w:type="pct"/>
                  <w:noWrap w:val="0"/>
                  <w:tcMar>
                    <w:top w:w="0" w:type="dxa"/>
                    <w:left w:w="0" w:type="dxa"/>
                    <w:bottom w:w="0" w:type="dxa"/>
                    <w:right w:w="0" w:type="dxa"/>
                  </w:tcMar>
                  <w:vAlign w:val="center"/>
                </w:tcPr>
                <w:p w14:paraId="0F65E231">
                  <w:pPr>
                    <w:pStyle w:val="84"/>
                    <w:keepNext w:val="0"/>
                    <w:keepLines w:val="0"/>
                    <w:pageBreakBefore w:val="0"/>
                    <w:widowControl w:val="0"/>
                    <w:kinsoku/>
                    <w:wordWrap/>
                    <w:overflowPunct/>
                    <w:topLinePunct w:val="0"/>
                    <w:autoSpaceDE/>
                    <w:autoSpaceDN/>
                    <w:bidi w:val="0"/>
                    <w:spacing w:line="260" w:lineRule="exact"/>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1、本项目施工期无废水排放，运营期不新增劳动定员，不新增废水。</w:t>
                  </w:r>
                </w:p>
                <w:p w14:paraId="16C05CAA">
                  <w:pPr>
                    <w:pStyle w:val="84"/>
                    <w:keepNext w:val="0"/>
                    <w:keepLines w:val="0"/>
                    <w:pageBreakBefore w:val="0"/>
                    <w:widowControl w:val="0"/>
                    <w:kinsoku/>
                    <w:wordWrap/>
                    <w:overflowPunct/>
                    <w:topLinePunct w:val="0"/>
                    <w:autoSpaceDE/>
                    <w:autoSpaceDN/>
                    <w:bidi w:val="0"/>
                    <w:spacing w:line="260" w:lineRule="exact"/>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Cs/>
                      <w:color w:val="000000" w:themeColor="text1"/>
                      <w:highlight w:val="none"/>
                      <w14:textFill>
                        <w14:solidFill>
                          <w14:schemeClr w14:val="tx1"/>
                        </w14:solidFill>
                      </w14:textFill>
                    </w:rPr>
                    <w:t>本项目临时占地恢复按照乔、灌、草</w:t>
                  </w:r>
                  <w:r>
                    <w:rPr>
                      <w:rFonts w:hint="eastAsia" w:ascii="Times New Roman" w:hAnsi="Times New Roman" w:cs="Times New Roman"/>
                      <w:bCs/>
                      <w:color w:val="000000" w:themeColor="text1"/>
                      <w:highlight w:val="none"/>
                      <w:lang w:val="en-US" w:eastAsia="zh-CN"/>
                      <w14:textFill>
                        <w14:solidFill>
                          <w14:schemeClr w14:val="tx1"/>
                        </w14:solidFill>
                      </w14:textFill>
                    </w:rPr>
                    <w:t>相</w:t>
                  </w:r>
                  <w:r>
                    <w:rPr>
                      <w:rFonts w:hint="default" w:ascii="Times New Roman" w:hAnsi="Times New Roman" w:cs="Times New Roman"/>
                      <w:bCs/>
                      <w:color w:val="000000" w:themeColor="text1"/>
                      <w:highlight w:val="none"/>
                      <w14:textFill>
                        <w14:solidFill>
                          <w14:schemeClr w14:val="tx1"/>
                        </w14:solidFill>
                      </w14:textFill>
                    </w:rPr>
                    <w:t>结合的措施进行恢复</w:t>
                  </w:r>
                  <w:r>
                    <w:rPr>
                      <w:rFonts w:hint="eastAsia" w:cs="Times New Roman"/>
                      <w:bCs/>
                      <w:color w:val="000000" w:themeColor="text1"/>
                      <w:highlight w:val="none"/>
                      <w:lang w:eastAsia="zh-CN"/>
                      <w14:textFill>
                        <w14:solidFill>
                          <w14:schemeClr w14:val="tx1"/>
                        </w14:solidFill>
                      </w14:textFill>
                    </w:rPr>
                    <w:t>。</w:t>
                  </w:r>
                </w:p>
              </w:tc>
              <w:tc>
                <w:tcPr>
                  <w:tcW w:w="297" w:type="pct"/>
                  <w:noWrap w:val="0"/>
                  <w:tcMar>
                    <w:top w:w="0" w:type="dxa"/>
                    <w:left w:w="0" w:type="dxa"/>
                    <w:bottom w:w="0" w:type="dxa"/>
                    <w:right w:w="0" w:type="dxa"/>
                  </w:tcMar>
                  <w:vAlign w:val="center"/>
                </w:tcPr>
                <w:p w14:paraId="106A0BC5">
                  <w:pPr>
                    <w:pStyle w:val="84"/>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bl>
          <w:p w14:paraId="37D8F0D8">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表1-</w:t>
            </w:r>
            <w:r>
              <w:rPr>
                <w:rFonts w:hint="eastAsia"/>
                <w:b/>
                <w:color w:val="000000" w:themeColor="text1"/>
                <w:sz w:val="21"/>
                <w:szCs w:val="21"/>
                <w:highlight w:val="none"/>
                <w:lang w:val="en-US" w:eastAsia="zh-CN"/>
                <w14:textFill>
                  <w14:solidFill>
                    <w14:schemeClr w14:val="tx1"/>
                  </w14:solidFill>
                </w14:textFill>
              </w:rPr>
              <w:t>3</w:t>
            </w:r>
            <w:r>
              <w:rPr>
                <w:b/>
                <w:color w:val="000000" w:themeColor="text1"/>
                <w:sz w:val="21"/>
                <w:szCs w:val="21"/>
                <w:highlight w:val="none"/>
                <w14:textFill>
                  <w14:solidFill>
                    <w14:schemeClr w14:val="tx1"/>
                  </w14:solidFill>
                </w14:textFill>
              </w:rPr>
              <w:t xml:space="preserve">  项目</w:t>
            </w:r>
            <w:r>
              <w:rPr>
                <w:rFonts w:hint="eastAsia"/>
                <w:b/>
                <w:color w:val="000000" w:themeColor="text1"/>
                <w:sz w:val="21"/>
                <w:szCs w:val="21"/>
                <w:highlight w:val="none"/>
                <w:lang w:val="en-US" w:eastAsia="zh-CN"/>
                <w14:textFill>
                  <w14:solidFill>
                    <w14:schemeClr w14:val="tx1"/>
                  </w14:solidFill>
                </w14:textFill>
              </w:rPr>
              <w:t>与承德市一般生态空间生态功能</w:t>
            </w:r>
            <w:r>
              <w:rPr>
                <w:b/>
                <w:color w:val="000000" w:themeColor="text1"/>
                <w:sz w:val="21"/>
                <w:szCs w:val="21"/>
                <w:highlight w:val="none"/>
                <w14:textFill>
                  <w14:solidFill>
                    <w14:schemeClr w14:val="tx1"/>
                  </w14:solidFill>
                </w14:textFill>
              </w:rPr>
              <w:t>符合性分析</w:t>
            </w:r>
            <w:r>
              <w:rPr>
                <w:rFonts w:hint="eastAsia"/>
                <w:b/>
                <w:color w:val="000000" w:themeColor="text1"/>
                <w:sz w:val="21"/>
                <w:szCs w:val="21"/>
                <w:highlight w:val="none"/>
                <w:lang w:val="en-US" w:eastAsia="zh-CN"/>
                <w14:textFill>
                  <w14:solidFill>
                    <w14:schemeClr w14:val="tx1"/>
                  </w14:solidFill>
                </w14:textFill>
              </w:rPr>
              <w:t>一览</w:t>
            </w:r>
            <w:r>
              <w:rPr>
                <w:b/>
                <w:color w:val="000000" w:themeColor="text1"/>
                <w:sz w:val="21"/>
                <w:szCs w:val="21"/>
                <w:highlight w:val="none"/>
                <w14:textFill>
                  <w14:solidFill>
                    <w14:schemeClr w14:val="tx1"/>
                  </w14:solidFill>
                </w14:textFill>
              </w:rPr>
              <w:t>表</w:t>
            </w:r>
          </w:p>
          <w:tbl>
            <w:tblPr>
              <w:tblStyle w:val="35"/>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29"/>
              <w:gridCol w:w="4643"/>
              <w:gridCol w:w="1646"/>
              <w:gridCol w:w="590"/>
            </w:tblGrid>
            <w:tr w14:paraId="77DC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Mar>
                    <w:top w:w="0" w:type="dxa"/>
                    <w:left w:w="28" w:type="dxa"/>
                    <w:bottom w:w="0" w:type="dxa"/>
                    <w:right w:w="28" w:type="dxa"/>
                  </w:tcMar>
                  <w:vAlign w:val="center"/>
                </w:tcPr>
                <w:p w14:paraId="6BD2C9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生态功能区</w:t>
                  </w:r>
                </w:p>
              </w:tc>
              <w:tc>
                <w:tcPr>
                  <w:tcW w:w="729" w:type="dxa"/>
                  <w:tcMar>
                    <w:top w:w="0" w:type="dxa"/>
                    <w:left w:w="28" w:type="dxa"/>
                    <w:bottom w:w="0" w:type="dxa"/>
                    <w:right w:w="28" w:type="dxa"/>
                  </w:tcMar>
                  <w:vAlign w:val="center"/>
                </w:tcPr>
                <w:p w14:paraId="4EF657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功能区类型</w:t>
                  </w:r>
                </w:p>
              </w:tc>
              <w:tc>
                <w:tcPr>
                  <w:tcW w:w="4643" w:type="dxa"/>
                  <w:tcMar>
                    <w:top w:w="0" w:type="dxa"/>
                    <w:left w:w="28" w:type="dxa"/>
                    <w:bottom w:w="0" w:type="dxa"/>
                    <w:right w:w="28" w:type="dxa"/>
                  </w:tcMar>
                  <w:vAlign w:val="center"/>
                </w:tcPr>
                <w:p w14:paraId="7FF72E6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管控要求</w:t>
                  </w:r>
                </w:p>
              </w:tc>
              <w:tc>
                <w:tcPr>
                  <w:tcW w:w="1646" w:type="dxa"/>
                  <w:tcMar>
                    <w:top w:w="0" w:type="dxa"/>
                    <w:left w:w="28" w:type="dxa"/>
                    <w:bottom w:w="0" w:type="dxa"/>
                    <w:right w:w="28" w:type="dxa"/>
                  </w:tcMar>
                  <w:vAlign w:val="center"/>
                </w:tcPr>
                <w:p w14:paraId="0EE58D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本项目情况</w:t>
                  </w:r>
                </w:p>
              </w:tc>
              <w:tc>
                <w:tcPr>
                  <w:tcW w:w="590" w:type="dxa"/>
                  <w:tcMar>
                    <w:top w:w="0" w:type="dxa"/>
                    <w:left w:w="28" w:type="dxa"/>
                    <w:bottom w:w="0" w:type="dxa"/>
                    <w:right w:w="28" w:type="dxa"/>
                  </w:tcMar>
                  <w:vAlign w:val="center"/>
                </w:tcPr>
                <w:p w14:paraId="71A09C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符合性</w:t>
                  </w:r>
                </w:p>
              </w:tc>
            </w:tr>
            <w:tr w14:paraId="01E3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restart"/>
                  <w:tcMar>
                    <w:top w:w="0" w:type="dxa"/>
                    <w:left w:w="28" w:type="dxa"/>
                    <w:bottom w:w="0" w:type="dxa"/>
                    <w:right w:w="28" w:type="dxa"/>
                  </w:tcMar>
                  <w:vAlign w:val="center"/>
                </w:tcPr>
                <w:p w14:paraId="12A2BBB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一般生态空间</w:t>
                  </w:r>
                </w:p>
              </w:tc>
              <w:tc>
                <w:tcPr>
                  <w:tcW w:w="729" w:type="dxa"/>
                  <w:tcMar>
                    <w:top w:w="0" w:type="dxa"/>
                    <w:left w:w="28" w:type="dxa"/>
                    <w:bottom w:w="0" w:type="dxa"/>
                    <w:right w:w="28" w:type="dxa"/>
                  </w:tcMar>
                  <w:vAlign w:val="center"/>
                </w:tcPr>
                <w:p w14:paraId="2744D8A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总体管控要求</w:t>
                  </w:r>
                </w:p>
              </w:tc>
              <w:tc>
                <w:tcPr>
                  <w:tcW w:w="4643" w:type="dxa"/>
                  <w:tcMar>
                    <w:top w:w="0" w:type="dxa"/>
                    <w:left w:w="28" w:type="dxa"/>
                    <w:bottom w:w="0" w:type="dxa"/>
                    <w:right w:w="28" w:type="dxa"/>
                  </w:tcMar>
                  <w:vAlign w:val="center"/>
                </w:tcPr>
                <w:p w14:paraId="7C12F42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承德市生态功能主要为水源涵养与防风固沙，重点执行河北省一般生态空间总体管控要求中“水源涵养”与“防风固沙”管控要求</w:t>
                  </w:r>
                </w:p>
              </w:tc>
              <w:tc>
                <w:tcPr>
                  <w:tcW w:w="1646" w:type="dxa"/>
                  <w:tcMar>
                    <w:top w:w="0" w:type="dxa"/>
                    <w:left w:w="28" w:type="dxa"/>
                    <w:bottom w:w="0" w:type="dxa"/>
                    <w:right w:w="28" w:type="dxa"/>
                  </w:tcMar>
                  <w:vAlign w:val="center"/>
                </w:tcPr>
                <w:p w14:paraId="1EB3254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本项目临时占地恢复按照乔、灌、草</w:t>
                  </w:r>
                  <w:r>
                    <w:rPr>
                      <w:rFonts w:hint="eastAsia" w:ascii="Times New Roman" w:hAnsi="Times New Roman" w:cs="Times New Roman"/>
                      <w:bCs/>
                      <w:color w:val="000000" w:themeColor="text1"/>
                      <w:highlight w:val="none"/>
                      <w:lang w:val="en-US" w:eastAsia="zh-CN"/>
                      <w14:textFill>
                        <w14:solidFill>
                          <w14:schemeClr w14:val="tx1"/>
                        </w14:solidFill>
                      </w14:textFill>
                    </w:rPr>
                    <w:t>相</w:t>
                  </w:r>
                  <w:r>
                    <w:rPr>
                      <w:rFonts w:hint="default" w:ascii="Times New Roman" w:hAnsi="Times New Roman" w:cs="Times New Roman"/>
                      <w:bCs/>
                      <w:color w:val="000000" w:themeColor="text1"/>
                      <w:highlight w:val="none"/>
                      <w14:textFill>
                        <w14:solidFill>
                          <w14:schemeClr w14:val="tx1"/>
                        </w14:solidFill>
                      </w14:textFill>
                    </w:rPr>
                    <w:t>结合的措施进行恢复。</w:t>
                  </w:r>
                </w:p>
              </w:tc>
              <w:tc>
                <w:tcPr>
                  <w:tcW w:w="590" w:type="dxa"/>
                  <w:tcMar>
                    <w:top w:w="0" w:type="dxa"/>
                    <w:left w:w="28" w:type="dxa"/>
                    <w:bottom w:w="0" w:type="dxa"/>
                    <w:right w:w="28" w:type="dxa"/>
                  </w:tcMar>
                  <w:vAlign w:val="center"/>
                </w:tcPr>
                <w:p w14:paraId="37FEA9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符合</w:t>
                  </w:r>
                </w:p>
              </w:tc>
            </w:tr>
            <w:tr w14:paraId="604E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711" w:type="dxa"/>
                  <w:vMerge w:val="continue"/>
                  <w:tcMar>
                    <w:top w:w="0" w:type="dxa"/>
                    <w:left w:w="28" w:type="dxa"/>
                    <w:bottom w:w="0" w:type="dxa"/>
                    <w:right w:w="28" w:type="dxa"/>
                  </w:tcMar>
                  <w:vAlign w:val="center"/>
                </w:tcPr>
                <w:p w14:paraId="7C5A0D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29" w:type="dxa"/>
                  <w:vMerge w:val="restart"/>
                  <w:tcMar>
                    <w:top w:w="0" w:type="dxa"/>
                    <w:left w:w="28" w:type="dxa"/>
                    <w:bottom w:w="0" w:type="dxa"/>
                    <w:right w:w="28" w:type="dxa"/>
                  </w:tcMar>
                  <w:vAlign w:val="center"/>
                </w:tcPr>
                <w:p w14:paraId="48FDD65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水源涵养型</w:t>
                  </w:r>
                </w:p>
              </w:tc>
              <w:tc>
                <w:tcPr>
                  <w:tcW w:w="4643" w:type="dxa"/>
                  <w:shd w:val="clear" w:color="auto" w:fill="auto"/>
                  <w:tcMar>
                    <w:top w:w="0" w:type="dxa"/>
                    <w:left w:w="28" w:type="dxa"/>
                    <w:bottom w:w="0" w:type="dxa"/>
                    <w:right w:w="28" w:type="dxa"/>
                  </w:tcMar>
                  <w:vAlign w:val="center"/>
                </w:tcPr>
                <w:p w14:paraId="6E73FC2F">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1.在不影响区域主导生态功能、不降低区域环境质量的基础上，新建与扩建项目在满足国土空间规划及有关专项规划的条件下，可适度进行合理有序的开发建设活动。</w:t>
                  </w:r>
                </w:p>
              </w:tc>
              <w:tc>
                <w:tcPr>
                  <w:tcW w:w="1646" w:type="dxa"/>
                  <w:tcMar>
                    <w:top w:w="0" w:type="dxa"/>
                    <w:left w:w="28" w:type="dxa"/>
                    <w:bottom w:w="0" w:type="dxa"/>
                    <w:right w:w="28" w:type="dxa"/>
                  </w:tcMar>
                  <w:vAlign w:val="center"/>
                </w:tcPr>
                <w:p w14:paraId="7FE44C4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本项目符合产业规划、国土空间规划和功能区划。</w:t>
                  </w:r>
                </w:p>
              </w:tc>
              <w:tc>
                <w:tcPr>
                  <w:tcW w:w="590" w:type="dxa"/>
                  <w:tcMar>
                    <w:top w:w="0" w:type="dxa"/>
                    <w:left w:w="28" w:type="dxa"/>
                    <w:bottom w:w="0" w:type="dxa"/>
                    <w:right w:w="28" w:type="dxa"/>
                  </w:tcMar>
                  <w:vAlign w:val="center"/>
                </w:tcPr>
                <w:p w14:paraId="0C6C10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0AC3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711" w:type="dxa"/>
                  <w:vMerge w:val="continue"/>
                  <w:tcMar>
                    <w:top w:w="0" w:type="dxa"/>
                    <w:left w:w="28" w:type="dxa"/>
                    <w:bottom w:w="0" w:type="dxa"/>
                    <w:right w:w="28" w:type="dxa"/>
                  </w:tcMar>
                  <w:vAlign w:val="center"/>
                </w:tcPr>
                <w:p w14:paraId="4CE011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000000" w:themeColor="text1"/>
                      <w:highlight w:val="none"/>
                      <w14:textFill>
                        <w14:solidFill>
                          <w14:schemeClr w14:val="tx1"/>
                        </w14:solidFill>
                      </w14:textFill>
                    </w:rPr>
                  </w:pPr>
                </w:p>
              </w:tc>
              <w:tc>
                <w:tcPr>
                  <w:tcW w:w="729" w:type="dxa"/>
                  <w:vMerge w:val="continue"/>
                  <w:tcMar>
                    <w:top w:w="0" w:type="dxa"/>
                    <w:left w:w="28" w:type="dxa"/>
                    <w:bottom w:w="0" w:type="dxa"/>
                    <w:right w:w="28" w:type="dxa"/>
                  </w:tcMar>
                  <w:vAlign w:val="center"/>
                </w:tcPr>
                <w:p w14:paraId="1A83577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000000" w:themeColor="text1"/>
                      <w:highlight w:val="no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57E7B8A2">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2.禁止新建、扩建导致水体污染的产业项目，开展生态清洁小流域的建设；坚持自然恢复为主，人工造林为辅的原则。</w:t>
                  </w:r>
                </w:p>
              </w:tc>
              <w:tc>
                <w:tcPr>
                  <w:tcW w:w="1646" w:type="dxa"/>
                  <w:tcMar>
                    <w:top w:w="0" w:type="dxa"/>
                    <w:left w:w="28" w:type="dxa"/>
                    <w:bottom w:w="0" w:type="dxa"/>
                    <w:right w:w="28" w:type="dxa"/>
                  </w:tcMar>
                  <w:vAlign w:val="center"/>
                </w:tcPr>
                <w:p w14:paraId="4AACC3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本项目施工期无废水排放；运营期不新增劳动定员，不新增废水</w:t>
                  </w:r>
                </w:p>
              </w:tc>
              <w:tc>
                <w:tcPr>
                  <w:tcW w:w="590" w:type="dxa"/>
                  <w:tcMar>
                    <w:top w:w="0" w:type="dxa"/>
                    <w:left w:w="28" w:type="dxa"/>
                    <w:bottom w:w="0" w:type="dxa"/>
                    <w:right w:w="28" w:type="dxa"/>
                  </w:tcMar>
                  <w:vAlign w:val="center"/>
                </w:tcPr>
                <w:p w14:paraId="3571CB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符合</w:t>
                  </w:r>
                </w:p>
              </w:tc>
            </w:tr>
            <w:tr w14:paraId="5C5C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711" w:type="dxa"/>
                  <w:vMerge w:val="continue"/>
                  <w:tcMar>
                    <w:top w:w="0" w:type="dxa"/>
                    <w:left w:w="28" w:type="dxa"/>
                    <w:bottom w:w="0" w:type="dxa"/>
                    <w:right w:w="28" w:type="dxa"/>
                  </w:tcMar>
                  <w:vAlign w:val="center"/>
                </w:tcPr>
                <w:p w14:paraId="0E8B4C8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29" w:type="dxa"/>
                  <w:vMerge w:val="continue"/>
                  <w:tcMar>
                    <w:top w:w="0" w:type="dxa"/>
                    <w:left w:w="28" w:type="dxa"/>
                    <w:bottom w:w="0" w:type="dxa"/>
                    <w:right w:w="28" w:type="dxa"/>
                  </w:tcMar>
                  <w:vAlign w:val="center"/>
                </w:tcPr>
                <w:p w14:paraId="706F7FF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278927BD">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3.严格控制载畜量，实行以草定畜，在农牧交错区提倡农牧结合，发展生态产业，培育替代产业，减轻区内畜牧业对水源和生态系统的压力。</w:t>
                  </w:r>
                </w:p>
              </w:tc>
              <w:tc>
                <w:tcPr>
                  <w:tcW w:w="1646" w:type="dxa"/>
                  <w:tcMar>
                    <w:top w:w="0" w:type="dxa"/>
                    <w:left w:w="28" w:type="dxa"/>
                    <w:bottom w:w="0" w:type="dxa"/>
                    <w:right w:w="28" w:type="dxa"/>
                  </w:tcMar>
                  <w:vAlign w:val="center"/>
                </w:tcPr>
                <w:p w14:paraId="76994E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不涉及</w:t>
                  </w:r>
                </w:p>
              </w:tc>
              <w:tc>
                <w:tcPr>
                  <w:tcW w:w="590" w:type="dxa"/>
                  <w:tcMar>
                    <w:top w:w="0" w:type="dxa"/>
                    <w:left w:w="28" w:type="dxa"/>
                    <w:bottom w:w="0" w:type="dxa"/>
                    <w:right w:w="28" w:type="dxa"/>
                  </w:tcMar>
                  <w:vAlign w:val="center"/>
                </w:tcPr>
                <w:p w14:paraId="4A44327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符合</w:t>
                  </w:r>
                </w:p>
              </w:tc>
            </w:tr>
            <w:tr w14:paraId="655A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11" w:type="dxa"/>
                  <w:vMerge w:val="continue"/>
                  <w:tcMar>
                    <w:top w:w="0" w:type="dxa"/>
                    <w:left w:w="28" w:type="dxa"/>
                    <w:bottom w:w="0" w:type="dxa"/>
                    <w:right w:w="28" w:type="dxa"/>
                  </w:tcMar>
                  <w:vAlign w:val="center"/>
                </w:tcPr>
                <w:p w14:paraId="53B915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29" w:type="dxa"/>
                  <w:vMerge w:val="restart"/>
                  <w:tcMar>
                    <w:top w:w="0" w:type="dxa"/>
                    <w:left w:w="28" w:type="dxa"/>
                    <w:bottom w:w="0" w:type="dxa"/>
                    <w:right w:w="28" w:type="dxa"/>
                  </w:tcMar>
                  <w:vAlign w:val="center"/>
                </w:tcPr>
                <w:p w14:paraId="1AC55D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防风固沙型</w:t>
                  </w:r>
                </w:p>
              </w:tc>
              <w:tc>
                <w:tcPr>
                  <w:tcW w:w="4643" w:type="dxa"/>
                  <w:shd w:val="clear" w:color="auto" w:fill="auto"/>
                  <w:tcMar>
                    <w:top w:w="0" w:type="dxa"/>
                    <w:left w:w="28" w:type="dxa"/>
                    <w:bottom w:w="0" w:type="dxa"/>
                    <w:right w:w="28" w:type="dxa"/>
                  </w:tcMar>
                  <w:vAlign w:val="center"/>
                </w:tcPr>
                <w:p w14:paraId="02852BB8">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1.对主要沙尘源区、沙尘暴频发区实行封禁管理。</w:t>
                  </w:r>
                </w:p>
              </w:tc>
              <w:tc>
                <w:tcPr>
                  <w:tcW w:w="1646" w:type="dxa"/>
                  <w:tcMar>
                    <w:top w:w="0" w:type="dxa"/>
                    <w:left w:w="28" w:type="dxa"/>
                    <w:bottom w:w="0" w:type="dxa"/>
                    <w:right w:w="28" w:type="dxa"/>
                  </w:tcMar>
                  <w:vAlign w:val="center"/>
                </w:tcPr>
                <w:p w14:paraId="066552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本项目占地不涉及沙尘源区、沙尘暴频发区。</w:t>
                  </w:r>
                </w:p>
              </w:tc>
              <w:tc>
                <w:tcPr>
                  <w:tcW w:w="590" w:type="dxa"/>
                  <w:tcMar>
                    <w:top w:w="0" w:type="dxa"/>
                    <w:left w:w="28" w:type="dxa"/>
                    <w:bottom w:w="0" w:type="dxa"/>
                    <w:right w:w="28" w:type="dxa"/>
                  </w:tcMar>
                  <w:vAlign w:val="center"/>
                </w:tcPr>
                <w:p w14:paraId="49830D6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4F4B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11" w:type="dxa"/>
                  <w:vMerge w:val="continue"/>
                  <w:tcMar>
                    <w:top w:w="0" w:type="dxa"/>
                    <w:left w:w="28" w:type="dxa"/>
                    <w:bottom w:w="0" w:type="dxa"/>
                    <w:right w:w="28" w:type="dxa"/>
                  </w:tcMar>
                  <w:vAlign w:val="center"/>
                </w:tcPr>
                <w:p w14:paraId="1E1B9E1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000000" w:themeColor="text1"/>
                      <w:highlight w:val="none"/>
                      <w14:textFill>
                        <w14:solidFill>
                          <w14:schemeClr w14:val="tx1"/>
                        </w14:solidFill>
                      </w14:textFill>
                    </w:rPr>
                  </w:pPr>
                </w:p>
              </w:tc>
              <w:tc>
                <w:tcPr>
                  <w:tcW w:w="729" w:type="dxa"/>
                  <w:vMerge w:val="continue"/>
                  <w:tcMar>
                    <w:top w:w="0" w:type="dxa"/>
                    <w:left w:w="28" w:type="dxa"/>
                    <w:bottom w:w="0" w:type="dxa"/>
                    <w:right w:w="28" w:type="dxa"/>
                  </w:tcMar>
                  <w:vAlign w:val="center"/>
                </w:tcPr>
                <w:p w14:paraId="46CBE12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000000" w:themeColor="text1"/>
                      <w:highlight w:val="no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0D29B69F">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2.严格控制放牧和草原生物资源的利用，加强植被恢复和保护。</w:t>
                  </w:r>
                </w:p>
              </w:tc>
              <w:tc>
                <w:tcPr>
                  <w:tcW w:w="1646" w:type="dxa"/>
                  <w:tcMar>
                    <w:top w:w="0" w:type="dxa"/>
                    <w:left w:w="28" w:type="dxa"/>
                    <w:bottom w:w="0" w:type="dxa"/>
                    <w:right w:w="28" w:type="dxa"/>
                  </w:tcMar>
                  <w:vAlign w:val="center"/>
                </w:tcPr>
                <w:p w14:paraId="77B248D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本项目临时占地恢复按照乔、灌、草</w:t>
                  </w:r>
                  <w:r>
                    <w:rPr>
                      <w:rFonts w:hint="eastAsia" w:ascii="Times New Roman" w:hAnsi="Times New Roman" w:cs="Times New Roman"/>
                      <w:bCs/>
                      <w:color w:val="000000" w:themeColor="text1"/>
                      <w:highlight w:val="none"/>
                      <w:lang w:val="en-US" w:eastAsia="zh-CN"/>
                      <w14:textFill>
                        <w14:solidFill>
                          <w14:schemeClr w14:val="tx1"/>
                        </w14:solidFill>
                      </w14:textFill>
                    </w:rPr>
                    <w:t>相</w:t>
                  </w:r>
                  <w:r>
                    <w:rPr>
                      <w:rFonts w:hint="default" w:ascii="Times New Roman" w:hAnsi="Times New Roman" w:cs="Times New Roman"/>
                      <w:bCs/>
                      <w:color w:val="000000" w:themeColor="text1"/>
                      <w:highlight w:val="none"/>
                      <w14:textFill>
                        <w14:solidFill>
                          <w14:schemeClr w14:val="tx1"/>
                        </w14:solidFill>
                      </w14:textFill>
                    </w:rPr>
                    <w:t>结合的措施进行恢复。</w:t>
                  </w:r>
                </w:p>
              </w:tc>
              <w:tc>
                <w:tcPr>
                  <w:tcW w:w="590" w:type="dxa"/>
                  <w:tcMar>
                    <w:top w:w="0" w:type="dxa"/>
                    <w:left w:w="28" w:type="dxa"/>
                    <w:bottom w:w="0" w:type="dxa"/>
                    <w:right w:w="28" w:type="dxa"/>
                  </w:tcMar>
                  <w:vAlign w:val="center"/>
                </w:tcPr>
                <w:p w14:paraId="67D6CD7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符合</w:t>
                  </w:r>
                </w:p>
              </w:tc>
            </w:tr>
            <w:tr w14:paraId="3838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11" w:type="dxa"/>
                  <w:vMerge w:val="continue"/>
                  <w:tcMar>
                    <w:top w:w="0" w:type="dxa"/>
                    <w:left w:w="28" w:type="dxa"/>
                    <w:bottom w:w="0" w:type="dxa"/>
                    <w:right w:w="28" w:type="dxa"/>
                  </w:tcMar>
                  <w:vAlign w:val="center"/>
                </w:tcPr>
                <w:p w14:paraId="1E91929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29" w:type="dxa"/>
                  <w:vMerge w:val="continue"/>
                  <w:tcMar>
                    <w:top w:w="0" w:type="dxa"/>
                    <w:left w:w="28" w:type="dxa"/>
                    <w:bottom w:w="0" w:type="dxa"/>
                    <w:right w:w="28" w:type="dxa"/>
                  </w:tcMar>
                  <w:vAlign w:val="center"/>
                </w:tcPr>
                <w:p w14:paraId="5CD11DF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21883FB5">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3.严格控制过度放牧、樵采、开荒，合理利用水资源，保障生态用水，提高区域生态系统防沙固沙的能力。</w:t>
                  </w:r>
                </w:p>
              </w:tc>
              <w:tc>
                <w:tcPr>
                  <w:tcW w:w="1646" w:type="dxa"/>
                  <w:tcMar>
                    <w:top w:w="0" w:type="dxa"/>
                    <w:left w:w="28" w:type="dxa"/>
                    <w:bottom w:w="0" w:type="dxa"/>
                    <w:right w:w="28" w:type="dxa"/>
                  </w:tcMar>
                  <w:vAlign w:val="center"/>
                </w:tcPr>
                <w:p w14:paraId="71B368F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本项目不涉及放牧、樵采、开荒，施工期采取防风固沙措施。</w:t>
                  </w:r>
                </w:p>
              </w:tc>
              <w:tc>
                <w:tcPr>
                  <w:tcW w:w="590" w:type="dxa"/>
                  <w:tcMar>
                    <w:top w:w="0" w:type="dxa"/>
                    <w:left w:w="28" w:type="dxa"/>
                    <w:bottom w:w="0" w:type="dxa"/>
                    <w:right w:w="28" w:type="dxa"/>
                  </w:tcMar>
                  <w:vAlign w:val="center"/>
                </w:tcPr>
                <w:p w14:paraId="5850A6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符合</w:t>
                  </w:r>
                </w:p>
              </w:tc>
            </w:tr>
            <w:tr w14:paraId="6976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11" w:type="dxa"/>
                  <w:vMerge w:val="continue"/>
                  <w:tcMar>
                    <w:top w:w="0" w:type="dxa"/>
                    <w:left w:w="28" w:type="dxa"/>
                    <w:bottom w:w="0" w:type="dxa"/>
                    <w:right w:w="28" w:type="dxa"/>
                  </w:tcMar>
                  <w:vAlign w:val="center"/>
                </w:tcPr>
                <w:p w14:paraId="133B4581">
                  <w:pPr>
                    <w:rPr>
                      <w:color w:val="000000" w:themeColor="text1"/>
                      <w:highlight w:val="none"/>
                      <w14:textFill>
                        <w14:solidFill>
                          <w14:schemeClr w14:val="tx1"/>
                        </w14:solidFill>
                      </w14:textFill>
                    </w:rPr>
                  </w:pPr>
                </w:p>
              </w:tc>
              <w:tc>
                <w:tcPr>
                  <w:tcW w:w="729" w:type="dxa"/>
                  <w:vMerge w:val="continue"/>
                  <w:tcMar>
                    <w:top w:w="0" w:type="dxa"/>
                    <w:left w:w="28" w:type="dxa"/>
                    <w:bottom w:w="0" w:type="dxa"/>
                    <w:right w:w="28" w:type="dxa"/>
                  </w:tcMar>
                  <w:vAlign w:val="center"/>
                </w:tcPr>
                <w:p w14:paraId="75EAAA5C">
                  <w:pPr>
                    <w:rPr>
                      <w:color w:val="000000" w:themeColor="text1"/>
                      <w:highlight w:val="no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1A46B178">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4.开展荒漠植被和沙化土地封禁保护，加强退化林带修复，禁止滥开垦、滥放牧和滥樵采，构建乔灌草相结合的防护林体系，对防风固沙林只能进行抚育和更新性质的采伐。</w:t>
                  </w:r>
                </w:p>
              </w:tc>
              <w:tc>
                <w:tcPr>
                  <w:tcW w:w="1646" w:type="dxa"/>
                  <w:tcMar>
                    <w:top w:w="0" w:type="dxa"/>
                    <w:left w:w="28" w:type="dxa"/>
                    <w:bottom w:w="0" w:type="dxa"/>
                    <w:right w:w="28" w:type="dxa"/>
                  </w:tcMar>
                  <w:vAlign w:val="center"/>
                </w:tcPr>
                <w:p w14:paraId="3E5A7D23">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90" w:type="dxa"/>
                  <w:tcMar>
                    <w:top w:w="0" w:type="dxa"/>
                    <w:left w:w="28" w:type="dxa"/>
                    <w:bottom w:w="0" w:type="dxa"/>
                    <w:right w:w="28" w:type="dxa"/>
                  </w:tcMar>
                  <w:vAlign w:val="center"/>
                </w:tcPr>
                <w:p w14:paraId="386BACA9">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BBF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11" w:type="dxa"/>
                  <w:vMerge w:val="continue"/>
                  <w:tcMar>
                    <w:top w:w="0" w:type="dxa"/>
                    <w:left w:w="28" w:type="dxa"/>
                    <w:bottom w:w="0" w:type="dxa"/>
                    <w:right w:w="28" w:type="dxa"/>
                  </w:tcMar>
                  <w:vAlign w:val="center"/>
                </w:tcPr>
                <w:p w14:paraId="78041301">
                  <w:pPr>
                    <w:rPr>
                      <w:color w:val="000000" w:themeColor="text1"/>
                      <w:highlight w:val="none"/>
                      <w14:textFill>
                        <w14:solidFill>
                          <w14:schemeClr w14:val="tx1"/>
                        </w14:solidFill>
                      </w14:textFill>
                    </w:rPr>
                  </w:pPr>
                </w:p>
              </w:tc>
              <w:tc>
                <w:tcPr>
                  <w:tcW w:w="729" w:type="dxa"/>
                  <w:vMerge w:val="continue"/>
                  <w:tcMar>
                    <w:top w:w="0" w:type="dxa"/>
                    <w:left w:w="28" w:type="dxa"/>
                    <w:bottom w:w="0" w:type="dxa"/>
                    <w:right w:w="28" w:type="dxa"/>
                  </w:tcMar>
                  <w:vAlign w:val="center"/>
                </w:tcPr>
                <w:p w14:paraId="62C9847C">
                  <w:pPr>
                    <w:rPr>
                      <w:color w:val="000000" w:themeColor="text1"/>
                      <w:highlight w:val="no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7B3593F1">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5.转变畜牧业生产方式，实行禁牧休牧，推行舍饲圈养，以草定畜，严格控制载畜量。</w:t>
                  </w:r>
                </w:p>
              </w:tc>
              <w:tc>
                <w:tcPr>
                  <w:tcW w:w="1646" w:type="dxa"/>
                  <w:tcMar>
                    <w:top w:w="0" w:type="dxa"/>
                    <w:left w:w="28" w:type="dxa"/>
                    <w:bottom w:w="0" w:type="dxa"/>
                    <w:right w:w="28" w:type="dxa"/>
                  </w:tcMar>
                  <w:vAlign w:val="center"/>
                </w:tcPr>
                <w:p w14:paraId="5512351C">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90" w:type="dxa"/>
                  <w:tcMar>
                    <w:top w:w="0" w:type="dxa"/>
                    <w:left w:w="28" w:type="dxa"/>
                    <w:bottom w:w="0" w:type="dxa"/>
                    <w:right w:w="28" w:type="dxa"/>
                  </w:tcMar>
                  <w:vAlign w:val="center"/>
                </w:tcPr>
                <w:p w14:paraId="08228102">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79B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11" w:type="dxa"/>
                  <w:vMerge w:val="continue"/>
                  <w:tcMar>
                    <w:top w:w="0" w:type="dxa"/>
                    <w:left w:w="28" w:type="dxa"/>
                    <w:bottom w:w="0" w:type="dxa"/>
                    <w:right w:w="28" w:type="dxa"/>
                  </w:tcMar>
                  <w:vAlign w:val="center"/>
                </w:tcPr>
                <w:p w14:paraId="3D852505">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9" w:type="dxa"/>
                  <w:vMerge w:val="continue"/>
                  <w:tcMar>
                    <w:top w:w="0" w:type="dxa"/>
                    <w:left w:w="28" w:type="dxa"/>
                    <w:bottom w:w="0" w:type="dxa"/>
                    <w:right w:w="28" w:type="dxa"/>
                  </w:tcMar>
                  <w:vAlign w:val="center"/>
                </w:tcPr>
                <w:p w14:paraId="263A2B22">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20E1D8F8">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6.加大退耕还林力度，恢复草原植被。</w:t>
                  </w:r>
                </w:p>
              </w:tc>
              <w:tc>
                <w:tcPr>
                  <w:tcW w:w="1646" w:type="dxa"/>
                  <w:tcMar>
                    <w:top w:w="0" w:type="dxa"/>
                    <w:left w:w="28" w:type="dxa"/>
                    <w:bottom w:w="0" w:type="dxa"/>
                    <w:right w:w="28" w:type="dxa"/>
                  </w:tcMar>
                  <w:vAlign w:val="center"/>
                </w:tcPr>
                <w:p w14:paraId="703EDBBB">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90" w:type="dxa"/>
                  <w:tcMar>
                    <w:top w:w="0" w:type="dxa"/>
                    <w:left w:w="28" w:type="dxa"/>
                    <w:bottom w:w="0" w:type="dxa"/>
                    <w:right w:w="28" w:type="dxa"/>
                  </w:tcMar>
                  <w:vAlign w:val="center"/>
                </w:tcPr>
                <w:p w14:paraId="784D0C94">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2E0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11" w:type="dxa"/>
                  <w:vMerge w:val="continue"/>
                  <w:tcMar>
                    <w:top w:w="0" w:type="dxa"/>
                    <w:left w:w="28" w:type="dxa"/>
                    <w:bottom w:w="0" w:type="dxa"/>
                    <w:right w:w="28" w:type="dxa"/>
                  </w:tcMar>
                  <w:vAlign w:val="center"/>
                </w:tcPr>
                <w:p w14:paraId="4826CD7D">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9" w:type="dxa"/>
                  <w:vMerge w:val="continue"/>
                  <w:tcMar>
                    <w:top w:w="0" w:type="dxa"/>
                    <w:left w:w="28" w:type="dxa"/>
                    <w:bottom w:w="0" w:type="dxa"/>
                    <w:right w:w="28" w:type="dxa"/>
                  </w:tcMar>
                  <w:vAlign w:val="center"/>
                </w:tcPr>
                <w:p w14:paraId="30BB2F73">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2A38D8D8">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7.加强对内陆河流的规划和管理，保护沙区湿地。</w:t>
                  </w:r>
                </w:p>
              </w:tc>
              <w:tc>
                <w:tcPr>
                  <w:tcW w:w="1646" w:type="dxa"/>
                  <w:tcMar>
                    <w:top w:w="0" w:type="dxa"/>
                    <w:left w:w="28" w:type="dxa"/>
                    <w:bottom w:w="0" w:type="dxa"/>
                    <w:right w:w="28" w:type="dxa"/>
                  </w:tcMar>
                  <w:vAlign w:val="center"/>
                </w:tcPr>
                <w:p w14:paraId="6A41F5C3">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90" w:type="dxa"/>
                  <w:tcMar>
                    <w:top w:w="0" w:type="dxa"/>
                    <w:left w:w="28" w:type="dxa"/>
                    <w:bottom w:w="0" w:type="dxa"/>
                    <w:right w:w="28" w:type="dxa"/>
                  </w:tcMar>
                  <w:vAlign w:val="center"/>
                </w:tcPr>
                <w:p w14:paraId="086F6D98">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2876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4" w:hRule="atLeast"/>
              </w:trPr>
              <w:tc>
                <w:tcPr>
                  <w:tcW w:w="711" w:type="dxa"/>
                  <w:vMerge w:val="continue"/>
                  <w:tcMar>
                    <w:top w:w="0" w:type="dxa"/>
                    <w:left w:w="28" w:type="dxa"/>
                    <w:bottom w:w="0" w:type="dxa"/>
                    <w:right w:w="28" w:type="dxa"/>
                  </w:tcMar>
                  <w:vAlign w:val="center"/>
                </w:tcPr>
                <w:p w14:paraId="40CB6BBD">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9" w:type="dxa"/>
                  <w:vMerge w:val="restart"/>
                  <w:shd w:val="clear" w:color="auto" w:fill="auto"/>
                  <w:tcMar>
                    <w:top w:w="0" w:type="dxa"/>
                    <w:left w:w="28" w:type="dxa"/>
                    <w:bottom w:w="0" w:type="dxa"/>
                    <w:right w:w="28" w:type="dxa"/>
                  </w:tcMar>
                  <w:vAlign w:val="center"/>
                </w:tcPr>
                <w:p w14:paraId="5663DB70">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禁止开发建设活动的</w:t>
                  </w:r>
                </w:p>
                <w:p w14:paraId="223594A6">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要求</w:t>
                  </w:r>
                </w:p>
              </w:tc>
              <w:tc>
                <w:tcPr>
                  <w:tcW w:w="4643" w:type="dxa"/>
                  <w:shd w:val="clear" w:color="auto" w:fill="auto"/>
                  <w:tcMar>
                    <w:top w:w="0" w:type="dxa"/>
                    <w:left w:w="28" w:type="dxa"/>
                    <w:bottom w:w="0" w:type="dxa"/>
                    <w:right w:w="28" w:type="dxa"/>
                  </w:tcMar>
                  <w:vAlign w:val="center"/>
                </w:tcPr>
                <w:p w14:paraId="7865B6A2">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水源保护区、自然保护区、风景名胜区、湿地公园）区域，严禁违规建设别墅类和高尔夫球场等项目，严禁破坏生态环境功能的开发建设活动。严格饮用水水源保护区、自然保护区、风景名胜区、森林公园、地质公园等环境敏感区域及周边地区开发建设管理。</w:t>
                  </w:r>
                </w:p>
              </w:tc>
              <w:tc>
                <w:tcPr>
                  <w:tcW w:w="1646" w:type="dxa"/>
                  <w:vMerge w:val="restart"/>
                  <w:tcMar>
                    <w:top w:w="0" w:type="dxa"/>
                    <w:left w:w="28" w:type="dxa"/>
                    <w:bottom w:w="0" w:type="dxa"/>
                    <w:right w:w="28" w:type="dxa"/>
                  </w:tcMar>
                  <w:vAlign w:val="center"/>
                </w:tcPr>
                <w:p w14:paraId="0C67F707">
                  <w:pP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本项目不涉及生态缓冲带和生态绿化廊道，不涉及水源保护区、自然保护区、风景名胜区、湿地公园、森林公园、地质公园等环境敏感区</w:t>
                  </w:r>
                  <w:r>
                    <w:rPr>
                      <w:rFonts w:hint="eastAsia" w:cs="Times New Roman"/>
                      <w:color w:val="000000" w:themeColor="text1"/>
                      <w:sz w:val="21"/>
                      <w:szCs w:val="21"/>
                      <w:highlight w:val="none"/>
                      <w:lang w:val="en-US" w:eastAsia="zh-CN"/>
                      <w14:textFill>
                        <w14:solidFill>
                          <w14:schemeClr w14:val="tx1"/>
                        </w14:solidFill>
                      </w14:textFill>
                    </w:rPr>
                    <w:t>。</w:t>
                  </w:r>
                </w:p>
              </w:tc>
              <w:tc>
                <w:tcPr>
                  <w:tcW w:w="590" w:type="dxa"/>
                  <w:vMerge w:val="restart"/>
                  <w:tcMar>
                    <w:top w:w="0" w:type="dxa"/>
                    <w:left w:w="28" w:type="dxa"/>
                    <w:bottom w:w="0" w:type="dxa"/>
                    <w:right w:w="28" w:type="dxa"/>
                  </w:tcMar>
                  <w:vAlign w:val="center"/>
                </w:tcPr>
                <w:p w14:paraId="0FA32596">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2ED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8" w:hRule="atLeast"/>
              </w:trPr>
              <w:tc>
                <w:tcPr>
                  <w:tcW w:w="711" w:type="dxa"/>
                  <w:vMerge w:val="continue"/>
                  <w:tcMar>
                    <w:top w:w="0" w:type="dxa"/>
                    <w:left w:w="28" w:type="dxa"/>
                    <w:bottom w:w="0" w:type="dxa"/>
                    <w:right w:w="28" w:type="dxa"/>
                  </w:tcMar>
                  <w:vAlign w:val="center"/>
                </w:tcPr>
                <w:p w14:paraId="125C0328">
                  <w:pPr>
                    <w:rPr>
                      <w:color w:val="000000" w:themeColor="text1"/>
                      <w:highlight w:val="none"/>
                      <w14:textFill>
                        <w14:solidFill>
                          <w14:schemeClr w14:val="tx1"/>
                        </w14:solidFill>
                      </w14:textFill>
                    </w:rPr>
                  </w:pPr>
                </w:p>
              </w:tc>
              <w:tc>
                <w:tcPr>
                  <w:tcW w:w="729" w:type="dxa"/>
                  <w:vMerge w:val="continue"/>
                  <w:shd w:val="clear" w:color="auto" w:fill="auto"/>
                  <w:tcMar>
                    <w:top w:w="0" w:type="dxa"/>
                    <w:left w:w="28" w:type="dxa"/>
                    <w:bottom w:w="0" w:type="dxa"/>
                    <w:right w:w="28" w:type="dxa"/>
                  </w:tcMar>
                  <w:vAlign w:val="center"/>
                </w:tcPr>
                <w:p w14:paraId="0A552B9D">
                  <w:pPr>
                    <w:rPr>
                      <w:color w:val="000000" w:themeColor="text1"/>
                      <w:highlight w:val="none"/>
                      <w14:textFill>
                        <w14:solidFill>
                          <w14:schemeClr w14:val="tx1"/>
                        </w14:solidFill>
                      </w14:textFill>
                    </w:rPr>
                  </w:pPr>
                </w:p>
              </w:tc>
              <w:tc>
                <w:tcPr>
                  <w:tcW w:w="4643" w:type="dxa"/>
                  <w:shd w:val="clear" w:color="auto" w:fill="auto"/>
                  <w:tcMar>
                    <w:top w:w="0" w:type="dxa"/>
                    <w:left w:w="28" w:type="dxa"/>
                    <w:bottom w:w="0" w:type="dxa"/>
                    <w:right w:w="28" w:type="dxa"/>
                  </w:tcMar>
                  <w:vAlign w:val="center"/>
                </w:tcPr>
                <w:p w14:paraId="6D692661">
                  <w:pP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1646" w:type="dxa"/>
                  <w:vMerge w:val="continue"/>
                  <w:tcMar>
                    <w:top w:w="0" w:type="dxa"/>
                    <w:left w:w="28" w:type="dxa"/>
                    <w:bottom w:w="0" w:type="dxa"/>
                    <w:right w:w="28" w:type="dxa"/>
                  </w:tcMar>
                  <w:vAlign w:val="center"/>
                </w:tcPr>
                <w:p w14:paraId="78E4BAA2">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dxa"/>
                  <w:vMerge w:val="continue"/>
                  <w:tcMar>
                    <w:top w:w="0" w:type="dxa"/>
                    <w:left w:w="28" w:type="dxa"/>
                    <w:bottom w:w="0" w:type="dxa"/>
                    <w:right w:w="28" w:type="dxa"/>
                  </w:tcMar>
                  <w:vAlign w:val="center"/>
                </w:tcPr>
                <w:p w14:paraId="75B26DDC">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E78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11" w:type="dxa"/>
                  <w:vMerge w:val="continue"/>
                  <w:tcMar>
                    <w:top w:w="0" w:type="dxa"/>
                    <w:left w:w="28" w:type="dxa"/>
                    <w:bottom w:w="0" w:type="dxa"/>
                    <w:right w:w="28" w:type="dxa"/>
                  </w:tcMar>
                  <w:vAlign w:val="center"/>
                </w:tcPr>
                <w:p w14:paraId="2C14D5B8">
                  <w:pP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9" w:type="dxa"/>
                  <w:shd w:val="clear" w:color="auto" w:fill="auto"/>
                  <w:tcMar>
                    <w:top w:w="0" w:type="dxa"/>
                    <w:left w:w="28" w:type="dxa"/>
                    <w:bottom w:w="0" w:type="dxa"/>
                    <w:right w:w="28" w:type="dxa"/>
                  </w:tcMar>
                  <w:vAlign w:val="center"/>
                </w:tcPr>
                <w:p w14:paraId="0C2DE3C2">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限制开发建设活动的</w:t>
                  </w:r>
                </w:p>
                <w:p w14:paraId="26DCADC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要求</w:t>
                  </w:r>
                </w:p>
              </w:tc>
              <w:tc>
                <w:tcPr>
                  <w:tcW w:w="4643" w:type="dxa"/>
                  <w:shd w:val="clear" w:color="auto" w:fill="auto"/>
                  <w:tcMar>
                    <w:top w:w="0" w:type="dxa"/>
                    <w:left w:w="28" w:type="dxa"/>
                    <w:bottom w:w="0" w:type="dxa"/>
                    <w:right w:w="28" w:type="dxa"/>
                  </w:tcMar>
                  <w:vAlign w:val="center"/>
                </w:tcPr>
                <w:p w14:paraId="79E4184C">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严格控制矿产资源开发范围。非经国务院授权的有关主管部门同意，不得在下列地区新批固体矿产资源开发项目，严格控制新批液体、气体矿产资源开发项目：在机场、国防工程设施圈定地区以内；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面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1646" w:type="dxa"/>
                  <w:tcMar>
                    <w:top w:w="0" w:type="dxa"/>
                    <w:left w:w="28" w:type="dxa"/>
                    <w:bottom w:w="0" w:type="dxa"/>
                    <w:right w:w="28" w:type="dxa"/>
                  </w:tcMar>
                  <w:vAlign w:val="center"/>
                </w:tcPr>
                <w:p w14:paraId="530D5B23">
                  <w:pP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本项目为风力发电项目配套送出线路工程，不属于矿产资源开发项目</w:t>
                  </w:r>
                  <w:r>
                    <w:rPr>
                      <w:rFonts w:hint="eastAsia" w:cs="Times New Roman"/>
                      <w:color w:val="000000" w:themeColor="text1"/>
                      <w:sz w:val="21"/>
                      <w:szCs w:val="21"/>
                      <w:highlight w:val="none"/>
                      <w:lang w:val="en-US" w:eastAsia="zh-CN"/>
                      <w14:textFill>
                        <w14:solidFill>
                          <w14:schemeClr w14:val="tx1"/>
                        </w14:solidFill>
                      </w14:textFill>
                    </w:rPr>
                    <w:t>。</w:t>
                  </w:r>
                </w:p>
              </w:tc>
              <w:tc>
                <w:tcPr>
                  <w:tcW w:w="590" w:type="dxa"/>
                  <w:tcMar>
                    <w:top w:w="0" w:type="dxa"/>
                    <w:left w:w="28" w:type="dxa"/>
                    <w:bottom w:w="0" w:type="dxa"/>
                    <w:right w:w="28" w:type="dxa"/>
                  </w:tcMar>
                  <w:vAlign w:val="center"/>
                </w:tcPr>
                <w:p w14:paraId="52B847BA">
                  <w:pP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3A5EBB00">
            <w:p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综上所述，本</w:t>
            </w:r>
            <w:r>
              <w:rPr>
                <w:rFonts w:hint="eastAsia"/>
                <w:color w:val="000000" w:themeColor="text1"/>
                <w:sz w:val="24"/>
                <w:highlight w:val="none"/>
                <w14:textFill>
                  <w14:solidFill>
                    <w14:schemeClr w14:val="tx1"/>
                  </w14:solidFill>
                </w14:textFill>
              </w:rPr>
              <w:t>项目符合</w:t>
            </w:r>
            <w:r>
              <w:rPr>
                <w:rFonts w:hint="eastAsia"/>
                <w:color w:val="000000" w:themeColor="text1"/>
                <w:sz w:val="24"/>
                <w:highlight w:val="none"/>
                <w:lang w:eastAsia="zh-CN"/>
                <w14:textFill>
                  <w14:solidFill>
                    <w14:schemeClr w14:val="tx1"/>
                  </w14:solidFill>
                </w14:textFill>
              </w:rPr>
              <w:t>《承德市人民政府关于加快实施“三线一单”生态环境分区管控的意见》、</w:t>
            </w:r>
            <w:r>
              <w:rPr>
                <w:rFonts w:hint="eastAsia"/>
                <w:color w:val="000000" w:themeColor="text1"/>
                <w:sz w:val="24"/>
                <w:highlight w:val="none"/>
                <w14:textFill>
                  <w14:solidFill>
                    <w14:schemeClr w14:val="tx1"/>
                  </w14:solidFill>
                </w14:textFill>
              </w:rPr>
              <w:t>《承德市生态环境准入清单</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2023年版</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》要求。</w:t>
            </w:r>
          </w:p>
          <w:p w14:paraId="7BEFF8C0">
            <w:pPr>
              <w:spacing w:line="440" w:lineRule="exact"/>
              <w:ind w:firstLine="482" w:firstLineChars="200"/>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（6）与冀环环评函﹝2019﹞308号符合性分析</w:t>
            </w:r>
          </w:p>
          <w:p w14:paraId="24F65A70">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根据产业政策符合性判定，本项目的建设符合国家、省管理要求，不在环境准入负面清单之列。对照《关于印发改善大气环境质量实施区域差别化环境准入的指导意见的通知》（冀环环评函﹝2019﹞308号），承德市属于重点生态功能区，依托现有资源适当发展生态旅游、商务会展等第三服务产业；积极发展农林牧业、食品加工、新能源等；重点建设制造、电子信息技术产业。重点提高矿山开采、金属制品加工等行业环境准入要求。禁止露天采矿、石灰和石制造、平板玻璃制造、氮肥制造等。</w:t>
            </w:r>
          </w:p>
          <w:p w14:paraId="47F41955">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w:t>
            </w:r>
            <w:r>
              <w:rPr>
                <w:rFonts w:hint="eastAsia" w:cs="Times New Roman"/>
                <w:b w:val="0"/>
                <w:bCs w:val="0"/>
                <w:color w:val="000000" w:themeColor="text1"/>
                <w:kern w:val="0"/>
                <w:sz w:val="24"/>
                <w:szCs w:val="24"/>
                <w:highlight w:val="none"/>
                <w:lang w:val="en-US" w:eastAsia="zh-CN"/>
                <w14:textFill>
                  <w14:solidFill>
                    <w14:schemeClr w14:val="tx1"/>
                  </w14:solidFill>
                </w14:textFill>
              </w:rPr>
              <w:t>风力发电项目配套送出线路工程</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本次环评是在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202</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年</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月1</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日</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号</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基础上</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的110kV</w:t>
            </w:r>
            <w:r>
              <w:rPr>
                <w:rFonts w:hint="eastAsia" w:cs="Times New Roman" w:eastAsiaTheme="minorEastAsia"/>
                <w:color w:val="000000" w:themeColor="text1"/>
                <w:sz w:val="24"/>
                <w:highlight w:val="none"/>
                <w:lang w:val="en-US" w:eastAsia="zh-CN"/>
                <w14:textFill>
                  <w14:solidFill>
                    <w14:schemeClr w14:val="tx1"/>
                  </w14:solidFill>
                </w14:textFill>
              </w:rPr>
              <w:t>送出线路</w:t>
            </w:r>
            <w:r>
              <w:rPr>
                <w:rFonts w:hint="default" w:ascii="Times New Roman" w:hAnsi="Times New Roman" w:cs="Times New Roman" w:eastAsiaTheme="minorEastAsia"/>
                <w:color w:val="000000" w:themeColor="text1"/>
                <w:sz w:val="24"/>
                <w:highlight w:val="none"/>
                <w14:textFill>
                  <w14:solidFill>
                    <w14:schemeClr w14:val="tx1"/>
                  </w14:solidFill>
                </w14:textFill>
              </w:rPr>
              <w:t>环评</w:t>
            </w:r>
            <w:r>
              <w:rPr>
                <w:rFonts w:hint="eastAsia"/>
                <w:b w:val="0"/>
                <w:bCs w:val="0"/>
                <w:color w:val="000000" w:themeColor="text1"/>
                <w:kern w:val="0"/>
                <w:sz w:val="24"/>
                <w:highlight w:val="none"/>
                <w:lang w:val="en-US" w:eastAsia="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不属于“改善大气环境质量实施差别化环境准入管理名录”中限制、禁止类行业，符合关于印发改善大气环境质量实施区域差别化环境准入的指导意见的通知》（冀环环评函﹝2019﹞308号）要求。</w:t>
            </w:r>
          </w:p>
          <w:p w14:paraId="1042B910">
            <w:pPr>
              <w:spacing w:line="440" w:lineRule="exact"/>
              <w:ind w:firstLine="482" w:firstLineChars="200"/>
              <w:rPr>
                <w:rFonts w:hint="default"/>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3、与国土空间规划符合性分析</w:t>
            </w:r>
          </w:p>
          <w:p w14:paraId="27A75FA1">
            <w:pPr>
              <w:autoSpaceDE w:val="0"/>
              <w:autoSpaceDN w:val="0"/>
              <w:adjustRightInd w:val="0"/>
              <w:snapToGrid w:val="0"/>
              <w:spacing w:line="440" w:lineRule="exact"/>
              <w:ind w:firstLine="480" w:firstLineChars="200"/>
              <w:rPr>
                <w:rFonts w:hint="default"/>
                <w:b w:val="0"/>
                <w:bCs w:val="0"/>
                <w:color w:val="000000" w:themeColor="text1"/>
                <w:kern w:val="0"/>
                <w:sz w:val="24"/>
                <w:highlight w:val="none"/>
                <w:lang w:val="en-US" w:eastAsia="zh-CN"/>
                <w14:textFill>
                  <w14:solidFill>
                    <w14:schemeClr w14:val="tx1"/>
                  </w14:solidFill>
                </w14:textFill>
              </w:rPr>
            </w:pPr>
            <w:r>
              <w:rPr>
                <w:rFonts w:hint="eastAsia"/>
                <w:b w:val="0"/>
                <w:bCs w:val="0"/>
                <w:color w:val="000000" w:themeColor="text1"/>
                <w:kern w:val="0"/>
                <w:sz w:val="24"/>
                <w:highlight w:val="none"/>
                <w:lang w:val="en-US" w:eastAsia="zh-CN"/>
                <w14:textFill>
                  <w14:solidFill>
                    <w14:schemeClr w14:val="tx1"/>
                  </w14:solidFill>
                </w14:textFill>
              </w:rPr>
              <w:t>本项目位于承德市围场满族蒙古族自治县境内，《承德市国土空间总体规划（2021-2035）》基础设施章节指出：要完善水、电、热、气、讯等基础设施建设。其中电力系统方面，近期加快建设承德首座1000千伏特高压变电站，同步配套建设500千伏变电站项目3座，形成“三站一送大基地”。《围场满族蒙古族自治县国土空间总体规划（2021-2035）》中围场县发展定位包含了建设国家级清洁能源综合生产应用示范县，2025年初步实现产业转型升级，清洁能源产业体系初步形成，产城融合全面推进。</w:t>
            </w:r>
          </w:p>
          <w:p w14:paraId="51E0FD77">
            <w:pPr>
              <w:autoSpaceDE w:val="0"/>
              <w:autoSpaceDN w:val="0"/>
              <w:adjustRightInd w:val="0"/>
              <w:snapToGrid w:val="0"/>
              <w:spacing w:line="440" w:lineRule="exact"/>
              <w:ind w:firstLine="480" w:firstLineChars="200"/>
              <w:rPr>
                <w:rFonts w:hint="default"/>
                <w:b w:val="0"/>
                <w:bCs w:val="0"/>
                <w:color w:val="000000" w:themeColor="text1"/>
                <w:kern w:val="0"/>
                <w:sz w:val="24"/>
                <w:highlight w:val="none"/>
                <w:lang w:val="en-US" w:eastAsia="zh-CN"/>
                <w14:textFill>
                  <w14:solidFill>
                    <w14:schemeClr w14:val="tx1"/>
                  </w14:solidFill>
                </w14:textFill>
              </w:rPr>
            </w:pPr>
            <w:r>
              <w:rPr>
                <w:rFonts w:hint="eastAsia"/>
                <w:b w:val="0"/>
                <w:bCs w:val="0"/>
                <w:color w:val="000000" w:themeColor="text1"/>
                <w:kern w:val="0"/>
                <w:sz w:val="24"/>
                <w:highlight w:val="none"/>
                <w:lang w:val="en-US" w:eastAsia="zh-CN"/>
                <w14:textFill>
                  <w14:solidFill>
                    <w14:schemeClr w14:val="tx1"/>
                  </w14:solidFill>
                </w14:textFill>
              </w:rPr>
              <w:t>本项目为风力发电项目配套送出线路工程，本项目的建设有利于清洁能源产业体系的形成，符合国土空间总体规划相关要求。</w:t>
            </w:r>
          </w:p>
          <w:p w14:paraId="67DF4F7B">
            <w:pPr>
              <w:autoSpaceDE w:val="0"/>
              <w:autoSpaceDN w:val="0"/>
              <w:adjustRightInd w:val="0"/>
              <w:snapToGrid w:val="0"/>
              <w:spacing w:line="440" w:lineRule="exact"/>
              <w:ind w:firstLine="482" w:firstLineChars="200"/>
              <w:rPr>
                <w:rFonts w:hint="default"/>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4、其他相关规划符合性分析</w:t>
            </w:r>
          </w:p>
          <w:p w14:paraId="348C22BA">
            <w:pPr>
              <w:autoSpaceDE w:val="0"/>
              <w:autoSpaceDN w:val="0"/>
              <w:adjustRightInd w:val="0"/>
              <w:snapToGrid w:val="0"/>
              <w:spacing w:line="440" w:lineRule="exact"/>
              <w:ind w:firstLine="482" w:firstLineChars="200"/>
              <w:rPr>
                <w:b w:val="0"/>
                <w:bCs w:val="0"/>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w:t>
            </w:r>
            <w:r>
              <w:rPr>
                <w:rFonts w:hint="eastAsia"/>
                <w:b w:val="0"/>
                <w:bCs w:val="0"/>
                <w:color w:val="000000" w:themeColor="text1"/>
                <w:kern w:val="0"/>
                <w:sz w:val="24"/>
                <w:highlight w:val="none"/>
                <w:lang w:val="en-US" w:eastAsia="zh-CN"/>
                <w14:textFill>
                  <w14:solidFill>
                    <w14:schemeClr w14:val="tx1"/>
                  </w14:solidFill>
                </w14:textFill>
              </w:rPr>
              <w:t>1）</w:t>
            </w:r>
            <w:r>
              <w:rPr>
                <w:rFonts w:hint="eastAsia"/>
                <w:b w:val="0"/>
                <w:bCs w:val="0"/>
                <w:color w:val="000000" w:themeColor="text1"/>
                <w:kern w:val="0"/>
                <w:sz w:val="24"/>
                <w:highlight w:val="none"/>
                <w14:textFill>
                  <w14:solidFill>
                    <w14:schemeClr w14:val="tx1"/>
                  </w14:solidFill>
                </w14:textFill>
              </w:rPr>
              <w:t>《河北省生态环境保护“十四五”规划》符合性分析</w:t>
            </w:r>
          </w:p>
          <w:p w14:paraId="1A3612D8">
            <w:pPr>
              <w:autoSpaceDE w:val="0"/>
              <w:autoSpaceDN w:val="0"/>
              <w:adjustRightInd w:val="0"/>
              <w:snapToGrid w:val="0"/>
              <w:spacing w:line="440" w:lineRule="exact"/>
              <w:ind w:firstLine="480" w:firstLineChars="200"/>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根据《河北省生态环境保护“十四五”规划》：河北省在“十四五”期间要调整优化能源供给结构</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控制化石能源消费总量，推动非化石能源成为能源消费增量的主体</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双控”转变。坚持“增气减煤”同步，加强天然气基础设施建设，扩大管道气覆盖范围。因地制宜推进生物质热电联产，加快建设垃圾焚烧发电项目。到2025年，非化石能源消费占能源消费比重提高到13%以上，可再生能源装机占全部电力装机比重达到60%左右。</w:t>
            </w:r>
          </w:p>
          <w:p w14:paraId="33BC6CEB">
            <w:pPr>
              <w:autoSpaceDE w:val="0"/>
              <w:autoSpaceDN w:val="0"/>
              <w:adjustRightInd w:val="0"/>
              <w:snapToGrid w:val="0"/>
              <w:spacing w:line="440" w:lineRule="exact"/>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w:t>
            </w:r>
            <w:r>
              <w:rPr>
                <w:rFonts w:hint="eastAsia"/>
                <w:color w:val="000000" w:themeColor="text1"/>
                <w:kern w:val="0"/>
                <w:sz w:val="24"/>
                <w:highlight w:val="none"/>
                <w14:textFill>
                  <w14:solidFill>
                    <w14:schemeClr w14:val="tx1"/>
                  </w14:solidFill>
                </w14:textFill>
              </w:rPr>
              <w:t>项目</w:t>
            </w:r>
            <w:r>
              <w:rPr>
                <w:rFonts w:hint="eastAsia"/>
                <w:b w:val="0"/>
                <w:bCs w:val="0"/>
                <w:color w:val="000000" w:themeColor="text1"/>
                <w:kern w:val="0"/>
                <w:sz w:val="24"/>
                <w:highlight w:val="none"/>
                <w:lang w:val="en-US" w:eastAsia="zh-CN"/>
                <w14:textFill>
                  <w14:solidFill>
                    <w14:schemeClr w14:val="tx1"/>
                  </w14:solidFill>
                </w14:textFill>
              </w:rPr>
              <w:t>为</w:t>
            </w:r>
            <w:r>
              <w:rPr>
                <w:rFonts w:hint="eastAsia"/>
                <w:color w:val="000000" w:themeColor="text1"/>
                <w:kern w:val="0"/>
                <w:sz w:val="24"/>
                <w:highlight w:val="none"/>
                <w:lang w:val="en-US" w:eastAsia="zh-CN"/>
                <w14:textFill>
                  <w14:solidFill>
                    <w14:schemeClr w14:val="tx1"/>
                  </w14:solidFill>
                </w14:textFill>
              </w:rPr>
              <w:t>风力</w:t>
            </w:r>
            <w:r>
              <w:rPr>
                <w:rFonts w:hint="eastAsia"/>
                <w:color w:val="000000" w:themeColor="text1"/>
                <w:kern w:val="0"/>
                <w:sz w:val="24"/>
                <w:highlight w:val="none"/>
                <w14:textFill>
                  <w14:solidFill>
                    <w14:schemeClr w14:val="tx1"/>
                  </w14:solidFill>
                </w14:textFill>
              </w:rPr>
              <w:t>发电项目</w:t>
            </w:r>
            <w:r>
              <w:rPr>
                <w:rFonts w:hint="eastAsia"/>
                <w:color w:val="000000" w:themeColor="text1"/>
                <w:kern w:val="0"/>
                <w:sz w:val="24"/>
                <w:highlight w:val="none"/>
                <w:lang w:val="en-US" w:eastAsia="zh-CN"/>
                <w14:textFill>
                  <w14:solidFill>
                    <w14:schemeClr w14:val="tx1"/>
                  </w14:solidFill>
                </w14:textFill>
              </w:rPr>
              <w:t>配套送出线路工程</w:t>
            </w:r>
            <w:r>
              <w:rPr>
                <w:rFonts w:hint="eastAsia"/>
                <w:color w:val="000000" w:themeColor="text1"/>
                <w:kern w:val="0"/>
                <w:sz w:val="24"/>
                <w:highlight w:val="none"/>
                <w14:textFill>
                  <w14:solidFill>
                    <w14:schemeClr w14:val="tx1"/>
                  </w14:solidFill>
                </w14:textFill>
              </w:rPr>
              <w:t>，符合《河北省生态环境保护“十</w:t>
            </w:r>
            <w:r>
              <w:rPr>
                <w:rFonts w:hint="eastAsia"/>
                <w:color w:val="000000" w:themeColor="text1"/>
                <w:kern w:val="0"/>
                <w:sz w:val="24"/>
                <w:highlight w:val="none"/>
                <w:lang w:val="en-US" w:eastAsia="zh-CN"/>
                <w14:textFill>
                  <w14:solidFill>
                    <w14:schemeClr w14:val="tx1"/>
                  </w14:solidFill>
                </w14:textFill>
              </w:rPr>
              <w:t>四</w:t>
            </w:r>
            <w:r>
              <w:rPr>
                <w:rFonts w:hint="eastAsia"/>
                <w:color w:val="000000" w:themeColor="text1"/>
                <w:kern w:val="0"/>
                <w:sz w:val="24"/>
                <w:highlight w:val="none"/>
                <w14:textFill>
                  <w14:solidFill>
                    <w14:schemeClr w14:val="tx1"/>
                  </w14:solidFill>
                </w14:textFill>
              </w:rPr>
              <w:t>五”规划》中的相关要求。</w:t>
            </w:r>
          </w:p>
          <w:p w14:paraId="2437F987">
            <w:pPr>
              <w:spacing w:line="440" w:lineRule="exact"/>
              <w:ind w:firstLine="480" w:firstLineChars="200"/>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（2）《承德市生态环境保护“十四五”规划》</w:t>
            </w:r>
            <w:r>
              <w:rPr>
                <w:rFonts w:hint="eastAsia"/>
                <w:b w:val="0"/>
                <w:bCs w:val="0"/>
                <w:color w:val="000000" w:themeColor="text1"/>
                <w:kern w:val="0"/>
                <w:sz w:val="24"/>
                <w:highlight w:val="none"/>
                <w14:textFill>
                  <w14:solidFill>
                    <w14:schemeClr w14:val="tx1"/>
                  </w14:solidFill>
                </w14:textFill>
              </w:rPr>
              <w:t>符合性分析</w:t>
            </w:r>
          </w:p>
          <w:p w14:paraId="4050FCAF">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根据《承德市生态环境保护“十四五”规划》：调整优化能源供给结构。控制化石能源消费总量，推动非化石能源成为能源消费增量的主体。大力发展风能、太阳能等可再生能源发电，有序推动抽水蓄能电站规划建设，加快承德百万千瓦风电基地二期、光伏发电应用基地和分布式光伏项目建设，推进丰宁、滦平等抽水蓄能电站建设，积极推动可再生能源制氢，完善产供储销配套设施，拓展氢能应用领域。坚持“增气减煤”同步，加强天然气基础设施建设，扩大管道气覆盖范围。因地制宜推进生物质热电联产，加快建设垃圾焚烧发电项目。到2025年，非化石能源消费占能源消费比重和可再生能源装机占全部电力装机比重明显提升。</w:t>
            </w:r>
          </w:p>
          <w:p w14:paraId="74439D53">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本项目属于风力发电项目配套送出线路工程，符合《承德市生态环境保护“十四</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五”规划》中的相关要求。</w:t>
            </w:r>
          </w:p>
          <w:p w14:paraId="657B42D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《承德市重点水源涵养生态功能保护区规划》</w:t>
            </w:r>
            <w:r>
              <w:rPr>
                <w:rFonts w:hint="eastAsia" w:cs="Times New Roman"/>
                <w:b w:val="0"/>
                <w:bCs w:val="0"/>
                <w:color w:val="000000" w:themeColor="text1"/>
                <w:sz w:val="24"/>
                <w:szCs w:val="24"/>
                <w:highlight w:val="none"/>
                <w:lang w:val="en-US" w:eastAsia="zh-CN"/>
                <w14:textFill>
                  <w14:solidFill>
                    <w14:schemeClr w14:val="tx1"/>
                  </w14:solidFill>
                </w14:textFill>
              </w:rPr>
              <w:t>符合性分析</w:t>
            </w:r>
          </w:p>
          <w:p w14:paraId="76F3BD3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承德市重点水源涵养生态功能保护区规划》，承德市重点水源涵养生态功能保护区包含了承德市的双桥区、双滦区、平泉县、隆化县的全部，滦平县、承德县、丰宁县、围场县的大部分，宽城县、兴隆县的小部分。承德市重点水源涵养生态功能保护区总面积8015.92k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，占全市土地总面积的20.29%。保护区有7773.71km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的面积在承德市“燕山山地水源涵养重要区”内，占其总面积的26.84%；保护区中有4483.67km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的面积分布在承德市“京津水源地水源涵养重要区”内，占其总面积的30.18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B0C547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left"/>
              <w:textAlignment w:val="auto"/>
              <w:rPr>
                <w:rFonts w:hint="default"/>
                <w:b/>
                <w:bCs/>
                <w:color w:val="000000" w:themeColor="text1"/>
                <w:spacing w:val="-2"/>
                <w:sz w:val="24"/>
                <w:szCs w:val="24"/>
                <w:highlight w:val="none"/>
                <w:lang w:val="en-US" w:eastAsia="zh-CN"/>
                <w14:textFill>
                  <w14:solidFill>
                    <w14:schemeClr w14:val="tx1"/>
                  </w14:solidFill>
                </w14:textFill>
              </w:rPr>
            </w:pPr>
            <w:r>
              <w:rPr>
                <w:rFonts w:hint="eastAsia"/>
                <w:b w:val="0"/>
                <w:bCs w:val="0"/>
                <w:color w:val="000000" w:themeColor="text1"/>
                <w:kern w:val="0"/>
                <w:sz w:val="24"/>
                <w:highlight w:val="none"/>
                <w:lang w:val="en-US" w:eastAsia="zh-CN"/>
                <w14:textFill>
                  <w14:solidFill>
                    <w14:schemeClr w14:val="tx1"/>
                  </w14:solidFill>
                </w14:textFill>
              </w:rPr>
              <w:t>本项目为风力发电项目配套送出线路工程，所在区域不属于重点水源涵养生态功能保护区范围。</w:t>
            </w:r>
            <w:r>
              <w:rPr>
                <w:rFonts w:hint="eastAsia"/>
                <w:color w:val="000000" w:themeColor="text1"/>
                <w:sz w:val="24"/>
                <w:szCs w:val="24"/>
                <w:highlight w:val="none"/>
                <w:lang w:val="en-US" w:eastAsia="zh-CN"/>
                <w14:textFill>
                  <w14:solidFill>
                    <w14:schemeClr w14:val="tx1"/>
                  </w14:solidFill>
                </w14:textFill>
              </w:rPr>
              <w:t>本项目施工过程中采取水土流失防治措施及水土保持措施，施工结束后及时进行生态恢复，项目的建设与《承德市重点水源涵养生态功能保护区规划》不冲突。</w:t>
            </w:r>
          </w:p>
          <w:p w14:paraId="2E9E532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74" w:firstLineChars="200"/>
              <w:jc w:val="left"/>
              <w:textAlignment w:val="auto"/>
              <w:rPr>
                <w:rFonts w:hint="eastAsia"/>
                <w:b/>
                <w:bCs/>
                <w:color w:val="000000" w:themeColor="text1"/>
                <w:spacing w:val="-2"/>
                <w:sz w:val="24"/>
                <w:highlight w:val="none"/>
                <w:lang w:val="en-US" w:eastAsia="zh-CN"/>
                <w14:textFill>
                  <w14:solidFill>
                    <w14:schemeClr w14:val="tx1"/>
                  </w14:solidFill>
                </w14:textFill>
              </w:rPr>
            </w:pPr>
          </w:p>
          <w:p w14:paraId="7A25854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74" w:firstLineChars="200"/>
              <w:jc w:val="left"/>
              <w:textAlignment w:val="auto"/>
              <w:rPr>
                <w:rFonts w:hint="default"/>
                <w:b/>
                <w:bCs/>
                <w:color w:val="000000" w:themeColor="text1"/>
                <w:spacing w:val="-2"/>
                <w:sz w:val="24"/>
                <w:highlight w:val="none"/>
                <w:lang w:val="en-US" w:eastAsia="zh-CN"/>
                <w14:textFill>
                  <w14:solidFill>
                    <w14:schemeClr w14:val="tx1"/>
                  </w14:solidFill>
                </w14:textFill>
              </w:rPr>
            </w:pPr>
            <w:r>
              <w:rPr>
                <w:rFonts w:hint="eastAsia"/>
                <w:b/>
                <w:bCs/>
                <w:color w:val="000000" w:themeColor="text1"/>
                <w:spacing w:val="-2"/>
                <w:sz w:val="24"/>
                <w:highlight w:val="none"/>
                <w:lang w:val="en-US" w:eastAsia="zh-CN"/>
                <w14:textFill>
                  <w14:solidFill>
                    <w14:schemeClr w14:val="tx1"/>
                  </w14:solidFill>
                </w14:textFill>
              </w:rPr>
              <w:t>5、行业规划及环保技术要求符合性</w:t>
            </w:r>
          </w:p>
          <w:p w14:paraId="6C0CCE4A">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（1）承德市电网布局相关规划符合性</w:t>
            </w:r>
          </w:p>
          <w:p w14:paraId="41EC599D">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承德市能源“十四五”规划和2035年远景目标纲要》提出，“构建综合能源体系，提升电力设施保障能力和智慧化水平，完善油气管网和新能源配套基础设施，强化能源安全保障能力。提升电力设施保障能力和智慧化水平。全力实施清洁能源送出工程，加快建设承德首座1000千伏特高压升压站，同步配套建设500千伏升压站项目，形成“三站一送大基地”清洁能源送出网架，着力提升清洁能源消纳送出能力。……加快推进智能电网和微电网示范项目建设。”</w:t>
            </w:r>
          </w:p>
          <w:p w14:paraId="018DFBB6">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本项目为</w:t>
            </w:r>
            <w:r>
              <w:rPr>
                <w:rFonts w:hint="eastAsia" w:cs="Times New Roman"/>
                <w:color w:val="000000" w:themeColor="text1"/>
                <w:kern w:val="0"/>
                <w:sz w:val="24"/>
                <w:highlight w:val="none"/>
                <w:lang w:val="en-US" w:eastAsia="zh-CN"/>
                <w14:textFill>
                  <w14:solidFill>
                    <w14:schemeClr w14:val="tx1"/>
                  </w14:solidFill>
                </w14:textFill>
              </w:rPr>
              <w:t>风力发电项目配套送出线路</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工程，</w:t>
            </w:r>
            <w:r>
              <w:rPr>
                <w:rFonts w:hint="eastAsia" w:cs="Times New Roman"/>
                <w:color w:val="000000" w:themeColor="text1"/>
                <w:kern w:val="0"/>
                <w:sz w:val="24"/>
                <w:highlight w:val="none"/>
                <w:lang w:val="en-US" w:eastAsia="zh-CN"/>
                <w14:textFill>
                  <w14:solidFill>
                    <w14:schemeClr w14:val="tx1"/>
                  </w14:solidFill>
                </w14:textFill>
              </w:rPr>
              <w:t>本项目的建设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有利于促进综合能源体系的构建，可保证清洁能源的顺利并网。</w:t>
            </w:r>
          </w:p>
          <w:p w14:paraId="0AF80D74">
            <w:pPr>
              <w:pStyle w:val="82"/>
              <w:spacing w:line="480" w:lineRule="exact"/>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（2）与《输变电建设项目环境保护技术要求》相符性分析</w:t>
            </w:r>
          </w:p>
          <w:p w14:paraId="7596B7B4">
            <w:pPr>
              <w:spacing w:line="440" w:lineRule="exact"/>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本项目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与《输变电建设项目环境保护技术要求》（HJ1113-2020）符合性分析</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如下：</w:t>
            </w:r>
          </w:p>
          <w:p w14:paraId="7049B6C7">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b/>
                <w:bCs/>
                <w:color w:val="000000" w:themeColor="text1"/>
                <w:spacing w:val="-2"/>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表1-4  项目</w:t>
            </w:r>
            <w:r>
              <w:rPr>
                <w:rFonts w:hint="eastAsia"/>
                <w:b/>
                <w:bCs/>
                <w:color w:val="000000" w:themeColor="text1"/>
                <w:spacing w:val="-2"/>
                <w:sz w:val="21"/>
                <w:szCs w:val="21"/>
                <w:highlight w:val="none"/>
                <w:lang w:val="en-US" w:eastAsia="zh-CN"/>
                <w14:textFill>
                  <w14:solidFill>
                    <w14:schemeClr w14:val="tx1"/>
                  </w14:solidFill>
                </w14:textFill>
              </w:rPr>
              <w:t>与《输变电建设项目环境保护技术要求》</w:t>
            </w:r>
            <w:r>
              <w:rPr>
                <w:rFonts w:hint="eastAsia" w:ascii="Times New Roman" w:hAnsi="Times New Roman" w:cs="Times New Roman"/>
                <w:b/>
                <w:bCs/>
                <w:color w:val="000000" w:themeColor="text1"/>
                <w:spacing w:val="-2"/>
                <w:sz w:val="21"/>
                <w:szCs w:val="21"/>
                <w:highlight w:val="none"/>
                <w:lang w:val="en-US" w:eastAsia="zh-CN"/>
                <w14:textFill>
                  <w14:solidFill>
                    <w14:schemeClr w14:val="tx1"/>
                  </w14:solidFill>
                </w14:textFill>
              </w:rPr>
              <w:t>符合性分析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4043"/>
              <w:gridCol w:w="2966"/>
              <w:gridCol w:w="748"/>
            </w:tblGrid>
            <w:tr w14:paraId="3E03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64" w:type="pct"/>
                  <w:gridSpan w:val="2"/>
                  <w:tcMar>
                    <w:top w:w="0" w:type="dxa"/>
                    <w:left w:w="28" w:type="dxa"/>
                    <w:bottom w:w="0" w:type="dxa"/>
                    <w:right w:w="28" w:type="dxa"/>
                  </w:tcMar>
                  <w:vAlign w:val="center"/>
                </w:tcPr>
                <w:p w14:paraId="34983BB2">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bCs/>
                      <w:color w:val="000000" w:themeColor="text1"/>
                      <w:sz w:val="21"/>
                      <w:szCs w:val="21"/>
                      <w:highlight w:val="none"/>
                      <w14:textFill>
                        <w14:solidFill>
                          <w14:schemeClr w14:val="tx1"/>
                        </w14:solidFill>
                      </w14:textFill>
                    </w:rPr>
                    <w:t>《输变电建设项目环境保护技术要求》</w:t>
                  </w:r>
                </w:p>
              </w:tc>
              <w:tc>
                <w:tcPr>
                  <w:tcW w:w="1785" w:type="pct"/>
                  <w:tcMar>
                    <w:top w:w="0" w:type="dxa"/>
                    <w:left w:w="28" w:type="dxa"/>
                    <w:bottom w:w="0" w:type="dxa"/>
                    <w:right w:w="28" w:type="dxa"/>
                  </w:tcMar>
                  <w:vAlign w:val="center"/>
                </w:tcPr>
                <w:p w14:paraId="65E1A131">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bCs/>
                      <w:color w:val="000000" w:themeColor="text1"/>
                      <w:sz w:val="21"/>
                      <w:szCs w:val="21"/>
                      <w:highlight w:val="none"/>
                      <w14:textFill>
                        <w14:solidFill>
                          <w14:schemeClr w14:val="tx1"/>
                        </w14:solidFill>
                      </w14:textFill>
                    </w:rPr>
                    <w:t>本项目情况</w:t>
                  </w:r>
                </w:p>
              </w:tc>
              <w:tc>
                <w:tcPr>
                  <w:tcW w:w="450" w:type="pct"/>
                  <w:tcMar>
                    <w:top w:w="0" w:type="dxa"/>
                    <w:left w:w="28" w:type="dxa"/>
                    <w:bottom w:w="0" w:type="dxa"/>
                    <w:right w:w="28" w:type="dxa"/>
                  </w:tcMar>
                  <w:vAlign w:val="center"/>
                </w:tcPr>
                <w:p w14:paraId="52C3B6F4">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bCs/>
                      <w:color w:val="000000" w:themeColor="text1"/>
                      <w:sz w:val="21"/>
                      <w:szCs w:val="21"/>
                      <w:highlight w:val="none"/>
                      <w14:textFill>
                        <w14:solidFill>
                          <w14:schemeClr w14:val="tx1"/>
                        </w14:solidFill>
                      </w14:textFill>
                    </w:rPr>
                  </w:pPr>
                  <w:r>
                    <w:rPr>
                      <w:rFonts w:ascii="Times New Roman" w:hAnsi="Times New Roman" w:cs="Times New Roman" w:eastAsiaTheme="minorEastAsia"/>
                      <w:bCs/>
                      <w:color w:val="000000" w:themeColor="text1"/>
                      <w:sz w:val="21"/>
                      <w:szCs w:val="21"/>
                      <w:highlight w:val="none"/>
                      <w14:textFill>
                        <w14:solidFill>
                          <w14:schemeClr w14:val="tx1"/>
                        </w14:solidFill>
                      </w14:textFill>
                    </w:rPr>
                    <w:t>符合性</w:t>
                  </w:r>
                </w:p>
              </w:tc>
            </w:tr>
            <w:tr w14:paraId="2BB2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restart"/>
                  <w:tcMar>
                    <w:top w:w="0" w:type="dxa"/>
                    <w:left w:w="28" w:type="dxa"/>
                    <w:bottom w:w="0" w:type="dxa"/>
                    <w:right w:w="28" w:type="dxa"/>
                  </w:tcMar>
                  <w:vAlign w:val="center"/>
                </w:tcPr>
                <w:p w14:paraId="62618035">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5选址选线</w:t>
                  </w:r>
                </w:p>
              </w:tc>
              <w:tc>
                <w:tcPr>
                  <w:tcW w:w="2432" w:type="pct"/>
                  <w:tcMar>
                    <w:top w:w="0" w:type="dxa"/>
                    <w:left w:w="28" w:type="dxa"/>
                    <w:bottom w:w="0" w:type="dxa"/>
                    <w:right w:w="28" w:type="dxa"/>
                  </w:tcMar>
                  <w:vAlign w:val="center"/>
                </w:tcPr>
                <w:p w14:paraId="2D3BE7D9">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5.2 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785" w:type="pct"/>
                  <w:tcMar>
                    <w:top w:w="0" w:type="dxa"/>
                    <w:left w:w="28" w:type="dxa"/>
                    <w:bottom w:w="0" w:type="dxa"/>
                    <w:right w:w="28" w:type="dxa"/>
                  </w:tcMar>
                  <w:vAlign w:val="center"/>
                </w:tcPr>
                <w:p w14:paraId="70F1E817">
                  <w:pPr>
                    <w:pStyle w:val="82"/>
                    <w:keepNext w:val="0"/>
                    <w:keepLines w:val="0"/>
                    <w:pageBreakBefore w:val="0"/>
                    <w:kinsoku/>
                    <w:wordWrap/>
                    <w:overflowPunct/>
                    <w:topLinePunct w:val="0"/>
                    <w:bidi w:val="0"/>
                    <w:snapToGrid/>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本项目</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为</w:t>
                  </w:r>
                  <w:r>
                    <w:rPr>
                      <w:rFonts w:hint="eastAsia" w:cs="Times New Roman" w:eastAsiaTheme="minorEastAsia"/>
                      <w:color w:val="000000" w:themeColor="text1"/>
                      <w:sz w:val="21"/>
                      <w:szCs w:val="21"/>
                      <w:highlight w:val="none"/>
                      <w:lang w:val="en-US" w:eastAsia="zh-CN"/>
                      <w14:textFill>
                        <w14:solidFill>
                          <w14:schemeClr w14:val="tx1"/>
                        </w14:solidFill>
                      </w14:textFill>
                    </w:rPr>
                    <w:t>风力发电项目配套送出线路工程，项目塔基不占用生态保护红线，不涉及自然保护区、饮用水水源保护区等环境敏感区。</w:t>
                  </w:r>
                </w:p>
              </w:tc>
              <w:tc>
                <w:tcPr>
                  <w:tcW w:w="450" w:type="pct"/>
                  <w:tcMar>
                    <w:top w:w="0" w:type="dxa"/>
                    <w:left w:w="28" w:type="dxa"/>
                    <w:bottom w:w="0" w:type="dxa"/>
                    <w:right w:w="28" w:type="dxa"/>
                  </w:tcMar>
                  <w:vAlign w:val="center"/>
                </w:tcPr>
                <w:p w14:paraId="127B044D">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1CA3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76068896">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2051DD17">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5.3 变电工程在选址时应按终期规模综合考虑进出线走廊规划，避免进出线进入自然保护区、饮用水水源保护区等环境敏感区。</w:t>
                  </w:r>
                </w:p>
              </w:tc>
              <w:tc>
                <w:tcPr>
                  <w:tcW w:w="1785" w:type="pct"/>
                  <w:tcMar>
                    <w:top w:w="0" w:type="dxa"/>
                    <w:left w:w="28" w:type="dxa"/>
                    <w:bottom w:w="0" w:type="dxa"/>
                    <w:right w:w="28" w:type="dxa"/>
                  </w:tcMar>
                  <w:vAlign w:val="center"/>
                </w:tcPr>
                <w:p w14:paraId="4A1A47A3">
                  <w:pPr>
                    <w:pStyle w:val="82"/>
                    <w:keepNext w:val="0"/>
                    <w:keepLines w:val="0"/>
                    <w:pageBreakBefore w:val="0"/>
                    <w:kinsoku/>
                    <w:wordWrap/>
                    <w:overflowPunct/>
                    <w:topLinePunct w:val="0"/>
                    <w:bidi w:val="0"/>
                    <w:snapToGrid/>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项目</w:t>
                  </w:r>
                  <w:r>
                    <w:rPr>
                      <w:rFonts w:hint="eastAsia" w:cs="Times New Roman" w:eastAsiaTheme="minorEastAsia"/>
                      <w:color w:val="000000" w:themeColor="text1"/>
                      <w:sz w:val="21"/>
                      <w:szCs w:val="21"/>
                      <w:highlight w:val="none"/>
                      <w:lang w:val="en-US" w:eastAsia="zh-CN"/>
                      <w14:textFill>
                        <w14:solidFill>
                          <w14:schemeClr w14:val="tx1"/>
                        </w14:solidFill>
                      </w14:textFill>
                    </w:rPr>
                    <w:t>为风力发电项目配套送出线路工程，不涉及变电工程。</w:t>
                  </w:r>
                </w:p>
              </w:tc>
              <w:tc>
                <w:tcPr>
                  <w:tcW w:w="450" w:type="pct"/>
                  <w:tcMar>
                    <w:top w:w="0" w:type="dxa"/>
                    <w:left w:w="28" w:type="dxa"/>
                    <w:bottom w:w="0" w:type="dxa"/>
                    <w:right w:w="28" w:type="dxa"/>
                  </w:tcMar>
                  <w:vAlign w:val="center"/>
                </w:tcPr>
                <w:p w14:paraId="069328F7">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2BB9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095F58AC">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33B196FE">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5.4 户外变电工程及规划架空进出线选址选线时，应关注以居住、医疗卫生、文化教育、科研、行政办公等为主要功能的区域，采取综合措施，减少电磁和声环境影响。</w:t>
                  </w:r>
                </w:p>
              </w:tc>
              <w:tc>
                <w:tcPr>
                  <w:tcW w:w="1785" w:type="pct"/>
                  <w:tcMar>
                    <w:top w:w="0" w:type="dxa"/>
                    <w:left w:w="28" w:type="dxa"/>
                    <w:bottom w:w="0" w:type="dxa"/>
                    <w:right w:w="28" w:type="dxa"/>
                  </w:tcMar>
                  <w:vAlign w:val="center"/>
                </w:tcPr>
                <w:p w14:paraId="01B4BC79">
                  <w:pPr>
                    <w:pStyle w:val="82"/>
                    <w:keepNext w:val="0"/>
                    <w:keepLines w:val="0"/>
                    <w:pageBreakBefore w:val="0"/>
                    <w:kinsoku/>
                    <w:wordWrap/>
                    <w:overflowPunct/>
                    <w:topLinePunct w:val="0"/>
                    <w:bidi w:val="0"/>
                    <w:snapToGrid/>
                    <w:spacing w:line="300" w:lineRule="exact"/>
                    <w:jc w:val="center"/>
                    <w:textAlignment w:val="auto"/>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本项目</w:t>
                  </w:r>
                  <w:r>
                    <w:rPr>
                      <w:rFonts w:hint="eastAsia" w:cs="Times New Roman" w:eastAsiaTheme="minorEastAsia"/>
                      <w:color w:val="000000" w:themeColor="text1"/>
                      <w:sz w:val="21"/>
                      <w:szCs w:val="21"/>
                      <w:highlight w:val="none"/>
                      <w:lang w:val="en-US" w:eastAsia="zh-CN"/>
                      <w14:textFill>
                        <w14:solidFill>
                          <w14:schemeClr w14:val="tx1"/>
                        </w14:solidFill>
                      </w14:textFill>
                    </w:rPr>
                    <w:t>输电线路选线</w:t>
                  </w:r>
                  <w:r>
                    <w:rPr>
                      <w:rFonts w:ascii="Times New Roman" w:hAnsi="Times New Roman" w:cs="Times New Roman" w:eastAsiaTheme="minorEastAsia"/>
                      <w:color w:val="000000" w:themeColor="text1"/>
                      <w:sz w:val="21"/>
                      <w:szCs w:val="21"/>
                      <w:highlight w:val="none"/>
                      <w14:textFill>
                        <w14:solidFill>
                          <w14:schemeClr w14:val="tx1"/>
                        </w14:solidFill>
                      </w14:textFill>
                    </w:rPr>
                    <w:t>避让了以居住、医疗卫生、文化教育、科研、行政办公等为主要功能的区域</w:t>
                  </w:r>
                  <w:r>
                    <w:rPr>
                      <w:rFonts w:hint="eastAsia" w:cs="Times New Roman" w:eastAsiaTheme="minorEastAsia"/>
                      <w:color w:val="000000" w:themeColor="text1"/>
                      <w:sz w:val="21"/>
                      <w:szCs w:val="21"/>
                      <w:highlight w:val="none"/>
                      <w:lang w:eastAsia="zh-CN"/>
                      <w14:textFill>
                        <w14:solidFill>
                          <w14:schemeClr w14:val="tx1"/>
                        </w14:solidFill>
                      </w14:textFill>
                    </w:rPr>
                    <w:t>。</w:t>
                  </w:r>
                </w:p>
              </w:tc>
              <w:tc>
                <w:tcPr>
                  <w:tcW w:w="450" w:type="pct"/>
                  <w:tcMar>
                    <w:top w:w="0" w:type="dxa"/>
                    <w:left w:w="28" w:type="dxa"/>
                    <w:bottom w:w="0" w:type="dxa"/>
                    <w:right w:w="28" w:type="dxa"/>
                  </w:tcMar>
                  <w:vAlign w:val="center"/>
                </w:tcPr>
                <w:p w14:paraId="59AFBA91">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376A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6684B480">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2CFEE511">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5.5 同一走廊内的多回输电线路，宜采取同塔多回架设、并行架设等形式，减少新开辟走廊，优化线路走廊间距，降低环境影响。</w:t>
                  </w:r>
                </w:p>
              </w:tc>
              <w:tc>
                <w:tcPr>
                  <w:tcW w:w="1785" w:type="pct"/>
                  <w:tcMar>
                    <w:top w:w="0" w:type="dxa"/>
                    <w:left w:w="28" w:type="dxa"/>
                    <w:bottom w:w="0" w:type="dxa"/>
                    <w:right w:w="28" w:type="dxa"/>
                  </w:tcMar>
                  <w:vAlign w:val="center"/>
                </w:tcPr>
                <w:p w14:paraId="5B269EF8">
                  <w:pPr>
                    <w:pStyle w:val="82"/>
                    <w:keepNext w:val="0"/>
                    <w:keepLines w:val="0"/>
                    <w:pageBreakBefore w:val="0"/>
                    <w:kinsoku/>
                    <w:wordWrap/>
                    <w:overflowPunct/>
                    <w:topLinePunct w:val="0"/>
                    <w:bidi w:val="0"/>
                    <w:snapToGrid/>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w:t>
                  </w:r>
                  <w:r>
                    <w:rPr>
                      <w:rFonts w:hint="eastAsia" w:cs="Times New Roman" w:eastAsiaTheme="minorEastAsia"/>
                      <w:color w:val="000000" w:themeColor="text1"/>
                      <w:sz w:val="21"/>
                      <w:szCs w:val="21"/>
                      <w:highlight w:val="none"/>
                      <w:lang w:val="en-US" w:eastAsia="zh-CN"/>
                      <w14:textFill>
                        <w14:solidFill>
                          <w14:schemeClr w14:val="tx1"/>
                        </w14:solidFill>
                      </w14:textFill>
                    </w:rPr>
                    <w:t>项目110kV输电线路采用单回架空方式</w:t>
                  </w:r>
                </w:p>
              </w:tc>
              <w:tc>
                <w:tcPr>
                  <w:tcW w:w="450" w:type="pct"/>
                  <w:tcMar>
                    <w:top w:w="0" w:type="dxa"/>
                    <w:left w:w="28" w:type="dxa"/>
                    <w:bottom w:w="0" w:type="dxa"/>
                    <w:right w:w="28" w:type="dxa"/>
                  </w:tcMar>
                  <w:vAlign w:val="center"/>
                </w:tcPr>
                <w:p w14:paraId="67242460">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69E4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60A32129">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3EA42769">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5.6 原则上避免在0类声环境功能区建设变电工程。</w:t>
                  </w:r>
                </w:p>
              </w:tc>
              <w:tc>
                <w:tcPr>
                  <w:tcW w:w="1785" w:type="pct"/>
                  <w:tcMar>
                    <w:top w:w="0" w:type="dxa"/>
                    <w:left w:w="28" w:type="dxa"/>
                    <w:bottom w:w="0" w:type="dxa"/>
                    <w:right w:w="28" w:type="dxa"/>
                  </w:tcMar>
                  <w:vAlign w:val="center"/>
                </w:tcPr>
                <w:p w14:paraId="2DD9B93E">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项目</w:t>
                  </w:r>
                  <w:r>
                    <w:rPr>
                      <w:rFonts w:ascii="Times New Roman" w:hAnsi="Times New Roman" w:cs="Times New Roman" w:eastAsiaTheme="minorEastAsia"/>
                      <w:color w:val="000000" w:themeColor="text1"/>
                      <w:sz w:val="21"/>
                      <w:szCs w:val="21"/>
                      <w:highlight w:val="none"/>
                      <w14:textFill>
                        <w14:solidFill>
                          <w14:schemeClr w14:val="tx1"/>
                        </w14:solidFill>
                      </w14:textFill>
                    </w:rPr>
                    <w:t>所在区域不涉及0类声环境功能区</w:t>
                  </w:r>
                </w:p>
              </w:tc>
              <w:tc>
                <w:tcPr>
                  <w:tcW w:w="450" w:type="pct"/>
                  <w:tcMar>
                    <w:top w:w="0" w:type="dxa"/>
                    <w:left w:w="28" w:type="dxa"/>
                    <w:bottom w:w="0" w:type="dxa"/>
                    <w:right w:w="28" w:type="dxa"/>
                  </w:tcMar>
                  <w:vAlign w:val="center"/>
                </w:tcPr>
                <w:p w14:paraId="6250982A">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1ADF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44A4F612">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19599DA6">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5.7 变电工程选址时，应综合考虑减少土地占用、植被砍伐和弃土弃渣等，以减少对生态环境的不利影响。</w:t>
                  </w:r>
                </w:p>
              </w:tc>
              <w:tc>
                <w:tcPr>
                  <w:tcW w:w="1785" w:type="pct"/>
                  <w:tcMar>
                    <w:top w:w="0" w:type="dxa"/>
                    <w:left w:w="28" w:type="dxa"/>
                    <w:bottom w:w="0" w:type="dxa"/>
                    <w:right w:w="28" w:type="dxa"/>
                  </w:tcMar>
                  <w:vAlign w:val="center"/>
                </w:tcPr>
                <w:p w14:paraId="3CABF614">
                  <w:pPr>
                    <w:pStyle w:val="82"/>
                    <w:keepNext w:val="0"/>
                    <w:keepLines w:val="0"/>
                    <w:pageBreakBefore w:val="0"/>
                    <w:kinsoku/>
                    <w:wordWrap/>
                    <w:overflowPunct/>
                    <w:topLinePunct w:val="0"/>
                    <w:bidi w:val="0"/>
                    <w:snapToGrid/>
                    <w:spacing w:line="300" w:lineRule="exact"/>
                    <w:jc w:val="center"/>
                    <w:textAlignment w:val="auto"/>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w:t>
                  </w:r>
                  <w:r>
                    <w:rPr>
                      <w:rFonts w:hint="eastAsia" w:cs="Times New Roman" w:eastAsiaTheme="minorEastAsia"/>
                      <w:color w:val="000000" w:themeColor="text1"/>
                      <w:sz w:val="21"/>
                      <w:szCs w:val="21"/>
                      <w:highlight w:val="none"/>
                      <w:lang w:val="en-US" w:eastAsia="zh-CN"/>
                      <w14:textFill>
                        <w14:solidFill>
                          <w14:schemeClr w14:val="tx1"/>
                        </w14:solidFill>
                      </w14:textFill>
                    </w:rPr>
                    <w:t>项目不涉及变电工程，线路施工土石方平衡，不产生</w:t>
                  </w:r>
                  <w:r>
                    <w:rPr>
                      <w:rFonts w:ascii="Times New Roman" w:hAnsi="Times New Roman" w:cs="Times New Roman" w:eastAsiaTheme="minorEastAsia"/>
                      <w:color w:val="000000" w:themeColor="text1"/>
                      <w:sz w:val="21"/>
                      <w:szCs w:val="21"/>
                      <w:highlight w:val="none"/>
                      <w14:textFill>
                        <w14:solidFill>
                          <w14:schemeClr w14:val="tx1"/>
                        </w14:solidFill>
                      </w14:textFill>
                    </w:rPr>
                    <w:t>弃土弃渣</w:t>
                  </w:r>
                  <w:r>
                    <w:rPr>
                      <w:rFonts w:hint="eastAsia" w:cs="Times New Roman" w:eastAsiaTheme="minorEastAsia"/>
                      <w:color w:val="000000" w:themeColor="text1"/>
                      <w:sz w:val="21"/>
                      <w:szCs w:val="21"/>
                      <w:highlight w:val="none"/>
                      <w:lang w:eastAsia="zh-CN"/>
                      <w14:textFill>
                        <w14:solidFill>
                          <w14:schemeClr w14:val="tx1"/>
                        </w14:solidFill>
                      </w14:textFill>
                    </w:rPr>
                    <w:t>。</w:t>
                  </w:r>
                </w:p>
              </w:tc>
              <w:tc>
                <w:tcPr>
                  <w:tcW w:w="450" w:type="pct"/>
                  <w:tcMar>
                    <w:top w:w="0" w:type="dxa"/>
                    <w:left w:w="28" w:type="dxa"/>
                    <w:bottom w:w="0" w:type="dxa"/>
                    <w:right w:w="28" w:type="dxa"/>
                  </w:tcMar>
                  <w:vAlign w:val="center"/>
                </w:tcPr>
                <w:p w14:paraId="2EFE4FFF">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1323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194FC923">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4C678104">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5.8 输电线路宜避让集中林区，以减少林木砍伐，保护生态环境。</w:t>
                  </w:r>
                </w:p>
              </w:tc>
              <w:tc>
                <w:tcPr>
                  <w:tcW w:w="1785" w:type="pct"/>
                  <w:tcMar>
                    <w:top w:w="0" w:type="dxa"/>
                    <w:left w:w="28" w:type="dxa"/>
                    <w:bottom w:w="0" w:type="dxa"/>
                    <w:right w:w="28" w:type="dxa"/>
                  </w:tcMar>
                  <w:vAlign w:val="center"/>
                </w:tcPr>
                <w:p w14:paraId="5AA37AF5">
                  <w:pPr>
                    <w:pStyle w:val="82"/>
                    <w:keepNext w:val="0"/>
                    <w:keepLines w:val="0"/>
                    <w:pageBreakBefore w:val="0"/>
                    <w:kinsoku/>
                    <w:wordWrap/>
                    <w:overflowPunct/>
                    <w:topLinePunct w:val="0"/>
                    <w:bidi w:val="0"/>
                    <w:snapToGrid/>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w:t>
                  </w:r>
                  <w:r>
                    <w:rPr>
                      <w:rFonts w:hint="eastAsia" w:cs="Times New Roman" w:eastAsiaTheme="minorEastAsia"/>
                      <w:color w:val="000000" w:themeColor="text1"/>
                      <w:sz w:val="21"/>
                      <w:szCs w:val="21"/>
                      <w:highlight w:val="none"/>
                      <w:lang w:val="en-US" w:eastAsia="zh-CN"/>
                      <w14:textFill>
                        <w14:solidFill>
                          <w14:schemeClr w14:val="tx1"/>
                        </w14:solidFill>
                      </w14:textFill>
                    </w:rPr>
                    <w:t>项目选线不占用集中林区，尽量减少树木砍伐</w:t>
                  </w:r>
                </w:p>
              </w:tc>
              <w:tc>
                <w:tcPr>
                  <w:tcW w:w="450" w:type="pct"/>
                  <w:tcMar>
                    <w:top w:w="0" w:type="dxa"/>
                    <w:left w:w="28" w:type="dxa"/>
                    <w:bottom w:w="0" w:type="dxa"/>
                    <w:right w:w="28" w:type="dxa"/>
                  </w:tcMar>
                  <w:vAlign w:val="center"/>
                </w:tcPr>
                <w:p w14:paraId="46A62BD3">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487F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144A871A">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052CDEE4">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5.9 进入自然保护区的输电线路，应按照HJ19的要求开展生态现状调查，避让保护对象的集中分布区。</w:t>
                  </w:r>
                </w:p>
              </w:tc>
              <w:tc>
                <w:tcPr>
                  <w:tcW w:w="1785" w:type="pct"/>
                  <w:tcMar>
                    <w:top w:w="0" w:type="dxa"/>
                    <w:left w:w="28" w:type="dxa"/>
                    <w:bottom w:w="0" w:type="dxa"/>
                    <w:right w:w="28" w:type="dxa"/>
                  </w:tcMar>
                  <w:vAlign w:val="center"/>
                </w:tcPr>
                <w:p w14:paraId="5E4BBA92">
                  <w:pPr>
                    <w:pStyle w:val="82"/>
                    <w:keepNext w:val="0"/>
                    <w:keepLines w:val="0"/>
                    <w:pageBreakBefore w:val="0"/>
                    <w:kinsoku/>
                    <w:wordWrap/>
                    <w:overflowPunct/>
                    <w:topLinePunct w:val="0"/>
                    <w:bidi w:val="0"/>
                    <w:snapToGrid/>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本项目选线不涉及自然保护区</w:t>
                  </w:r>
                </w:p>
              </w:tc>
              <w:tc>
                <w:tcPr>
                  <w:tcW w:w="450" w:type="pct"/>
                  <w:tcMar>
                    <w:top w:w="0" w:type="dxa"/>
                    <w:left w:w="28" w:type="dxa"/>
                    <w:bottom w:w="0" w:type="dxa"/>
                    <w:right w:w="28" w:type="dxa"/>
                  </w:tcMar>
                  <w:vAlign w:val="center"/>
                </w:tcPr>
                <w:p w14:paraId="703FC2A9">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5BC2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restart"/>
                  <w:tcMar>
                    <w:top w:w="0" w:type="dxa"/>
                    <w:left w:w="28" w:type="dxa"/>
                    <w:bottom w:w="0" w:type="dxa"/>
                    <w:right w:w="28" w:type="dxa"/>
                  </w:tcMar>
                  <w:vAlign w:val="center"/>
                </w:tcPr>
                <w:p w14:paraId="43856CC1">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6设计</w:t>
                  </w:r>
                </w:p>
              </w:tc>
              <w:tc>
                <w:tcPr>
                  <w:tcW w:w="2432" w:type="pct"/>
                  <w:tcMar>
                    <w:top w:w="0" w:type="dxa"/>
                    <w:left w:w="28" w:type="dxa"/>
                    <w:bottom w:w="0" w:type="dxa"/>
                    <w:right w:w="28" w:type="dxa"/>
                  </w:tcMar>
                  <w:vAlign w:val="center"/>
                </w:tcPr>
                <w:p w14:paraId="4043BC7E">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输电线路设计应因地制宜选择线路型式、架设高度、杆塔塔型、导线参数、相序布置等，减少电磁环境影响。</w:t>
                  </w:r>
                </w:p>
              </w:tc>
              <w:tc>
                <w:tcPr>
                  <w:tcW w:w="1785" w:type="pct"/>
                  <w:tcMar>
                    <w:top w:w="0" w:type="dxa"/>
                    <w:left w:w="28" w:type="dxa"/>
                    <w:bottom w:w="0" w:type="dxa"/>
                    <w:right w:w="28" w:type="dxa"/>
                  </w:tcMar>
                  <w:vAlign w:val="center"/>
                </w:tcPr>
                <w:p w14:paraId="5914DB68">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w:t>
                  </w:r>
                  <w:r>
                    <w:rPr>
                      <w:rFonts w:hint="eastAsia" w:cs="Times New Roman" w:eastAsiaTheme="minorEastAsia"/>
                      <w:color w:val="000000" w:themeColor="text1"/>
                      <w:sz w:val="21"/>
                      <w:szCs w:val="21"/>
                      <w:highlight w:val="none"/>
                      <w:lang w:val="en-US" w:eastAsia="zh-CN"/>
                      <w14:textFill>
                        <w14:solidFill>
                          <w14:schemeClr w14:val="tx1"/>
                        </w14:solidFill>
                      </w14:textFill>
                    </w:rPr>
                    <w:t>项目110kV输电线路采用单回架空方式，提升架设高度，减少电磁环境影响。</w:t>
                  </w:r>
                </w:p>
              </w:tc>
              <w:tc>
                <w:tcPr>
                  <w:tcW w:w="450" w:type="pct"/>
                  <w:tcMar>
                    <w:top w:w="0" w:type="dxa"/>
                    <w:left w:w="28" w:type="dxa"/>
                    <w:bottom w:w="0" w:type="dxa"/>
                    <w:right w:w="28" w:type="dxa"/>
                  </w:tcMar>
                  <w:vAlign w:val="center"/>
                </w:tcPr>
                <w:p w14:paraId="541A8CAE">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lang w:eastAsia="en-US"/>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7C55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6EDB7190">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2A332D79">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架空输电线路经过电磁环境敏感目标时，应采取避让或增加导线对地高度等措施，减少电磁环境影响。</w:t>
                  </w:r>
                </w:p>
              </w:tc>
              <w:tc>
                <w:tcPr>
                  <w:tcW w:w="1785" w:type="pct"/>
                  <w:tcMar>
                    <w:top w:w="0" w:type="dxa"/>
                    <w:left w:w="28" w:type="dxa"/>
                    <w:bottom w:w="0" w:type="dxa"/>
                    <w:right w:w="28" w:type="dxa"/>
                  </w:tcMar>
                  <w:vAlign w:val="center"/>
                </w:tcPr>
                <w:p w14:paraId="6821006D">
                  <w:pPr>
                    <w:pStyle w:val="82"/>
                    <w:keepNext w:val="0"/>
                    <w:keepLines w:val="0"/>
                    <w:pageBreakBefore w:val="0"/>
                    <w:kinsoku/>
                    <w:wordWrap/>
                    <w:overflowPunct/>
                    <w:topLinePunct w:val="0"/>
                    <w:bidi w:val="0"/>
                    <w:snapToGrid/>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w:t>
                  </w:r>
                  <w:r>
                    <w:rPr>
                      <w:rFonts w:hint="eastAsia" w:cs="Times New Roman" w:eastAsiaTheme="minorEastAsia"/>
                      <w:color w:val="000000" w:themeColor="text1"/>
                      <w:sz w:val="21"/>
                      <w:szCs w:val="21"/>
                      <w:highlight w:val="none"/>
                      <w:lang w:val="en-US" w:eastAsia="zh-CN"/>
                      <w14:textFill>
                        <w14:solidFill>
                          <w14:schemeClr w14:val="tx1"/>
                        </w14:solidFill>
                      </w14:textFill>
                    </w:rPr>
                    <w:t>项目110kV输电线路经过电磁环境敏感目标时增加导线对地高度，减少电磁环境影响。</w:t>
                  </w:r>
                </w:p>
              </w:tc>
              <w:tc>
                <w:tcPr>
                  <w:tcW w:w="450" w:type="pct"/>
                  <w:tcMar>
                    <w:top w:w="0" w:type="dxa"/>
                    <w:left w:w="28" w:type="dxa"/>
                    <w:bottom w:w="0" w:type="dxa"/>
                    <w:right w:w="28" w:type="dxa"/>
                  </w:tcMar>
                  <w:vAlign w:val="center"/>
                </w:tcPr>
                <w:p w14:paraId="6475138C">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lang w:eastAsia="en-US"/>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686B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6C7C0D08">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33884177">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应按照避让、减缓、恢复的次序提出生态影响防护与恢复的措施。</w:t>
                  </w:r>
                </w:p>
              </w:tc>
              <w:tc>
                <w:tcPr>
                  <w:tcW w:w="1785" w:type="pct"/>
                  <w:tcMar>
                    <w:top w:w="0" w:type="dxa"/>
                    <w:left w:w="28" w:type="dxa"/>
                    <w:bottom w:w="0" w:type="dxa"/>
                    <w:right w:w="28" w:type="dxa"/>
                  </w:tcMar>
                  <w:vAlign w:val="center"/>
                </w:tcPr>
                <w:p w14:paraId="741223AE">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本</w:t>
                  </w:r>
                  <w:r>
                    <w:rPr>
                      <w:rFonts w:hint="eastAsia" w:cs="Times New Roman" w:eastAsiaTheme="minorEastAsia"/>
                      <w:color w:val="000000" w:themeColor="text1"/>
                      <w:sz w:val="21"/>
                      <w:szCs w:val="21"/>
                      <w:highlight w:val="none"/>
                      <w:lang w:val="en-US" w:eastAsia="zh-CN"/>
                      <w14:textFill>
                        <w14:solidFill>
                          <w14:schemeClr w14:val="tx1"/>
                        </w14:solidFill>
                      </w14:textFill>
                    </w:rPr>
                    <w:t>项目选线</w:t>
                  </w:r>
                  <w:r>
                    <w:rPr>
                      <w:rFonts w:ascii="Times New Roman" w:hAnsi="Times New Roman" w:cs="Times New Roman" w:eastAsiaTheme="minorEastAsia"/>
                      <w:color w:val="000000" w:themeColor="text1"/>
                      <w:sz w:val="21"/>
                      <w:szCs w:val="21"/>
                      <w:highlight w:val="none"/>
                      <w14:textFill>
                        <w14:solidFill>
                          <w14:schemeClr w14:val="tx1"/>
                        </w14:solidFill>
                      </w14:textFill>
                    </w:rPr>
                    <w:t>不</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占用</w:t>
                  </w:r>
                  <w:r>
                    <w:rPr>
                      <w:rFonts w:ascii="Times New Roman" w:hAnsi="Times New Roman" w:cs="Times New Roman" w:eastAsiaTheme="minorEastAsia"/>
                      <w:color w:val="000000" w:themeColor="text1"/>
                      <w:sz w:val="21"/>
                      <w:szCs w:val="21"/>
                      <w:highlight w:val="none"/>
                      <w14:textFill>
                        <w14:solidFill>
                          <w14:schemeClr w14:val="tx1"/>
                        </w14:solidFill>
                      </w14:textFill>
                    </w:rPr>
                    <w:t>生态红线，</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施工</w:t>
                  </w:r>
                  <w:r>
                    <w:rPr>
                      <w:rFonts w:ascii="Times New Roman" w:hAnsi="Times New Roman" w:cs="Times New Roman" w:eastAsiaTheme="minorEastAsia"/>
                      <w:color w:val="000000" w:themeColor="text1"/>
                      <w:sz w:val="21"/>
                      <w:szCs w:val="21"/>
                      <w:highlight w:val="none"/>
                      <w14:textFill>
                        <w14:solidFill>
                          <w14:schemeClr w14:val="tx1"/>
                        </w14:solidFill>
                      </w14:textFill>
                    </w:rPr>
                    <w:t>结束后采取减缓、恢复措施降低对生态环境的影响。</w:t>
                  </w:r>
                </w:p>
              </w:tc>
              <w:tc>
                <w:tcPr>
                  <w:tcW w:w="450" w:type="pct"/>
                  <w:tcMar>
                    <w:top w:w="0" w:type="dxa"/>
                    <w:left w:w="28" w:type="dxa"/>
                    <w:bottom w:w="0" w:type="dxa"/>
                    <w:right w:w="28" w:type="dxa"/>
                  </w:tcMar>
                  <w:vAlign w:val="center"/>
                </w:tcPr>
                <w:p w14:paraId="0EB6DF39">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lang w:eastAsia="en-US"/>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2923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restart"/>
                  <w:tcMar>
                    <w:top w:w="0" w:type="dxa"/>
                    <w:left w:w="28" w:type="dxa"/>
                    <w:bottom w:w="0" w:type="dxa"/>
                    <w:right w:w="28" w:type="dxa"/>
                  </w:tcMar>
                  <w:vAlign w:val="center"/>
                </w:tcPr>
                <w:p w14:paraId="30720418">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7施工</w:t>
                  </w:r>
                </w:p>
              </w:tc>
              <w:tc>
                <w:tcPr>
                  <w:tcW w:w="2432" w:type="pct"/>
                  <w:tcMar>
                    <w:top w:w="0" w:type="dxa"/>
                    <w:left w:w="28" w:type="dxa"/>
                    <w:bottom w:w="0" w:type="dxa"/>
                    <w:right w:w="28" w:type="dxa"/>
                  </w:tcMar>
                  <w:vAlign w:val="center"/>
                </w:tcPr>
                <w:p w14:paraId="1B239B0F">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highlight w:val="none"/>
                      <w14:textFill>
                        <w14:solidFill>
                          <w14:schemeClr w14:val="tx1"/>
                        </w14:solidFill>
                      </w14:textFill>
                    </w:rPr>
                    <w:t>施工临时道路应尽可能利用机耕路、林区小路等现有道路，新建道路应严格控制道路宽度，以减少临时工程对生态环境的影</w:t>
                  </w:r>
                  <w:r>
                    <w:rPr>
                      <w:b w:val="0"/>
                      <w:color w:val="000000" w:themeColor="text1"/>
                      <w:spacing w:val="-9"/>
                      <w:highlight w:val="none"/>
                      <w14:textFill>
                        <w14:solidFill>
                          <w14:schemeClr w14:val="tx1"/>
                        </w14:solidFill>
                      </w14:textFill>
                    </w:rPr>
                    <w:t>响。</w:t>
                  </w:r>
                </w:p>
              </w:tc>
              <w:tc>
                <w:tcPr>
                  <w:tcW w:w="1785" w:type="pct"/>
                  <w:tcMar>
                    <w:top w:w="0" w:type="dxa"/>
                    <w:left w:w="28" w:type="dxa"/>
                    <w:bottom w:w="0" w:type="dxa"/>
                    <w:right w:w="28" w:type="dxa"/>
                  </w:tcMar>
                  <w:vAlign w:val="center"/>
                </w:tcPr>
                <w:p w14:paraId="06655992">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rFonts w:hint="eastAsia"/>
                      <w:b w:val="0"/>
                      <w:color w:val="000000" w:themeColor="text1"/>
                      <w:spacing w:val="-1"/>
                      <w:highlight w:val="none"/>
                      <w:lang w:val="en-US" w:eastAsia="zh-CN"/>
                      <w14:textFill>
                        <w14:solidFill>
                          <w14:schemeClr w14:val="tx1"/>
                        </w14:solidFill>
                      </w14:textFill>
                    </w:rPr>
                    <w:t>本项目施工期利用机耕路等现有道路，以</w:t>
                  </w:r>
                  <w:r>
                    <w:rPr>
                      <w:b w:val="0"/>
                      <w:color w:val="000000" w:themeColor="text1"/>
                      <w:spacing w:val="-1"/>
                      <w:highlight w:val="none"/>
                      <w14:textFill>
                        <w14:solidFill>
                          <w14:schemeClr w14:val="tx1"/>
                        </w14:solidFill>
                      </w14:textFill>
                    </w:rPr>
                    <w:t>减少临时道路，降低临时道路</w:t>
                  </w:r>
                  <w:r>
                    <w:rPr>
                      <w:b w:val="0"/>
                      <w:color w:val="000000" w:themeColor="text1"/>
                      <w:spacing w:val="5"/>
                      <w:highlight w:val="none"/>
                      <w14:textFill>
                        <w14:solidFill>
                          <w14:schemeClr w14:val="tx1"/>
                        </w14:solidFill>
                      </w14:textFill>
                    </w:rPr>
                    <w:t>对生态环境的碾压、破坏影响。</w:t>
                  </w:r>
                </w:p>
              </w:tc>
              <w:tc>
                <w:tcPr>
                  <w:tcW w:w="450" w:type="pct"/>
                  <w:tcMar>
                    <w:top w:w="0" w:type="dxa"/>
                    <w:left w:w="28" w:type="dxa"/>
                    <w:bottom w:w="0" w:type="dxa"/>
                    <w:right w:w="28" w:type="dxa"/>
                  </w:tcMar>
                  <w:vAlign w:val="center"/>
                </w:tcPr>
                <w:p w14:paraId="38CF267C">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4616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4C4C7640">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3DCAEBA6">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highlight w:val="none"/>
                      <w14:textFill>
                        <w14:solidFill>
                          <w14:schemeClr w14:val="tx1"/>
                        </w14:solidFill>
                      </w14:textFill>
                    </w:rPr>
                    <w:t>施工现场使用带油料的机械器具，应采取措施防止油料跑、冒、滴、漏，防止对土</w:t>
                  </w:r>
                  <w:r>
                    <w:rPr>
                      <w:b w:val="0"/>
                      <w:color w:val="000000" w:themeColor="text1"/>
                      <w:spacing w:val="-1"/>
                      <w:highlight w:val="none"/>
                      <w14:textFill>
                        <w14:solidFill>
                          <w14:schemeClr w14:val="tx1"/>
                        </w14:solidFill>
                      </w14:textFill>
                    </w:rPr>
                    <w:t>壤和水体造成污染。</w:t>
                  </w:r>
                </w:p>
              </w:tc>
              <w:tc>
                <w:tcPr>
                  <w:tcW w:w="1785" w:type="pct"/>
                  <w:tcMar>
                    <w:top w:w="0" w:type="dxa"/>
                    <w:left w:w="28" w:type="dxa"/>
                    <w:bottom w:w="0" w:type="dxa"/>
                    <w:right w:w="28" w:type="dxa"/>
                  </w:tcMar>
                  <w:vAlign w:val="center"/>
                </w:tcPr>
                <w:p w14:paraId="499EAAEF">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rFonts w:hint="eastAsia"/>
                      <w:b w:val="0"/>
                      <w:color w:val="000000" w:themeColor="text1"/>
                      <w:highlight w:val="none"/>
                      <w:lang w:val="en-US" w:eastAsia="zh-CN"/>
                      <w14:textFill>
                        <w14:solidFill>
                          <w14:schemeClr w14:val="tx1"/>
                        </w14:solidFill>
                      </w14:textFill>
                    </w:rPr>
                    <w:t>本项目</w:t>
                  </w:r>
                  <w:r>
                    <w:rPr>
                      <w:b w:val="0"/>
                      <w:color w:val="000000" w:themeColor="text1"/>
                      <w:highlight w:val="none"/>
                      <w14:textFill>
                        <w14:solidFill>
                          <w14:schemeClr w14:val="tx1"/>
                        </w14:solidFill>
                      </w14:textFill>
                    </w:rPr>
                    <w:t>施工现场</w:t>
                  </w:r>
                  <w:r>
                    <w:rPr>
                      <w:rFonts w:hint="eastAsia"/>
                      <w:b w:val="0"/>
                      <w:color w:val="000000" w:themeColor="text1"/>
                      <w:highlight w:val="none"/>
                      <w:lang w:val="en-US" w:eastAsia="zh-CN"/>
                      <w14:textFill>
                        <w14:solidFill>
                          <w14:schemeClr w14:val="tx1"/>
                        </w14:solidFill>
                      </w14:textFill>
                    </w:rPr>
                    <w:t>带油料的</w:t>
                  </w:r>
                  <w:r>
                    <w:rPr>
                      <w:b w:val="0"/>
                      <w:color w:val="000000" w:themeColor="text1"/>
                      <w:highlight w:val="none"/>
                      <w14:textFill>
                        <w14:solidFill>
                          <w14:schemeClr w14:val="tx1"/>
                        </w14:solidFill>
                      </w14:textFill>
                    </w:rPr>
                    <w:t>机械器具</w:t>
                  </w:r>
                  <w:r>
                    <w:rPr>
                      <w:rFonts w:hint="eastAsia"/>
                      <w:b w:val="0"/>
                      <w:color w:val="000000" w:themeColor="text1"/>
                      <w:highlight w:val="none"/>
                      <w:lang w:val="en-US" w:eastAsia="zh-CN"/>
                      <w14:textFill>
                        <w14:solidFill>
                          <w14:schemeClr w14:val="tx1"/>
                        </w14:solidFill>
                      </w14:textFill>
                    </w:rPr>
                    <w:t>采取</w:t>
                  </w:r>
                  <w:r>
                    <w:rPr>
                      <w:b w:val="0"/>
                      <w:color w:val="000000" w:themeColor="text1"/>
                      <w:spacing w:val="-8"/>
                      <w:highlight w:val="none"/>
                      <w14:textFill>
                        <w14:solidFill>
                          <w14:schemeClr w14:val="tx1"/>
                        </w14:solidFill>
                      </w14:textFill>
                    </w:rPr>
                    <w:t>使用油毡、</w:t>
                  </w:r>
                  <w:r>
                    <w:rPr>
                      <w:b w:val="0"/>
                      <w:color w:val="000000" w:themeColor="text1"/>
                      <w:spacing w:val="-1"/>
                      <w:highlight w:val="none"/>
                      <w14:textFill>
                        <w14:solidFill>
                          <w14:schemeClr w14:val="tx1"/>
                        </w14:solidFill>
                      </w14:textFill>
                    </w:rPr>
                    <w:t>隔离等措施，</w:t>
                  </w:r>
                  <w:r>
                    <w:rPr>
                      <w:rFonts w:hint="eastAsia"/>
                      <w:b w:val="0"/>
                      <w:color w:val="000000" w:themeColor="text1"/>
                      <w:highlight w:val="none"/>
                      <w:lang w:val="en-US" w:eastAsia="zh-CN"/>
                      <w14:textFill>
                        <w14:solidFill>
                          <w14:schemeClr w14:val="tx1"/>
                        </w14:solidFill>
                      </w14:textFill>
                    </w:rPr>
                    <w:t>防止</w:t>
                  </w:r>
                  <w:r>
                    <w:rPr>
                      <w:b w:val="0"/>
                      <w:color w:val="000000" w:themeColor="text1"/>
                      <w:highlight w:val="none"/>
                      <w14:textFill>
                        <w14:solidFill>
                          <w14:schemeClr w14:val="tx1"/>
                        </w14:solidFill>
                      </w14:textFill>
                    </w:rPr>
                    <w:t>油</w:t>
                  </w:r>
                  <w:r>
                    <w:rPr>
                      <w:b w:val="0"/>
                      <w:color w:val="000000" w:themeColor="text1"/>
                      <w:spacing w:val="-8"/>
                      <w:highlight w:val="none"/>
                      <w14:textFill>
                        <w14:solidFill>
                          <w14:schemeClr w14:val="tx1"/>
                        </w14:solidFill>
                      </w14:textFill>
                    </w:rPr>
                    <w:t>料跑、冒、滴、漏，</w:t>
                  </w:r>
                  <w:r>
                    <w:rPr>
                      <w:b w:val="0"/>
                      <w:color w:val="000000" w:themeColor="text1"/>
                      <w:spacing w:val="-1"/>
                      <w:highlight w:val="none"/>
                      <w14:textFill>
                        <w14:solidFill>
                          <w14:schemeClr w14:val="tx1"/>
                        </w14:solidFill>
                      </w14:textFill>
                    </w:rPr>
                    <w:t>避免对土壤、水体造</w:t>
                  </w:r>
                  <w:r>
                    <w:rPr>
                      <w:b w:val="0"/>
                      <w:color w:val="000000" w:themeColor="text1"/>
                      <w:spacing w:val="-3"/>
                      <w:highlight w:val="none"/>
                      <w14:textFill>
                        <w14:solidFill>
                          <w14:schemeClr w14:val="tx1"/>
                        </w14:solidFill>
                      </w14:textFill>
                    </w:rPr>
                    <w:t>成污染。</w:t>
                  </w:r>
                </w:p>
              </w:tc>
              <w:tc>
                <w:tcPr>
                  <w:tcW w:w="450" w:type="pct"/>
                  <w:tcMar>
                    <w:top w:w="0" w:type="dxa"/>
                    <w:left w:w="28" w:type="dxa"/>
                    <w:bottom w:w="0" w:type="dxa"/>
                    <w:right w:w="28" w:type="dxa"/>
                  </w:tcMar>
                  <w:vAlign w:val="center"/>
                </w:tcPr>
                <w:p w14:paraId="4A1133D4">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55E3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3367C033">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6A89B32D">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highlight w:val="none"/>
                      <w14:textFill>
                        <w14:solidFill>
                          <w14:schemeClr w14:val="tx1"/>
                        </w14:solidFill>
                      </w14:textFill>
                    </w:rPr>
                    <w:t>施工结束后，应及时清理施工现场，因地</w:t>
                  </w:r>
                  <w:r>
                    <w:rPr>
                      <w:b w:val="0"/>
                      <w:color w:val="000000" w:themeColor="text1"/>
                      <w:spacing w:val="-1"/>
                      <w:highlight w:val="none"/>
                      <w14:textFill>
                        <w14:solidFill>
                          <w14:schemeClr w14:val="tx1"/>
                        </w14:solidFill>
                      </w14:textFill>
                    </w:rPr>
                    <w:t>制宜进行土地功能恢复。</w:t>
                  </w:r>
                </w:p>
              </w:tc>
              <w:tc>
                <w:tcPr>
                  <w:tcW w:w="1785" w:type="pct"/>
                  <w:tcMar>
                    <w:top w:w="0" w:type="dxa"/>
                    <w:left w:w="28" w:type="dxa"/>
                    <w:bottom w:w="0" w:type="dxa"/>
                    <w:right w:w="28" w:type="dxa"/>
                  </w:tcMar>
                  <w:vAlign w:val="center"/>
                </w:tcPr>
                <w:p w14:paraId="78A13B68">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rFonts w:hint="eastAsia"/>
                      <w:b w:val="0"/>
                      <w:color w:val="000000" w:themeColor="text1"/>
                      <w:spacing w:val="-1"/>
                      <w:highlight w:val="none"/>
                      <w:lang w:val="en-US" w:eastAsia="zh-CN"/>
                      <w14:textFill>
                        <w14:solidFill>
                          <w14:schemeClr w14:val="tx1"/>
                        </w14:solidFill>
                      </w14:textFill>
                    </w:rPr>
                    <w:t>本</w:t>
                  </w:r>
                  <w:r>
                    <w:rPr>
                      <w:b w:val="0"/>
                      <w:color w:val="000000" w:themeColor="text1"/>
                      <w:spacing w:val="-1"/>
                      <w:highlight w:val="none"/>
                      <w14:textFill>
                        <w14:solidFill>
                          <w14:schemeClr w14:val="tx1"/>
                        </w14:solidFill>
                      </w14:textFill>
                    </w:rPr>
                    <w:t>项目施工结束后及时清理垃圾，做到工尽、料完、场地清。</w:t>
                  </w:r>
                </w:p>
              </w:tc>
              <w:tc>
                <w:tcPr>
                  <w:tcW w:w="450" w:type="pct"/>
                  <w:tcMar>
                    <w:top w:w="0" w:type="dxa"/>
                    <w:left w:w="28" w:type="dxa"/>
                    <w:bottom w:w="0" w:type="dxa"/>
                    <w:right w:w="28" w:type="dxa"/>
                  </w:tcMar>
                  <w:vAlign w:val="center"/>
                </w:tcPr>
                <w:p w14:paraId="5B5300DA">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0A6C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2D1A5691">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2F141952">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spacing w:val="-1"/>
                      <w:highlight w:val="none"/>
                      <w14:textFill>
                        <w14:solidFill>
                          <w14:schemeClr w14:val="tx1"/>
                        </w14:solidFill>
                      </w14:textFill>
                    </w:rPr>
                    <w:t>施工期间禁止向水体排放、倾倒垃圾、弃</w:t>
                  </w:r>
                  <w:r>
                    <w:rPr>
                      <w:b w:val="0"/>
                      <w:color w:val="000000" w:themeColor="text1"/>
                      <w:highlight w:val="none"/>
                      <w14:textFill>
                        <w14:solidFill>
                          <w14:schemeClr w14:val="tx1"/>
                        </w14:solidFill>
                      </w14:textFill>
                    </w:rPr>
                    <w:t>土、弃渣，禁止排放未经处理的钻浆等废</w:t>
                  </w:r>
                  <w:r>
                    <w:rPr>
                      <w:b w:val="0"/>
                      <w:color w:val="000000" w:themeColor="text1"/>
                      <w:spacing w:val="-4"/>
                      <w:highlight w:val="none"/>
                      <w14:textFill>
                        <w14:solidFill>
                          <w14:schemeClr w14:val="tx1"/>
                        </w14:solidFill>
                      </w14:textFill>
                    </w:rPr>
                    <w:t>弃物。</w:t>
                  </w:r>
                </w:p>
              </w:tc>
              <w:tc>
                <w:tcPr>
                  <w:tcW w:w="1785" w:type="pct"/>
                  <w:tcMar>
                    <w:top w:w="0" w:type="dxa"/>
                    <w:left w:w="28" w:type="dxa"/>
                    <w:bottom w:w="0" w:type="dxa"/>
                    <w:right w:w="28" w:type="dxa"/>
                  </w:tcMar>
                  <w:vAlign w:val="center"/>
                </w:tcPr>
                <w:p w14:paraId="4EF42114">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spacing w:val="-1"/>
                      <w:highlight w:val="none"/>
                      <w14:textFill>
                        <w14:solidFill>
                          <w14:schemeClr w14:val="tx1"/>
                        </w14:solidFill>
                      </w14:textFill>
                    </w:rPr>
                    <w:t>本项目无涉水工程，禁止向水体倾倒各类固体废物及渣土。</w:t>
                  </w:r>
                </w:p>
              </w:tc>
              <w:tc>
                <w:tcPr>
                  <w:tcW w:w="450" w:type="pct"/>
                  <w:tcMar>
                    <w:top w:w="0" w:type="dxa"/>
                    <w:left w:w="28" w:type="dxa"/>
                    <w:bottom w:w="0" w:type="dxa"/>
                    <w:right w:w="28" w:type="dxa"/>
                  </w:tcMar>
                  <w:vAlign w:val="center"/>
                </w:tcPr>
                <w:p w14:paraId="0F6B00C7">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2888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0F08C2EA">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52D43D45">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highlight w:val="none"/>
                      <w14:textFill>
                        <w14:solidFill>
                          <w14:schemeClr w14:val="tx1"/>
                        </w14:solidFill>
                      </w14:textFill>
                    </w:rPr>
                    <w:t>施工过程中，应当加强对施工现场和物料</w:t>
                  </w:r>
                  <w:r>
                    <w:rPr>
                      <w:b w:val="0"/>
                      <w:color w:val="000000" w:themeColor="text1"/>
                      <w:spacing w:val="-1"/>
                      <w:highlight w:val="none"/>
                      <w14:textFill>
                        <w14:solidFill>
                          <w14:schemeClr w14:val="tx1"/>
                        </w14:solidFill>
                      </w14:textFill>
                    </w:rPr>
                    <w:t>运输的管理，在施工工地设置硬质围挡，</w:t>
                  </w:r>
                  <w:r>
                    <w:rPr>
                      <w:b w:val="0"/>
                      <w:color w:val="000000" w:themeColor="text1"/>
                      <w:highlight w:val="none"/>
                      <w14:textFill>
                        <w14:solidFill>
                          <w14:schemeClr w14:val="tx1"/>
                        </w14:solidFill>
                      </w14:textFill>
                    </w:rPr>
                    <w:t>保持道路清洁，管控料堆和渣土堆放，防</w:t>
                  </w:r>
                  <w:r>
                    <w:rPr>
                      <w:b w:val="0"/>
                      <w:color w:val="000000" w:themeColor="text1"/>
                      <w:spacing w:val="-3"/>
                      <w:highlight w:val="none"/>
                      <w14:textFill>
                        <w14:solidFill>
                          <w14:schemeClr w14:val="tx1"/>
                        </w14:solidFill>
                      </w14:textFill>
                    </w:rPr>
                    <w:t>治扬尘污染</w:t>
                  </w:r>
                </w:p>
              </w:tc>
              <w:tc>
                <w:tcPr>
                  <w:tcW w:w="1785" w:type="pct"/>
                  <w:tcMar>
                    <w:top w:w="0" w:type="dxa"/>
                    <w:left w:w="28" w:type="dxa"/>
                    <w:bottom w:w="0" w:type="dxa"/>
                    <w:right w:w="28" w:type="dxa"/>
                  </w:tcMar>
                  <w:vAlign w:val="center"/>
                </w:tcPr>
                <w:p w14:paraId="74AD7BE2">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rFonts w:hint="eastAsia"/>
                      <w:b w:val="0"/>
                      <w:color w:val="000000" w:themeColor="text1"/>
                      <w:spacing w:val="-1"/>
                      <w:highlight w:val="none"/>
                      <w:lang w:val="en-US" w:eastAsia="zh-CN"/>
                      <w14:textFill>
                        <w14:solidFill>
                          <w14:schemeClr w14:val="tx1"/>
                        </w14:solidFill>
                      </w14:textFill>
                    </w:rPr>
                    <w:t>本项目</w:t>
                  </w:r>
                  <w:r>
                    <w:rPr>
                      <w:b w:val="0"/>
                      <w:color w:val="000000" w:themeColor="text1"/>
                      <w:spacing w:val="-1"/>
                      <w:highlight w:val="none"/>
                      <w14:textFill>
                        <w14:solidFill>
                          <w14:schemeClr w14:val="tx1"/>
                        </w14:solidFill>
                      </w14:textFill>
                    </w:rPr>
                    <w:t>施工现场和物料运输管理</w:t>
                  </w:r>
                  <w:r>
                    <w:rPr>
                      <w:rFonts w:hint="eastAsia"/>
                      <w:b w:val="0"/>
                      <w:color w:val="000000" w:themeColor="text1"/>
                      <w:spacing w:val="-1"/>
                      <w:highlight w:val="none"/>
                      <w:lang w:val="en-US" w:eastAsia="zh-CN"/>
                      <w14:textFill>
                        <w14:solidFill>
                          <w14:schemeClr w14:val="tx1"/>
                        </w14:solidFill>
                      </w14:textFill>
                    </w:rPr>
                    <w:t>采取</w:t>
                  </w:r>
                  <w:r>
                    <w:rPr>
                      <w:b w:val="0"/>
                      <w:color w:val="000000" w:themeColor="text1"/>
                      <w:spacing w:val="-1"/>
                      <w:highlight w:val="none"/>
                      <w14:textFill>
                        <w14:solidFill>
                          <w14:schemeClr w14:val="tx1"/>
                        </w14:solidFill>
                      </w14:textFill>
                    </w:rPr>
                    <w:t>苫盖等抑尘措施</w:t>
                  </w:r>
                  <w:r>
                    <w:rPr>
                      <w:rFonts w:hint="eastAsia"/>
                      <w:b w:val="0"/>
                      <w:color w:val="000000" w:themeColor="text1"/>
                      <w:spacing w:val="-1"/>
                      <w:highlight w:val="none"/>
                      <w:lang w:eastAsia="zh-CN"/>
                      <w14:textFill>
                        <w14:solidFill>
                          <w14:schemeClr w14:val="tx1"/>
                        </w14:solidFill>
                      </w14:textFill>
                    </w:rPr>
                    <w:t>；</w:t>
                  </w:r>
                  <w:r>
                    <w:rPr>
                      <w:b w:val="0"/>
                      <w:color w:val="000000" w:themeColor="text1"/>
                      <w:spacing w:val="-1"/>
                      <w:highlight w:val="none"/>
                      <w14:textFill>
                        <w14:solidFill>
                          <w14:schemeClr w14:val="tx1"/>
                        </w14:solidFill>
                      </w14:textFill>
                    </w:rPr>
                    <w:t>施工区域</w:t>
                  </w:r>
                  <w:r>
                    <w:rPr>
                      <w:b w:val="0"/>
                      <w:color w:val="000000" w:themeColor="text1"/>
                      <w:spacing w:val="-9"/>
                      <w:highlight w:val="none"/>
                      <w14:textFill>
                        <w14:solidFill>
                          <w14:schemeClr w14:val="tx1"/>
                        </w14:solidFill>
                      </w14:textFill>
                    </w:rPr>
                    <w:t>设置围挡、洒水抑尘、苫盖等措施，</w:t>
                  </w:r>
                  <w:r>
                    <w:rPr>
                      <w:b w:val="0"/>
                      <w:color w:val="000000" w:themeColor="text1"/>
                      <w:spacing w:val="-4"/>
                      <w:highlight w:val="none"/>
                      <w14:textFill>
                        <w14:solidFill>
                          <w14:schemeClr w14:val="tx1"/>
                        </w14:solidFill>
                      </w14:textFill>
                    </w:rPr>
                    <w:t>防治扬尘。</w:t>
                  </w:r>
                </w:p>
              </w:tc>
              <w:tc>
                <w:tcPr>
                  <w:tcW w:w="450" w:type="pct"/>
                  <w:tcMar>
                    <w:top w:w="0" w:type="dxa"/>
                    <w:left w:w="28" w:type="dxa"/>
                    <w:bottom w:w="0" w:type="dxa"/>
                    <w:right w:w="28" w:type="dxa"/>
                  </w:tcMar>
                  <w:vAlign w:val="center"/>
                </w:tcPr>
                <w:p w14:paraId="36DE8239">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1770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14:paraId="3739EB6A">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2432" w:type="pct"/>
                  <w:tcMar>
                    <w:top w:w="0" w:type="dxa"/>
                    <w:left w:w="28" w:type="dxa"/>
                    <w:bottom w:w="0" w:type="dxa"/>
                    <w:right w:w="28" w:type="dxa"/>
                  </w:tcMar>
                  <w:vAlign w:val="center"/>
                </w:tcPr>
                <w:p w14:paraId="4BE7FB37">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highlight w:val="none"/>
                      <w14:textFill>
                        <w14:solidFill>
                          <w14:schemeClr w14:val="tx1"/>
                        </w14:solidFill>
                      </w14:textFill>
                    </w:rPr>
                    <w:t>施工过程中产生的土石方、建筑垃圾、生活垃圾应分类集中收集，并按国家和地方有关规定定期进行清运处置，施工完成后</w:t>
                  </w:r>
                  <w:r>
                    <w:rPr>
                      <w:b w:val="0"/>
                      <w:color w:val="000000" w:themeColor="text1"/>
                      <w:spacing w:val="-1"/>
                      <w:highlight w:val="none"/>
                      <w14:textFill>
                        <w14:solidFill>
                          <w14:schemeClr w14:val="tx1"/>
                        </w14:solidFill>
                      </w14:textFill>
                    </w:rPr>
                    <w:t>及时做好迹地清理工作。</w:t>
                  </w:r>
                </w:p>
              </w:tc>
              <w:tc>
                <w:tcPr>
                  <w:tcW w:w="1785" w:type="pct"/>
                  <w:tcMar>
                    <w:top w:w="0" w:type="dxa"/>
                    <w:left w:w="28" w:type="dxa"/>
                    <w:bottom w:w="0" w:type="dxa"/>
                    <w:right w:w="28" w:type="dxa"/>
                  </w:tcMar>
                  <w:vAlign w:val="center"/>
                </w:tcPr>
                <w:p w14:paraId="217A165E">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rFonts w:hint="eastAsia"/>
                      <w:b w:val="0"/>
                      <w:color w:val="000000" w:themeColor="text1"/>
                      <w:spacing w:val="-1"/>
                      <w:highlight w:val="none"/>
                      <w:lang w:val="en-US" w:eastAsia="zh-CN"/>
                      <w14:textFill>
                        <w14:solidFill>
                          <w14:schemeClr w14:val="tx1"/>
                        </w14:solidFill>
                      </w14:textFill>
                    </w:rPr>
                    <w:t>本项目</w:t>
                  </w:r>
                  <w:r>
                    <w:rPr>
                      <w:b w:val="0"/>
                      <w:color w:val="000000" w:themeColor="text1"/>
                      <w:spacing w:val="-1"/>
                      <w:highlight w:val="none"/>
                      <w14:textFill>
                        <w14:solidFill>
                          <w14:schemeClr w14:val="tx1"/>
                        </w14:solidFill>
                      </w14:textFill>
                    </w:rPr>
                    <w:t>施工过程中施工区域设置垃圾桶，建筑垃圾、生活垃圾分类集中收集，定期清运</w:t>
                  </w:r>
                  <w:r>
                    <w:rPr>
                      <w:rFonts w:hint="eastAsia"/>
                      <w:b w:val="0"/>
                      <w:color w:val="000000" w:themeColor="text1"/>
                      <w:spacing w:val="-1"/>
                      <w:highlight w:val="none"/>
                      <w:lang w:eastAsia="zh-CN"/>
                      <w14:textFill>
                        <w14:solidFill>
                          <w14:schemeClr w14:val="tx1"/>
                        </w14:solidFill>
                      </w14:textFill>
                    </w:rPr>
                    <w:t>；</w:t>
                  </w:r>
                  <w:r>
                    <w:rPr>
                      <w:b w:val="0"/>
                      <w:color w:val="000000" w:themeColor="text1"/>
                      <w:spacing w:val="-1"/>
                      <w:highlight w:val="none"/>
                      <w14:textFill>
                        <w14:solidFill>
                          <w14:schemeClr w14:val="tx1"/>
                        </w14:solidFill>
                      </w14:textFill>
                    </w:rPr>
                    <w:t>施工结束后，及时进行垃圾清理，迹地恢</w:t>
                  </w:r>
                  <w:r>
                    <w:rPr>
                      <w:b w:val="0"/>
                      <w:color w:val="000000" w:themeColor="text1"/>
                      <w:spacing w:val="-6"/>
                      <w:highlight w:val="none"/>
                      <w14:textFill>
                        <w14:solidFill>
                          <w14:schemeClr w14:val="tx1"/>
                        </w14:solidFill>
                      </w14:textFill>
                    </w:rPr>
                    <w:t>复。</w:t>
                  </w:r>
                </w:p>
              </w:tc>
              <w:tc>
                <w:tcPr>
                  <w:tcW w:w="450" w:type="pct"/>
                  <w:tcMar>
                    <w:top w:w="0" w:type="dxa"/>
                    <w:left w:w="28" w:type="dxa"/>
                    <w:bottom w:w="0" w:type="dxa"/>
                    <w:right w:w="28" w:type="dxa"/>
                  </w:tcMar>
                  <w:vAlign w:val="center"/>
                </w:tcPr>
                <w:p w14:paraId="4656919B">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4F4A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tcMar>
                    <w:top w:w="0" w:type="dxa"/>
                    <w:left w:w="28" w:type="dxa"/>
                    <w:bottom w:w="0" w:type="dxa"/>
                    <w:right w:w="28" w:type="dxa"/>
                  </w:tcMar>
                  <w:vAlign w:val="center"/>
                </w:tcPr>
                <w:p w14:paraId="1CD065D2">
                  <w:pPr>
                    <w:keepNext w:val="0"/>
                    <w:keepLines w:val="0"/>
                    <w:pageBreakBefore w:val="0"/>
                    <w:widowControl/>
                    <w:kinsoku/>
                    <w:wordWrap/>
                    <w:overflowPunct/>
                    <w:topLinePunct w:val="0"/>
                    <w:autoSpaceDE/>
                    <w:autoSpaceDN/>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4"/>
                      <w:sz w:val="21"/>
                      <w:szCs w:val="21"/>
                      <w:highlight w:val="none"/>
                      <w14:textFill>
                        <w14:solidFill>
                          <w14:schemeClr w14:val="tx1"/>
                        </w14:solidFill>
                      </w14:textFill>
                    </w:rPr>
                    <w:t>8运行</w:t>
                  </w:r>
                </w:p>
              </w:tc>
              <w:tc>
                <w:tcPr>
                  <w:tcW w:w="2432" w:type="pct"/>
                  <w:tcMar>
                    <w:top w:w="0" w:type="dxa"/>
                    <w:left w:w="28" w:type="dxa"/>
                    <w:bottom w:w="0" w:type="dxa"/>
                    <w:right w:w="28" w:type="dxa"/>
                  </w:tcMar>
                  <w:vAlign w:val="center"/>
                </w:tcPr>
                <w:p w14:paraId="5B2033EA">
                  <w:pPr>
                    <w:pStyle w:val="96"/>
                    <w:keepNext w:val="0"/>
                    <w:keepLines w:val="0"/>
                    <w:pageBreakBefore w:val="0"/>
                    <w:kinsoku/>
                    <w:wordWrap/>
                    <w:overflowPunct/>
                    <w:topLinePunct w:val="0"/>
                    <w:bidi w:val="0"/>
                    <w:snapToGrid/>
                    <w:spacing w:line="300" w:lineRule="exact"/>
                    <w:textAlignment w:val="auto"/>
                    <w:rPr>
                      <w:b w:val="0"/>
                      <w:color w:val="000000" w:themeColor="text1"/>
                      <w:highlight w:val="none"/>
                      <w14:textFill>
                        <w14:solidFill>
                          <w14:schemeClr w14:val="tx1"/>
                        </w14:solidFill>
                      </w14:textFill>
                    </w:rPr>
                  </w:pPr>
                  <w:r>
                    <w:rPr>
                      <w:b w:val="0"/>
                      <w:color w:val="000000" w:themeColor="text1"/>
                      <w:highlight w:val="none"/>
                      <w14:textFill>
                        <w14:solidFill>
                          <w14:schemeClr w14:val="tx1"/>
                        </w14:solidFill>
                      </w14:textFill>
                    </w:rPr>
                    <w:t>定期开展环境监测</w:t>
                  </w:r>
                </w:p>
              </w:tc>
              <w:tc>
                <w:tcPr>
                  <w:tcW w:w="1785" w:type="pct"/>
                  <w:tcMar>
                    <w:top w:w="0" w:type="dxa"/>
                    <w:left w:w="28" w:type="dxa"/>
                    <w:bottom w:w="0" w:type="dxa"/>
                    <w:right w:w="28" w:type="dxa"/>
                  </w:tcMar>
                  <w:vAlign w:val="center"/>
                </w:tcPr>
                <w:p w14:paraId="24D9CF70">
                  <w:pPr>
                    <w:pStyle w:val="96"/>
                    <w:keepNext w:val="0"/>
                    <w:keepLines w:val="0"/>
                    <w:pageBreakBefore w:val="0"/>
                    <w:kinsoku/>
                    <w:wordWrap/>
                    <w:overflowPunct/>
                    <w:topLinePunct w:val="0"/>
                    <w:bidi w:val="0"/>
                    <w:snapToGrid/>
                    <w:spacing w:line="300" w:lineRule="exact"/>
                    <w:textAlignment w:val="auto"/>
                    <w:rPr>
                      <w:rFonts w:hint="default" w:eastAsiaTheme="minorEastAsia"/>
                      <w:b w:val="0"/>
                      <w:color w:val="000000" w:themeColor="text1"/>
                      <w:highlight w:val="none"/>
                      <w:lang w:val="en-US" w:eastAsia="zh-CN"/>
                      <w14:textFill>
                        <w14:solidFill>
                          <w14:schemeClr w14:val="tx1"/>
                        </w14:solidFill>
                      </w14:textFill>
                    </w:rPr>
                  </w:pPr>
                  <w:r>
                    <w:rPr>
                      <w:b w:val="0"/>
                      <w:color w:val="000000" w:themeColor="text1"/>
                      <w:spacing w:val="-1"/>
                      <w:highlight w:val="none"/>
                      <w14:textFill>
                        <w14:solidFill>
                          <w14:schemeClr w14:val="tx1"/>
                        </w14:solidFill>
                      </w14:textFill>
                    </w:rPr>
                    <w:t>运行期</w:t>
                  </w:r>
                  <w:r>
                    <w:rPr>
                      <w:rFonts w:hint="eastAsia"/>
                      <w:b w:val="0"/>
                      <w:color w:val="000000" w:themeColor="text1"/>
                      <w:spacing w:val="-1"/>
                      <w:highlight w:val="none"/>
                      <w:lang w:val="en-US" w:eastAsia="zh-CN"/>
                      <w14:textFill>
                        <w14:solidFill>
                          <w14:schemeClr w14:val="tx1"/>
                        </w14:solidFill>
                      </w14:textFill>
                    </w:rPr>
                    <w:t>按要求开展环境监测</w:t>
                  </w:r>
                </w:p>
              </w:tc>
              <w:tc>
                <w:tcPr>
                  <w:tcW w:w="450" w:type="pct"/>
                  <w:tcMar>
                    <w:top w:w="0" w:type="dxa"/>
                    <w:left w:w="28" w:type="dxa"/>
                    <w:bottom w:w="0" w:type="dxa"/>
                    <w:right w:w="28" w:type="dxa"/>
                  </w:tcMar>
                  <w:vAlign w:val="center"/>
                </w:tcPr>
                <w:p w14:paraId="34DC4B1E">
                  <w:pPr>
                    <w:pStyle w:val="82"/>
                    <w:keepNext w:val="0"/>
                    <w:keepLines w:val="0"/>
                    <w:pageBreakBefore w:val="0"/>
                    <w:kinsoku/>
                    <w:wordWrap/>
                    <w:overflowPunct/>
                    <w:topLinePunct w:val="0"/>
                    <w:bidi w:val="0"/>
                    <w:snapToGrid/>
                    <w:spacing w:line="300" w:lineRule="exact"/>
                    <w:jc w:val="center"/>
                    <w:textAlignment w:val="auto"/>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符合</w:t>
                  </w:r>
                </w:p>
              </w:tc>
            </w:tr>
          </w:tbl>
          <w:p w14:paraId="275F6E53">
            <w:pPr>
              <w:pStyle w:val="4"/>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综上所述，本</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highlight w:val="none"/>
                <w14:textFill>
                  <w14:solidFill>
                    <w14:schemeClr w14:val="tx1"/>
                  </w14:solidFill>
                </w14:textFill>
              </w:rPr>
              <w:t>满足《输变电建设项目环境保护技术要求》（HJ1113-2020）中相关技术要求。</w:t>
            </w:r>
          </w:p>
          <w:p w14:paraId="7AC850C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74" w:firstLineChars="200"/>
              <w:jc w:val="left"/>
              <w:textAlignment w:val="auto"/>
              <w:rPr>
                <w:rFonts w:hint="default"/>
                <w:b/>
                <w:bCs/>
                <w:color w:val="000000" w:themeColor="text1"/>
                <w:spacing w:val="-2"/>
                <w:sz w:val="24"/>
                <w:highlight w:val="none"/>
                <w:lang w:val="en-US" w:eastAsia="zh-CN"/>
                <w14:textFill>
                  <w14:solidFill>
                    <w14:schemeClr w14:val="tx1"/>
                  </w14:solidFill>
                </w14:textFill>
              </w:rPr>
            </w:pPr>
            <w:r>
              <w:rPr>
                <w:rFonts w:hint="eastAsia"/>
                <w:b/>
                <w:bCs/>
                <w:color w:val="000000" w:themeColor="text1"/>
                <w:spacing w:val="-2"/>
                <w:sz w:val="24"/>
                <w:highlight w:val="none"/>
                <w:lang w:val="en-US" w:eastAsia="zh-CN"/>
                <w14:textFill>
                  <w14:solidFill>
                    <w14:schemeClr w14:val="tx1"/>
                  </w14:solidFill>
                </w14:textFill>
              </w:rPr>
              <w:t>6、与河北省生态环境办公室《关于进一步做好沙区建设项目环境影响评价工作的通知》（冀环办字函〔2023〕326号）符合性分析</w:t>
            </w:r>
          </w:p>
          <w:p w14:paraId="181F1D7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72" w:firstLineChars="200"/>
              <w:jc w:val="left"/>
              <w:textAlignment w:val="auto"/>
              <w:rPr>
                <w:rFonts w:hint="default"/>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根据河北省生态环境厅办公室《关于进一步做好沙区建设项目环境影响评价工作的通知》（冀环办字函〔2023〕326号），在沙化土地范围内从事开发建设活动的，必须事先就该项目可能对当地及相关地区生态产生的影响进行环境影响评价，依法提交环境影响报告：环境影响报告应当包括有关防沙治沙的内容。</w:t>
            </w:r>
          </w:p>
          <w:p w14:paraId="112AB2E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left"/>
              <w:textAlignment w:val="auto"/>
              <w:rPr>
                <w:rFonts w:hint="default"/>
                <w:b w:val="0"/>
                <w:bCs w:val="0"/>
                <w:snapToGrid w:val="0"/>
                <w:color w:val="000000" w:themeColor="text1"/>
                <w:spacing w:val="0"/>
                <w:kern w:val="0"/>
                <w:sz w:val="24"/>
                <w:highlight w:val="none"/>
                <w:lang w:val="en-US" w:eastAsia="zh-CN"/>
                <w14:textFill>
                  <w14:solidFill>
                    <w14:schemeClr w14:val="tx1"/>
                  </w14:solidFill>
                </w14:textFill>
              </w:rPr>
            </w:pPr>
            <w:r>
              <w:rPr>
                <w:rFonts w:hint="eastAsia"/>
                <w:b w:val="0"/>
                <w:bCs w:val="0"/>
                <w:snapToGrid w:val="0"/>
                <w:color w:val="000000" w:themeColor="text1"/>
                <w:spacing w:val="0"/>
                <w:kern w:val="0"/>
                <w:sz w:val="24"/>
                <w:highlight w:val="none"/>
                <w:lang w:val="en-US" w:eastAsia="zh-CN"/>
                <w14:textFill>
                  <w14:solidFill>
                    <w14:schemeClr w14:val="tx1"/>
                  </w14:solidFill>
                </w14:textFill>
              </w:rPr>
              <w:t>根据沙化土地范围矢量图，本项目部分塔基占用沙化土地。项目施工期采取分段、分区域施工，基础施工及土石方开挖及时苫盖，施工结束后及时进行植被恢复以避免大面积土地裸露等防风固沙措施，项目的建设不会对沙化土地造成明显不利影响。</w:t>
            </w:r>
          </w:p>
          <w:p w14:paraId="6D2DAD10">
            <w:pPr>
              <w:pStyle w:val="5"/>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7、相关部门意见</w:t>
            </w:r>
          </w:p>
          <w:p w14:paraId="1E862B2C">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本项目取得相关部门意见情况见下表。</w:t>
            </w:r>
          </w:p>
          <w:p w14:paraId="41C2E26C">
            <w:pPr>
              <w:pStyle w:val="5"/>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表1-5  相关部门对本项目意见汇总情况一览表</w:t>
            </w:r>
          </w:p>
          <w:tbl>
            <w:tblPr>
              <w:tblStyle w:val="35"/>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3010"/>
              <w:gridCol w:w="4685"/>
            </w:tblGrid>
            <w:tr w14:paraId="2B38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dxa"/>
                  <w:tcMar>
                    <w:top w:w="0" w:type="dxa"/>
                    <w:left w:w="51" w:type="dxa"/>
                    <w:bottom w:w="0" w:type="dxa"/>
                    <w:right w:w="51" w:type="dxa"/>
                  </w:tcMar>
                  <w:vAlign w:val="center"/>
                </w:tcPr>
                <w:p w14:paraId="6EAFAF87">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序号</w:t>
                  </w:r>
                </w:p>
              </w:tc>
              <w:tc>
                <w:tcPr>
                  <w:tcW w:w="3010" w:type="dxa"/>
                  <w:tcMar>
                    <w:top w:w="0" w:type="dxa"/>
                    <w:left w:w="51" w:type="dxa"/>
                    <w:bottom w:w="0" w:type="dxa"/>
                    <w:right w:w="51" w:type="dxa"/>
                  </w:tcMar>
                  <w:vAlign w:val="center"/>
                </w:tcPr>
                <w:p w14:paraId="4BB537D3">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部门名称</w:t>
                  </w:r>
                </w:p>
              </w:tc>
              <w:tc>
                <w:tcPr>
                  <w:tcW w:w="4685" w:type="dxa"/>
                  <w:tcMar>
                    <w:top w:w="0" w:type="dxa"/>
                    <w:left w:w="51" w:type="dxa"/>
                    <w:bottom w:w="0" w:type="dxa"/>
                    <w:right w:w="51" w:type="dxa"/>
                  </w:tcMar>
                  <w:vAlign w:val="center"/>
                </w:tcPr>
                <w:p w14:paraId="3EA22358">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意见情况</w:t>
                  </w:r>
                </w:p>
              </w:tc>
            </w:tr>
            <w:tr w14:paraId="5EAB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dxa"/>
                  <w:tcMar>
                    <w:top w:w="0" w:type="dxa"/>
                    <w:left w:w="51" w:type="dxa"/>
                    <w:bottom w:w="0" w:type="dxa"/>
                    <w:right w:w="51" w:type="dxa"/>
                  </w:tcMar>
                  <w:vAlign w:val="center"/>
                </w:tcPr>
                <w:p w14:paraId="4AAF23DA">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1</w:t>
                  </w:r>
                </w:p>
              </w:tc>
              <w:tc>
                <w:tcPr>
                  <w:tcW w:w="3010" w:type="dxa"/>
                  <w:tcMar>
                    <w:top w:w="0" w:type="dxa"/>
                    <w:left w:w="51" w:type="dxa"/>
                    <w:bottom w:w="0" w:type="dxa"/>
                    <w:right w:w="51" w:type="dxa"/>
                  </w:tcMar>
                  <w:vAlign w:val="center"/>
                </w:tcPr>
                <w:p w14:paraId="04508998">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承德市生态环境局围场满族蒙古族自治县分局</w:t>
                  </w:r>
                </w:p>
              </w:tc>
              <w:tc>
                <w:tcPr>
                  <w:tcW w:w="4685" w:type="dxa"/>
                  <w:tcMar>
                    <w:top w:w="0" w:type="dxa"/>
                    <w:left w:w="51" w:type="dxa"/>
                    <w:bottom w:w="0" w:type="dxa"/>
                    <w:right w:w="51" w:type="dxa"/>
                  </w:tcMar>
                  <w:vAlign w:val="center"/>
                </w:tcPr>
                <w:p w14:paraId="78B7ECC3">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原则同意</w:t>
                  </w:r>
                </w:p>
              </w:tc>
            </w:tr>
            <w:tr w14:paraId="79A3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dxa"/>
                  <w:tcMar>
                    <w:top w:w="0" w:type="dxa"/>
                    <w:left w:w="51" w:type="dxa"/>
                    <w:bottom w:w="0" w:type="dxa"/>
                    <w:right w:w="51" w:type="dxa"/>
                  </w:tcMar>
                  <w:vAlign w:val="center"/>
                </w:tcPr>
                <w:p w14:paraId="5B523FBF">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2</w:t>
                  </w:r>
                </w:p>
              </w:tc>
              <w:tc>
                <w:tcPr>
                  <w:tcW w:w="3010" w:type="dxa"/>
                  <w:tcMar>
                    <w:top w:w="0" w:type="dxa"/>
                    <w:left w:w="51" w:type="dxa"/>
                    <w:bottom w:w="0" w:type="dxa"/>
                    <w:right w:w="51" w:type="dxa"/>
                  </w:tcMar>
                  <w:vAlign w:val="center"/>
                </w:tcPr>
                <w:p w14:paraId="47712EBE">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围场满族蒙古族自治县自然资源和规划局</w:t>
                  </w:r>
                </w:p>
              </w:tc>
              <w:tc>
                <w:tcPr>
                  <w:tcW w:w="4685" w:type="dxa"/>
                  <w:tcMar>
                    <w:top w:w="0" w:type="dxa"/>
                    <w:left w:w="51" w:type="dxa"/>
                    <w:bottom w:w="0" w:type="dxa"/>
                    <w:right w:w="51" w:type="dxa"/>
                  </w:tcMar>
                  <w:vAlign w:val="center"/>
                </w:tcPr>
                <w:p w14:paraId="5246F59A">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项目塔基坐标范围内不占用永久基本农田</w:t>
                  </w:r>
                </w:p>
              </w:tc>
            </w:tr>
            <w:tr w14:paraId="2C94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dxa"/>
                  <w:tcMar>
                    <w:top w:w="0" w:type="dxa"/>
                    <w:left w:w="51" w:type="dxa"/>
                    <w:bottom w:w="0" w:type="dxa"/>
                    <w:right w:w="51" w:type="dxa"/>
                  </w:tcMar>
                  <w:vAlign w:val="center"/>
                </w:tcPr>
                <w:p w14:paraId="42ECC7D9">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3</w:t>
                  </w:r>
                </w:p>
              </w:tc>
              <w:tc>
                <w:tcPr>
                  <w:tcW w:w="3010" w:type="dxa"/>
                  <w:tcMar>
                    <w:top w:w="0" w:type="dxa"/>
                    <w:left w:w="51" w:type="dxa"/>
                    <w:bottom w:w="0" w:type="dxa"/>
                    <w:right w:w="51" w:type="dxa"/>
                  </w:tcMar>
                  <w:vAlign w:val="center"/>
                </w:tcPr>
                <w:p w14:paraId="167F33C2">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围场满族蒙古族自治县自然资源和规划局</w:t>
                  </w:r>
                </w:p>
              </w:tc>
              <w:tc>
                <w:tcPr>
                  <w:tcW w:w="4685" w:type="dxa"/>
                  <w:tcMar>
                    <w:top w:w="0" w:type="dxa"/>
                    <w:left w:w="51" w:type="dxa"/>
                    <w:bottom w:w="0" w:type="dxa"/>
                    <w:right w:w="51" w:type="dxa"/>
                  </w:tcMar>
                  <w:vAlign w:val="center"/>
                </w:tcPr>
                <w:p w14:paraId="4663240F">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项目塔基范围不占生态保护红线</w:t>
                  </w:r>
                </w:p>
              </w:tc>
            </w:tr>
            <w:tr w14:paraId="7C28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dxa"/>
                  <w:tcMar>
                    <w:top w:w="0" w:type="dxa"/>
                    <w:left w:w="51" w:type="dxa"/>
                    <w:bottom w:w="0" w:type="dxa"/>
                    <w:right w:w="51" w:type="dxa"/>
                  </w:tcMar>
                  <w:vAlign w:val="center"/>
                </w:tcPr>
                <w:p w14:paraId="13CFBDBC">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4</w:t>
                  </w:r>
                </w:p>
              </w:tc>
              <w:tc>
                <w:tcPr>
                  <w:tcW w:w="3010" w:type="dxa"/>
                  <w:tcMar>
                    <w:top w:w="0" w:type="dxa"/>
                    <w:left w:w="51" w:type="dxa"/>
                    <w:bottom w:w="0" w:type="dxa"/>
                    <w:right w:w="51" w:type="dxa"/>
                  </w:tcMar>
                  <w:vAlign w:val="center"/>
                </w:tcPr>
                <w:p w14:paraId="02F7CED1">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围场满族蒙古族自治县林业和草原局</w:t>
                  </w:r>
                </w:p>
              </w:tc>
              <w:tc>
                <w:tcPr>
                  <w:tcW w:w="4685" w:type="dxa"/>
                  <w:tcMar>
                    <w:top w:w="0" w:type="dxa"/>
                    <w:left w:w="51" w:type="dxa"/>
                    <w:bottom w:w="0" w:type="dxa"/>
                    <w:right w:w="51" w:type="dxa"/>
                  </w:tcMar>
                  <w:vAlign w:val="center"/>
                </w:tcPr>
                <w:p w14:paraId="170C3726">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工程选址范围不涉及使用各类自然保护区、风景名胜区、森林公园、湿地公园等各类自然保护地，不涉及使用基本草原，不涉及使用林地保护等级</w:t>
                  </w: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为</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Ⅰ</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级的保护林地，</w:t>
                  </w: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原则同意该工程选址</w:t>
                  </w:r>
                </w:p>
              </w:tc>
            </w:tr>
            <w:tr w14:paraId="6CA2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dxa"/>
                  <w:tcMar>
                    <w:top w:w="0" w:type="dxa"/>
                    <w:left w:w="51" w:type="dxa"/>
                    <w:bottom w:w="0" w:type="dxa"/>
                    <w:right w:w="51" w:type="dxa"/>
                  </w:tcMar>
                  <w:vAlign w:val="center"/>
                </w:tcPr>
                <w:p w14:paraId="4C8B5000">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5</w:t>
                  </w:r>
                </w:p>
              </w:tc>
              <w:tc>
                <w:tcPr>
                  <w:tcW w:w="3010" w:type="dxa"/>
                  <w:tcMar>
                    <w:top w:w="0" w:type="dxa"/>
                    <w:left w:w="51" w:type="dxa"/>
                    <w:bottom w:w="0" w:type="dxa"/>
                    <w:right w:w="51" w:type="dxa"/>
                  </w:tcMar>
                  <w:vAlign w:val="center"/>
                </w:tcPr>
                <w:p w14:paraId="71EA361C">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围场满族蒙古族自治县旅游和文化广电局</w:t>
                  </w:r>
                </w:p>
              </w:tc>
              <w:tc>
                <w:tcPr>
                  <w:tcW w:w="4685" w:type="dxa"/>
                  <w:tcMar>
                    <w:top w:w="0" w:type="dxa"/>
                    <w:left w:w="51" w:type="dxa"/>
                    <w:bottom w:w="0" w:type="dxa"/>
                    <w:right w:w="51" w:type="dxa"/>
                  </w:tcMar>
                  <w:vAlign w:val="center"/>
                </w:tcPr>
                <w:p w14:paraId="44CBEBBC">
                  <w:pPr>
                    <w:pStyle w:val="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项目用地范围内未发现具有重要历史文化价值的文化遗迹，同意实施该送出线路工程</w:t>
                  </w:r>
                </w:p>
              </w:tc>
            </w:tr>
          </w:tbl>
          <w:p w14:paraId="6431CDA6">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6AEC6132">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07F633D9">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66FA0078">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5EED80D8">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6AE40D73">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321992F6">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56378B3D">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119C5DD3">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70F052E3">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tc>
      </w:tr>
    </w:tbl>
    <w:p w14:paraId="14CE2D9A">
      <w:pPr>
        <w:rPr>
          <w:color w:val="000000" w:themeColor="text1"/>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35774156">
      <w:pPr>
        <w:pStyle w:val="2"/>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center"/>
        <w:textAlignment w:val="auto"/>
        <w:rPr>
          <w:color w:val="000000" w:themeColor="text1"/>
          <w:highlight w:val="none"/>
          <w14:textFill>
            <w14:solidFill>
              <w14:schemeClr w14:val="tx1"/>
            </w14:solidFill>
          </w14:textFill>
        </w:rPr>
      </w:pPr>
      <w:bookmarkStart w:id="11" w:name="_Toc24693"/>
      <w:bookmarkStart w:id="12" w:name="_Toc20383"/>
      <w:bookmarkStart w:id="13" w:name="_Toc6565"/>
      <w:r>
        <w:rPr>
          <w:rFonts w:hint="eastAsia"/>
          <w:b w:val="0"/>
          <w:bCs w:val="0"/>
          <w:color w:val="000000" w:themeColor="text1"/>
          <w:highlight w:val="none"/>
          <w14:textFill>
            <w14:solidFill>
              <w14:schemeClr w14:val="tx1"/>
            </w14:solidFill>
          </w14:textFill>
        </w:rPr>
        <w:t>二、建设内容</w:t>
      </w:r>
      <w:bookmarkEnd w:id="11"/>
      <w:bookmarkEnd w:id="12"/>
      <w:bookmarkEnd w:id="13"/>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5"/>
      </w:tblGrid>
      <w:tr w14:paraId="4D068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5" w:hRule="atLeast"/>
          <w:jc w:val="center"/>
        </w:trPr>
        <w:tc>
          <w:tcPr>
            <w:tcW w:w="267" w:type="pct"/>
            <w:noWrap w:val="0"/>
            <w:vAlign w:val="center"/>
          </w:tcPr>
          <w:p w14:paraId="6D38427A">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地理位置</w:t>
            </w:r>
          </w:p>
        </w:tc>
        <w:tc>
          <w:tcPr>
            <w:tcW w:w="4732" w:type="pct"/>
            <w:noWrap w:val="0"/>
            <w:vAlign w:val="top"/>
          </w:tcPr>
          <w:p w14:paraId="0F0687EA">
            <w:pPr>
              <w:keepNext w:val="0"/>
              <w:keepLines w:val="0"/>
              <w:pageBreakBefore w:val="0"/>
              <w:widowControl w:val="0"/>
              <w:kinsoku/>
              <w:wordWrap/>
              <w:overflowPunct/>
              <w:topLinePunct w:val="0"/>
              <w:autoSpaceDE/>
              <w:autoSpaceDN/>
              <w:bidi w:val="0"/>
              <w:spacing w:line="400" w:lineRule="exact"/>
              <w:ind w:firstLine="480" w:firstLineChars="20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河北省承德市围场满族蒙古族自治县克勒沟镇、银窝沟乡、杨家湾乡、朝阳湾镇境内，为围场县200MW风电储新能源项目配套送出线路工程。新建110kV线路长度约29.033km，起于围场县200MW风电储新能源项目110kV升压站，止于围场县200MW风电储新能源项目220kV升压站，全线单回架设，新建角钢塔87基、钢管杆1基。</w:t>
            </w:r>
          </w:p>
          <w:p w14:paraId="77D35B90">
            <w:pPr>
              <w:keepNext w:val="0"/>
              <w:keepLines w:val="0"/>
              <w:pageBreakBefore w:val="0"/>
              <w:widowControl w:val="0"/>
              <w:kinsoku/>
              <w:wordWrap/>
              <w:overflowPunct/>
              <w:topLinePunct w:val="0"/>
              <w:autoSpaceDE/>
              <w:autoSpaceDN/>
              <w:bidi w:val="0"/>
              <w:spacing w:line="400" w:lineRule="exact"/>
              <w:ind w:firstLine="480" w:firstLineChars="200"/>
              <w:jc w:val="both"/>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线路起点坐标为东经118</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48.105</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北纬</w:t>
            </w:r>
            <w:r>
              <w:rPr>
                <w:rFonts w:hint="eastAsia" w:cs="Times New Roman"/>
                <w:color w:val="000000" w:themeColor="text1"/>
                <w:sz w:val="24"/>
                <w:highlight w:val="none"/>
                <w:lang w:val="en-US" w:eastAsia="zh-CN"/>
                <w14:textFill>
                  <w14:solidFill>
                    <w14:schemeClr w14:val="tx1"/>
                  </w14:solidFill>
                </w14:textFill>
              </w:rPr>
              <w:t>41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54</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45.771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终点坐标为东经117</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56</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52.174</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北纬</w:t>
            </w:r>
            <w:r>
              <w:rPr>
                <w:rFonts w:hint="eastAsia" w:cs="Times New Roman"/>
                <w:color w:val="000000" w:themeColor="text1"/>
                <w:sz w:val="24"/>
                <w:highlight w:val="none"/>
                <w:lang w:val="en-US" w:eastAsia="zh-CN"/>
                <w14:textFill>
                  <w14:solidFill>
                    <w14:schemeClr w14:val="tx1"/>
                  </w14:solidFill>
                </w14:textFill>
              </w:rPr>
              <w:t>42</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51.393</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w:t>
            </w:r>
          </w:p>
          <w:p w14:paraId="26CBEB11">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项目线路塔基中心坐标见表2-1，</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项目</w:t>
            </w:r>
            <w:r>
              <w:rPr>
                <w:rFonts w:hint="default" w:ascii="Times New Roman" w:hAnsi="Times New Roman" w:cs="Times New Roman"/>
                <w:color w:val="000000" w:themeColor="text1"/>
                <w:kern w:val="0"/>
                <w:sz w:val="24"/>
                <w:highlight w:val="none"/>
                <w14:textFill>
                  <w14:solidFill>
                    <w14:schemeClr w14:val="tx1"/>
                  </w14:solidFill>
                </w14:textFill>
              </w:rPr>
              <w:t>地理位置图</w:t>
            </w:r>
            <w:r>
              <w:rPr>
                <w:rFonts w:hint="eastAsia" w:cs="Times New Roman"/>
                <w:color w:val="000000" w:themeColor="text1"/>
                <w:kern w:val="0"/>
                <w:sz w:val="24"/>
                <w:highlight w:val="none"/>
                <w:lang w:val="en-US" w:eastAsia="zh-CN"/>
                <w14:textFill>
                  <w14:solidFill>
                    <w14:schemeClr w14:val="tx1"/>
                  </w14:solidFill>
                </w14:textFill>
              </w:rPr>
              <w:t>见附图1</w:t>
            </w:r>
            <w:r>
              <w:rPr>
                <w:rFonts w:hint="default" w:ascii="Times New Roman" w:hAnsi="Times New Roman" w:cs="Times New Roman"/>
                <w:color w:val="000000" w:themeColor="text1"/>
                <w:kern w:val="0"/>
                <w:sz w:val="24"/>
                <w:highlight w:val="none"/>
                <w14:textFill>
                  <w14:solidFill>
                    <w14:schemeClr w14:val="tx1"/>
                  </w14:solidFill>
                </w14:textFill>
              </w:rPr>
              <w:t>。</w:t>
            </w:r>
          </w:p>
          <w:p w14:paraId="68736B2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表2-</w:t>
            </w:r>
            <w:r>
              <w:rPr>
                <w:rFonts w:hint="eastAsia" w:cs="Times New Roman"/>
                <w:b/>
                <w:bCs/>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 xml:space="preserve">  项目</w:t>
            </w:r>
            <w:r>
              <w:rPr>
                <w:rFonts w:hint="eastAsia" w:cs="Times New Roman"/>
                <w:b/>
                <w:bCs/>
                <w:color w:val="000000" w:themeColor="text1"/>
                <w:kern w:val="0"/>
                <w:sz w:val="21"/>
                <w:szCs w:val="21"/>
                <w:highlight w:val="none"/>
                <w:lang w:val="en-US" w:eastAsia="zh-CN"/>
                <w14:textFill>
                  <w14:solidFill>
                    <w14:schemeClr w14:val="tx1"/>
                  </w14:solidFill>
                </w14:textFill>
              </w:rPr>
              <w:t>线路塔基中心坐标</w:t>
            </w:r>
          </w:p>
          <w:tbl>
            <w:tblPr>
              <w:tblStyle w:val="34"/>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444"/>
              <w:gridCol w:w="1474"/>
              <w:gridCol w:w="1059"/>
              <w:gridCol w:w="1320"/>
              <w:gridCol w:w="1492"/>
            </w:tblGrid>
            <w:tr w14:paraId="6E8E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74" w:type="pct"/>
                  <w:shd w:val="clear" w:color="auto" w:fill="auto"/>
                  <w:noWrap/>
                  <w:tcMar>
                    <w:top w:w="0" w:type="dxa"/>
                    <w:left w:w="51" w:type="dxa"/>
                    <w:bottom w:w="0" w:type="dxa"/>
                    <w:right w:w="51" w:type="dxa"/>
                  </w:tcMar>
                  <w:vAlign w:val="center"/>
                </w:tcPr>
                <w:p w14:paraId="58421E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塔基编号</w:t>
                  </w:r>
                </w:p>
              </w:tc>
              <w:tc>
                <w:tcPr>
                  <w:tcW w:w="920" w:type="pct"/>
                  <w:shd w:val="clear" w:color="auto" w:fill="auto"/>
                  <w:noWrap/>
                  <w:tcMar>
                    <w:top w:w="0" w:type="dxa"/>
                    <w:left w:w="51" w:type="dxa"/>
                    <w:bottom w:w="0" w:type="dxa"/>
                    <w:right w:w="51" w:type="dxa"/>
                  </w:tcMar>
                  <w:vAlign w:val="center"/>
                </w:tcPr>
                <w:p w14:paraId="407319C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X坐标</w:t>
                  </w:r>
                </w:p>
              </w:tc>
              <w:tc>
                <w:tcPr>
                  <w:tcW w:w="939" w:type="pct"/>
                  <w:shd w:val="clear" w:color="auto" w:fill="auto"/>
                  <w:noWrap/>
                  <w:tcMar>
                    <w:top w:w="0" w:type="dxa"/>
                    <w:left w:w="51" w:type="dxa"/>
                    <w:bottom w:w="0" w:type="dxa"/>
                    <w:right w:w="51" w:type="dxa"/>
                  </w:tcMar>
                  <w:vAlign w:val="center"/>
                </w:tcPr>
                <w:p w14:paraId="7620E9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Y坐标</w:t>
                  </w:r>
                </w:p>
              </w:tc>
              <w:tc>
                <w:tcPr>
                  <w:tcW w:w="675" w:type="pct"/>
                  <w:shd w:val="clear" w:color="auto" w:fill="auto"/>
                  <w:noWrap/>
                  <w:tcMar>
                    <w:top w:w="0" w:type="dxa"/>
                    <w:left w:w="51" w:type="dxa"/>
                    <w:bottom w:w="0" w:type="dxa"/>
                    <w:right w:w="51" w:type="dxa"/>
                  </w:tcMar>
                  <w:vAlign w:val="center"/>
                </w:tcPr>
                <w:p w14:paraId="662D8A8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塔基编号</w:t>
                  </w:r>
                </w:p>
              </w:tc>
              <w:tc>
                <w:tcPr>
                  <w:tcW w:w="841" w:type="pct"/>
                  <w:shd w:val="clear" w:color="auto" w:fill="auto"/>
                  <w:noWrap/>
                  <w:tcMar>
                    <w:top w:w="0" w:type="dxa"/>
                    <w:left w:w="51" w:type="dxa"/>
                    <w:bottom w:w="0" w:type="dxa"/>
                    <w:right w:w="51" w:type="dxa"/>
                  </w:tcMar>
                  <w:vAlign w:val="center"/>
                </w:tcPr>
                <w:p w14:paraId="309E6B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X坐标</w:t>
                  </w:r>
                </w:p>
              </w:tc>
              <w:tc>
                <w:tcPr>
                  <w:tcW w:w="949" w:type="pct"/>
                  <w:shd w:val="clear" w:color="auto" w:fill="auto"/>
                  <w:noWrap/>
                  <w:tcMar>
                    <w:top w:w="0" w:type="dxa"/>
                    <w:left w:w="51" w:type="dxa"/>
                    <w:bottom w:w="0" w:type="dxa"/>
                    <w:right w:w="51" w:type="dxa"/>
                  </w:tcMar>
                  <w:vAlign w:val="center"/>
                </w:tcPr>
                <w:p w14:paraId="1C5F1A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Y坐标</w:t>
                  </w:r>
                </w:p>
              </w:tc>
            </w:tr>
            <w:tr w14:paraId="7FD1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4D0229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920" w:type="pct"/>
                  <w:shd w:val="clear" w:color="auto" w:fill="auto"/>
                  <w:noWrap/>
                  <w:tcMar>
                    <w:top w:w="0" w:type="dxa"/>
                    <w:left w:w="51" w:type="dxa"/>
                    <w:bottom w:w="0" w:type="dxa"/>
                    <w:right w:w="51" w:type="dxa"/>
                  </w:tcMar>
                  <w:vAlign w:val="center"/>
                </w:tcPr>
                <w:p w14:paraId="1BFF39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4642511.363</w:t>
                  </w:r>
                </w:p>
              </w:tc>
              <w:tc>
                <w:tcPr>
                  <w:tcW w:w="939" w:type="pct"/>
                  <w:shd w:val="clear" w:color="auto" w:fill="auto"/>
                  <w:noWrap/>
                  <w:tcMar>
                    <w:top w:w="0" w:type="dxa"/>
                    <w:left w:w="51" w:type="dxa"/>
                    <w:bottom w:w="0" w:type="dxa"/>
                    <w:right w:w="51" w:type="dxa"/>
                  </w:tcMar>
                  <w:vAlign w:val="center"/>
                </w:tcPr>
                <w:p w14:paraId="1D8465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39595088.601</w:t>
                  </w:r>
                </w:p>
              </w:tc>
              <w:tc>
                <w:tcPr>
                  <w:tcW w:w="675" w:type="pct"/>
                  <w:shd w:val="clear" w:color="auto" w:fill="auto"/>
                  <w:noWrap/>
                  <w:tcMar>
                    <w:top w:w="0" w:type="dxa"/>
                    <w:left w:w="51" w:type="dxa"/>
                    <w:bottom w:w="0" w:type="dxa"/>
                    <w:right w:w="51" w:type="dxa"/>
                  </w:tcMar>
                  <w:vAlign w:val="center"/>
                </w:tcPr>
                <w:p w14:paraId="1D70AE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A46</w:t>
                  </w:r>
                </w:p>
              </w:tc>
              <w:tc>
                <w:tcPr>
                  <w:tcW w:w="841" w:type="pct"/>
                  <w:shd w:val="clear" w:color="auto" w:fill="auto"/>
                  <w:noWrap/>
                  <w:tcMar>
                    <w:top w:w="0" w:type="dxa"/>
                    <w:left w:w="51" w:type="dxa"/>
                    <w:bottom w:w="0" w:type="dxa"/>
                    <w:right w:w="51" w:type="dxa"/>
                  </w:tcMar>
                  <w:vAlign w:val="center"/>
                </w:tcPr>
                <w:p w14:paraId="7585AE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4650329.357</w:t>
                  </w:r>
                </w:p>
              </w:tc>
              <w:tc>
                <w:tcPr>
                  <w:tcW w:w="949" w:type="pct"/>
                  <w:shd w:val="clear" w:color="auto" w:fill="auto"/>
                  <w:noWrap/>
                  <w:tcMar>
                    <w:top w:w="0" w:type="dxa"/>
                    <w:left w:w="51" w:type="dxa"/>
                    <w:bottom w:w="0" w:type="dxa"/>
                    <w:right w:w="51" w:type="dxa"/>
                  </w:tcMar>
                  <w:vAlign w:val="center"/>
                </w:tcPr>
                <w:p w14:paraId="7A78B9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39583885.065</w:t>
                  </w:r>
                </w:p>
              </w:tc>
            </w:tr>
            <w:tr w14:paraId="7B56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3BA7E1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p>
              </w:tc>
              <w:tc>
                <w:tcPr>
                  <w:tcW w:w="920" w:type="pct"/>
                  <w:shd w:val="clear" w:color="auto" w:fill="auto"/>
                  <w:noWrap/>
                  <w:tcMar>
                    <w:top w:w="0" w:type="dxa"/>
                    <w:left w:w="51" w:type="dxa"/>
                    <w:bottom w:w="0" w:type="dxa"/>
                    <w:right w:w="51" w:type="dxa"/>
                  </w:tcMar>
                  <w:vAlign w:val="center"/>
                </w:tcPr>
                <w:p w14:paraId="117F0D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4642362.604</w:t>
                  </w:r>
                </w:p>
              </w:tc>
              <w:tc>
                <w:tcPr>
                  <w:tcW w:w="939" w:type="pct"/>
                  <w:shd w:val="clear" w:color="auto" w:fill="auto"/>
                  <w:noWrap/>
                  <w:tcMar>
                    <w:top w:w="0" w:type="dxa"/>
                    <w:left w:w="51" w:type="dxa"/>
                    <w:bottom w:w="0" w:type="dxa"/>
                    <w:right w:w="51" w:type="dxa"/>
                  </w:tcMar>
                  <w:vAlign w:val="center"/>
                </w:tcPr>
                <w:p w14:paraId="14D82F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39594962.499</w:t>
                  </w:r>
                </w:p>
              </w:tc>
              <w:tc>
                <w:tcPr>
                  <w:tcW w:w="675" w:type="pct"/>
                  <w:shd w:val="clear" w:color="auto" w:fill="auto"/>
                  <w:noWrap/>
                  <w:tcMar>
                    <w:top w:w="0" w:type="dxa"/>
                    <w:left w:w="51" w:type="dxa"/>
                    <w:bottom w:w="0" w:type="dxa"/>
                    <w:right w:w="51" w:type="dxa"/>
                  </w:tcMar>
                  <w:vAlign w:val="center"/>
                </w:tcPr>
                <w:p w14:paraId="331354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A47</w:t>
                  </w:r>
                </w:p>
              </w:tc>
              <w:tc>
                <w:tcPr>
                  <w:tcW w:w="841" w:type="pct"/>
                  <w:shd w:val="clear" w:color="auto" w:fill="auto"/>
                  <w:noWrap/>
                  <w:tcMar>
                    <w:top w:w="0" w:type="dxa"/>
                    <w:left w:w="51" w:type="dxa"/>
                    <w:bottom w:w="0" w:type="dxa"/>
                    <w:right w:w="51" w:type="dxa"/>
                  </w:tcMar>
                  <w:vAlign w:val="center"/>
                </w:tcPr>
                <w:p w14:paraId="369AB8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4650807.558</w:t>
                  </w:r>
                </w:p>
              </w:tc>
              <w:tc>
                <w:tcPr>
                  <w:tcW w:w="949" w:type="pct"/>
                  <w:shd w:val="clear" w:color="auto" w:fill="auto"/>
                  <w:noWrap/>
                  <w:tcMar>
                    <w:top w:w="0" w:type="dxa"/>
                    <w:left w:w="51" w:type="dxa"/>
                    <w:bottom w:w="0" w:type="dxa"/>
                    <w:right w:w="51" w:type="dxa"/>
                  </w:tcMar>
                  <w:vAlign w:val="center"/>
                </w:tcPr>
                <w:p w14:paraId="4BA2FE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39583953.524</w:t>
                  </w:r>
                </w:p>
              </w:tc>
            </w:tr>
            <w:tr w14:paraId="2EB7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561DE2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w:t>
                  </w:r>
                </w:p>
              </w:tc>
              <w:tc>
                <w:tcPr>
                  <w:tcW w:w="920" w:type="pct"/>
                  <w:shd w:val="clear" w:color="auto" w:fill="auto"/>
                  <w:noWrap/>
                  <w:tcMar>
                    <w:top w:w="0" w:type="dxa"/>
                    <w:left w:w="51" w:type="dxa"/>
                    <w:bottom w:w="0" w:type="dxa"/>
                    <w:right w:w="51" w:type="dxa"/>
                  </w:tcMar>
                  <w:vAlign w:val="center"/>
                </w:tcPr>
                <w:p w14:paraId="545BBC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4642358.781</w:t>
                  </w:r>
                </w:p>
              </w:tc>
              <w:tc>
                <w:tcPr>
                  <w:tcW w:w="939" w:type="pct"/>
                  <w:shd w:val="clear" w:color="auto" w:fill="auto"/>
                  <w:noWrap/>
                  <w:tcMar>
                    <w:top w:w="0" w:type="dxa"/>
                    <w:left w:w="51" w:type="dxa"/>
                    <w:bottom w:w="0" w:type="dxa"/>
                    <w:right w:w="51" w:type="dxa"/>
                  </w:tcMar>
                  <w:vAlign w:val="center"/>
                </w:tcPr>
                <w:p w14:paraId="14E900A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39594559.158</w:t>
                  </w:r>
                </w:p>
              </w:tc>
              <w:tc>
                <w:tcPr>
                  <w:tcW w:w="675" w:type="pct"/>
                  <w:shd w:val="clear" w:color="auto" w:fill="auto"/>
                  <w:noWrap/>
                  <w:tcMar>
                    <w:top w:w="0" w:type="dxa"/>
                    <w:left w:w="51" w:type="dxa"/>
                    <w:bottom w:w="0" w:type="dxa"/>
                    <w:right w:w="51" w:type="dxa"/>
                  </w:tcMar>
                  <w:vAlign w:val="center"/>
                </w:tcPr>
                <w:p w14:paraId="5489C1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A48</w:t>
                  </w:r>
                </w:p>
              </w:tc>
              <w:tc>
                <w:tcPr>
                  <w:tcW w:w="841" w:type="pct"/>
                  <w:shd w:val="clear" w:color="auto" w:fill="auto"/>
                  <w:noWrap/>
                  <w:tcMar>
                    <w:top w:w="0" w:type="dxa"/>
                    <w:left w:w="51" w:type="dxa"/>
                    <w:bottom w:w="0" w:type="dxa"/>
                    <w:right w:w="51" w:type="dxa"/>
                  </w:tcMar>
                  <w:vAlign w:val="center"/>
                </w:tcPr>
                <w:p w14:paraId="671BF93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4650990.201</w:t>
                  </w:r>
                </w:p>
              </w:tc>
              <w:tc>
                <w:tcPr>
                  <w:tcW w:w="949" w:type="pct"/>
                  <w:shd w:val="clear" w:color="auto" w:fill="auto"/>
                  <w:noWrap/>
                  <w:tcMar>
                    <w:top w:w="0" w:type="dxa"/>
                    <w:left w:w="51" w:type="dxa"/>
                    <w:bottom w:w="0" w:type="dxa"/>
                    <w:right w:w="51" w:type="dxa"/>
                  </w:tcMar>
                  <w:vAlign w:val="center"/>
                </w:tcPr>
                <w:p w14:paraId="40C1CB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39583915.739</w:t>
                  </w:r>
                </w:p>
              </w:tc>
            </w:tr>
            <w:tr w14:paraId="0E78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3608981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w:t>
                  </w:r>
                </w:p>
              </w:tc>
              <w:tc>
                <w:tcPr>
                  <w:tcW w:w="920" w:type="pct"/>
                  <w:shd w:val="clear" w:color="auto" w:fill="auto"/>
                  <w:noWrap/>
                  <w:tcMar>
                    <w:top w:w="0" w:type="dxa"/>
                    <w:left w:w="51" w:type="dxa"/>
                    <w:bottom w:w="0" w:type="dxa"/>
                    <w:right w:w="51" w:type="dxa"/>
                  </w:tcMar>
                  <w:vAlign w:val="center"/>
                </w:tcPr>
                <w:p w14:paraId="420FBB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4642356.536</w:t>
                  </w:r>
                </w:p>
              </w:tc>
              <w:tc>
                <w:tcPr>
                  <w:tcW w:w="939" w:type="pct"/>
                  <w:shd w:val="clear" w:color="auto" w:fill="auto"/>
                  <w:noWrap/>
                  <w:tcMar>
                    <w:top w:w="0" w:type="dxa"/>
                    <w:left w:w="51" w:type="dxa"/>
                    <w:bottom w:w="0" w:type="dxa"/>
                    <w:right w:w="51" w:type="dxa"/>
                  </w:tcMar>
                  <w:vAlign w:val="center"/>
                </w:tcPr>
                <w:p w14:paraId="2BDA00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39594322.294</w:t>
                  </w:r>
                </w:p>
              </w:tc>
              <w:tc>
                <w:tcPr>
                  <w:tcW w:w="675" w:type="pct"/>
                  <w:shd w:val="clear" w:color="auto" w:fill="auto"/>
                  <w:noWrap/>
                  <w:tcMar>
                    <w:top w:w="0" w:type="dxa"/>
                    <w:left w:w="51" w:type="dxa"/>
                    <w:bottom w:w="0" w:type="dxa"/>
                    <w:right w:w="51" w:type="dxa"/>
                  </w:tcMar>
                  <w:vAlign w:val="center"/>
                </w:tcPr>
                <w:p w14:paraId="1352F86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A49</w:t>
                  </w:r>
                </w:p>
              </w:tc>
              <w:tc>
                <w:tcPr>
                  <w:tcW w:w="841" w:type="pct"/>
                  <w:shd w:val="clear" w:color="auto" w:fill="auto"/>
                  <w:noWrap/>
                  <w:tcMar>
                    <w:top w:w="0" w:type="dxa"/>
                    <w:left w:w="51" w:type="dxa"/>
                    <w:bottom w:w="0" w:type="dxa"/>
                    <w:right w:w="51" w:type="dxa"/>
                  </w:tcMar>
                  <w:vAlign w:val="center"/>
                </w:tcPr>
                <w:p w14:paraId="706A360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4651240.133</w:t>
                  </w:r>
                </w:p>
              </w:tc>
              <w:tc>
                <w:tcPr>
                  <w:tcW w:w="949" w:type="pct"/>
                  <w:shd w:val="clear" w:color="auto" w:fill="auto"/>
                  <w:noWrap/>
                  <w:tcMar>
                    <w:top w:w="0" w:type="dxa"/>
                    <w:left w:w="51" w:type="dxa"/>
                    <w:bottom w:w="0" w:type="dxa"/>
                    <w:right w:w="51" w:type="dxa"/>
                  </w:tcMar>
                  <w:vAlign w:val="center"/>
                </w:tcPr>
                <w:p w14:paraId="3F7FBC9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39583838.298</w:t>
                  </w:r>
                </w:p>
              </w:tc>
            </w:tr>
            <w:tr w14:paraId="5E03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B3D2E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w:t>
                  </w:r>
                </w:p>
              </w:tc>
              <w:tc>
                <w:tcPr>
                  <w:tcW w:w="920" w:type="pct"/>
                  <w:shd w:val="clear" w:color="auto" w:fill="auto"/>
                  <w:noWrap/>
                  <w:tcMar>
                    <w:top w:w="0" w:type="dxa"/>
                    <w:left w:w="51" w:type="dxa"/>
                    <w:bottom w:w="0" w:type="dxa"/>
                    <w:right w:w="51" w:type="dxa"/>
                  </w:tcMar>
                  <w:vAlign w:val="center"/>
                </w:tcPr>
                <w:p w14:paraId="5F490F5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4642353.819</w:t>
                  </w:r>
                </w:p>
              </w:tc>
              <w:tc>
                <w:tcPr>
                  <w:tcW w:w="939" w:type="pct"/>
                  <w:shd w:val="clear" w:color="auto" w:fill="auto"/>
                  <w:noWrap/>
                  <w:tcMar>
                    <w:top w:w="0" w:type="dxa"/>
                    <w:left w:w="51" w:type="dxa"/>
                    <w:bottom w:w="0" w:type="dxa"/>
                    <w:right w:w="51" w:type="dxa"/>
                  </w:tcMar>
                  <w:vAlign w:val="center"/>
                </w:tcPr>
                <w:p w14:paraId="53752F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39594035.707</w:t>
                  </w:r>
                </w:p>
              </w:tc>
              <w:tc>
                <w:tcPr>
                  <w:tcW w:w="675" w:type="pct"/>
                  <w:shd w:val="clear" w:color="auto" w:fill="auto"/>
                  <w:noWrap/>
                  <w:tcMar>
                    <w:top w:w="0" w:type="dxa"/>
                    <w:left w:w="51" w:type="dxa"/>
                    <w:bottom w:w="0" w:type="dxa"/>
                    <w:right w:w="51" w:type="dxa"/>
                  </w:tcMar>
                  <w:vAlign w:val="center"/>
                </w:tcPr>
                <w:p w14:paraId="4CCD5D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A50</w:t>
                  </w:r>
                </w:p>
              </w:tc>
              <w:tc>
                <w:tcPr>
                  <w:tcW w:w="841" w:type="pct"/>
                  <w:shd w:val="clear" w:color="auto" w:fill="auto"/>
                  <w:noWrap/>
                  <w:tcMar>
                    <w:top w:w="0" w:type="dxa"/>
                    <w:left w:w="51" w:type="dxa"/>
                    <w:bottom w:w="0" w:type="dxa"/>
                    <w:right w:w="51" w:type="dxa"/>
                  </w:tcMar>
                  <w:vAlign w:val="center"/>
                </w:tcPr>
                <w:p w14:paraId="66197D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4651503.236</w:t>
                  </w:r>
                </w:p>
              </w:tc>
              <w:tc>
                <w:tcPr>
                  <w:tcW w:w="949" w:type="pct"/>
                  <w:shd w:val="clear" w:color="auto" w:fill="auto"/>
                  <w:noWrap/>
                  <w:tcMar>
                    <w:top w:w="0" w:type="dxa"/>
                    <w:left w:w="51" w:type="dxa"/>
                    <w:bottom w:w="0" w:type="dxa"/>
                    <w:right w:w="51" w:type="dxa"/>
                  </w:tcMar>
                  <w:vAlign w:val="center"/>
                </w:tcPr>
                <w:p w14:paraId="38DF16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39583824.788</w:t>
                  </w:r>
                </w:p>
              </w:tc>
            </w:tr>
            <w:tr w14:paraId="7055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7B6E2A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w:t>
                  </w:r>
                </w:p>
              </w:tc>
              <w:tc>
                <w:tcPr>
                  <w:tcW w:w="920" w:type="pct"/>
                  <w:shd w:val="clear" w:color="auto" w:fill="auto"/>
                  <w:noWrap/>
                  <w:tcMar>
                    <w:top w:w="0" w:type="dxa"/>
                    <w:left w:w="51" w:type="dxa"/>
                    <w:bottom w:w="0" w:type="dxa"/>
                    <w:right w:w="51" w:type="dxa"/>
                  </w:tcMar>
                  <w:vAlign w:val="center"/>
                </w:tcPr>
                <w:p w14:paraId="4184D3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4642439.760</w:t>
                  </w:r>
                </w:p>
              </w:tc>
              <w:tc>
                <w:tcPr>
                  <w:tcW w:w="939" w:type="pct"/>
                  <w:shd w:val="clear" w:color="auto" w:fill="auto"/>
                  <w:noWrap/>
                  <w:tcMar>
                    <w:top w:w="0" w:type="dxa"/>
                    <w:left w:w="51" w:type="dxa"/>
                    <w:bottom w:w="0" w:type="dxa"/>
                    <w:right w:w="51" w:type="dxa"/>
                  </w:tcMar>
                  <w:vAlign w:val="center"/>
                </w:tcPr>
                <w:p w14:paraId="6992FB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39593764.249</w:t>
                  </w:r>
                </w:p>
              </w:tc>
              <w:tc>
                <w:tcPr>
                  <w:tcW w:w="675" w:type="pct"/>
                  <w:shd w:val="clear" w:color="auto" w:fill="auto"/>
                  <w:noWrap/>
                  <w:tcMar>
                    <w:top w:w="0" w:type="dxa"/>
                    <w:left w:w="51" w:type="dxa"/>
                    <w:bottom w:w="0" w:type="dxa"/>
                    <w:right w:w="51" w:type="dxa"/>
                  </w:tcMar>
                  <w:vAlign w:val="center"/>
                </w:tcPr>
                <w:p w14:paraId="5AF541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A51</w:t>
                  </w:r>
                </w:p>
              </w:tc>
              <w:tc>
                <w:tcPr>
                  <w:tcW w:w="841" w:type="pct"/>
                  <w:shd w:val="clear" w:color="auto" w:fill="auto"/>
                  <w:noWrap/>
                  <w:tcMar>
                    <w:top w:w="0" w:type="dxa"/>
                    <w:left w:w="51" w:type="dxa"/>
                    <w:bottom w:w="0" w:type="dxa"/>
                    <w:right w:w="51" w:type="dxa"/>
                  </w:tcMar>
                  <w:vAlign w:val="center"/>
                </w:tcPr>
                <w:p w14:paraId="7CE251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4651846.628</w:t>
                  </w:r>
                </w:p>
              </w:tc>
              <w:tc>
                <w:tcPr>
                  <w:tcW w:w="949" w:type="pct"/>
                  <w:shd w:val="clear" w:color="auto" w:fill="auto"/>
                  <w:noWrap/>
                  <w:tcMar>
                    <w:top w:w="0" w:type="dxa"/>
                    <w:left w:w="51" w:type="dxa"/>
                    <w:bottom w:w="0" w:type="dxa"/>
                    <w:right w:w="51" w:type="dxa"/>
                  </w:tcMar>
                  <w:vAlign w:val="center"/>
                </w:tcPr>
                <w:p w14:paraId="576DB05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39583736.551</w:t>
                  </w:r>
                </w:p>
              </w:tc>
            </w:tr>
            <w:tr w14:paraId="5F32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0CFE76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7</w:t>
                  </w:r>
                </w:p>
              </w:tc>
              <w:tc>
                <w:tcPr>
                  <w:tcW w:w="920" w:type="pct"/>
                  <w:shd w:val="clear" w:color="auto" w:fill="auto"/>
                  <w:noWrap/>
                  <w:tcMar>
                    <w:top w:w="0" w:type="dxa"/>
                    <w:left w:w="51" w:type="dxa"/>
                    <w:bottom w:w="0" w:type="dxa"/>
                    <w:right w:w="51" w:type="dxa"/>
                  </w:tcMar>
                  <w:vAlign w:val="center"/>
                </w:tcPr>
                <w:p w14:paraId="73FA36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4642511.462</w:t>
                  </w:r>
                </w:p>
              </w:tc>
              <w:tc>
                <w:tcPr>
                  <w:tcW w:w="939" w:type="pct"/>
                  <w:shd w:val="clear" w:color="auto" w:fill="auto"/>
                  <w:noWrap/>
                  <w:tcMar>
                    <w:top w:w="0" w:type="dxa"/>
                    <w:left w:w="51" w:type="dxa"/>
                    <w:bottom w:w="0" w:type="dxa"/>
                    <w:right w:w="51" w:type="dxa"/>
                  </w:tcMar>
                  <w:vAlign w:val="center"/>
                </w:tcPr>
                <w:p w14:paraId="5D48A8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39593537.770</w:t>
                  </w:r>
                </w:p>
              </w:tc>
              <w:tc>
                <w:tcPr>
                  <w:tcW w:w="675" w:type="pct"/>
                  <w:shd w:val="clear" w:color="auto" w:fill="auto"/>
                  <w:noWrap/>
                  <w:tcMar>
                    <w:top w:w="0" w:type="dxa"/>
                    <w:left w:w="51" w:type="dxa"/>
                    <w:bottom w:w="0" w:type="dxa"/>
                    <w:right w:w="51" w:type="dxa"/>
                  </w:tcMar>
                  <w:vAlign w:val="center"/>
                </w:tcPr>
                <w:p w14:paraId="2D8A6F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A52</w:t>
                  </w:r>
                </w:p>
              </w:tc>
              <w:tc>
                <w:tcPr>
                  <w:tcW w:w="841" w:type="pct"/>
                  <w:shd w:val="clear" w:color="auto" w:fill="auto"/>
                  <w:noWrap/>
                  <w:tcMar>
                    <w:top w:w="0" w:type="dxa"/>
                    <w:left w:w="51" w:type="dxa"/>
                    <w:bottom w:w="0" w:type="dxa"/>
                    <w:right w:w="51" w:type="dxa"/>
                  </w:tcMar>
                  <w:vAlign w:val="center"/>
                </w:tcPr>
                <w:p w14:paraId="45C677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4652204.690</w:t>
                  </w:r>
                </w:p>
              </w:tc>
              <w:tc>
                <w:tcPr>
                  <w:tcW w:w="949" w:type="pct"/>
                  <w:shd w:val="clear" w:color="auto" w:fill="auto"/>
                  <w:noWrap/>
                  <w:tcMar>
                    <w:top w:w="0" w:type="dxa"/>
                    <w:left w:w="51" w:type="dxa"/>
                    <w:bottom w:w="0" w:type="dxa"/>
                    <w:right w:w="51" w:type="dxa"/>
                  </w:tcMar>
                  <w:vAlign w:val="center"/>
                </w:tcPr>
                <w:p w14:paraId="4111F2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39583632.017</w:t>
                  </w:r>
                </w:p>
              </w:tc>
            </w:tr>
            <w:tr w14:paraId="552B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1591A9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8</w:t>
                  </w:r>
                </w:p>
              </w:tc>
              <w:tc>
                <w:tcPr>
                  <w:tcW w:w="920" w:type="pct"/>
                  <w:shd w:val="clear" w:color="auto" w:fill="auto"/>
                  <w:noWrap/>
                  <w:tcMar>
                    <w:top w:w="0" w:type="dxa"/>
                    <w:left w:w="51" w:type="dxa"/>
                    <w:bottom w:w="0" w:type="dxa"/>
                    <w:right w:w="51" w:type="dxa"/>
                  </w:tcMar>
                  <w:vAlign w:val="center"/>
                </w:tcPr>
                <w:p w14:paraId="1504146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4642641.677</w:t>
                  </w:r>
                </w:p>
              </w:tc>
              <w:tc>
                <w:tcPr>
                  <w:tcW w:w="939" w:type="pct"/>
                  <w:shd w:val="clear" w:color="auto" w:fill="auto"/>
                  <w:noWrap/>
                  <w:tcMar>
                    <w:top w:w="0" w:type="dxa"/>
                    <w:left w:w="51" w:type="dxa"/>
                    <w:bottom w:w="0" w:type="dxa"/>
                    <w:right w:w="51" w:type="dxa"/>
                  </w:tcMar>
                  <w:vAlign w:val="center"/>
                </w:tcPr>
                <w:p w14:paraId="51BCC2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39593126.469</w:t>
                  </w:r>
                </w:p>
              </w:tc>
              <w:tc>
                <w:tcPr>
                  <w:tcW w:w="675" w:type="pct"/>
                  <w:shd w:val="clear" w:color="auto" w:fill="auto"/>
                  <w:noWrap/>
                  <w:tcMar>
                    <w:top w:w="0" w:type="dxa"/>
                    <w:left w:w="51" w:type="dxa"/>
                    <w:bottom w:w="0" w:type="dxa"/>
                    <w:right w:w="51" w:type="dxa"/>
                  </w:tcMar>
                  <w:vAlign w:val="center"/>
                </w:tcPr>
                <w:p w14:paraId="103D3C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A53</w:t>
                  </w:r>
                </w:p>
              </w:tc>
              <w:tc>
                <w:tcPr>
                  <w:tcW w:w="841" w:type="pct"/>
                  <w:shd w:val="clear" w:color="auto" w:fill="auto"/>
                  <w:noWrap/>
                  <w:tcMar>
                    <w:top w:w="0" w:type="dxa"/>
                    <w:left w:w="51" w:type="dxa"/>
                    <w:bottom w:w="0" w:type="dxa"/>
                    <w:right w:w="51" w:type="dxa"/>
                  </w:tcMar>
                  <w:vAlign w:val="center"/>
                </w:tcPr>
                <w:p w14:paraId="0ADCF6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4652544.341</w:t>
                  </w:r>
                </w:p>
              </w:tc>
              <w:tc>
                <w:tcPr>
                  <w:tcW w:w="949" w:type="pct"/>
                  <w:shd w:val="clear" w:color="auto" w:fill="auto"/>
                  <w:noWrap/>
                  <w:tcMar>
                    <w:top w:w="0" w:type="dxa"/>
                    <w:left w:w="51" w:type="dxa"/>
                    <w:bottom w:w="0" w:type="dxa"/>
                    <w:right w:w="51" w:type="dxa"/>
                  </w:tcMar>
                  <w:vAlign w:val="center"/>
                </w:tcPr>
                <w:p w14:paraId="1FC433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39583532.859</w:t>
                  </w:r>
                </w:p>
              </w:tc>
            </w:tr>
            <w:tr w14:paraId="6147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3B10FA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w:t>
                  </w:r>
                </w:p>
              </w:tc>
              <w:tc>
                <w:tcPr>
                  <w:tcW w:w="920" w:type="pct"/>
                  <w:shd w:val="clear" w:color="auto" w:fill="auto"/>
                  <w:noWrap/>
                  <w:tcMar>
                    <w:top w:w="0" w:type="dxa"/>
                    <w:left w:w="51" w:type="dxa"/>
                    <w:bottom w:w="0" w:type="dxa"/>
                    <w:right w:w="51" w:type="dxa"/>
                  </w:tcMar>
                  <w:vAlign w:val="center"/>
                </w:tcPr>
                <w:p w14:paraId="5AD1CD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4642718.875</w:t>
                  </w:r>
                </w:p>
              </w:tc>
              <w:tc>
                <w:tcPr>
                  <w:tcW w:w="939" w:type="pct"/>
                  <w:shd w:val="clear" w:color="auto" w:fill="auto"/>
                  <w:noWrap/>
                  <w:tcMar>
                    <w:top w:w="0" w:type="dxa"/>
                    <w:left w:w="51" w:type="dxa"/>
                    <w:bottom w:w="0" w:type="dxa"/>
                    <w:right w:w="51" w:type="dxa"/>
                  </w:tcMar>
                  <w:vAlign w:val="center"/>
                </w:tcPr>
                <w:p w14:paraId="4B043C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39592882.628</w:t>
                  </w:r>
                </w:p>
              </w:tc>
              <w:tc>
                <w:tcPr>
                  <w:tcW w:w="675" w:type="pct"/>
                  <w:shd w:val="clear" w:color="auto" w:fill="auto"/>
                  <w:noWrap/>
                  <w:tcMar>
                    <w:top w:w="0" w:type="dxa"/>
                    <w:left w:w="51" w:type="dxa"/>
                    <w:bottom w:w="0" w:type="dxa"/>
                    <w:right w:w="51" w:type="dxa"/>
                  </w:tcMar>
                  <w:vAlign w:val="center"/>
                </w:tcPr>
                <w:p w14:paraId="38B558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A54</w:t>
                  </w:r>
                </w:p>
              </w:tc>
              <w:tc>
                <w:tcPr>
                  <w:tcW w:w="841" w:type="pct"/>
                  <w:shd w:val="clear" w:color="auto" w:fill="auto"/>
                  <w:noWrap/>
                  <w:tcMar>
                    <w:top w:w="0" w:type="dxa"/>
                    <w:left w:w="51" w:type="dxa"/>
                    <w:bottom w:w="0" w:type="dxa"/>
                    <w:right w:w="51" w:type="dxa"/>
                  </w:tcMar>
                  <w:vAlign w:val="center"/>
                </w:tcPr>
                <w:p w14:paraId="1610EF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4652930.917</w:t>
                  </w:r>
                </w:p>
              </w:tc>
              <w:tc>
                <w:tcPr>
                  <w:tcW w:w="949" w:type="pct"/>
                  <w:shd w:val="clear" w:color="auto" w:fill="auto"/>
                  <w:noWrap/>
                  <w:tcMar>
                    <w:top w:w="0" w:type="dxa"/>
                    <w:left w:w="51" w:type="dxa"/>
                    <w:bottom w:w="0" w:type="dxa"/>
                    <w:right w:w="51" w:type="dxa"/>
                  </w:tcMar>
                  <w:vAlign w:val="center"/>
                </w:tcPr>
                <w:p w14:paraId="724875F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39583420.001</w:t>
                  </w:r>
                </w:p>
              </w:tc>
            </w:tr>
            <w:tr w14:paraId="4FFE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14E6FC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A10</w:t>
                  </w:r>
                </w:p>
              </w:tc>
              <w:tc>
                <w:tcPr>
                  <w:tcW w:w="920" w:type="pct"/>
                  <w:shd w:val="clear" w:color="auto" w:fill="auto"/>
                  <w:noWrap/>
                  <w:tcMar>
                    <w:top w:w="0" w:type="dxa"/>
                    <w:left w:w="51" w:type="dxa"/>
                    <w:bottom w:w="0" w:type="dxa"/>
                    <w:right w:w="51" w:type="dxa"/>
                  </w:tcMar>
                  <w:vAlign w:val="center"/>
                </w:tcPr>
                <w:p w14:paraId="172440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4642813.143</w:t>
                  </w:r>
                </w:p>
              </w:tc>
              <w:tc>
                <w:tcPr>
                  <w:tcW w:w="939" w:type="pct"/>
                  <w:shd w:val="clear" w:color="auto" w:fill="auto"/>
                  <w:noWrap/>
                  <w:tcMar>
                    <w:top w:w="0" w:type="dxa"/>
                    <w:left w:w="51" w:type="dxa"/>
                    <w:bottom w:w="0" w:type="dxa"/>
                    <w:right w:w="51" w:type="dxa"/>
                  </w:tcMar>
                  <w:vAlign w:val="center"/>
                </w:tcPr>
                <w:p w14:paraId="03A18F9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39592584.871</w:t>
                  </w:r>
                </w:p>
              </w:tc>
              <w:tc>
                <w:tcPr>
                  <w:tcW w:w="675" w:type="pct"/>
                  <w:shd w:val="clear" w:color="auto" w:fill="auto"/>
                  <w:noWrap/>
                  <w:tcMar>
                    <w:top w:w="0" w:type="dxa"/>
                    <w:left w:w="51" w:type="dxa"/>
                    <w:bottom w:w="0" w:type="dxa"/>
                    <w:right w:w="51" w:type="dxa"/>
                  </w:tcMar>
                  <w:vAlign w:val="center"/>
                </w:tcPr>
                <w:p w14:paraId="455D6C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A55</w:t>
                  </w:r>
                </w:p>
              </w:tc>
              <w:tc>
                <w:tcPr>
                  <w:tcW w:w="841" w:type="pct"/>
                  <w:shd w:val="clear" w:color="auto" w:fill="auto"/>
                  <w:noWrap/>
                  <w:tcMar>
                    <w:top w:w="0" w:type="dxa"/>
                    <w:left w:w="51" w:type="dxa"/>
                    <w:bottom w:w="0" w:type="dxa"/>
                    <w:right w:w="51" w:type="dxa"/>
                  </w:tcMar>
                  <w:vAlign w:val="center"/>
                </w:tcPr>
                <w:p w14:paraId="4DD947C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4653161.630</w:t>
                  </w:r>
                </w:p>
              </w:tc>
              <w:tc>
                <w:tcPr>
                  <w:tcW w:w="949" w:type="pct"/>
                  <w:shd w:val="clear" w:color="auto" w:fill="auto"/>
                  <w:noWrap/>
                  <w:tcMar>
                    <w:top w:w="0" w:type="dxa"/>
                    <w:left w:w="51" w:type="dxa"/>
                    <w:bottom w:w="0" w:type="dxa"/>
                    <w:right w:w="51" w:type="dxa"/>
                  </w:tcMar>
                  <w:vAlign w:val="center"/>
                </w:tcPr>
                <w:p w14:paraId="3569EF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39583190.051</w:t>
                  </w:r>
                </w:p>
              </w:tc>
            </w:tr>
            <w:tr w14:paraId="7A7E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A5B38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A11</w:t>
                  </w:r>
                </w:p>
              </w:tc>
              <w:tc>
                <w:tcPr>
                  <w:tcW w:w="920" w:type="pct"/>
                  <w:shd w:val="clear" w:color="auto" w:fill="auto"/>
                  <w:noWrap/>
                  <w:tcMar>
                    <w:top w:w="0" w:type="dxa"/>
                    <w:left w:w="51" w:type="dxa"/>
                    <w:bottom w:w="0" w:type="dxa"/>
                    <w:right w:w="51" w:type="dxa"/>
                  </w:tcMar>
                  <w:vAlign w:val="center"/>
                </w:tcPr>
                <w:p w14:paraId="0E45AE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4642924.136</w:t>
                  </w:r>
                </w:p>
              </w:tc>
              <w:tc>
                <w:tcPr>
                  <w:tcW w:w="939" w:type="pct"/>
                  <w:shd w:val="clear" w:color="auto" w:fill="auto"/>
                  <w:noWrap/>
                  <w:tcMar>
                    <w:top w:w="0" w:type="dxa"/>
                    <w:left w:w="51" w:type="dxa"/>
                    <w:bottom w:w="0" w:type="dxa"/>
                    <w:right w:w="51" w:type="dxa"/>
                  </w:tcMar>
                  <w:vAlign w:val="center"/>
                </w:tcPr>
                <w:p w14:paraId="105DDC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39592234.284</w:t>
                  </w:r>
                </w:p>
              </w:tc>
              <w:tc>
                <w:tcPr>
                  <w:tcW w:w="675" w:type="pct"/>
                  <w:shd w:val="clear" w:color="auto" w:fill="auto"/>
                  <w:noWrap/>
                  <w:tcMar>
                    <w:top w:w="0" w:type="dxa"/>
                    <w:left w:w="51" w:type="dxa"/>
                    <w:bottom w:w="0" w:type="dxa"/>
                    <w:right w:w="51" w:type="dxa"/>
                  </w:tcMar>
                  <w:vAlign w:val="center"/>
                </w:tcPr>
                <w:p w14:paraId="7145A5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A56</w:t>
                  </w:r>
                </w:p>
              </w:tc>
              <w:tc>
                <w:tcPr>
                  <w:tcW w:w="1790" w:type="pct"/>
                  <w:gridSpan w:val="2"/>
                  <w:shd w:val="clear" w:color="auto" w:fill="auto"/>
                  <w:noWrap/>
                  <w:tcMar>
                    <w:top w:w="0" w:type="dxa"/>
                    <w:left w:w="51" w:type="dxa"/>
                    <w:bottom w:w="0" w:type="dxa"/>
                    <w:right w:w="51" w:type="dxa"/>
                  </w:tcMar>
                  <w:vAlign w:val="center"/>
                </w:tcPr>
                <w:p w14:paraId="39F383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w:t>
                  </w:r>
                  <w:r>
                    <w:rPr>
                      <w:rFonts w:hint="eastAsia" w:cs="Times New Roman"/>
                      <w:color w:val="000000" w:themeColor="text1"/>
                      <w:kern w:val="0"/>
                      <w:sz w:val="21"/>
                      <w:szCs w:val="21"/>
                      <w:highlight w:val="none"/>
                      <w:lang w:val="en-US" w:eastAsia="zh-CN"/>
                      <w14:textFill>
                        <w14:solidFill>
                          <w14:schemeClr w14:val="tx1"/>
                        </w14:solidFill>
                      </w14:textFill>
                    </w:rPr>
                    <w:t>此编号</w:t>
                  </w:r>
                </w:p>
              </w:tc>
            </w:tr>
            <w:tr w14:paraId="4CF4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5905CC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A12</w:t>
                  </w:r>
                </w:p>
              </w:tc>
              <w:tc>
                <w:tcPr>
                  <w:tcW w:w="920" w:type="pct"/>
                  <w:shd w:val="clear" w:color="auto" w:fill="auto"/>
                  <w:noWrap/>
                  <w:tcMar>
                    <w:top w:w="0" w:type="dxa"/>
                    <w:left w:w="51" w:type="dxa"/>
                    <w:bottom w:w="0" w:type="dxa"/>
                    <w:right w:w="51" w:type="dxa"/>
                  </w:tcMar>
                  <w:vAlign w:val="center"/>
                </w:tcPr>
                <w:p w14:paraId="59B207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4643011.294</w:t>
                  </w:r>
                </w:p>
              </w:tc>
              <w:tc>
                <w:tcPr>
                  <w:tcW w:w="939" w:type="pct"/>
                  <w:shd w:val="clear" w:color="auto" w:fill="auto"/>
                  <w:noWrap/>
                  <w:tcMar>
                    <w:top w:w="0" w:type="dxa"/>
                    <w:left w:w="51" w:type="dxa"/>
                    <w:bottom w:w="0" w:type="dxa"/>
                    <w:right w:w="51" w:type="dxa"/>
                  </w:tcMar>
                  <w:vAlign w:val="center"/>
                </w:tcPr>
                <w:p w14:paraId="25C257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39591958.986</w:t>
                  </w:r>
                </w:p>
              </w:tc>
              <w:tc>
                <w:tcPr>
                  <w:tcW w:w="675" w:type="pct"/>
                  <w:shd w:val="clear" w:color="auto" w:fill="auto"/>
                  <w:noWrap/>
                  <w:tcMar>
                    <w:top w:w="0" w:type="dxa"/>
                    <w:left w:w="51" w:type="dxa"/>
                    <w:bottom w:w="0" w:type="dxa"/>
                    <w:right w:w="51" w:type="dxa"/>
                  </w:tcMar>
                  <w:vAlign w:val="center"/>
                </w:tcPr>
                <w:p w14:paraId="35FE95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A57</w:t>
                  </w:r>
                </w:p>
              </w:tc>
              <w:tc>
                <w:tcPr>
                  <w:tcW w:w="841" w:type="pct"/>
                  <w:shd w:val="clear" w:color="auto" w:fill="auto"/>
                  <w:noWrap/>
                  <w:tcMar>
                    <w:top w:w="0" w:type="dxa"/>
                    <w:left w:w="51" w:type="dxa"/>
                    <w:bottom w:w="0" w:type="dxa"/>
                    <w:right w:w="51" w:type="dxa"/>
                  </w:tcMar>
                  <w:vAlign w:val="center"/>
                </w:tcPr>
                <w:p w14:paraId="00A91A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4653383.294</w:t>
                  </w:r>
                </w:p>
              </w:tc>
              <w:tc>
                <w:tcPr>
                  <w:tcW w:w="949" w:type="pct"/>
                  <w:shd w:val="clear" w:color="auto" w:fill="auto"/>
                  <w:noWrap/>
                  <w:tcMar>
                    <w:top w:w="0" w:type="dxa"/>
                    <w:left w:w="51" w:type="dxa"/>
                    <w:bottom w:w="0" w:type="dxa"/>
                    <w:right w:w="51" w:type="dxa"/>
                  </w:tcMar>
                  <w:vAlign w:val="center"/>
                </w:tcPr>
                <w:p w14:paraId="28311E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39582925.421</w:t>
                  </w:r>
                </w:p>
              </w:tc>
            </w:tr>
            <w:tr w14:paraId="1389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C526C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A13</w:t>
                  </w:r>
                </w:p>
              </w:tc>
              <w:tc>
                <w:tcPr>
                  <w:tcW w:w="920" w:type="pct"/>
                  <w:shd w:val="clear" w:color="auto" w:fill="auto"/>
                  <w:noWrap/>
                  <w:tcMar>
                    <w:top w:w="0" w:type="dxa"/>
                    <w:left w:w="51" w:type="dxa"/>
                    <w:bottom w:w="0" w:type="dxa"/>
                    <w:right w:w="51" w:type="dxa"/>
                  </w:tcMar>
                  <w:vAlign w:val="center"/>
                </w:tcPr>
                <w:p w14:paraId="6B0F559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4643119.686</w:t>
                  </w:r>
                </w:p>
              </w:tc>
              <w:tc>
                <w:tcPr>
                  <w:tcW w:w="939" w:type="pct"/>
                  <w:shd w:val="clear" w:color="auto" w:fill="auto"/>
                  <w:noWrap/>
                  <w:tcMar>
                    <w:top w:w="0" w:type="dxa"/>
                    <w:left w:w="51" w:type="dxa"/>
                    <w:bottom w:w="0" w:type="dxa"/>
                    <w:right w:w="51" w:type="dxa"/>
                  </w:tcMar>
                  <w:vAlign w:val="center"/>
                </w:tcPr>
                <w:p w14:paraId="3B8310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39591616.615</w:t>
                  </w:r>
                </w:p>
              </w:tc>
              <w:tc>
                <w:tcPr>
                  <w:tcW w:w="675" w:type="pct"/>
                  <w:shd w:val="clear" w:color="auto" w:fill="auto"/>
                  <w:noWrap/>
                  <w:tcMar>
                    <w:top w:w="0" w:type="dxa"/>
                    <w:left w:w="51" w:type="dxa"/>
                    <w:bottom w:w="0" w:type="dxa"/>
                    <w:right w:w="51" w:type="dxa"/>
                  </w:tcMar>
                  <w:vAlign w:val="center"/>
                </w:tcPr>
                <w:p w14:paraId="6E6087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A58</w:t>
                  </w:r>
                </w:p>
              </w:tc>
              <w:tc>
                <w:tcPr>
                  <w:tcW w:w="841" w:type="pct"/>
                  <w:shd w:val="clear" w:color="auto" w:fill="auto"/>
                  <w:noWrap/>
                  <w:tcMar>
                    <w:top w:w="0" w:type="dxa"/>
                    <w:left w:w="51" w:type="dxa"/>
                    <w:bottom w:w="0" w:type="dxa"/>
                    <w:right w:w="51" w:type="dxa"/>
                  </w:tcMar>
                  <w:vAlign w:val="center"/>
                </w:tcPr>
                <w:p w14:paraId="6D782D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4653675.150</w:t>
                  </w:r>
                </w:p>
              </w:tc>
              <w:tc>
                <w:tcPr>
                  <w:tcW w:w="949" w:type="pct"/>
                  <w:shd w:val="clear" w:color="auto" w:fill="auto"/>
                  <w:noWrap/>
                  <w:tcMar>
                    <w:top w:w="0" w:type="dxa"/>
                    <w:left w:w="51" w:type="dxa"/>
                    <w:bottom w:w="0" w:type="dxa"/>
                    <w:right w:w="51" w:type="dxa"/>
                  </w:tcMar>
                  <w:vAlign w:val="center"/>
                </w:tcPr>
                <w:p w14:paraId="1807B8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39582876.826</w:t>
                  </w:r>
                </w:p>
              </w:tc>
            </w:tr>
            <w:tr w14:paraId="1A1F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50728A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A14</w:t>
                  </w:r>
                </w:p>
              </w:tc>
              <w:tc>
                <w:tcPr>
                  <w:tcW w:w="920" w:type="pct"/>
                  <w:shd w:val="clear" w:color="auto" w:fill="auto"/>
                  <w:noWrap/>
                  <w:tcMar>
                    <w:top w:w="0" w:type="dxa"/>
                    <w:left w:w="51" w:type="dxa"/>
                    <w:bottom w:w="0" w:type="dxa"/>
                    <w:right w:w="51" w:type="dxa"/>
                  </w:tcMar>
                  <w:vAlign w:val="center"/>
                </w:tcPr>
                <w:p w14:paraId="20634B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4643409.273</w:t>
                  </w:r>
                </w:p>
              </w:tc>
              <w:tc>
                <w:tcPr>
                  <w:tcW w:w="939" w:type="pct"/>
                  <w:shd w:val="clear" w:color="auto" w:fill="auto"/>
                  <w:noWrap/>
                  <w:tcMar>
                    <w:top w:w="0" w:type="dxa"/>
                    <w:left w:w="51" w:type="dxa"/>
                    <w:bottom w:w="0" w:type="dxa"/>
                    <w:right w:w="51" w:type="dxa"/>
                  </w:tcMar>
                  <w:vAlign w:val="center"/>
                </w:tcPr>
                <w:p w14:paraId="35B8E7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39591304.022</w:t>
                  </w:r>
                </w:p>
              </w:tc>
              <w:tc>
                <w:tcPr>
                  <w:tcW w:w="675" w:type="pct"/>
                  <w:shd w:val="clear" w:color="auto" w:fill="auto"/>
                  <w:noWrap/>
                  <w:tcMar>
                    <w:top w:w="0" w:type="dxa"/>
                    <w:left w:w="51" w:type="dxa"/>
                    <w:bottom w:w="0" w:type="dxa"/>
                    <w:right w:w="51" w:type="dxa"/>
                  </w:tcMar>
                  <w:vAlign w:val="center"/>
                </w:tcPr>
                <w:p w14:paraId="02A274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A59</w:t>
                  </w:r>
                </w:p>
              </w:tc>
              <w:tc>
                <w:tcPr>
                  <w:tcW w:w="841" w:type="pct"/>
                  <w:shd w:val="clear" w:color="auto" w:fill="auto"/>
                  <w:noWrap/>
                  <w:tcMar>
                    <w:top w:w="0" w:type="dxa"/>
                    <w:left w:w="51" w:type="dxa"/>
                    <w:bottom w:w="0" w:type="dxa"/>
                    <w:right w:w="51" w:type="dxa"/>
                  </w:tcMar>
                  <w:vAlign w:val="center"/>
                </w:tcPr>
                <w:p w14:paraId="20C242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4654040.639</w:t>
                  </w:r>
                </w:p>
              </w:tc>
              <w:tc>
                <w:tcPr>
                  <w:tcW w:w="949" w:type="pct"/>
                  <w:shd w:val="clear" w:color="auto" w:fill="auto"/>
                  <w:noWrap/>
                  <w:tcMar>
                    <w:top w:w="0" w:type="dxa"/>
                    <w:left w:w="51" w:type="dxa"/>
                    <w:bottom w:w="0" w:type="dxa"/>
                    <w:right w:w="51" w:type="dxa"/>
                  </w:tcMar>
                  <w:vAlign w:val="center"/>
                </w:tcPr>
                <w:p w14:paraId="14DABB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39582793.335</w:t>
                  </w:r>
                </w:p>
              </w:tc>
            </w:tr>
            <w:tr w14:paraId="5F9A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43C77CA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A15</w:t>
                  </w:r>
                </w:p>
              </w:tc>
              <w:tc>
                <w:tcPr>
                  <w:tcW w:w="920" w:type="pct"/>
                  <w:shd w:val="clear" w:color="auto" w:fill="auto"/>
                  <w:noWrap/>
                  <w:tcMar>
                    <w:top w:w="0" w:type="dxa"/>
                    <w:left w:w="51" w:type="dxa"/>
                    <w:bottom w:w="0" w:type="dxa"/>
                    <w:right w:w="51" w:type="dxa"/>
                  </w:tcMar>
                  <w:vAlign w:val="center"/>
                </w:tcPr>
                <w:p w14:paraId="47C860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4643813.311</w:t>
                  </w:r>
                </w:p>
              </w:tc>
              <w:tc>
                <w:tcPr>
                  <w:tcW w:w="939" w:type="pct"/>
                  <w:shd w:val="clear" w:color="auto" w:fill="auto"/>
                  <w:noWrap/>
                  <w:tcMar>
                    <w:top w:w="0" w:type="dxa"/>
                    <w:left w:w="51" w:type="dxa"/>
                    <w:bottom w:w="0" w:type="dxa"/>
                    <w:right w:w="51" w:type="dxa"/>
                  </w:tcMar>
                  <w:vAlign w:val="center"/>
                </w:tcPr>
                <w:p w14:paraId="5568A0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39590867.883</w:t>
                  </w:r>
                </w:p>
              </w:tc>
              <w:tc>
                <w:tcPr>
                  <w:tcW w:w="675" w:type="pct"/>
                  <w:shd w:val="clear" w:color="auto" w:fill="auto"/>
                  <w:noWrap/>
                  <w:tcMar>
                    <w:top w:w="0" w:type="dxa"/>
                    <w:left w:w="51" w:type="dxa"/>
                    <w:bottom w:w="0" w:type="dxa"/>
                    <w:right w:w="51" w:type="dxa"/>
                  </w:tcMar>
                  <w:vAlign w:val="center"/>
                </w:tcPr>
                <w:p w14:paraId="034842C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A60</w:t>
                  </w:r>
                </w:p>
              </w:tc>
              <w:tc>
                <w:tcPr>
                  <w:tcW w:w="841" w:type="pct"/>
                  <w:shd w:val="clear" w:color="auto" w:fill="auto"/>
                  <w:noWrap/>
                  <w:tcMar>
                    <w:top w:w="0" w:type="dxa"/>
                    <w:left w:w="51" w:type="dxa"/>
                    <w:bottom w:w="0" w:type="dxa"/>
                    <w:right w:w="51" w:type="dxa"/>
                  </w:tcMar>
                  <w:vAlign w:val="center"/>
                </w:tcPr>
                <w:p w14:paraId="7B5F93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4654370.809</w:t>
                  </w:r>
                </w:p>
              </w:tc>
              <w:tc>
                <w:tcPr>
                  <w:tcW w:w="949" w:type="pct"/>
                  <w:shd w:val="clear" w:color="auto" w:fill="auto"/>
                  <w:noWrap/>
                  <w:tcMar>
                    <w:top w:w="0" w:type="dxa"/>
                    <w:left w:w="51" w:type="dxa"/>
                    <w:bottom w:w="0" w:type="dxa"/>
                    <w:right w:w="51" w:type="dxa"/>
                  </w:tcMar>
                  <w:vAlign w:val="center"/>
                </w:tcPr>
                <w:p w14:paraId="0FC1C3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39582717.912</w:t>
                  </w:r>
                </w:p>
              </w:tc>
            </w:tr>
            <w:tr w14:paraId="1D3A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741D24A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A16</w:t>
                  </w:r>
                </w:p>
              </w:tc>
              <w:tc>
                <w:tcPr>
                  <w:tcW w:w="920" w:type="pct"/>
                  <w:shd w:val="clear" w:color="auto" w:fill="auto"/>
                  <w:noWrap/>
                  <w:tcMar>
                    <w:top w:w="0" w:type="dxa"/>
                    <w:left w:w="51" w:type="dxa"/>
                    <w:bottom w:w="0" w:type="dxa"/>
                    <w:right w:w="51" w:type="dxa"/>
                  </w:tcMar>
                  <w:vAlign w:val="center"/>
                </w:tcPr>
                <w:p w14:paraId="1189423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4643964.173</w:t>
                  </w:r>
                </w:p>
              </w:tc>
              <w:tc>
                <w:tcPr>
                  <w:tcW w:w="939" w:type="pct"/>
                  <w:shd w:val="clear" w:color="auto" w:fill="auto"/>
                  <w:noWrap/>
                  <w:tcMar>
                    <w:top w:w="0" w:type="dxa"/>
                    <w:left w:w="51" w:type="dxa"/>
                    <w:bottom w:w="0" w:type="dxa"/>
                    <w:right w:w="51" w:type="dxa"/>
                  </w:tcMar>
                  <w:vAlign w:val="center"/>
                </w:tcPr>
                <w:p w14:paraId="40EC14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39590873.604</w:t>
                  </w:r>
                </w:p>
              </w:tc>
              <w:tc>
                <w:tcPr>
                  <w:tcW w:w="675" w:type="pct"/>
                  <w:shd w:val="clear" w:color="auto" w:fill="auto"/>
                  <w:noWrap/>
                  <w:tcMar>
                    <w:top w:w="0" w:type="dxa"/>
                    <w:left w:w="51" w:type="dxa"/>
                    <w:bottom w:w="0" w:type="dxa"/>
                    <w:right w:w="51" w:type="dxa"/>
                  </w:tcMar>
                  <w:vAlign w:val="center"/>
                </w:tcPr>
                <w:p w14:paraId="402E738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A61</w:t>
                  </w:r>
                </w:p>
              </w:tc>
              <w:tc>
                <w:tcPr>
                  <w:tcW w:w="841" w:type="pct"/>
                  <w:shd w:val="clear" w:color="auto" w:fill="auto"/>
                  <w:noWrap/>
                  <w:tcMar>
                    <w:top w:w="0" w:type="dxa"/>
                    <w:left w:w="51" w:type="dxa"/>
                    <w:bottom w:w="0" w:type="dxa"/>
                    <w:right w:w="51" w:type="dxa"/>
                  </w:tcMar>
                  <w:vAlign w:val="center"/>
                </w:tcPr>
                <w:p w14:paraId="7DEC62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4654801.160</w:t>
                  </w:r>
                </w:p>
              </w:tc>
              <w:tc>
                <w:tcPr>
                  <w:tcW w:w="949" w:type="pct"/>
                  <w:shd w:val="clear" w:color="auto" w:fill="auto"/>
                  <w:noWrap/>
                  <w:tcMar>
                    <w:top w:w="0" w:type="dxa"/>
                    <w:left w:w="51" w:type="dxa"/>
                    <w:bottom w:w="0" w:type="dxa"/>
                    <w:right w:w="51" w:type="dxa"/>
                  </w:tcMar>
                  <w:vAlign w:val="center"/>
                </w:tcPr>
                <w:p w14:paraId="4C578F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39582619.604</w:t>
                  </w:r>
                </w:p>
              </w:tc>
            </w:tr>
            <w:tr w14:paraId="172A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5184E3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A17</w:t>
                  </w:r>
                </w:p>
              </w:tc>
              <w:tc>
                <w:tcPr>
                  <w:tcW w:w="920" w:type="pct"/>
                  <w:shd w:val="clear" w:color="auto" w:fill="auto"/>
                  <w:noWrap/>
                  <w:tcMar>
                    <w:top w:w="0" w:type="dxa"/>
                    <w:left w:w="51" w:type="dxa"/>
                    <w:bottom w:w="0" w:type="dxa"/>
                    <w:right w:w="51" w:type="dxa"/>
                  </w:tcMar>
                  <w:vAlign w:val="center"/>
                </w:tcPr>
                <w:p w14:paraId="0A5771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4644617.561</w:t>
                  </w:r>
                </w:p>
              </w:tc>
              <w:tc>
                <w:tcPr>
                  <w:tcW w:w="939" w:type="pct"/>
                  <w:shd w:val="clear" w:color="auto" w:fill="auto"/>
                  <w:noWrap/>
                  <w:tcMar>
                    <w:top w:w="0" w:type="dxa"/>
                    <w:left w:w="51" w:type="dxa"/>
                    <w:bottom w:w="0" w:type="dxa"/>
                    <w:right w:w="51" w:type="dxa"/>
                  </w:tcMar>
                  <w:vAlign w:val="center"/>
                </w:tcPr>
                <w:p w14:paraId="689605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39590898.380</w:t>
                  </w:r>
                </w:p>
              </w:tc>
              <w:tc>
                <w:tcPr>
                  <w:tcW w:w="675" w:type="pct"/>
                  <w:shd w:val="clear" w:color="auto" w:fill="auto"/>
                  <w:noWrap/>
                  <w:tcMar>
                    <w:top w:w="0" w:type="dxa"/>
                    <w:left w:w="51" w:type="dxa"/>
                    <w:bottom w:w="0" w:type="dxa"/>
                    <w:right w:w="51" w:type="dxa"/>
                  </w:tcMar>
                  <w:vAlign w:val="center"/>
                </w:tcPr>
                <w:p w14:paraId="4366608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A62</w:t>
                  </w:r>
                </w:p>
              </w:tc>
              <w:tc>
                <w:tcPr>
                  <w:tcW w:w="841" w:type="pct"/>
                  <w:shd w:val="clear" w:color="auto" w:fill="auto"/>
                  <w:noWrap/>
                  <w:tcMar>
                    <w:top w:w="0" w:type="dxa"/>
                    <w:left w:w="51" w:type="dxa"/>
                    <w:bottom w:w="0" w:type="dxa"/>
                    <w:right w:w="51" w:type="dxa"/>
                  </w:tcMar>
                  <w:vAlign w:val="center"/>
                </w:tcPr>
                <w:p w14:paraId="0025D5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4655413.104</w:t>
                  </w:r>
                </w:p>
              </w:tc>
              <w:tc>
                <w:tcPr>
                  <w:tcW w:w="949" w:type="pct"/>
                  <w:shd w:val="clear" w:color="auto" w:fill="auto"/>
                  <w:noWrap/>
                  <w:tcMar>
                    <w:top w:w="0" w:type="dxa"/>
                    <w:left w:w="51" w:type="dxa"/>
                    <w:bottom w:w="0" w:type="dxa"/>
                    <w:right w:w="51" w:type="dxa"/>
                  </w:tcMar>
                  <w:vAlign w:val="center"/>
                </w:tcPr>
                <w:p w14:paraId="5553AB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39582479.814</w:t>
                  </w:r>
                </w:p>
              </w:tc>
            </w:tr>
            <w:tr w14:paraId="302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1584D7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A18</w:t>
                  </w:r>
                </w:p>
              </w:tc>
              <w:tc>
                <w:tcPr>
                  <w:tcW w:w="920" w:type="pct"/>
                  <w:shd w:val="clear" w:color="auto" w:fill="auto"/>
                  <w:noWrap/>
                  <w:tcMar>
                    <w:top w:w="0" w:type="dxa"/>
                    <w:left w:w="51" w:type="dxa"/>
                    <w:bottom w:w="0" w:type="dxa"/>
                    <w:right w:w="51" w:type="dxa"/>
                  </w:tcMar>
                  <w:vAlign w:val="center"/>
                </w:tcPr>
                <w:p w14:paraId="68972A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4644959.997</w:t>
                  </w:r>
                </w:p>
              </w:tc>
              <w:tc>
                <w:tcPr>
                  <w:tcW w:w="939" w:type="pct"/>
                  <w:shd w:val="clear" w:color="auto" w:fill="auto"/>
                  <w:noWrap/>
                  <w:tcMar>
                    <w:top w:w="0" w:type="dxa"/>
                    <w:left w:w="51" w:type="dxa"/>
                    <w:bottom w:w="0" w:type="dxa"/>
                    <w:right w:w="51" w:type="dxa"/>
                  </w:tcMar>
                  <w:vAlign w:val="center"/>
                </w:tcPr>
                <w:p w14:paraId="0FF277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39590911.365</w:t>
                  </w:r>
                </w:p>
              </w:tc>
              <w:tc>
                <w:tcPr>
                  <w:tcW w:w="675" w:type="pct"/>
                  <w:shd w:val="clear" w:color="auto" w:fill="auto"/>
                  <w:noWrap/>
                  <w:tcMar>
                    <w:top w:w="0" w:type="dxa"/>
                    <w:left w:w="51" w:type="dxa"/>
                    <w:bottom w:w="0" w:type="dxa"/>
                    <w:right w:w="51" w:type="dxa"/>
                  </w:tcMar>
                  <w:vAlign w:val="center"/>
                </w:tcPr>
                <w:p w14:paraId="224505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A63</w:t>
                  </w:r>
                </w:p>
              </w:tc>
              <w:tc>
                <w:tcPr>
                  <w:tcW w:w="841" w:type="pct"/>
                  <w:shd w:val="clear" w:color="auto" w:fill="auto"/>
                  <w:noWrap/>
                  <w:tcMar>
                    <w:top w:w="0" w:type="dxa"/>
                    <w:left w:w="51" w:type="dxa"/>
                    <w:bottom w:w="0" w:type="dxa"/>
                    <w:right w:w="51" w:type="dxa"/>
                  </w:tcMar>
                  <w:vAlign w:val="center"/>
                </w:tcPr>
                <w:p w14:paraId="68E2C5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4655659.350</w:t>
                  </w:r>
                </w:p>
              </w:tc>
              <w:tc>
                <w:tcPr>
                  <w:tcW w:w="949" w:type="pct"/>
                  <w:shd w:val="clear" w:color="auto" w:fill="auto"/>
                  <w:noWrap/>
                  <w:tcMar>
                    <w:top w:w="0" w:type="dxa"/>
                    <w:left w:w="51" w:type="dxa"/>
                    <w:bottom w:w="0" w:type="dxa"/>
                    <w:right w:w="51" w:type="dxa"/>
                  </w:tcMar>
                  <w:vAlign w:val="center"/>
                </w:tcPr>
                <w:p w14:paraId="122722F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39582423.562</w:t>
                  </w:r>
                </w:p>
              </w:tc>
            </w:tr>
            <w:tr w14:paraId="7E5F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7C92CE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A19</w:t>
                  </w:r>
                </w:p>
              </w:tc>
              <w:tc>
                <w:tcPr>
                  <w:tcW w:w="920" w:type="pct"/>
                  <w:shd w:val="clear" w:color="auto" w:fill="auto"/>
                  <w:noWrap/>
                  <w:tcMar>
                    <w:top w:w="0" w:type="dxa"/>
                    <w:left w:w="51" w:type="dxa"/>
                    <w:bottom w:w="0" w:type="dxa"/>
                    <w:right w:w="51" w:type="dxa"/>
                  </w:tcMar>
                  <w:vAlign w:val="center"/>
                </w:tcPr>
                <w:p w14:paraId="0BBA3B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4645245.719</w:t>
                  </w:r>
                </w:p>
              </w:tc>
              <w:tc>
                <w:tcPr>
                  <w:tcW w:w="939" w:type="pct"/>
                  <w:shd w:val="clear" w:color="auto" w:fill="auto"/>
                  <w:noWrap/>
                  <w:tcMar>
                    <w:top w:w="0" w:type="dxa"/>
                    <w:left w:w="51" w:type="dxa"/>
                    <w:bottom w:w="0" w:type="dxa"/>
                    <w:right w:w="51" w:type="dxa"/>
                  </w:tcMar>
                  <w:vAlign w:val="center"/>
                </w:tcPr>
                <w:p w14:paraId="5C52E1C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39590922.200</w:t>
                  </w:r>
                </w:p>
              </w:tc>
              <w:tc>
                <w:tcPr>
                  <w:tcW w:w="675" w:type="pct"/>
                  <w:shd w:val="clear" w:color="auto" w:fill="auto"/>
                  <w:noWrap/>
                  <w:tcMar>
                    <w:top w:w="0" w:type="dxa"/>
                    <w:left w:w="51" w:type="dxa"/>
                    <w:bottom w:w="0" w:type="dxa"/>
                    <w:right w:w="51" w:type="dxa"/>
                  </w:tcMar>
                  <w:vAlign w:val="center"/>
                </w:tcPr>
                <w:p w14:paraId="2A2F5A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A64</w:t>
                  </w:r>
                </w:p>
              </w:tc>
              <w:tc>
                <w:tcPr>
                  <w:tcW w:w="841" w:type="pct"/>
                  <w:shd w:val="clear" w:color="auto" w:fill="auto"/>
                  <w:noWrap/>
                  <w:tcMar>
                    <w:top w:w="0" w:type="dxa"/>
                    <w:left w:w="51" w:type="dxa"/>
                    <w:bottom w:w="0" w:type="dxa"/>
                    <w:right w:w="51" w:type="dxa"/>
                  </w:tcMar>
                  <w:vAlign w:val="center"/>
                </w:tcPr>
                <w:p w14:paraId="7C99FB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4655878.565</w:t>
                  </w:r>
                </w:p>
              </w:tc>
              <w:tc>
                <w:tcPr>
                  <w:tcW w:w="949" w:type="pct"/>
                  <w:shd w:val="clear" w:color="auto" w:fill="auto"/>
                  <w:noWrap/>
                  <w:tcMar>
                    <w:top w:w="0" w:type="dxa"/>
                    <w:left w:w="51" w:type="dxa"/>
                    <w:bottom w:w="0" w:type="dxa"/>
                    <w:right w:w="51" w:type="dxa"/>
                  </w:tcMar>
                  <w:vAlign w:val="center"/>
                </w:tcPr>
                <w:p w14:paraId="47A1DE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39582373.485</w:t>
                  </w:r>
                </w:p>
              </w:tc>
            </w:tr>
            <w:tr w14:paraId="5031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B7D18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A20</w:t>
                  </w:r>
                </w:p>
              </w:tc>
              <w:tc>
                <w:tcPr>
                  <w:tcW w:w="920" w:type="pct"/>
                  <w:shd w:val="clear" w:color="auto" w:fill="auto"/>
                  <w:noWrap/>
                  <w:tcMar>
                    <w:top w:w="0" w:type="dxa"/>
                    <w:left w:w="51" w:type="dxa"/>
                    <w:bottom w:w="0" w:type="dxa"/>
                    <w:right w:w="51" w:type="dxa"/>
                  </w:tcMar>
                  <w:vAlign w:val="center"/>
                </w:tcPr>
                <w:p w14:paraId="7CA84B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4645306.501</w:t>
                  </w:r>
                </w:p>
              </w:tc>
              <w:tc>
                <w:tcPr>
                  <w:tcW w:w="939" w:type="pct"/>
                  <w:shd w:val="clear" w:color="auto" w:fill="auto"/>
                  <w:noWrap/>
                  <w:tcMar>
                    <w:top w:w="0" w:type="dxa"/>
                    <w:left w:w="51" w:type="dxa"/>
                    <w:bottom w:w="0" w:type="dxa"/>
                    <w:right w:w="51" w:type="dxa"/>
                  </w:tcMar>
                  <w:vAlign w:val="center"/>
                </w:tcPr>
                <w:p w14:paraId="4C7614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39590692.291</w:t>
                  </w:r>
                </w:p>
              </w:tc>
              <w:tc>
                <w:tcPr>
                  <w:tcW w:w="675" w:type="pct"/>
                  <w:shd w:val="clear" w:color="auto" w:fill="auto"/>
                  <w:noWrap/>
                  <w:tcMar>
                    <w:top w:w="0" w:type="dxa"/>
                    <w:left w:w="51" w:type="dxa"/>
                    <w:bottom w:w="0" w:type="dxa"/>
                    <w:right w:w="51" w:type="dxa"/>
                  </w:tcMar>
                  <w:vAlign w:val="center"/>
                </w:tcPr>
                <w:p w14:paraId="54538B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A65</w:t>
                  </w:r>
                </w:p>
              </w:tc>
              <w:tc>
                <w:tcPr>
                  <w:tcW w:w="841" w:type="pct"/>
                  <w:shd w:val="clear" w:color="auto" w:fill="auto"/>
                  <w:noWrap/>
                  <w:tcMar>
                    <w:top w:w="0" w:type="dxa"/>
                    <w:left w:w="51" w:type="dxa"/>
                    <w:bottom w:w="0" w:type="dxa"/>
                    <w:right w:w="51" w:type="dxa"/>
                  </w:tcMar>
                  <w:vAlign w:val="center"/>
                </w:tcPr>
                <w:p w14:paraId="25D8136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4656035.711</w:t>
                  </w:r>
                </w:p>
              </w:tc>
              <w:tc>
                <w:tcPr>
                  <w:tcW w:w="949" w:type="pct"/>
                  <w:shd w:val="clear" w:color="auto" w:fill="auto"/>
                  <w:noWrap/>
                  <w:tcMar>
                    <w:top w:w="0" w:type="dxa"/>
                    <w:left w:w="51" w:type="dxa"/>
                    <w:bottom w:w="0" w:type="dxa"/>
                    <w:right w:w="51" w:type="dxa"/>
                  </w:tcMar>
                  <w:vAlign w:val="center"/>
                </w:tcPr>
                <w:p w14:paraId="2EA115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39582099.691</w:t>
                  </w:r>
                </w:p>
              </w:tc>
            </w:tr>
            <w:tr w14:paraId="0BAD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7C3AD7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A21</w:t>
                  </w:r>
                </w:p>
              </w:tc>
              <w:tc>
                <w:tcPr>
                  <w:tcW w:w="920" w:type="pct"/>
                  <w:shd w:val="clear" w:color="auto" w:fill="auto"/>
                  <w:noWrap/>
                  <w:tcMar>
                    <w:top w:w="0" w:type="dxa"/>
                    <w:left w:w="51" w:type="dxa"/>
                    <w:bottom w:w="0" w:type="dxa"/>
                    <w:right w:w="51" w:type="dxa"/>
                  </w:tcMar>
                  <w:vAlign w:val="center"/>
                </w:tcPr>
                <w:p w14:paraId="6949EF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4645414.452</w:t>
                  </w:r>
                </w:p>
              </w:tc>
              <w:tc>
                <w:tcPr>
                  <w:tcW w:w="939" w:type="pct"/>
                  <w:shd w:val="clear" w:color="auto" w:fill="auto"/>
                  <w:noWrap/>
                  <w:tcMar>
                    <w:top w:w="0" w:type="dxa"/>
                    <w:left w:w="51" w:type="dxa"/>
                    <w:bottom w:w="0" w:type="dxa"/>
                    <w:right w:w="51" w:type="dxa"/>
                  </w:tcMar>
                  <w:vAlign w:val="center"/>
                </w:tcPr>
                <w:p w14:paraId="4A23F6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39590283.961</w:t>
                  </w:r>
                </w:p>
              </w:tc>
              <w:tc>
                <w:tcPr>
                  <w:tcW w:w="675" w:type="pct"/>
                  <w:shd w:val="clear" w:color="auto" w:fill="auto"/>
                  <w:noWrap/>
                  <w:tcMar>
                    <w:top w:w="0" w:type="dxa"/>
                    <w:left w:w="51" w:type="dxa"/>
                    <w:bottom w:w="0" w:type="dxa"/>
                    <w:right w:w="51" w:type="dxa"/>
                  </w:tcMar>
                  <w:vAlign w:val="center"/>
                </w:tcPr>
                <w:p w14:paraId="17AE66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A66</w:t>
                  </w:r>
                </w:p>
              </w:tc>
              <w:tc>
                <w:tcPr>
                  <w:tcW w:w="1790" w:type="pct"/>
                  <w:gridSpan w:val="2"/>
                  <w:shd w:val="clear" w:color="auto" w:fill="auto"/>
                  <w:noWrap/>
                  <w:tcMar>
                    <w:top w:w="0" w:type="dxa"/>
                    <w:left w:w="51" w:type="dxa"/>
                    <w:bottom w:w="0" w:type="dxa"/>
                    <w:right w:w="51" w:type="dxa"/>
                  </w:tcMar>
                  <w:vAlign w:val="center"/>
                </w:tcPr>
                <w:p w14:paraId="046D01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w:t>
                  </w:r>
                  <w:r>
                    <w:rPr>
                      <w:rFonts w:hint="eastAsia" w:cs="Times New Roman"/>
                      <w:color w:val="000000" w:themeColor="text1"/>
                      <w:kern w:val="0"/>
                      <w:sz w:val="21"/>
                      <w:szCs w:val="21"/>
                      <w:highlight w:val="none"/>
                      <w:lang w:val="en-US" w:eastAsia="zh-CN"/>
                      <w14:textFill>
                        <w14:solidFill>
                          <w14:schemeClr w14:val="tx1"/>
                        </w14:solidFill>
                      </w14:textFill>
                    </w:rPr>
                    <w:t>此编号</w:t>
                  </w:r>
                </w:p>
              </w:tc>
            </w:tr>
            <w:tr w14:paraId="5484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04B15C0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A22</w:t>
                  </w:r>
                </w:p>
              </w:tc>
              <w:tc>
                <w:tcPr>
                  <w:tcW w:w="920" w:type="pct"/>
                  <w:shd w:val="clear" w:color="auto" w:fill="auto"/>
                  <w:noWrap/>
                  <w:tcMar>
                    <w:top w:w="0" w:type="dxa"/>
                    <w:left w:w="51" w:type="dxa"/>
                    <w:bottom w:w="0" w:type="dxa"/>
                    <w:right w:w="51" w:type="dxa"/>
                  </w:tcMar>
                  <w:vAlign w:val="center"/>
                </w:tcPr>
                <w:p w14:paraId="72438C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4645554.504</w:t>
                  </w:r>
                </w:p>
              </w:tc>
              <w:tc>
                <w:tcPr>
                  <w:tcW w:w="939" w:type="pct"/>
                  <w:shd w:val="clear" w:color="auto" w:fill="auto"/>
                  <w:noWrap/>
                  <w:tcMar>
                    <w:top w:w="0" w:type="dxa"/>
                    <w:left w:w="51" w:type="dxa"/>
                    <w:bottom w:w="0" w:type="dxa"/>
                    <w:right w:w="51" w:type="dxa"/>
                  </w:tcMar>
                  <w:vAlign w:val="center"/>
                </w:tcPr>
                <w:p w14:paraId="705866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39589754.207</w:t>
                  </w:r>
                </w:p>
              </w:tc>
              <w:tc>
                <w:tcPr>
                  <w:tcW w:w="675" w:type="pct"/>
                  <w:shd w:val="clear" w:color="auto" w:fill="auto"/>
                  <w:noWrap/>
                  <w:tcMar>
                    <w:top w:w="0" w:type="dxa"/>
                    <w:left w:w="51" w:type="dxa"/>
                    <w:bottom w:w="0" w:type="dxa"/>
                    <w:right w:w="51" w:type="dxa"/>
                  </w:tcMar>
                  <w:vAlign w:val="center"/>
                </w:tcPr>
                <w:p w14:paraId="7E2395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A67</w:t>
                  </w:r>
                </w:p>
              </w:tc>
              <w:tc>
                <w:tcPr>
                  <w:tcW w:w="841" w:type="pct"/>
                  <w:shd w:val="clear" w:color="auto" w:fill="auto"/>
                  <w:noWrap/>
                  <w:tcMar>
                    <w:top w:w="0" w:type="dxa"/>
                    <w:left w:w="51" w:type="dxa"/>
                    <w:bottom w:w="0" w:type="dxa"/>
                    <w:right w:w="51" w:type="dxa"/>
                  </w:tcMar>
                  <w:vAlign w:val="center"/>
                </w:tcPr>
                <w:p w14:paraId="24B018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4656373.515</w:t>
                  </w:r>
                </w:p>
              </w:tc>
              <w:tc>
                <w:tcPr>
                  <w:tcW w:w="949" w:type="pct"/>
                  <w:shd w:val="clear" w:color="auto" w:fill="auto"/>
                  <w:noWrap/>
                  <w:tcMar>
                    <w:top w:w="0" w:type="dxa"/>
                    <w:left w:w="51" w:type="dxa"/>
                    <w:bottom w:w="0" w:type="dxa"/>
                    <w:right w:w="51" w:type="dxa"/>
                  </w:tcMar>
                  <w:vAlign w:val="center"/>
                </w:tcPr>
                <w:p w14:paraId="2202E6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39582083.363</w:t>
                  </w:r>
                </w:p>
              </w:tc>
            </w:tr>
            <w:tr w14:paraId="2BFC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0533E0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A23</w:t>
                  </w:r>
                </w:p>
              </w:tc>
              <w:tc>
                <w:tcPr>
                  <w:tcW w:w="920" w:type="pct"/>
                  <w:shd w:val="clear" w:color="auto" w:fill="auto"/>
                  <w:noWrap/>
                  <w:tcMar>
                    <w:top w:w="0" w:type="dxa"/>
                    <w:left w:w="51" w:type="dxa"/>
                    <w:bottom w:w="0" w:type="dxa"/>
                    <w:right w:w="51" w:type="dxa"/>
                  </w:tcMar>
                  <w:vAlign w:val="center"/>
                </w:tcPr>
                <w:p w14:paraId="3B88CFA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4645677.829</w:t>
                  </w:r>
                </w:p>
              </w:tc>
              <w:tc>
                <w:tcPr>
                  <w:tcW w:w="939" w:type="pct"/>
                  <w:shd w:val="clear" w:color="auto" w:fill="auto"/>
                  <w:noWrap/>
                  <w:tcMar>
                    <w:top w:w="0" w:type="dxa"/>
                    <w:left w:w="51" w:type="dxa"/>
                    <w:bottom w:w="0" w:type="dxa"/>
                    <w:right w:w="51" w:type="dxa"/>
                  </w:tcMar>
                  <w:vAlign w:val="center"/>
                </w:tcPr>
                <w:p w14:paraId="025857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39589287.725</w:t>
                  </w:r>
                </w:p>
              </w:tc>
              <w:tc>
                <w:tcPr>
                  <w:tcW w:w="675" w:type="pct"/>
                  <w:shd w:val="clear" w:color="auto" w:fill="auto"/>
                  <w:noWrap/>
                  <w:tcMar>
                    <w:top w:w="0" w:type="dxa"/>
                    <w:left w:w="51" w:type="dxa"/>
                    <w:bottom w:w="0" w:type="dxa"/>
                    <w:right w:w="51" w:type="dxa"/>
                  </w:tcMar>
                  <w:vAlign w:val="center"/>
                </w:tcPr>
                <w:p w14:paraId="03B482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A68</w:t>
                  </w:r>
                </w:p>
              </w:tc>
              <w:tc>
                <w:tcPr>
                  <w:tcW w:w="841" w:type="pct"/>
                  <w:shd w:val="clear" w:color="auto" w:fill="auto"/>
                  <w:noWrap/>
                  <w:tcMar>
                    <w:top w:w="0" w:type="dxa"/>
                    <w:left w:w="51" w:type="dxa"/>
                    <w:bottom w:w="0" w:type="dxa"/>
                    <w:right w:w="51" w:type="dxa"/>
                  </w:tcMar>
                  <w:vAlign w:val="center"/>
                </w:tcPr>
                <w:p w14:paraId="20EE39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4656384.125</w:t>
                  </w:r>
                </w:p>
              </w:tc>
              <w:tc>
                <w:tcPr>
                  <w:tcW w:w="949" w:type="pct"/>
                  <w:shd w:val="clear" w:color="auto" w:fill="auto"/>
                  <w:noWrap/>
                  <w:tcMar>
                    <w:top w:w="0" w:type="dxa"/>
                    <w:left w:w="51" w:type="dxa"/>
                    <w:bottom w:w="0" w:type="dxa"/>
                    <w:right w:w="51" w:type="dxa"/>
                  </w:tcMar>
                  <w:vAlign w:val="center"/>
                </w:tcPr>
                <w:p w14:paraId="28879E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39581775.965</w:t>
                  </w:r>
                </w:p>
              </w:tc>
            </w:tr>
            <w:tr w14:paraId="111B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736A47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A24</w:t>
                  </w:r>
                </w:p>
              </w:tc>
              <w:tc>
                <w:tcPr>
                  <w:tcW w:w="920" w:type="pct"/>
                  <w:shd w:val="clear" w:color="auto" w:fill="auto"/>
                  <w:noWrap/>
                  <w:tcMar>
                    <w:top w:w="0" w:type="dxa"/>
                    <w:left w:w="51" w:type="dxa"/>
                    <w:bottom w:w="0" w:type="dxa"/>
                    <w:right w:w="51" w:type="dxa"/>
                  </w:tcMar>
                  <w:vAlign w:val="center"/>
                </w:tcPr>
                <w:p w14:paraId="6DC9A8F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4645875.428</w:t>
                  </w:r>
                </w:p>
              </w:tc>
              <w:tc>
                <w:tcPr>
                  <w:tcW w:w="939" w:type="pct"/>
                  <w:shd w:val="clear" w:color="auto" w:fill="auto"/>
                  <w:noWrap/>
                  <w:tcMar>
                    <w:top w:w="0" w:type="dxa"/>
                    <w:left w:w="51" w:type="dxa"/>
                    <w:bottom w:w="0" w:type="dxa"/>
                    <w:right w:w="51" w:type="dxa"/>
                  </w:tcMar>
                  <w:vAlign w:val="center"/>
                </w:tcPr>
                <w:p w14:paraId="0D358F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39589079.832</w:t>
                  </w:r>
                </w:p>
              </w:tc>
              <w:tc>
                <w:tcPr>
                  <w:tcW w:w="675" w:type="pct"/>
                  <w:shd w:val="clear" w:color="auto" w:fill="auto"/>
                  <w:noWrap/>
                  <w:tcMar>
                    <w:top w:w="0" w:type="dxa"/>
                    <w:left w:w="51" w:type="dxa"/>
                    <w:bottom w:w="0" w:type="dxa"/>
                    <w:right w:w="51" w:type="dxa"/>
                  </w:tcMar>
                  <w:vAlign w:val="center"/>
                </w:tcPr>
                <w:p w14:paraId="1E78B9C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A69</w:t>
                  </w:r>
                </w:p>
              </w:tc>
              <w:tc>
                <w:tcPr>
                  <w:tcW w:w="841" w:type="pct"/>
                  <w:shd w:val="clear" w:color="auto" w:fill="auto"/>
                  <w:noWrap/>
                  <w:tcMar>
                    <w:top w:w="0" w:type="dxa"/>
                    <w:left w:w="51" w:type="dxa"/>
                    <w:bottom w:w="0" w:type="dxa"/>
                    <w:right w:w="51" w:type="dxa"/>
                  </w:tcMar>
                  <w:vAlign w:val="center"/>
                </w:tcPr>
                <w:p w14:paraId="113B75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4656392.777</w:t>
                  </w:r>
                </w:p>
              </w:tc>
              <w:tc>
                <w:tcPr>
                  <w:tcW w:w="949" w:type="pct"/>
                  <w:shd w:val="clear" w:color="auto" w:fill="auto"/>
                  <w:noWrap/>
                  <w:tcMar>
                    <w:top w:w="0" w:type="dxa"/>
                    <w:left w:w="51" w:type="dxa"/>
                    <w:bottom w:w="0" w:type="dxa"/>
                    <w:right w:w="51" w:type="dxa"/>
                  </w:tcMar>
                  <w:vAlign w:val="center"/>
                </w:tcPr>
                <w:p w14:paraId="662EDE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39581525.286</w:t>
                  </w:r>
                </w:p>
              </w:tc>
            </w:tr>
            <w:tr w14:paraId="6654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0D5E4B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A25</w:t>
                  </w:r>
                </w:p>
              </w:tc>
              <w:tc>
                <w:tcPr>
                  <w:tcW w:w="920" w:type="pct"/>
                  <w:shd w:val="clear" w:color="auto" w:fill="auto"/>
                  <w:noWrap/>
                  <w:tcMar>
                    <w:top w:w="0" w:type="dxa"/>
                    <w:left w:w="51" w:type="dxa"/>
                    <w:bottom w:w="0" w:type="dxa"/>
                    <w:right w:w="51" w:type="dxa"/>
                  </w:tcMar>
                  <w:vAlign w:val="center"/>
                </w:tcPr>
                <w:p w14:paraId="21FAB6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4645966.939</w:t>
                  </w:r>
                </w:p>
              </w:tc>
              <w:tc>
                <w:tcPr>
                  <w:tcW w:w="939" w:type="pct"/>
                  <w:shd w:val="clear" w:color="auto" w:fill="auto"/>
                  <w:noWrap/>
                  <w:tcMar>
                    <w:top w:w="0" w:type="dxa"/>
                    <w:left w:w="51" w:type="dxa"/>
                    <w:bottom w:w="0" w:type="dxa"/>
                    <w:right w:w="51" w:type="dxa"/>
                  </w:tcMar>
                  <w:vAlign w:val="center"/>
                </w:tcPr>
                <w:p w14:paraId="1F4E4F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39588734.430</w:t>
                  </w:r>
                </w:p>
              </w:tc>
              <w:tc>
                <w:tcPr>
                  <w:tcW w:w="675" w:type="pct"/>
                  <w:shd w:val="clear" w:color="auto" w:fill="auto"/>
                  <w:noWrap/>
                  <w:tcMar>
                    <w:top w:w="0" w:type="dxa"/>
                    <w:left w:w="51" w:type="dxa"/>
                    <w:bottom w:w="0" w:type="dxa"/>
                    <w:right w:w="51" w:type="dxa"/>
                  </w:tcMar>
                  <w:vAlign w:val="center"/>
                </w:tcPr>
                <w:p w14:paraId="6E41E7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A70</w:t>
                  </w:r>
                </w:p>
              </w:tc>
              <w:tc>
                <w:tcPr>
                  <w:tcW w:w="841" w:type="pct"/>
                  <w:shd w:val="clear" w:color="auto" w:fill="auto"/>
                  <w:noWrap/>
                  <w:tcMar>
                    <w:top w:w="0" w:type="dxa"/>
                    <w:left w:w="51" w:type="dxa"/>
                    <w:bottom w:w="0" w:type="dxa"/>
                    <w:right w:w="51" w:type="dxa"/>
                  </w:tcMar>
                  <w:vAlign w:val="center"/>
                </w:tcPr>
                <w:p w14:paraId="6E21E97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4656535.427</w:t>
                  </w:r>
                </w:p>
              </w:tc>
              <w:tc>
                <w:tcPr>
                  <w:tcW w:w="949" w:type="pct"/>
                  <w:shd w:val="clear" w:color="auto" w:fill="auto"/>
                  <w:noWrap/>
                  <w:tcMar>
                    <w:top w:w="0" w:type="dxa"/>
                    <w:left w:w="51" w:type="dxa"/>
                    <w:bottom w:w="0" w:type="dxa"/>
                    <w:right w:w="51" w:type="dxa"/>
                  </w:tcMar>
                  <w:vAlign w:val="center"/>
                </w:tcPr>
                <w:p w14:paraId="1A02C2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39581308.454</w:t>
                  </w:r>
                </w:p>
              </w:tc>
            </w:tr>
            <w:tr w14:paraId="70E1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61833E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A26</w:t>
                  </w:r>
                </w:p>
              </w:tc>
              <w:tc>
                <w:tcPr>
                  <w:tcW w:w="920" w:type="pct"/>
                  <w:shd w:val="clear" w:color="auto" w:fill="auto"/>
                  <w:noWrap/>
                  <w:tcMar>
                    <w:top w:w="0" w:type="dxa"/>
                    <w:left w:w="51" w:type="dxa"/>
                    <w:bottom w:w="0" w:type="dxa"/>
                    <w:right w:w="51" w:type="dxa"/>
                  </w:tcMar>
                  <w:vAlign w:val="center"/>
                </w:tcPr>
                <w:p w14:paraId="11B420D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4646115.622</w:t>
                  </w:r>
                </w:p>
              </w:tc>
              <w:tc>
                <w:tcPr>
                  <w:tcW w:w="939" w:type="pct"/>
                  <w:shd w:val="clear" w:color="auto" w:fill="auto"/>
                  <w:noWrap/>
                  <w:tcMar>
                    <w:top w:w="0" w:type="dxa"/>
                    <w:left w:w="51" w:type="dxa"/>
                    <w:bottom w:w="0" w:type="dxa"/>
                    <w:right w:w="51" w:type="dxa"/>
                  </w:tcMar>
                  <w:vAlign w:val="center"/>
                </w:tcPr>
                <w:p w14:paraId="72FA35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39588173.234</w:t>
                  </w:r>
                </w:p>
              </w:tc>
              <w:tc>
                <w:tcPr>
                  <w:tcW w:w="675" w:type="pct"/>
                  <w:shd w:val="clear" w:color="auto" w:fill="auto"/>
                  <w:noWrap/>
                  <w:tcMar>
                    <w:top w:w="0" w:type="dxa"/>
                    <w:left w:w="51" w:type="dxa"/>
                    <w:bottom w:w="0" w:type="dxa"/>
                    <w:right w:w="51" w:type="dxa"/>
                  </w:tcMar>
                  <w:vAlign w:val="center"/>
                </w:tcPr>
                <w:p w14:paraId="7220CC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A71</w:t>
                  </w:r>
                </w:p>
              </w:tc>
              <w:tc>
                <w:tcPr>
                  <w:tcW w:w="841" w:type="pct"/>
                  <w:shd w:val="clear" w:color="auto" w:fill="auto"/>
                  <w:noWrap/>
                  <w:tcMar>
                    <w:top w:w="0" w:type="dxa"/>
                    <w:left w:w="51" w:type="dxa"/>
                    <w:bottom w:w="0" w:type="dxa"/>
                    <w:right w:w="51" w:type="dxa"/>
                  </w:tcMar>
                  <w:vAlign w:val="center"/>
                </w:tcPr>
                <w:p w14:paraId="0AF80C2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4656780.105</w:t>
                  </w:r>
                </w:p>
              </w:tc>
              <w:tc>
                <w:tcPr>
                  <w:tcW w:w="949" w:type="pct"/>
                  <w:shd w:val="clear" w:color="auto" w:fill="auto"/>
                  <w:noWrap/>
                  <w:tcMar>
                    <w:top w:w="0" w:type="dxa"/>
                    <w:left w:w="51" w:type="dxa"/>
                    <w:bottom w:w="0" w:type="dxa"/>
                    <w:right w:w="51" w:type="dxa"/>
                  </w:tcMar>
                  <w:vAlign w:val="center"/>
                </w:tcPr>
                <w:p w14:paraId="43E994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39581268.001</w:t>
                  </w:r>
                </w:p>
              </w:tc>
            </w:tr>
            <w:tr w14:paraId="2B13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C6BE0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A27</w:t>
                  </w:r>
                </w:p>
              </w:tc>
              <w:tc>
                <w:tcPr>
                  <w:tcW w:w="920" w:type="pct"/>
                  <w:shd w:val="clear" w:color="auto" w:fill="auto"/>
                  <w:noWrap/>
                  <w:tcMar>
                    <w:top w:w="0" w:type="dxa"/>
                    <w:left w:w="51" w:type="dxa"/>
                    <w:bottom w:w="0" w:type="dxa"/>
                    <w:right w:w="51" w:type="dxa"/>
                  </w:tcMar>
                  <w:vAlign w:val="center"/>
                </w:tcPr>
                <w:p w14:paraId="29DD04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4646224.923</w:t>
                  </w:r>
                </w:p>
              </w:tc>
              <w:tc>
                <w:tcPr>
                  <w:tcW w:w="939" w:type="pct"/>
                  <w:shd w:val="clear" w:color="auto" w:fill="auto"/>
                  <w:noWrap/>
                  <w:tcMar>
                    <w:top w:w="0" w:type="dxa"/>
                    <w:left w:w="51" w:type="dxa"/>
                    <w:bottom w:w="0" w:type="dxa"/>
                    <w:right w:w="51" w:type="dxa"/>
                  </w:tcMar>
                  <w:vAlign w:val="center"/>
                </w:tcPr>
                <w:p w14:paraId="4C031E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39587760.681</w:t>
                  </w:r>
                </w:p>
              </w:tc>
              <w:tc>
                <w:tcPr>
                  <w:tcW w:w="675" w:type="pct"/>
                  <w:shd w:val="clear" w:color="auto" w:fill="auto"/>
                  <w:noWrap/>
                  <w:tcMar>
                    <w:top w:w="0" w:type="dxa"/>
                    <w:left w:w="51" w:type="dxa"/>
                    <w:bottom w:w="0" w:type="dxa"/>
                    <w:right w:w="51" w:type="dxa"/>
                  </w:tcMar>
                  <w:vAlign w:val="center"/>
                </w:tcPr>
                <w:p w14:paraId="436571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A72</w:t>
                  </w:r>
                </w:p>
              </w:tc>
              <w:tc>
                <w:tcPr>
                  <w:tcW w:w="841" w:type="pct"/>
                  <w:shd w:val="clear" w:color="auto" w:fill="auto"/>
                  <w:noWrap/>
                  <w:tcMar>
                    <w:top w:w="0" w:type="dxa"/>
                    <w:left w:w="51" w:type="dxa"/>
                    <w:bottom w:w="0" w:type="dxa"/>
                    <w:right w:w="51" w:type="dxa"/>
                  </w:tcMar>
                  <w:vAlign w:val="center"/>
                </w:tcPr>
                <w:p w14:paraId="38FEF7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4657092.718</w:t>
                  </w:r>
                </w:p>
              </w:tc>
              <w:tc>
                <w:tcPr>
                  <w:tcW w:w="949" w:type="pct"/>
                  <w:shd w:val="clear" w:color="auto" w:fill="auto"/>
                  <w:noWrap/>
                  <w:tcMar>
                    <w:top w:w="0" w:type="dxa"/>
                    <w:left w:w="51" w:type="dxa"/>
                    <w:bottom w:w="0" w:type="dxa"/>
                    <w:right w:w="51" w:type="dxa"/>
                  </w:tcMar>
                  <w:vAlign w:val="center"/>
                </w:tcPr>
                <w:p w14:paraId="5792E2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39581216.316</w:t>
                  </w:r>
                </w:p>
              </w:tc>
            </w:tr>
            <w:tr w14:paraId="7562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09AC50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A28</w:t>
                  </w:r>
                </w:p>
              </w:tc>
              <w:tc>
                <w:tcPr>
                  <w:tcW w:w="920" w:type="pct"/>
                  <w:shd w:val="clear" w:color="auto" w:fill="auto"/>
                  <w:noWrap/>
                  <w:tcMar>
                    <w:top w:w="0" w:type="dxa"/>
                    <w:left w:w="51" w:type="dxa"/>
                    <w:bottom w:w="0" w:type="dxa"/>
                    <w:right w:w="51" w:type="dxa"/>
                  </w:tcMar>
                  <w:vAlign w:val="center"/>
                </w:tcPr>
                <w:p w14:paraId="34AC1D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4646314.386</w:t>
                  </w:r>
                </w:p>
              </w:tc>
              <w:tc>
                <w:tcPr>
                  <w:tcW w:w="939" w:type="pct"/>
                  <w:shd w:val="clear" w:color="auto" w:fill="auto"/>
                  <w:noWrap/>
                  <w:tcMar>
                    <w:top w:w="0" w:type="dxa"/>
                    <w:left w:w="51" w:type="dxa"/>
                    <w:bottom w:w="0" w:type="dxa"/>
                    <w:right w:w="51" w:type="dxa"/>
                  </w:tcMar>
                  <w:vAlign w:val="center"/>
                </w:tcPr>
                <w:p w14:paraId="6A9AB3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39587423.009</w:t>
                  </w:r>
                </w:p>
              </w:tc>
              <w:tc>
                <w:tcPr>
                  <w:tcW w:w="675" w:type="pct"/>
                  <w:shd w:val="clear" w:color="auto" w:fill="auto"/>
                  <w:noWrap/>
                  <w:tcMar>
                    <w:top w:w="0" w:type="dxa"/>
                    <w:left w:w="51" w:type="dxa"/>
                    <w:bottom w:w="0" w:type="dxa"/>
                    <w:right w:w="51" w:type="dxa"/>
                  </w:tcMar>
                  <w:vAlign w:val="center"/>
                </w:tcPr>
                <w:p w14:paraId="4B49C41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A73</w:t>
                  </w:r>
                </w:p>
              </w:tc>
              <w:tc>
                <w:tcPr>
                  <w:tcW w:w="841" w:type="pct"/>
                  <w:shd w:val="clear" w:color="auto" w:fill="auto"/>
                  <w:noWrap/>
                  <w:tcMar>
                    <w:top w:w="0" w:type="dxa"/>
                    <w:left w:w="51" w:type="dxa"/>
                    <w:bottom w:w="0" w:type="dxa"/>
                    <w:right w:w="51" w:type="dxa"/>
                  </w:tcMar>
                  <w:vAlign w:val="center"/>
                </w:tcPr>
                <w:p w14:paraId="4690A4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4657286.682</w:t>
                  </w:r>
                </w:p>
              </w:tc>
              <w:tc>
                <w:tcPr>
                  <w:tcW w:w="949" w:type="pct"/>
                  <w:shd w:val="clear" w:color="auto" w:fill="auto"/>
                  <w:noWrap/>
                  <w:tcMar>
                    <w:top w:w="0" w:type="dxa"/>
                    <w:left w:w="51" w:type="dxa"/>
                    <w:bottom w:w="0" w:type="dxa"/>
                    <w:right w:w="51" w:type="dxa"/>
                  </w:tcMar>
                  <w:vAlign w:val="center"/>
                </w:tcPr>
                <w:p w14:paraId="677FF3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39581196.240</w:t>
                  </w:r>
                </w:p>
              </w:tc>
            </w:tr>
            <w:tr w14:paraId="105D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65262A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A29</w:t>
                  </w:r>
                </w:p>
              </w:tc>
              <w:tc>
                <w:tcPr>
                  <w:tcW w:w="920" w:type="pct"/>
                  <w:shd w:val="clear" w:color="auto" w:fill="auto"/>
                  <w:noWrap/>
                  <w:tcMar>
                    <w:top w:w="0" w:type="dxa"/>
                    <w:left w:w="51" w:type="dxa"/>
                    <w:bottom w:w="0" w:type="dxa"/>
                    <w:right w:w="51" w:type="dxa"/>
                  </w:tcMar>
                  <w:vAlign w:val="center"/>
                </w:tcPr>
                <w:p w14:paraId="5870E9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4646357.769</w:t>
                  </w:r>
                </w:p>
              </w:tc>
              <w:tc>
                <w:tcPr>
                  <w:tcW w:w="939" w:type="pct"/>
                  <w:shd w:val="clear" w:color="auto" w:fill="auto"/>
                  <w:noWrap/>
                  <w:tcMar>
                    <w:top w:w="0" w:type="dxa"/>
                    <w:left w:w="51" w:type="dxa"/>
                    <w:bottom w:w="0" w:type="dxa"/>
                    <w:right w:w="51" w:type="dxa"/>
                  </w:tcMar>
                  <w:vAlign w:val="center"/>
                </w:tcPr>
                <w:p w14:paraId="42B5BB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39587259.261</w:t>
                  </w:r>
                </w:p>
              </w:tc>
              <w:tc>
                <w:tcPr>
                  <w:tcW w:w="675" w:type="pct"/>
                  <w:shd w:val="clear" w:color="auto" w:fill="auto"/>
                  <w:noWrap/>
                  <w:tcMar>
                    <w:top w:w="0" w:type="dxa"/>
                    <w:left w:w="51" w:type="dxa"/>
                    <w:bottom w:w="0" w:type="dxa"/>
                    <w:right w:w="51" w:type="dxa"/>
                  </w:tcMar>
                  <w:vAlign w:val="center"/>
                </w:tcPr>
                <w:p w14:paraId="51D319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A74</w:t>
                  </w:r>
                </w:p>
              </w:tc>
              <w:tc>
                <w:tcPr>
                  <w:tcW w:w="841" w:type="pct"/>
                  <w:shd w:val="clear" w:color="auto" w:fill="auto"/>
                  <w:noWrap/>
                  <w:tcMar>
                    <w:top w:w="0" w:type="dxa"/>
                    <w:left w:w="51" w:type="dxa"/>
                    <w:bottom w:w="0" w:type="dxa"/>
                    <w:right w:w="51" w:type="dxa"/>
                  </w:tcMar>
                  <w:vAlign w:val="center"/>
                </w:tcPr>
                <w:p w14:paraId="230249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4657643.491</w:t>
                  </w:r>
                </w:p>
              </w:tc>
              <w:tc>
                <w:tcPr>
                  <w:tcW w:w="949" w:type="pct"/>
                  <w:shd w:val="clear" w:color="auto" w:fill="auto"/>
                  <w:noWrap/>
                  <w:tcMar>
                    <w:top w:w="0" w:type="dxa"/>
                    <w:left w:w="51" w:type="dxa"/>
                    <w:bottom w:w="0" w:type="dxa"/>
                    <w:right w:w="51" w:type="dxa"/>
                  </w:tcMar>
                  <w:vAlign w:val="center"/>
                </w:tcPr>
                <w:p w14:paraId="02495A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39581159.309</w:t>
                  </w:r>
                </w:p>
              </w:tc>
            </w:tr>
            <w:tr w14:paraId="3516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353648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A30</w:t>
                  </w:r>
                </w:p>
              </w:tc>
              <w:tc>
                <w:tcPr>
                  <w:tcW w:w="920" w:type="pct"/>
                  <w:shd w:val="clear" w:color="auto" w:fill="auto"/>
                  <w:noWrap/>
                  <w:tcMar>
                    <w:top w:w="0" w:type="dxa"/>
                    <w:left w:w="51" w:type="dxa"/>
                    <w:bottom w:w="0" w:type="dxa"/>
                    <w:right w:w="51" w:type="dxa"/>
                  </w:tcMar>
                  <w:vAlign w:val="center"/>
                </w:tcPr>
                <w:p w14:paraId="50CB52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4646409.672</w:t>
                  </w:r>
                </w:p>
              </w:tc>
              <w:tc>
                <w:tcPr>
                  <w:tcW w:w="939" w:type="pct"/>
                  <w:shd w:val="clear" w:color="auto" w:fill="auto"/>
                  <w:noWrap/>
                  <w:tcMar>
                    <w:top w:w="0" w:type="dxa"/>
                    <w:left w:w="51" w:type="dxa"/>
                    <w:bottom w:w="0" w:type="dxa"/>
                    <w:right w:w="51" w:type="dxa"/>
                  </w:tcMar>
                  <w:vAlign w:val="center"/>
                </w:tcPr>
                <w:p w14:paraId="769C882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39587063.355</w:t>
                  </w:r>
                </w:p>
              </w:tc>
              <w:tc>
                <w:tcPr>
                  <w:tcW w:w="675" w:type="pct"/>
                  <w:shd w:val="clear" w:color="auto" w:fill="auto"/>
                  <w:noWrap/>
                  <w:tcMar>
                    <w:top w:w="0" w:type="dxa"/>
                    <w:left w:w="51" w:type="dxa"/>
                    <w:bottom w:w="0" w:type="dxa"/>
                    <w:right w:w="51" w:type="dxa"/>
                  </w:tcMar>
                  <w:vAlign w:val="center"/>
                </w:tcPr>
                <w:p w14:paraId="5DC992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A75</w:t>
                  </w:r>
                </w:p>
              </w:tc>
              <w:tc>
                <w:tcPr>
                  <w:tcW w:w="841" w:type="pct"/>
                  <w:shd w:val="clear" w:color="auto" w:fill="auto"/>
                  <w:noWrap/>
                  <w:tcMar>
                    <w:top w:w="0" w:type="dxa"/>
                    <w:left w:w="51" w:type="dxa"/>
                    <w:bottom w:w="0" w:type="dxa"/>
                    <w:right w:w="51" w:type="dxa"/>
                  </w:tcMar>
                  <w:vAlign w:val="center"/>
                </w:tcPr>
                <w:p w14:paraId="64A0F1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4657950.742</w:t>
                  </w:r>
                </w:p>
              </w:tc>
              <w:tc>
                <w:tcPr>
                  <w:tcW w:w="949" w:type="pct"/>
                  <w:shd w:val="clear" w:color="auto" w:fill="auto"/>
                  <w:noWrap/>
                  <w:tcMar>
                    <w:top w:w="0" w:type="dxa"/>
                    <w:left w:w="51" w:type="dxa"/>
                    <w:bottom w:w="0" w:type="dxa"/>
                    <w:right w:w="51" w:type="dxa"/>
                  </w:tcMar>
                  <w:vAlign w:val="center"/>
                </w:tcPr>
                <w:p w14:paraId="43E849A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39581116.843</w:t>
                  </w:r>
                </w:p>
              </w:tc>
            </w:tr>
            <w:tr w14:paraId="40E4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79FA0A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A31</w:t>
                  </w:r>
                </w:p>
              </w:tc>
              <w:tc>
                <w:tcPr>
                  <w:tcW w:w="920" w:type="pct"/>
                  <w:shd w:val="clear" w:color="auto" w:fill="auto"/>
                  <w:noWrap/>
                  <w:tcMar>
                    <w:top w:w="0" w:type="dxa"/>
                    <w:left w:w="51" w:type="dxa"/>
                    <w:bottom w:w="0" w:type="dxa"/>
                    <w:right w:w="51" w:type="dxa"/>
                  </w:tcMar>
                  <w:vAlign w:val="center"/>
                </w:tcPr>
                <w:p w14:paraId="04BACA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4646521.575</w:t>
                  </w:r>
                </w:p>
              </w:tc>
              <w:tc>
                <w:tcPr>
                  <w:tcW w:w="939" w:type="pct"/>
                  <w:shd w:val="clear" w:color="auto" w:fill="auto"/>
                  <w:noWrap/>
                  <w:tcMar>
                    <w:top w:w="0" w:type="dxa"/>
                    <w:left w:w="51" w:type="dxa"/>
                    <w:bottom w:w="0" w:type="dxa"/>
                    <w:right w:w="51" w:type="dxa"/>
                  </w:tcMar>
                  <w:vAlign w:val="center"/>
                </w:tcPr>
                <w:p w14:paraId="7100D6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39586640.985</w:t>
                  </w:r>
                </w:p>
              </w:tc>
              <w:tc>
                <w:tcPr>
                  <w:tcW w:w="675" w:type="pct"/>
                  <w:shd w:val="clear" w:color="auto" w:fill="auto"/>
                  <w:noWrap/>
                  <w:tcMar>
                    <w:top w:w="0" w:type="dxa"/>
                    <w:left w:w="51" w:type="dxa"/>
                    <w:bottom w:w="0" w:type="dxa"/>
                    <w:right w:w="51" w:type="dxa"/>
                  </w:tcMar>
                  <w:vAlign w:val="center"/>
                </w:tcPr>
                <w:p w14:paraId="29C2F0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A76</w:t>
                  </w:r>
                </w:p>
              </w:tc>
              <w:tc>
                <w:tcPr>
                  <w:tcW w:w="841" w:type="pct"/>
                  <w:shd w:val="clear" w:color="auto" w:fill="auto"/>
                  <w:noWrap/>
                  <w:tcMar>
                    <w:top w:w="0" w:type="dxa"/>
                    <w:left w:w="51" w:type="dxa"/>
                    <w:bottom w:w="0" w:type="dxa"/>
                    <w:right w:w="51" w:type="dxa"/>
                  </w:tcMar>
                  <w:vAlign w:val="center"/>
                </w:tcPr>
                <w:p w14:paraId="65DE94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4658072.558</w:t>
                  </w:r>
                </w:p>
              </w:tc>
              <w:tc>
                <w:tcPr>
                  <w:tcW w:w="949" w:type="pct"/>
                  <w:shd w:val="clear" w:color="auto" w:fill="auto"/>
                  <w:noWrap/>
                  <w:tcMar>
                    <w:top w:w="0" w:type="dxa"/>
                    <w:left w:w="51" w:type="dxa"/>
                    <w:bottom w:w="0" w:type="dxa"/>
                    <w:right w:w="51" w:type="dxa"/>
                  </w:tcMar>
                  <w:vAlign w:val="center"/>
                </w:tcPr>
                <w:p w14:paraId="78A897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39580976.123</w:t>
                  </w:r>
                </w:p>
              </w:tc>
            </w:tr>
            <w:tr w14:paraId="00A4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37549A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A32</w:t>
                  </w:r>
                </w:p>
              </w:tc>
              <w:tc>
                <w:tcPr>
                  <w:tcW w:w="920" w:type="pct"/>
                  <w:shd w:val="clear" w:color="auto" w:fill="auto"/>
                  <w:noWrap/>
                  <w:tcMar>
                    <w:top w:w="0" w:type="dxa"/>
                    <w:left w:w="51" w:type="dxa"/>
                    <w:bottom w:w="0" w:type="dxa"/>
                    <w:right w:w="51" w:type="dxa"/>
                  </w:tcMar>
                  <w:vAlign w:val="center"/>
                </w:tcPr>
                <w:p w14:paraId="7F5DAD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4646603.180</w:t>
                  </w:r>
                </w:p>
              </w:tc>
              <w:tc>
                <w:tcPr>
                  <w:tcW w:w="939" w:type="pct"/>
                  <w:shd w:val="clear" w:color="auto" w:fill="auto"/>
                  <w:noWrap/>
                  <w:tcMar>
                    <w:top w:w="0" w:type="dxa"/>
                    <w:left w:w="51" w:type="dxa"/>
                    <w:bottom w:w="0" w:type="dxa"/>
                    <w:right w:w="51" w:type="dxa"/>
                  </w:tcMar>
                  <w:vAlign w:val="center"/>
                </w:tcPr>
                <w:p w14:paraId="76905B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39586332.969</w:t>
                  </w:r>
                </w:p>
              </w:tc>
              <w:tc>
                <w:tcPr>
                  <w:tcW w:w="675" w:type="pct"/>
                  <w:shd w:val="clear" w:color="auto" w:fill="auto"/>
                  <w:noWrap/>
                  <w:tcMar>
                    <w:top w:w="0" w:type="dxa"/>
                    <w:left w:w="51" w:type="dxa"/>
                    <w:bottom w:w="0" w:type="dxa"/>
                    <w:right w:w="51" w:type="dxa"/>
                  </w:tcMar>
                  <w:vAlign w:val="center"/>
                </w:tcPr>
                <w:p w14:paraId="1F8DBB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A77</w:t>
                  </w:r>
                </w:p>
              </w:tc>
              <w:tc>
                <w:tcPr>
                  <w:tcW w:w="841" w:type="pct"/>
                  <w:shd w:val="clear" w:color="auto" w:fill="auto"/>
                  <w:noWrap/>
                  <w:tcMar>
                    <w:top w:w="0" w:type="dxa"/>
                    <w:left w:w="51" w:type="dxa"/>
                    <w:bottom w:w="0" w:type="dxa"/>
                    <w:right w:w="51" w:type="dxa"/>
                  </w:tcMar>
                  <w:vAlign w:val="center"/>
                </w:tcPr>
                <w:p w14:paraId="5A4C8F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4658245.253</w:t>
                  </w:r>
                </w:p>
              </w:tc>
              <w:tc>
                <w:tcPr>
                  <w:tcW w:w="949" w:type="pct"/>
                  <w:shd w:val="clear" w:color="auto" w:fill="auto"/>
                  <w:noWrap/>
                  <w:tcMar>
                    <w:top w:w="0" w:type="dxa"/>
                    <w:left w:w="51" w:type="dxa"/>
                    <w:bottom w:w="0" w:type="dxa"/>
                    <w:right w:w="51" w:type="dxa"/>
                  </w:tcMar>
                  <w:vAlign w:val="center"/>
                </w:tcPr>
                <w:p w14:paraId="6A5928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39580817.637</w:t>
                  </w:r>
                </w:p>
              </w:tc>
            </w:tr>
            <w:tr w14:paraId="77ED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4B30C38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A33</w:t>
                  </w:r>
                </w:p>
              </w:tc>
              <w:tc>
                <w:tcPr>
                  <w:tcW w:w="920" w:type="pct"/>
                  <w:shd w:val="clear" w:color="auto" w:fill="auto"/>
                  <w:noWrap/>
                  <w:tcMar>
                    <w:top w:w="0" w:type="dxa"/>
                    <w:left w:w="51" w:type="dxa"/>
                    <w:bottom w:w="0" w:type="dxa"/>
                    <w:right w:w="51" w:type="dxa"/>
                  </w:tcMar>
                  <w:vAlign w:val="center"/>
                </w:tcPr>
                <w:p w14:paraId="75062B6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4646696.370</w:t>
                  </w:r>
                </w:p>
              </w:tc>
              <w:tc>
                <w:tcPr>
                  <w:tcW w:w="939" w:type="pct"/>
                  <w:shd w:val="clear" w:color="auto" w:fill="auto"/>
                  <w:noWrap/>
                  <w:tcMar>
                    <w:top w:w="0" w:type="dxa"/>
                    <w:left w:w="51" w:type="dxa"/>
                    <w:bottom w:w="0" w:type="dxa"/>
                    <w:right w:w="51" w:type="dxa"/>
                  </w:tcMar>
                  <w:vAlign w:val="center"/>
                </w:tcPr>
                <w:p w14:paraId="1995C0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39585981.228</w:t>
                  </w:r>
                </w:p>
              </w:tc>
              <w:tc>
                <w:tcPr>
                  <w:tcW w:w="675" w:type="pct"/>
                  <w:shd w:val="clear" w:color="auto" w:fill="auto"/>
                  <w:noWrap/>
                  <w:tcMar>
                    <w:top w:w="0" w:type="dxa"/>
                    <w:left w:w="51" w:type="dxa"/>
                    <w:bottom w:w="0" w:type="dxa"/>
                    <w:right w:w="51" w:type="dxa"/>
                  </w:tcMar>
                  <w:vAlign w:val="center"/>
                </w:tcPr>
                <w:p w14:paraId="686BE3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A78</w:t>
                  </w:r>
                </w:p>
              </w:tc>
              <w:tc>
                <w:tcPr>
                  <w:tcW w:w="841" w:type="pct"/>
                  <w:shd w:val="clear" w:color="auto" w:fill="auto"/>
                  <w:noWrap/>
                  <w:tcMar>
                    <w:top w:w="0" w:type="dxa"/>
                    <w:left w:w="51" w:type="dxa"/>
                    <w:bottom w:w="0" w:type="dxa"/>
                    <w:right w:w="51" w:type="dxa"/>
                  </w:tcMar>
                  <w:vAlign w:val="center"/>
                </w:tcPr>
                <w:p w14:paraId="6EDDB6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4658510.320</w:t>
                  </w:r>
                </w:p>
              </w:tc>
              <w:tc>
                <w:tcPr>
                  <w:tcW w:w="949" w:type="pct"/>
                  <w:shd w:val="clear" w:color="auto" w:fill="auto"/>
                  <w:noWrap/>
                  <w:tcMar>
                    <w:top w:w="0" w:type="dxa"/>
                    <w:left w:w="51" w:type="dxa"/>
                    <w:bottom w:w="0" w:type="dxa"/>
                    <w:right w:w="51" w:type="dxa"/>
                  </w:tcMar>
                  <w:vAlign w:val="center"/>
                </w:tcPr>
                <w:p w14:paraId="07C106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39580752.284</w:t>
                  </w:r>
                </w:p>
              </w:tc>
            </w:tr>
            <w:tr w14:paraId="3E28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3C11BDC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A34</w:t>
                  </w:r>
                </w:p>
              </w:tc>
              <w:tc>
                <w:tcPr>
                  <w:tcW w:w="920" w:type="pct"/>
                  <w:shd w:val="clear" w:color="auto" w:fill="auto"/>
                  <w:noWrap/>
                  <w:tcMar>
                    <w:top w:w="0" w:type="dxa"/>
                    <w:left w:w="51" w:type="dxa"/>
                    <w:bottom w:w="0" w:type="dxa"/>
                    <w:right w:w="51" w:type="dxa"/>
                  </w:tcMar>
                  <w:vAlign w:val="center"/>
                </w:tcPr>
                <w:p w14:paraId="1B54CD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4647023.507</w:t>
                  </w:r>
                </w:p>
              </w:tc>
              <w:tc>
                <w:tcPr>
                  <w:tcW w:w="939" w:type="pct"/>
                  <w:shd w:val="clear" w:color="auto" w:fill="auto"/>
                  <w:noWrap/>
                  <w:tcMar>
                    <w:top w:w="0" w:type="dxa"/>
                    <w:left w:w="51" w:type="dxa"/>
                    <w:bottom w:w="0" w:type="dxa"/>
                    <w:right w:w="51" w:type="dxa"/>
                  </w:tcMar>
                  <w:vAlign w:val="center"/>
                </w:tcPr>
                <w:p w14:paraId="7E00511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39585894.555</w:t>
                  </w:r>
                </w:p>
              </w:tc>
              <w:tc>
                <w:tcPr>
                  <w:tcW w:w="675" w:type="pct"/>
                  <w:shd w:val="clear" w:color="auto" w:fill="auto"/>
                  <w:noWrap/>
                  <w:tcMar>
                    <w:top w:w="0" w:type="dxa"/>
                    <w:left w:w="51" w:type="dxa"/>
                    <w:bottom w:w="0" w:type="dxa"/>
                    <w:right w:w="51" w:type="dxa"/>
                  </w:tcMar>
                  <w:vAlign w:val="center"/>
                </w:tcPr>
                <w:p w14:paraId="558B18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A79</w:t>
                  </w:r>
                </w:p>
              </w:tc>
              <w:tc>
                <w:tcPr>
                  <w:tcW w:w="841" w:type="pct"/>
                  <w:shd w:val="clear" w:color="auto" w:fill="auto"/>
                  <w:noWrap/>
                  <w:tcMar>
                    <w:top w:w="0" w:type="dxa"/>
                    <w:left w:w="51" w:type="dxa"/>
                    <w:bottom w:w="0" w:type="dxa"/>
                    <w:right w:w="51" w:type="dxa"/>
                  </w:tcMar>
                  <w:vAlign w:val="center"/>
                </w:tcPr>
                <w:p w14:paraId="369ECF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4658757.566</w:t>
                  </w:r>
                </w:p>
              </w:tc>
              <w:tc>
                <w:tcPr>
                  <w:tcW w:w="949" w:type="pct"/>
                  <w:shd w:val="clear" w:color="auto" w:fill="auto"/>
                  <w:noWrap/>
                  <w:tcMar>
                    <w:top w:w="0" w:type="dxa"/>
                    <w:left w:w="51" w:type="dxa"/>
                    <w:bottom w:w="0" w:type="dxa"/>
                    <w:right w:w="51" w:type="dxa"/>
                  </w:tcMar>
                  <w:vAlign w:val="center"/>
                </w:tcPr>
                <w:p w14:paraId="44C9AE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39580691.325</w:t>
                  </w:r>
                </w:p>
              </w:tc>
            </w:tr>
            <w:tr w14:paraId="0172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5310CCE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A35</w:t>
                  </w:r>
                </w:p>
              </w:tc>
              <w:tc>
                <w:tcPr>
                  <w:tcW w:w="920" w:type="pct"/>
                  <w:shd w:val="clear" w:color="auto" w:fill="auto"/>
                  <w:noWrap/>
                  <w:tcMar>
                    <w:top w:w="0" w:type="dxa"/>
                    <w:left w:w="51" w:type="dxa"/>
                    <w:bottom w:w="0" w:type="dxa"/>
                    <w:right w:w="51" w:type="dxa"/>
                  </w:tcMar>
                  <w:vAlign w:val="center"/>
                </w:tcPr>
                <w:p w14:paraId="438CE89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4647268.544</w:t>
                  </w:r>
                </w:p>
              </w:tc>
              <w:tc>
                <w:tcPr>
                  <w:tcW w:w="939" w:type="pct"/>
                  <w:shd w:val="clear" w:color="auto" w:fill="auto"/>
                  <w:noWrap/>
                  <w:tcMar>
                    <w:top w:w="0" w:type="dxa"/>
                    <w:left w:w="51" w:type="dxa"/>
                    <w:bottom w:w="0" w:type="dxa"/>
                    <w:right w:w="51" w:type="dxa"/>
                  </w:tcMar>
                  <w:vAlign w:val="center"/>
                </w:tcPr>
                <w:p w14:paraId="2A5B552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39585829.634</w:t>
                  </w:r>
                </w:p>
              </w:tc>
              <w:tc>
                <w:tcPr>
                  <w:tcW w:w="675" w:type="pct"/>
                  <w:shd w:val="clear" w:color="auto" w:fill="auto"/>
                  <w:noWrap/>
                  <w:tcMar>
                    <w:top w:w="0" w:type="dxa"/>
                    <w:left w:w="51" w:type="dxa"/>
                    <w:bottom w:w="0" w:type="dxa"/>
                    <w:right w:w="51" w:type="dxa"/>
                  </w:tcMar>
                  <w:vAlign w:val="center"/>
                </w:tcPr>
                <w:p w14:paraId="49B9F7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A80</w:t>
                  </w:r>
                </w:p>
              </w:tc>
              <w:tc>
                <w:tcPr>
                  <w:tcW w:w="841" w:type="pct"/>
                  <w:shd w:val="clear" w:color="auto" w:fill="auto"/>
                  <w:noWrap/>
                  <w:tcMar>
                    <w:top w:w="0" w:type="dxa"/>
                    <w:left w:w="51" w:type="dxa"/>
                    <w:bottom w:w="0" w:type="dxa"/>
                    <w:right w:w="51" w:type="dxa"/>
                  </w:tcMar>
                  <w:vAlign w:val="center"/>
                </w:tcPr>
                <w:p w14:paraId="6781AC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4659025.472</w:t>
                  </w:r>
                </w:p>
              </w:tc>
              <w:tc>
                <w:tcPr>
                  <w:tcW w:w="949" w:type="pct"/>
                  <w:shd w:val="clear" w:color="auto" w:fill="auto"/>
                  <w:noWrap/>
                  <w:tcMar>
                    <w:top w:w="0" w:type="dxa"/>
                    <w:left w:w="51" w:type="dxa"/>
                    <w:bottom w:w="0" w:type="dxa"/>
                    <w:right w:w="51" w:type="dxa"/>
                  </w:tcMar>
                  <w:vAlign w:val="center"/>
                </w:tcPr>
                <w:p w14:paraId="6BBD17A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39580544.841</w:t>
                  </w:r>
                </w:p>
              </w:tc>
            </w:tr>
            <w:tr w14:paraId="3ACA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49ADCEB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A36</w:t>
                  </w:r>
                </w:p>
              </w:tc>
              <w:tc>
                <w:tcPr>
                  <w:tcW w:w="920" w:type="pct"/>
                  <w:shd w:val="clear" w:color="auto" w:fill="auto"/>
                  <w:noWrap/>
                  <w:tcMar>
                    <w:top w:w="0" w:type="dxa"/>
                    <w:left w:w="51" w:type="dxa"/>
                    <w:bottom w:w="0" w:type="dxa"/>
                    <w:right w:w="51" w:type="dxa"/>
                  </w:tcMar>
                  <w:vAlign w:val="center"/>
                </w:tcPr>
                <w:p w14:paraId="318671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4647479.971</w:t>
                  </w:r>
                </w:p>
              </w:tc>
              <w:tc>
                <w:tcPr>
                  <w:tcW w:w="939" w:type="pct"/>
                  <w:shd w:val="clear" w:color="auto" w:fill="auto"/>
                  <w:noWrap/>
                  <w:tcMar>
                    <w:top w:w="0" w:type="dxa"/>
                    <w:left w:w="51" w:type="dxa"/>
                    <w:bottom w:w="0" w:type="dxa"/>
                    <w:right w:w="51" w:type="dxa"/>
                  </w:tcMar>
                  <w:vAlign w:val="center"/>
                </w:tcPr>
                <w:p w14:paraId="638094F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39585685.933</w:t>
                  </w:r>
                </w:p>
              </w:tc>
              <w:tc>
                <w:tcPr>
                  <w:tcW w:w="675" w:type="pct"/>
                  <w:shd w:val="clear" w:color="auto" w:fill="auto"/>
                  <w:noWrap/>
                  <w:tcMar>
                    <w:top w:w="0" w:type="dxa"/>
                    <w:left w:w="51" w:type="dxa"/>
                    <w:bottom w:w="0" w:type="dxa"/>
                    <w:right w:w="51" w:type="dxa"/>
                  </w:tcMar>
                  <w:vAlign w:val="center"/>
                </w:tcPr>
                <w:p w14:paraId="1AF8FE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A81</w:t>
                  </w:r>
                </w:p>
              </w:tc>
              <w:tc>
                <w:tcPr>
                  <w:tcW w:w="841" w:type="pct"/>
                  <w:shd w:val="clear" w:color="auto" w:fill="auto"/>
                  <w:noWrap/>
                  <w:tcMar>
                    <w:top w:w="0" w:type="dxa"/>
                    <w:left w:w="51" w:type="dxa"/>
                    <w:bottom w:w="0" w:type="dxa"/>
                    <w:right w:w="51" w:type="dxa"/>
                  </w:tcMar>
                  <w:vAlign w:val="center"/>
                </w:tcPr>
                <w:p w14:paraId="33C0B5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4659495.864</w:t>
                  </w:r>
                </w:p>
              </w:tc>
              <w:tc>
                <w:tcPr>
                  <w:tcW w:w="949" w:type="pct"/>
                  <w:shd w:val="clear" w:color="auto" w:fill="auto"/>
                  <w:noWrap/>
                  <w:tcMar>
                    <w:top w:w="0" w:type="dxa"/>
                    <w:left w:w="51" w:type="dxa"/>
                    <w:bottom w:w="0" w:type="dxa"/>
                    <w:right w:w="51" w:type="dxa"/>
                  </w:tcMar>
                  <w:vAlign w:val="center"/>
                </w:tcPr>
                <w:p w14:paraId="2827E7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39580287.642</w:t>
                  </w:r>
                </w:p>
              </w:tc>
            </w:tr>
            <w:tr w14:paraId="5E5B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23B822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A37</w:t>
                  </w:r>
                </w:p>
              </w:tc>
              <w:tc>
                <w:tcPr>
                  <w:tcW w:w="920" w:type="pct"/>
                  <w:shd w:val="clear" w:color="auto" w:fill="auto"/>
                  <w:noWrap/>
                  <w:tcMar>
                    <w:top w:w="0" w:type="dxa"/>
                    <w:left w:w="51" w:type="dxa"/>
                    <w:bottom w:w="0" w:type="dxa"/>
                    <w:right w:w="51" w:type="dxa"/>
                  </w:tcMar>
                  <w:vAlign w:val="center"/>
                </w:tcPr>
                <w:p w14:paraId="60A415E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4647718.213</w:t>
                  </w:r>
                </w:p>
              </w:tc>
              <w:tc>
                <w:tcPr>
                  <w:tcW w:w="939" w:type="pct"/>
                  <w:shd w:val="clear" w:color="auto" w:fill="auto"/>
                  <w:noWrap/>
                  <w:tcMar>
                    <w:top w:w="0" w:type="dxa"/>
                    <w:left w:w="51" w:type="dxa"/>
                    <w:bottom w:w="0" w:type="dxa"/>
                    <w:right w:w="51" w:type="dxa"/>
                  </w:tcMar>
                  <w:vAlign w:val="center"/>
                </w:tcPr>
                <w:p w14:paraId="71571D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39585524.006</w:t>
                  </w:r>
                </w:p>
              </w:tc>
              <w:tc>
                <w:tcPr>
                  <w:tcW w:w="675" w:type="pct"/>
                  <w:shd w:val="clear" w:color="auto" w:fill="auto"/>
                  <w:noWrap/>
                  <w:tcMar>
                    <w:top w:w="0" w:type="dxa"/>
                    <w:left w:w="51" w:type="dxa"/>
                    <w:bottom w:w="0" w:type="dxa"/>
                    <w:right w:w="51" w:type="dxa"/>
                  </w:tcMar>
                  <w:vAlign w:val="center"/>
                </w:tcPr>
                <w:p w14:paraId="7818D5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A82</w:t>
                  </w:r>
                </w:p>
              </w:tc>
              <w:tc>
                <w:tcPr>
                  <w:tcW w:w="841" w:type="pct"/>
                  <w:shd w:val="clear" w:color="auto" w:fill="auto"/>
                  <w:noWrap/>
                  <w:tcMar>
                    <w:top w:w="0" w:type="dxa"/>
                    <w:left w:w="51" w:type="dxa"/>
                    <w:bottom w:w="0" w:type="dxa"/>
                    <w:right w:w="51" w:type="dxa"/>
                  </w:tcMar>
                  <w:vAlign w:val="center"/>
                </w:tcPr>
                <w:p w14:paraId="700B8B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4659840.953</w:t>
                  </w:r>
                </w:p>
              </w:tc>
              <w:tc>
                <w:tcPr>
                  <w:tcW w:w="949" w:type="pct"/>
                  <w:shd w:val="clear" w:color="auto" w:fill="auto"/>
                  <w:noWrap/>
                  <w:tcMar>
                    <w:top w:w="0" w:type="dxa"/>
                    <w:left w:w="51" w:type="dxa"/>
                    <w:bottom w:w="0" w:type="dxa"/>
                    <w:right w:w="51" w:type="dxa"/>
                  </w:tcMar>
                  <w:vAlign w:val="center"/>
                </w:tcPr>
                <w:p w14:paraId="7884C0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39580098.956</w:t>
                  </w:r>
                </w:p>
              </w:tc>
            </w:tr>
            <w:tr w14:paraId="5A8B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76B6B2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A38</w:t>
                  </w:r>
                </w:p>
              </w:tc>
              <w:tc>
                <w:tcPr>
                  <w:tcW w:w="920" w:type="pct"/>
                  <w:shd w:val="clear" w:color="auto" w:fill="auto"/>
                  <w:noWrap/>
                  <w:tcMar>
                    <w:top w:w="0" w:type="dxa"/>
                    <w:left w:w="51" w:type="dxa"/>
                    <w:bottom w:w="0" w:type="dxa"/>
                    <w:right w:w="51" w:type="dxa"/>
                  </w:tcMar>
                  <w:vAlign w:val="center"/>
                </w:tcPr>
                <w:p w14:paraId="5264668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4647888.860</w:t>
                  </w:r>
                </w:p>
              </w:tc>
              <w:tc>
                <w:tcPr>
                  <w:tcW w:w="939" w:type="pct"/>
                  <w:shd w:val="clear" w:color="auto" w:fill="auto"/>
                  <w:noWrap/>
                  <w:tcMar>
                    <w:top w:w="0" w:type="dxa"/>
                    <w:left w:w="51" w:type="dxa"/>
                    <w:bottom w:w="0" w:type="dxa"/>
                    <w:right w:w="51" w:type="dxa"/>
                  </w:tcMar>
                  <w:vAlign w:val="center"/>
                </w:tcPr>
                <w:p w14:paraId="754DCB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39585408.022</w:t>
                  </w:r>
                </w:p>
              </w:tc>
              <w:tc>
                <w:tcPr>
                  <w:tcW w:w="675" w:type="pct"/>
                  <w:shd w:val="clear" w:color="auto" w:fill="auto"/>
                  <w:noWrap/>
                  <w:tcMar>
                    <w:top w:w="0" w:type="dxa"/>
                    <w:left w:w="51" w:type="dxa"/>
                    <w:bottom w:w="0" w:type="dxa"/>
                    <w:right w:w="51" w:type="dxa"/>
                  </w:tcMar>
                  <w:vAlign w:val="center"/>
                </w:tcPr>
                <w:p w14:paraId="5E5D57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A83</w:t>
                  </w:r>
                </w:p>
              </w:tc>
              <w:tc>
                <w:tcPr>
                  <w:tcW w:w="841" w:type="pct"/>
                  <w:shd w:val="clear" w:color="auto" w:fill="auto"/>
                  <w:noWrap/>
                  <w:tcMar>
                    <w:top w:w="0" w:type="dxa"/>
                    <w:left w:w="51" w:type="dxa"/>
                    <w:bottom w:w="0" w:type="dxa"/>
                    <w:right w:w="51" w:type="dxa"/>
                  </w:tcMar>
                  <w:vAlign w:val="center"/>
                </w:tcPr>
                <w:p w14:paraId="27C2EC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4660207.352</w:t>
                  </w:r>
                </w:p>
              </w:tc>
              <w:tc>
                <w:tcPr>
                  <w:tcW w:w="949" w:type="pct"/>
                  <w:shd w:val="clear" w:color="auto" w:fill="auto"/>
                  <w:noWrap/>
                  <w:tcMar>
                    <w:top w:w="0" w:type="dxa"/>
                    <w:left w:w="51" w:type="dxa"/>
                    <w:bottom w:w="0" w:type="dxa"/>
                    <w:right w:w="51" w:type="dxa"/>
                  </w:tcMar>
                  <w:vAlign w:val="center"/>
                </w:tcPr>
                <w:p w14:paraId="1A42C19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39579936.023</w:t>
                  </w:r>
                </w:p>
              </w:tc>
            </w:tr>
            <w:tr w14:paraId="1467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64E723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A39</w:t>
                  </w:r>
                </w:p>
              </w:tc>
              <w:tc>
                <w:tcPr>
                  <w:tcW w:w="920" w:type="pct"/>
                  <w:shd w:val="clear" w:color="auto" w:fill="auto"/>
                  <w:noWrap/>
                  <w:tcMar>
                    <w:top w:w="0" w:type="dxa"/>
                    <w:left w:w="51" w:type="dxa"/>
                    <w:bottom w:w="0" w:type="dxa"/>
                    <w:right w:w="51" w:type="dxa"/>
                  </w:tcMar>
                  <w:vAlign w:val="center"/>
                </w:tcPr>
                <w:p w14:paraId="1BDE1B7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4648340.729</w:t>
                  </w:r>
                </w:p>
              </w:tc>
              <w:tc>
                <w:tcPr>
                  <w:tcW w:w="939" w:type="pct"/>
                  <w:shd w:val="clear" w:color="auto" w:fill="auto"/>
                  <w:noWrap/>
                  <w:tcMar>
                    <w:top w:w="0" w:type="dxa"/>
                    <w:left w:w="51" w:type="dxa"/>
                    <w:bottom w:w="0" w:type="dxa"/>
                    <w:right w:w="51" w:type="dxa"/>
                  </w:tcMar>
                  <w:vAlign w:val="center"/>
                </w:tcPr>
                <w:p w14:paraId="2977F9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39585100.898</w:t>
                  </w:r>
                </w:p>
              </w:tc>
              <w:tc>
                <w:tcPr>
                  <w:tcW w:w="675" w:type="pct"/>
                  <w:shd w:val="clear" w:color="auto" w:fill="auto"/>
                  <w:noWrap/>
                  <w:tcMar>
                    <w:top w:w="0" w:type="dxa"/>
                    <w:left w:w="51" w:type="dxa"/>
                    <w:bottom w:w="0" w:type="dxa"/>
                    <w:right w:w="51" w:type="dxa"/>
                  </w:tcMar>
                  <w:vAlign w:val="center"/>
                </w:tcPr>
                <w:p w14:paraId="4BA80C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A84</w:t>
                  </w:r>
                </w:p>
              </w:tc>
              <w:tc>
                <w:tcPr>
                  <w:tcW w:w="841" w:type="pct"/>
                  <w:shd w:val="clear" w:color="auto" w:fill="auto"/>
                  <w:noWrap/>
                  <w:tcMar>
                    <w:top w:w="0" w:type="dxa"/>
                    <w:left w:w="51" w:type="dxa"/>
                    <w:bottom w:w="0" w:type="dxa"/>
                    <w:right w:w="51" w:type="dxa"/>
                  </w:tcMar>
                  <w:vAlign w:val="center"/>
                </w:tcPr>
                <w:p w14:paraId="5B5C137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4660569.700</w:t>
                  </w:r>
                </w:p>
              </w:tc>
              <w:tc>
                <w:tcPr>
                  <w:tcW w:w="949" w:type="pct"/>
                  <w:shd w:val="clear" w:color="auto" w:fill="auto"/>
                  <w:noWrap/>
                  <w:tcMar>
                    <w:top w:w="0" w:type="dxa"/>
                    <w:left w:w="51" w:type="dxa"/>
                    <w:bottom w:w="0" w:type="dxa"/>
                    <w:right w:w="51" w:type="dxa"/>
                  </w:tcMar>
                  <w:vAlign w:val="center"/>
                </w:tcPr>
                <w:p w14:paraId="4AE578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39579700.496</w:t>
                  </w:r>
                </w:p>
              </w:tc>
            </w:tr>
            <w:tr w14:paraId="3D07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09E3CF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A40</w:t>
                  </w:r>
                </w:p>
              </w:tc>
              <w:tc>
                <w:tcPr>
                  <w:tcW w:w="920" w:type="pct"/>
                  <w:shd w:val="clear" w:color="auto" w:fill="auto"/>
                  <w:noWrap/>
                  <w:tcMar>
                    <w:top w:w="0" w:type="dxa"/>
                    <w:left w:w="51" w:type="dxa"/>
                    <w:bottom w:w="0" w:type="dxa"/>
                    <w:right w:w="51" w:type="dxa"/>
                  </w:tcMar>
                  <w:vAlign w:val="center"/>
                </w:tcPr>
                <w:p w14:paraId="6F0BA1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4648811.424</w:t>
                  </w:r>
                </w:p>
              </w:tc>
              <w:tc>
                <w:tcPr>
                  <w:tcW w:w="939" w:type="pct"/>
                  <w:shd w:val="clear" w:color="auto" w:fill="auto"/>
                  <w:noWrap/>
                  <w:tcMar>
                    <w:top w:w="0" w:type="dxa"/>
                    <w:left w:w="51" w:type="dxa"/>
                    <w:bottom w:w="0" w:type="dxa"/>
                    <w:right w:w="51" w:type="dxa"/>
                  </w:tcMar>
                  <w:vAlign w:val="center"/>
                </w:tcPr>
                <w:p w14:paraId="4ACAF7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39584780.979</w:t>
                  </w:r>
                </w:p>
              </w:tc>
              <w:tc>
                <w:tcPr>
                  <w:tcW w:w="675" w:type="pct"/>
                  <w:shd w:val="clear" w:color="auto" w:fill="auto"/>
                  <w:noWrap/>
                  <w:tcMar>
                    <w:top w:w="0" w:type="dxa"/>
                    <w:left w:w="51" w:type="dxa"/>
                    <w:bottom w:w="0" w:type="dxa"/>
                    <w:right w:w="51" w:type="dxa"/>
                  </w:tcMar>
                  <w:vAlign w:val="center"/>
                </w:tcPr>
                <w:p w14:paraId="365036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A85</w:t>
                  </w:r>
                </w:p>
              </w:tc>
              <w:tc>
                <w:tcPr>
                  <w:tcW w:w="841" w:type="pct"/>
                  <w:shd w:val="clear" w:color="auto" w:fill="auto"/>
                  <w:noWrap/>
                  <w:tcMar>
                    <w:top w:w="0" w:type="dxa"/>
                    <w:left w:w="51" w:type="dxa"/>
                    <w:bottom w:w="0" w:type="dxa"/>
                    <w:right w:w="51" w:type="dxa"/>
                  </w:tcMar>
                  <w:vAlign w:val="center"/>
                </w:tcPr>
                <w:p w14:paraId="56D394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4660778.266</w:t>
                  </w:r>
                </w:p>
              </w:tc>
              <w:tc>
                <w:tcPr>
                  <w:tcW w:w="949" w:type="pct"/>
                  <w:shd w:val="clear" w:color="auto" w:fill="auto"/>
                  <w:noWrap/>
                  <w:tcMar>
                    <w:top w:w="0" w:type="dxa"/>
                    <w:left w:w="51" w:type="dxa"/>
                    <w:bottom w:w="0" w:type="dxa"/>
                    <w:right w:w="51" w:type="dxa"/>
                  </w:tcMar>
                  <w:vAlign w:val="center"/>
                </w:tcPr>
                <w:p w14:paraId="0D2CF9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39579586.457</w:t>
                  </w:r>
                </w:p>
              </w:tc>
            </w:tr>
            <w:tr w14:paraId="3E20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5F42B6C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A41</w:t>
                  </w:r>
                </w:p>
              </w:tc>
              <w:tc>
                <w:tcPr>
                  <w:tcW w:w="920" w:type="pct"/>
                  <w:shd w:val="clear" w:color="auto" w:fill="auto"/>
                  <w:noWrap/>
                  <w:tcMar>
                    <w:top w:w="0" w:type="dxa"/>
                    <w:left w:w="51" w:type="dxa"/>
                    <w:bottom w:w="0" w:type="dxa"/>
                    <w:right w:w="51" w:type="dxa"/>
                  </w:tcMar>
                  <w:vAlign w:val="center"/>
                </w:tcPr>
                <w:p w14:paraId="14C2CD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4649110.829</w:t>
                  </w:r>
                </w:p>
              </w:tc>
              <w:tc>
                <w:tcPr>
                  <w:tcW w:w="939" w:type="pct"/>
                  <w:shd w:val="clear" w:color="auto" w:fill="auto"/>
                  <w:noWrap/>
                  <w:tcMar>
                    <w:top w:w="0" w:type="dxa"/>
                    <w:left w:w="51" w:type="dxa"/>
                    <w:bottom w:w="0" w:type="dxa"/>
                    <w:right w:w="51" w:type="dxa"/>
                  </w:tcMar>
                  <w:vAlign w:val="center"/>
                </w:tcPr>
                <w:p w14:paraId="02BDF7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39584678.180</w:t>
                  </w:r>
                </w:p>
              </w:tc>
              <w:tc>
                <w:tcPr>
                  <w:tcW w:w="675" w:type="pct"/>
                  <w:shd w:val="clear" w:color="auto" w:fill="auto"/>
                  <w:noWrap/>
                  <w:tcMar>
                    <w:top w:w="0" w:type="dxa"/>
                    <w:left w:w="51" w:type="dxa"/>
                    <w:bottom w:w="0" w:type="dxa"/>
                    <w:right w:w="51" w:type="dxa"/>
                  </w:tcMar>
                  <w:vAlign w:val="center"/>
                </w:tcPr>
                <w:p w14:paraId="18054A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A86</w:t>
                  </w:r>
                </w:p>
              </w:tc>
              <w:tc>
                <w:tcPr>
                  <w:tcW w:w="841" w:type="pct"/>
                  <w:shd w:val="clear" w:color="auto" w:fill="auto"/>
                  <w:noWrap/>
                  <w:tcMar>
                    <w:top w:w="0" w:type="dxa"/>
                    <w:left w:w="51" w:type="dxa"/>
                    <w:bottom w:w="0" w:type="dxa"/>
                    <w:right w:w="51" w:type="dxa"/>
                  </w:tcMar>
                  <w:vAlign w:val="center"/>
                </w:tcPr>
                <w:p w14:paraId="53C5608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4660870.979</w:t>
                  </w:r>
                </w:p>
              </w:tc>
              <w:tc>
                <w:tcPr>
                  <w:tcW w:w="949" w:type="pct"/>
                  <w:shd w:val="clear" w:color="auto" w:fill="auto"/>
                  <w:noWrap/>
                  <w:tcMar>
                    <w:top w:w="0" w:type="dxa"/>
                    <w:left w:w="51" w:type="dxa"/>
                    <w:bottom w:w="0" w:type="dxa"/>
                    <w:right w:w="51" w:type="dxa"/>
                  </w:tcMar>
                  <w:vAlign w:val="center"/>
                </w:tcPr>
                <w:p w14:paraId="2AA9BF6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39579451.764</w:t>
                  </w:r>
                </w:p>
              </w:tc>
            </w:tr>
            <w:tr w14:paraId="0233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3A094D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A42</w:t>
                  </w:r>
                </w:p>
              </w:tc>
              <w:tc>
                <w:tcPr>
                  <w:tcW w:w="920" w:type="pct"/>
                  <w:shd w:val="clear" w:color="auto" w:fill="auto"/>
                  <w:noWrap/>
                  <w:tcMar>
                    <w:top w:w="0" w:type="dxa"/>
                    <w:left w:w="51" w:type="dxa"/>
                    <w:bottom w:w="0" w:type="dxa"/>
                    <w:right w:w="51" w:type="dxa"/>
                  </w:tcMar>
                  <w:vAlign w:val="center"/>
                </w:tcPr>
                <w:p w14:paraId="6BB6D9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4649395.789</w:t>
                  </w:r>
                </w:p>
              </w:tc>
              <w:tc>
                <w:tcPr>
                  <w:tcW w:w="939" w:type="pct"/>
                  <w:shd w:val="clear" w:color="auto" w:fill="auto"/>
                  <w:noWrap/>
                  <w:tcMar>
                    <w:top w:w="0" w:type="dxa"/>
                    <w:left w:w="51" w:type="dxa"/>
                    <w:bottom w:w="0" w:type="dxa"/>
                    <w:right w:w="51" w:type="dxa"/>
                  </w:tcMar>
                  <w:vAlign w:val="center"/>
                </w:tcPr>
                <w:p w14:paraId="282FCC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39584594.290</w:t>
                  </w:r>
                </w:p>
              </w:tc>
              <w:tc>
                <w:tcPr>
                  <w:tcW w:w="675" w:type="pct"/>
                  <w:shd w:val="clear" w:color="auto" w:fill="auto"/>
                  <w:noWrap/>
                  <w:tcMar>
                    <w:top w:w="0" w:type="dxa"/>
                    <w:left w:w="51" w:type="dxa"/>
                    <w:bottom w:w="0" w:type="dxa"/>
                    <w:right w:w="51" w:type="dxa"/>
                  </w:tcMar>
                  <w:vAlign w:val="center"/>
                </w:tcPr>
                <w:p w14:paraId="1EFEDE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A87</w:t>
                  </w:r>
                </w:p>
              </w:tc>
              <w:tc>
                <w:tcPr>
                  <w:tcW w:w="841" w:type="pct"/>
                  <w:shd w:val="clear" w:color="auto" w:fill="auto"/>
                  <w:noWrap/>
                  <w:tcMar>
                    <w:top w:w="0" w:type="dxa"/>
                    <w:left w:w="51" w:type="dxa"/>
                    <w:bottom w:w="0" w:type="dxa"/>
                    <w:right w:w="51" w:type="dxa"/>
                  </w:tcMar>
                  <w:vAlign w:val="center"/>
                </w:tcPr>
                <w:p w14:paraId="319177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4661103.525</w:t>
                  </w:r>
                </w:p>
              </w:tc>
              <w:tc>
                <w:tcPr>
                  <w:tcW w:w="949" w:type="pct"/>
                  <w:shd w:val="clear" w:color="auto" w:fill="auto"/>
                  <w:noWrap/>
                  <w:tcMar>
                    <w:top w:w="0" w:type="dxa"/>
                    <w:left w:w="51" w:type="dxa"/>
                    <w:bottom w:w="0" w:type="dxa"/>
                    <w:right w:w="51" w:type="dxa"/>
                  </w:tcMar>
                  <w:vAlign w:val="center"/>
                </w:tcPr>
                <w:p w14:paraId="50D0B6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39579113.922</w:t>
                  </w:r>
                </w:p>
              </w:tc>
            </w:tr>
            <w:tr w14:paraId="53FD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4DCF9E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A43</w:t>
                  </w:r>
                </w:p>
              </w:tc>
              <w:tc>
                <w:tcPr>
                  <w:tcW w:w="920" w:type="pct"/>
                  <w:shd w:val="clear" w:color="auto" w:fill="auto"/>
                  <w:noWrap/>
                  <w:tcMar>
                    <w:top w:w="0" w:type="dxa"/>
                    <w:left w:w="51" w:type="dxa"/>
                    <w:bottom w:w="0" w:type="dxa"/>
                    <w:right w:w="51" w:type="dxa"/>
                  </w:tcMar>
                  <w:vAlign w:val="center"/>
                </w:tcPr>
                <w:p w14:paraId="37C7CD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4649630.040</w:t>
                  </w:r>
                </w:p>
              </w:tc>
              <w:tc>
                <w:tcPr>
                  <w:tcW w:w="939" w:type="pct"/>
                  <w:shd w:val="clear" w:color="auto" w:fill="auto"/>
                  <w:noWrap/>
                  <w:tcMar>
                    <w:top w:w="0" w:type="dxa"/>
                    <w:left w:w="51" w:type="dxa"/>
                    <w:bottom w:w="0" w:type="dxa"/>
                    <w:right w:w="51" w:type="dxa"/>
                  </w:tcMar>
                  <w:vAlign w:val="center"/>
                </w:tcPr>
                <w:p w14:paraId="243BC6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39584356.166</w:t>
                  </w:r>
                </w:p>
              </w:tc>
              <w:tc>
                <w:tcPr>
                  <w:tcW w:w="675" w:type="pct"/>
                  <w:shd w:val="clear" w:color="auto" w:fill="auto"/>
                  <w:noWrap/>
                  <w:tcMar>
                    <w:top w:w="0" w:type="dxa"/>
                    <w:left w:w="51" w:type="dxa"/>
                    <w:bottom w:w="0" w:type="dxa"/>
                    <w:right w:w="51" w:type="dxa"/>
                  </w:tcMar>
                  <w:vAlign w:val="center"/>
                </w:tcPr>
                <w:p w14:paraId="66AD05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A88</w:t>
                  </w:r>
                </w:p>
              </w:tc>
              <w:tc>
                <w:tcPr>
                  <w:tcW w:w="841" w:type="pct"/>
                  <w:shd w:val="clear" w:color="auto" w:fill="auto"/>
                  <w:noWrap/>
                  <w:tcMar>
                    <w:top w:w="0" w:type="dxa"/>
                    <w:left w:w="51" w:type="dxa"/>
                    <w:bottom w:w="0" w:type="dxa"/>
                    <w:right w:w="51" w:type="dxa"/>
                  </w:tcMar>
                  <w:vAlign w:val="center"/>
                </w:tcPr>
                <w:p w14:paraId="4A5D83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4661159.711</w:t>
                  </w:r>
                </w:p>
              </w:tc>
              <w:tc>
                <w:tcPr>
                  <w:tcW w:w="949" w:type="pct"/>
                  <w:shd w:val="clear" w:color="auto" w:fill="auto"/>
                  <w:noWrap/>
                  <w:tcMar>
                    <w:top w:w="0" w:type="dxa"/>
                    <w:left w:w="51" w:type="dxa"/>
                    <w:bottom w:w="0" w:type="dxa"/>
                    <w:right w:w="51" w:type="dxa"/>
                  </w:tcMar>
                  <w:vAlign w:val="center"/>
                </w:tcPr>
                <w:p w14:paraId="25C57F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39578706.002</w:t>
                  </w:r>
                </w:p>
              </w:tc>
            </w:tr>
            <w:tr w14:paraId="2FE3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4D2B78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A44</w:t>
                  </w:r>
                </w:p>
              </w:tc>
              <w:tc>
                <w:tcPr>
                  <w:tcW w:w="920" w:type="pct"/>
                  <w:shd w:val="clear" w:color="auto" w:fill="auto"/>
                  <w:noWrap/>
                  <w:tcMar>
                    <w:top w:w="0" w:type="dxa"/>
                    <w:left w:w="51" w:type="dxa"/>
                    <w:bottom w:w="0" w:type="dxa"/>
                    <w:right w:w="51" w:type="dxa"/>
                  </w:tcMar>
                  <w:vAlign w:val="center"/>
                </w:tcPr>
                <w:p w14:paraId="602E01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4649870.585</w:t>
                  </w:r>
                </w:p>
              </w:tc>
              <w:tc>
                <w:tcPr>
                  <w:tcW w:w="939" w:type="pct"/>
                  <w:shd w:val="clear" w:color="auto" w:fill="auto"/>
                  <w:noWrap/>
                  <w:tcMar>
                    <w:top w:w="0" w:type="dxa"/>
                    <w:left w:w="51" w:type="dxa"/>
                    <w:bottom w:w="0" w:type="dxa"/>
                    <w:right w:w="51" w:type="dxa"/>
                  </w:tcMar>
                  <w:vAlign w:val="center"/>
                </w:tcPr>
                <w:p w14:paraId="0227A5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39584111.644</w:t>
                  </w:r>
                </w:p>
              </w:tc>
              <w:tc>
                <w:tcPr>
                  <w:tcW w:w="675" w:type="pct"/>
                  <w:shd w:val="clear" w:color="auto" w:fill="auto"/>
                  <w:noWrap/>
                  <w:tcMar>
                    <w:top w:w="0" w:type="dxa"/>
                    <w:left w:w="51" w:type="dxa"/>
                    <w:bottom w:w="0" w:type="dxa"/>
                    <w:right w:w="51" w:type="dxa"/>
                  </w:tcMar>
                  <w:vAlign w:val="center"/>
                </w:tcPr>
                <w:p w14:paraId="232354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A89</w:t>
                  </w:r>
                </w:p>
              </w:tc>
              <w:tc>
                <w:tcPr>
                  <w:tcW w:w="841" w:type="pct"/>
                  <w:shd w:val="clear" w:color="auto" w:fill="auto"/>
                  <w:noWrap/>
                  <w:tcMar>
                    <w:top w:w="0" w:type="dxa"/>
                    <w:left w:w="51" w:type="dxa"/>
                    <w:bottom w:w="0" w:type="dxa"/>
                    <w:right w:w="51" w:type="dxa"/>
                  </w:tcMar>
                  <w:vAlign w:val="center"/>
                </w:tcPr>
                <w:p w14:paraId="4CB119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4661109.630</w:t>
                  </w:r>
                </w:p>
              </w:tc>
              <w:tc>
                <w:tcPr>
                  <w:tcW w:w="949" w:type="pct"/>
                  <w:shd w:val="clear" w:color="auto" w:fill="auto"/>
                  <w:noWrap/>
                  <w:tcMar>
                    <w:top w:w="0" w:type="dxa"/>
                    <w:left w:w="51" w:type="dxa"/>
                    <w:bottom w:w="0" w:type="dxa"/>
                    <w:right w:w="51" w:type="dxa"/>
                  </w:tcMar>
                  <w:vAlign w:val="center"/>
                </w:tcPr>
                <w:p w14:paraId="224992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39578599.988</w:t>
                  </w:r>
                </w:p>
              </w:tc>
            </w:tr>
            <w:tr w14:paraId="1DF1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 w:type="pct"/>
                  <w:shd w:val="clear" w:color="auto" w:fill="auto"/>
                  <w:noWrap/>
                  <w:tcMar>
                    <w:top w:w="0" w:type="dxa"/>
                    <w:left w:w="51" w:type="dxa"/>
                    <w:bottom w:w="0" w:type="dxa"/>
                    <w:right w:w="51" w:type="dxa"/>
                  </w:tcMar>
                  <w:vAlign w:val="center"/>
                </w:tcPr>
                <w:p w14:paraId="50650A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A45</w:t>
                  </w:r>
                </w:p>
              </w:tc>
              <w:tc>
                <w:tcPr>
                  <w:tcW w:w="920" w:type="pct"/>
                  <w:shd w:val="clear" w:color="auto" w:fill="auto"/>
                  <w:noWrap/>
                  <w:tcMar>
                    <w:top w:w="0" w:type="dxa"/>
                    <w:left w:w="51" w:type="dxa"/>
                    <w:bottom w:w="0" w:type="dxa"/>
                    <w:right w:w="51" w:type="dxa"/>
                  </w:tcMar>
                  <w:vAlign w:val="center"/>
                </w:tcPr>
                <w:p w14:paraId="3F17E4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4650080.930</w:t>
                  </w:r>
                </w:p>
              </w:tc>
              <w:tc>
                <w:tcPr>
                  <w:tcW w:w="939" w:type="pct"/>
                  <w:shd w:val="clear" w:color="auto" w:fill="auto"/>
                  <w:noWrap/>
                  <w:tcMar>
                    <w:top w:w="0" w:type="dxa"/>
                    <w:left w:w="51" w:type="dxa"/>
                    <w:bottom w:w="0" w:type="dxa"/>
                    <w:right w:w="51" w:type="dxa"/>
                  </w:tcMar>
                  <w:vAlign w:val="center"/>
                </w:tcPr>
                <w:p w14:paraId="70F7DD6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39583897.822</w:t>
                  </w:r>
                </w:p>
              </w:tc>
              <w:tc>
                <w:tcPr>
                  <w:tcW w:w="675" w:type="pct"/>
                  <w:shd w:val="clear" w:color="auto" w:fill="auto"/>
                  <w:noWrap/>
                  <w:tcMar>
                    <w:top w:w="0" w:type="dxa"/>
                    <w:left w:w="51" w:type="dxa"/>
                    <w:bottom w:w="0" w:type="dxa"/>
                    <w:right w:w="51" w:type="dxa"/>
                  </w:tcMar>
                  <w:vAlign w:val="center"/>
                </w:tcPr>
                <w:p w14:paraId="7DAD1C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A90</w:t>
                  </w:r>
                </w:p>
              </w:tc>
              <w:tc>
                <w:tcPr>
                  <w:tcW w:w="841" w:type="pct"/>
                  <w:shd w:val="clear" w:color="auto" w:fill="auto"/>
                  <w:noWrap/>
                  <w:tcMar>
                    <w:top w:w="0" w:type="dxa"/>
                    <w:left w:w="51" w:type="dxa"/>
                    <w:bottom w:w="0" w:type="dxa"/>
                    <w:right w:w="51" w:type="dxa"/>
                  </w:tcMar>
                  <w:vAlign w:val="center"/>
                </w:tcPr>
                <w:p w14:paraId="17C31FD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4661071.198</w:t>
                  </w:r>
                </w:p>
              </w:tc>
              <w:tc>
                <w:tcPr>
                  <w:tcW w:w="949" w:type="pct"/>
                  <w:shd w:val="clear" w:color="auto" w:fill="auto"/>
                  <w:noWrap/>
                  <w:tcMar>
                    <w:top w:w="0" w:type="dxa"/>
                    <w:left w:w="51" w:type="dxa"/>
                    <w:bottom w:w="0" w:type="dxa"/>
                    <w:right w:w="51" w:type="dxa"/>
                  </w:tcMar>
                  <w:vAlign w:val="center"/>
                </w:tcPr>
                <w:p w14:paraId="3CF05E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39578463.093</w:t>
                  </w:r>
                </w:p>
              </w:tc>
            </w:tr>
            <w:tr w14:paraId="7307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shd w:val="clear" w:color="auto" w:fill="auto"/>
                  <w:noWrap/>
                  <w:tcMar>
                    <w:top w:w="0" w:type="dxa"/>
                    <w:left w:w="51" w:type="dxa"/>
                    <w:bottom w:w="0" w:type="dxa"/>
                    <w:right w:w="51" w:type="dxa"/>
                  </w:tcMar>
                  <w:vAlign w:val="center"/>
                </w:tcPr>
                <w:p w14:paraId="654040D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注：</w:t>
                  </w:r>
                  <w:r>
                    <w:rPr>
                      <w:rFonts w:hint="eastAsia" w:cs="Times New Roman"/>
                      <w:color w:val="000000" w:themeColor="text1"/>
                      <w:kern w:val="0"/>
                      <w:sz w:val="21"/>
                      <w:szCs w:val="21"/>
                      <w:highlight w:val="none"/>
                      <w:lang w:val="en-US" w:eastAsia="zh-CN"/>
                      <w14:textFill>
                        <w14:solidFill>
                          <w14:schemeClr w14:val="tx1"/>
                        </w14:solidFill>
                      </w14:textFill>
                    </w:rPr>
                    <w:t>1.塔基坐标为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国家2000坐标系，3度分带</w:t>
                  </w:r>
                </w:p>
                <w:p w14:paraId="73228E9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2.项目塔基编号无A56、A66号。</w:t>
                  </w:r>
                </w:p>
              </w:tc>
            </w:tr>
          </w:tbl>
          <w:p w14:paraId="3AFF43CE">
            <w:pPr>
              <w:widowControl/>
              <w:spacing w:line="440" w:lineRule="exact"/>
              <w:jc w:val="both"/>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tc>
      </w:tr>
      <w:tr w14:paraId="12990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67" w:type="pct"/>
            <w:noWrap w:val="0"/>
            <w:vAlign w:val="center"/>
          </w:tcPr>
          <w:p w14:paraId="2EC592A1">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项目组成及规模</w:t>
            </w:r>
          </w:p>
        </w:tc>
        <w:tc>
          <w:tcPr>
            <w:tcW w:w="4732" w:type="pct"/>
            <w:noWrap w:val="0"/>
            <w:vAlign w:val="center"/>
          </w:tcPr>
          <w:p w14:paraId="646FEBF5">
            <w:pPr>
              <w:widowControl/>
              <w:numPr>
                <w:ilvl w:val="0"/>
                <w:numId w:val="0"/>
              </w:numPr>
              <w:spacing w:line="440" w:lineRule="exact"/>
              <w:ind w:firstLine="482" w:firstLineChars="200"/>
              <w:jc w:val="left"/>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kern w:val="0"/>
                <w:sz w:val="24"/>
                <w:highlight w:val="none"/>
                <w14:textFill>
                  <w14:solidFill>
                    <w14:schemeClr w14:val="tx1"/>
                  </w14:solidFill>
                </w14:textFill>
              </w:rPr>
              <w:t>、</w:t>
            </w:r>
            <w:r>
              <w:rPr>
                <w:rFonts w:hint="eastAsia" w:cs="Times New Roman"/>
                <w:b/>
                <w:bCs/>
                <w:color w:val="000000" w:themeColor="text1"/>
                <w:kern w:val="0"/>
                <w:sz w:val="24"/>
                <w:highlight w:val="none"/>
                <w:lang w:val="en-US" w:eastAsia="zh-CN"/>
                <w14:textFill>
                  <w14:solidFill>
                    <w14:schemeClr w14:val="tx1"/>
                  </w14:solidFill>
                </w14:textFill>
              </w:rPr>
              <w:t>项目由来</w:t>
            </w:r>
          </w:p>
          <w:p w14:paraId="62444F7F">
            <w:pPr>
              <w:widowControl/>
              <w:numPr>
                <w:ilvl w:val="0"/>
                <w:numId w:val="0"/>
              </w:numPr>
              <w:spacing w:line="440" w:lineRule="exact"/>
              <w:ind w:firstLine="480" w:firstLineChars="200"/>
              <w:jc w:val="left"/>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近年来，我国以风电、光伏发电为代表的新能源发展成效显著，“十四五”规划提出全面推进风电和太阳能发电大规模开发和高质量发展，因地制宜发展其他可再生能源。</w:t>
            </w:r>
          </w:p>
          <w:p w14:paraId="51B6E0BB">
            <w:pPr>
              <w:widowControl/>
              <w:numPr>
                <w:ilvl w:val="0"/>
                <w:numId w:val="0"/>
              </w:numPr>
              <w:spacing w:line="440" w:lineRule="exact"/>
              <w:ind w:firstLine="480" w:firstLineChars="200"/>
              <w:jc w:val="left"/>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承德地区风能资源丰富，适宜建设风力发电场，</w:t>
            </w:r>
            <w:r>
              <w:rPr>
                <w:rFonts w:hint="eastAsia" w:cs="Times New Roman"/>
                <w:color w:val="000000" w:themeColor="text1"/>
                <w:sz w:val="24"/>
                <w:highlight w:val="none"/>
                <w:lang w:val="en-US" w:eastAsia="zh-CN"/>
                <w14:textFill>
                  <w14:solidFill>
                    <w14:schemeClr w14:val="tx1"/>
                  </w14:solidFill>
                </w14:textFill>
              </w:rPr>
              <w:t>围场满族蒙古族自治县百世能光伏发电有限公司</w:t>
            </w:r>
            <w:r>
              <w:rPr>
                <w:rFonts w:hint="eastAsia" w:cs="Times New Roman"/>
                <w:b w:val="0"/>
                <w:bCs w:val="0"/>
                <w:color w:val="000000" w:themeColor="text1"/>
                <w:kern w:val="0"/>
                <w:sz w:val="24"/>
                <w:highlight w:val="none"/>
                <w:lang w:val="en-US" w:eastAsia="zh-CN"/>
                <w14:textFill>
                  <w14:solidFill>
                    <w14:schemeClr w14:val="tx1"/>
                  </w14:solidFill>
                </w14:textFill>
              </w:rPr>
              <w:t>投资建设《</w:t>
            </w:r>
            <w:r>
              <w:rPr>
                <w:rFonts w:hint="eastAsia" w:cs="Times New Roman"/>
                <w:color w:val="000000" w:themeColor="text1"/>
                <w:sz w:val="24"/>
                <w:highlight w:val="none"/>
                <w:lang w:val="en-US" w:eastAsia="zh-CN"/>
                <w14:textFill>
                  <w14:solidFill>
                    <w14:schemeClr w14:val="tx1"/>
                  </w14:solidFill>
                </w14:textFill>
              </w:rPr>
              <w:t>围场县200MW风电储新能源项目</w:t>
            </w:r>
            <w:r>
              <w:rPr>
                <w:rFonts w:hint="eastAsia" w:cs="Times New Roman"/>
                <w:b w:val="0"/>
                <w:bCs w:val="0"/>
                <w:color w:val="000000" w:themeColor="text1"/>
                <w:kern w:val="0"/>
                <w:sz w:val="24"/>
                <w:highlight w:val="none"/>
                <w:lang w:val="en-US" w:eastAsia="zh-CN"/>
                <w14:textFill>
                  <w14:solidFill>
                    <w14:schemeClr w14:val="tx1"/>
                  </w14:solidFill>
                </w14:textFill>
              </w:rPr>
              <w:t>》，该项目于2023年8月10日取得承德市生态环境局围场满族蒙古族自治县分局的批复（围环</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评</w:t>
            </w:r>
            <w:r>
              <w:rPr>
                <w:rFonts w:hint="eastAsia" w:cs="Times New Roman"/>
                <w:b w:val="0"/>
                <w:bCs w:val="0"/>
                <w:color w:val="000000" w:themeColor="text1"/>
                <w:kern w:val="0"/>
                <w:sz w:val="24"/>
                <w:highlight w:val="none"/>
                <w:lang w:val="en-US" w:eastAsia="zh-CN"/>
                <w14:textFill>
                  <w14:solidFill>
                    <w14:schemeClr w14:val="tx1"/>
                  </w14:solidFill>
                </w14:textFill>
              </w:rPr>
              <w:t>〔2023〕</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w:t>
            </w:r>
            <w:r>
              <w:rPr>
                <w:rFonts w:hint="eastAsia" w:cs="Times New Roman"/>
                <w:b w:val="0"/>
                <w:bCs w:val="0"/>
                <w:color w:val="000000" w:themeColor="text1"/>
                <w:kern w:val="0"/>
                <w:sz w:val="24"/>
                <w:highlight w:val="none"/>
                <w:lang w:val="en-US" w:eastAsia="zh-CN"/>
                <w14:textFill>
                  <w14:solidFill>
                    <w14:schemeClr w14:val="tx1"/>
                  </w14:solidFill>
                </w14:textFill>
              </w:rPr>
              <w:t>5号）。项目的建设可以优化电源结构，减少化石能源消耗，对于开发利用可再生资源，贯彻国家能源发展战略，推动当地经济和社会发展，实现我国能源的可持续发展具有重要意义。</w:t>
            </w:r>
          </w:p>
          <w:p w14:paraId="77AC9A2C">
            <w:pPr>
              <w:widowControl/>
              <w:numPr>
                <w:ilvl w:val="0"/>
                <w:numId w:val="0"/>
              </w:numPr>
              <w:spacing w:line="440" w:lineRule="exact"/>
              <w:ind w:firstLine="480" w:firstLineChars="200"/>
              <w:jc w:val="left"/>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围场县200MW风电储新能源项目</w:t>
            </w:r>
            <w:r>
              <w:rPr>
                <w:rFonts w:hint="eastAsia" w:cs="Times New Roman"/>
                <w:color w:val="000000" w:themeColor="text1"/>
                <w:sz w:val="24"/>
                <w:szCs w:val="24"/>
                <w:highlight w:val="none"/>
                <w:lang w:val="en-US" w:eastAsia="zh-CN"/>
                <w14:textFill>
                  <w14:solidFill>
                    <w14:schemeClr w14:val="tx1"/>
                  </w14:solidFill>
                </w14:textFill>
              </w:rPr>
              <w:t>配套送出线路工程</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本次环评是在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202</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年</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月1</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日</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号</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基础上</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的110kV</w:t>
            </w:r>
            <w:r>
              <w:rPr>
                <w:rFonts w:hint="eastAsia" w:cs="Times New Roman" w:eastAsiaTheme="minorEastAsia"/>
                <w:color w:val="000000" w:themeColor="text1"/>
                <w:sz w:val="24"/>
                <w:highlight w:val="none"/>
                <w:lang w:val="en-US" w:eastAsia="zh-CN"/>
                <w14:textFill>
                  <w14:solidFill>
                    <w14:schemeClr w14:val="tx1"/>
                  </w14:solidFill>
                </w14:textFill>
              </w:rPr>
              <w:t>送出线路</w:t>
            </w:r>
            <w:r>
              <w:rPr>
                <w:rFonts w:hint="default" w:ascii="Times New Roman" w:hAnsi="Times New Roman" w:cs="Times New Roman" w:eastAsiaTheme="minorEastAsia"/>
                <w:color w:val="000000" w:themeColor="text1"/>
                <w:sz w:val="24"/>
                <w:highlight w:val="none"/>
                <w14:textFill>
                  <w14:solidFill>
                    <w14:schemeClr w14:val="tx1"/>
                  </w14:solidFill>
                </w14:textFill>
              </w:rPr>
              <w:t>辐射环评</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p>
          <w:p w14:paraId="7A6976B2">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目前本项目110kV输电线路铁塔部分已建设，架空线路部分已敷设，但处于建设阶段，无污染物产生，且主动停止建设，违法行为轻微，未造成危害后果。根据承德市生态环境局于2025年3月18日出具的《承德市生态环境局不予行政处罚决定书》（承围环不罚决〔2025〕3号），决定对围场满族蒙古族自治县百世能光伏发电有限公司不予行政处罚。</w:t>
            </w:r>
          </w:p>
          <w:p w14:paraId="07625B22">
            <w:pPr>
              <w:widowControl/>
              <w:numPr>
                <w:ilvl w:val="0"/>
                <w:numId w:val="0"/>
              </w:numPr>
              <w:spacing w:line="440" w:lineRule="exact"/>
              <w:ind w:firstLine="480" w:firstLineChars="200"/>
              <w:jc w:val="left"/>
              <w:rPr>
                <w:rFonts w:ascii="Times New Roman" w:hAnsi="Times New Roman" w:cs="Times New Roman" w:eastAsiaTheme="minorEastAsia"/>
                <w:bCs/>
                <w:color w:val="000000" w:themeColor="text1"/>
                <w:sz w:val="24"/>
                <w:szCs w:val="24"/>
                <w:highlight w:val="none"/>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项目输电线路电压等级为110kV，</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根据《中华人民共和国环境保护法》及《建设项目环境影响评价分类管理名录（2021年版）》的有关规定，本项目属于</w:t>
            </w:r>
            <w:r>
              <w:rPr>
                <w:rFonts w:hint="eastAsia"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五十五、核与辐射 161 输变电工程其他（100千伏以下除外）</w:t>
            </w:r>
            <w:r>
              <w:rPr>
                <w:rFonts w:hint="eastAsia"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，应编制环境影响报告表。为此，</w:t>
            </w:r>
            <w:r>
              <w:rPr>
                <w:rFonts w:hint="eastAsia" w:cs="Times New Roman"/>
                <w:b w:val="0"/>
                <w:bCs w:val="0"/>
                <w:color w:val="000000" w:themeColor="text1"/>
                <w:kern w:val="0"/>
                <w:sz w:val="24"/>
                <w:highlight w:val="none"/>
                <w:lang w:val="en-US" w:eastAsia="zh-CN"/>
                <w14:textFill>
                  <w14:solidFill>
                    <w14:schemeClr w14:val="tx1"/>
                  </w14:solidFill>
                </w14:textFill>
              </w:rPr>
              <w:t>我公司</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接受</w:t>
            </w:r>
            <w:r>
              <w:rPr>
                <w:rFonts w:hint="eastAsia" w:cs="Times New Roman"/>
                <w:color w:val="000000" w:themeColor="text1"/>
                <w:sz w:val="24"/>
                <w:highlight w:val="none"/>
                <w:lang w:val="en-US" w:eastAsia="zh-CN"/>
                <w14:textFill>
                  <w14:solidFill>
                    <w14:schemeClr w14:val="tx1"/>
                  </w14:solidFill>
                </w14:textFill>
              </w:rPr>
              <w:t>围场满族蒙古族自治县百世能光伏发电有限公司</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委托</w:t>
            </w:r>
            <w:r>
              <w:rPr>
                <w:rFonts w:hint="eastAsia" w:cs="Times New Roman"/>
                <w:b w:val="0"/>
                <w:bCs w:val="0"/>
                <w:color w:val="000000" w:themeColor="text1"/>
                <w:kern w:val="0"/>
                <w:sz w:val="24"/>
                <w:highlight w:val="none"/>
                <w:lang w:val="en-US" w:eastAsia="zh-CN"/>
                <w14:textFill>
                  <w14:solidFill>
                    <w14:schemeClr w14:val="tx1"/>
                  </w14:solidFill>
                </w14:textFill>
              </w:rPr>
              <w:t>，</w:t>
            </w:r>
            <w:r>
              <w:rPr>
                <w:rFonts w:ascii="Times New Roman" w:hAnsi="Times New Roman" w:cs="Times New Roman" w:eastAsiaTheme="minorEastAsia"/>
                <w:bCs/>
                <w:color w:val="000000" w:themeColor="text1"/>
                <w:sz w:val="24"/>
                <w:szCs w:val="24"/>
                <w:highlight w:val="none"/>
                <w14:textFill>
                  <w14:solidFill>
                    <w14:schemeClr w14:val="tx1"/>
                  </w14:solidFill>
                </w14:textFill>
              </w:rPr>
              <w:t>承担本项目的环境影响评价工作，并进行了实地踏勘和调查，收集了自然环境及有关工程资料，在此基础上编制了</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w:t>
            </w:r>
            <w:r>
              <w:rPr>
                <w:rFonts w:hint="eastAsia" w:cs="Times New Roman"/>
                <w:b w:val="0"/>
                <w:bCs w:val="0"/>
                <w:color w:val="000000" w:themeColor="text1"/>
                <w:kern w:val="0"/>
                <w:sz w:val="24"/>
                <w:highlight w:val="none"/>
                <w:lang w:val="en-US" w:eastAsia="zh-CN"/>
                <w14:textFill>
                  <w14:solidFill>
                    <w14:schemeClr w14:val="tx1"/>
                  </w14:solidFill>
                </w14:textFill>
              </w:rPr>
              <w:t>围场县200MW风电储新能源项目送出线路工程项目</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环境影响报告表》</w:t>
            </w:r>
            <w:r>
              <w:rPr>
                <w:rFonts w:ascii="Times New Roman" w:hAnsi="Times New Roman" w:cs="Times New Roman" w:eastAsiaTheme="minorEastAsia"/>
                <w:bCs/>
                <w:color w:val="000000" w:themeColor="text1"/>
                <w:sz w:val="24"/>
                <w:szCs w:val="24"/>
                <w:highlight w:val="none"/>
                <w14:textFill>
                  <w14:solidFill>
                    <w14:schemeClr w14:val="tx1"/>
                  </w14:solidFill>
                </w14:textFill>
              </w:rPr>
              <w:t>。</w:t>
            </w:r>
          </w:p>
          <w:p w14:paraId="482D4DD4">
            <w:pPr>
              <w:widowControl/>
              <w:numPr>
                <w:ilvl w:val="0"/>
                <w:numId w:val="0"/>
              </w:numPr>
              <w:spacing w:line="440" w:lineRule="exact"/>
              <w:ind w:firstLine="482" w:firstLineChars="200"/>
              <w:jc w:val="left"/>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2、项目立项情况和接入系统方案</w:t>
            </w:r>
          </w:p>
          <w:p w14:paraId="3D57865E">
            <w:pPr>
              <w:widowControl/>
              <w:numPr>
                <w:ilvl w:val="0"/>
                <w:numId w:val="0"/>
              </w:numPr>
              <w:spacing w:line="440" w:lineRule="exact"/>
              <w:ind w:firstLine="482" w:firstLineChars="200"/>
              <w:jc w:val="left"/>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（1）项目立项情况</w:t>
            </w:r>
          </w:p>
          <w:p w14:paraId="68AF6F14">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本项目于2024年6月26日取得承德市数据和政务服务局出具的《关于围场县200MW风电储新能源项目送出线路工程项目核准的批复》（承数政核字〔2024〕20号）。</w:t>
            </w:r>
          </w:p>
          <w:p w14:paraId="43B1CA82">
            <w:pPr>
              <w:widowControl/>
              <w:numPr>
                <w:ilvl w:val="0"/>
                <w:numId w:val="0"/>
              </w:numPr>
              <w:spacing w:line="440" w:lineRule="exact"/>
              <w:ind w:firstLine="482" w:firstLineChars="200"/>
              <w:jc w:val="left"/>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（2）接入系统方案</w:t>
            </w:r>
          </w:p>
          <w:p w14:paraId="008BF5C3">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围场县200MW风电储新能源项目于2023年9月21日取得国网冀北电力有限公司经济技术研究院出具的接入系统设计的评审意见（冀北经研〔2023〕373号）（见附件）。</w:t>
            </w:r>
          </w:p>
          <w:p w14:paraId="29D62BF1">
            <w:pPr>
              <w:widowControl/>
              <w:numPr>
                <w:ilvl w:val="0"/>
                <w:numId w:val="0"/>
              </w:numPr>
              <w:spacing w:line="440" w:lineRule="exact"/>
              <w:ind w:firstLine="480" w:firstLineChars="200"/>
              <w:jc w:val="left"/>
              <w:rPr>
                <w:rFonts w:hint="default"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1）接入系统方案：新建2座升压站，分别为百世一110kV升压站、百世二220kV升压站。其中百世一110kV升压站新建1台100MVA主变，电压等级110/35kV；百世二220kV升压站新建1台200MVA主变，电压等级220/110/35kV。百世一110kV升压站通过110kV线路接入百世二220kV升压站，百世二220kV升压站汇集200MW风电通过百世二220kV升压站~中车220kV升压站~德佑220kV~牌楼500kV变电站的线路并网运行。本工程新建的百世一110kV升压站~百世二220kV升压站110kV线路长度约30千米，导线型号不低于JL/G1A-300；百世二220kV升压站~中车220kV升压站220kV线路长度约0.2千米，导线型号不低于JL/G1A-240。</w:t>
            </w:r>
          </w:p>
          <w:p w14:paraId="23CE29CE">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2）送出工程：百世一110kV升压站~百世二220kV升压站110kV线路、百世二220kV升压站~中车220kV升压站220kV线路长度属于场内汇集线路，由项目投资单位建设。</w:t>
            </w:r>
          </w:p>
          <w:p w14:paraId="66EB59D0">
            <w:pPr>
              <w:widowControl/>
              <w:numPr>
                <w:ilvl w:val="0"/>
                <w:numId w:val="0"/>
              </w:numPr>
              <w:spacing w:line="440" w:lineRule="exact"/>
              <w:ind w:firstLine="482" w:firstLineChars="200"/>
              <w:jc w:val="left"/>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本次评价为百世一110kV升压站~百世二220kV升压站110kV线路环境影响评价。</w:t>
            </w:r>
          </w:p>
          <w:p w14:paraId="52AA9B4F">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接入系统示意图见下图。</w:t>
            </w:r>
          </w:p>
          <w:p w14:paraId="1DD6F309">
            <w:pPr>
              <w:widowControl/>
              <w:numPr>
                <w:ilvl w:val="0"/>
                <w:numId w:val="0"/>
              </w:numPr>
              <w:spacing w:line="240" w:lineRule="auto"/>
              <w:jc w:val="center"/>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drawing>
                <wp:inline distT="0" distB="0" distL="114300" distR="114300">
                  <wp:extent cx="4926330" cy="2686050"/>
                  <wp:effectExtent l="0" t="0" r="7620" b="0"/>
                  <wp:docPr id="1" name="图片 1" descr="173623543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6235431544"/>
                          <pic:cNvPicPr>
                            <a:picLocks noChangeAspect="1"/>
                          </pic:cNvPicPr>
                        </pic:nvPicPr>
                        <pic:blipFill>
                          <a:blip r:embed="rId13"/>
                          <a:stretch>
                            <a:fillRect/>
                          </a:stretch>
                        </pic:blipFill>
                        <pic:spPr>
                          <a:xfrm>
                            <a:off x="0" y="0"/>
                            <a:ext cx="4926330" cy="2686050"/>
                          </a:xfrm>
                          <a:prstGeom prst="rect">
                            <a:avLst/>
                          </a:prstGeom>
                        </pic:spPr>
                      </pic:pic>
                    </a:graphicData>
                  </a:graphic>
                </wp:inline>
              </w:drawing>
            </w:r>
          </w:p>
          <w:p w14:paraId="52957D96">
            <w:pPr>
              <w:widowControl/>
              <w:numPr>
                <w:ilvl w:val="0"/>
                <w:numId w:val="0"/>
              </w:numPr>
              <w:spacing w:line="440" w:lineRule="exact"/>
              <w:jc w:val="center"/>
              <w:rPr>
                <w:rFonts w:hint="default" w:cs="Times New Roman"/>
                <w:b/>
                <w:bCs/>
                <w:color w:val="000000" w:themeColor="text1"/>
                <w:kern w:val="0"/>
                <w:sz w:val="21"/>
                <w:szCs w:val="21"/>
                <w:highlight w:val="none"/>
                <w:lang w:val="en-US" w:eastAsia="zh-CN"/>
                <w14:textFill>
                  <w14:solidFill>
                    <w14:schemeClr w14:val="tx1"/>
                  </w14:solidFill>
                </w14:textFill>
              </w:rPr>
            </w:pPr>
            <w:r>
              <w:rPr>
                <w:rFonts w:hint="eastAsia" w:cs="Times New Roman"/>
                <w:b/>
                <w:bCs/>
                <w:color w:val="000000" w:themeColor="text1"/>
                <w:kern w:val="0"/>
                <w:sz w:val="21"/>
                <w:szCs w:val="21"/>
                <w:highlight w:val="none"/>
                <w:lang w:val="en-US" w:eastAsia="zh-CN"/>
                <w14:textFill>
                  <w14:solidFill>
                    <w14:schemeClr w14:val="tx1"/>
                  </w14:solidFill>
                </w14:textFill>
              </w:rPr>
              <w:t>图2-1  项目接入系统示意图</w:t>
            </w:r>
          </w:p>
          <w:p w14:paraId="112B0712">
            <w:pPr>
              <w:widowControl/>
              <w:numPr>
                <w:ilvl w:val="0"/>
                <w:numId w:val="0"/>
              </w:numPr>
              <w:spacing w:line="440" w:lineRule="exact"/>
              <w:ind w:firstLine="482" w:firstLineChars="200"/>
              <w:jc w:val="left"/>
              <w:rPr>
                <w:rFonts w:hint="default"/>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3、与“</w:t>
            </w:r>
            <w:r>
              <w:rPr>
                <w:rFonts w:hint="eastAsia"/>
                <w:b/>
                <w:bCs/>
                <w:color w:val="000000" w:themeColor="text1"/>
                <w:sz w:val="24"/>
                <w:highlight w:val="none"/>
                <w:lang w:val="en-US" w:eastAsia="zh-CN"/>
                <w14:textFill>
                  <w14:solidFill>
                    <w14:schemeClr w14:val="tx1"/>
                  </w14:solidFill>
                </w14:textFill>
              </w:rPr>
              <w:t>围场县200MW风电储新能源项目</w:t>
            </w:r>
            <w:r>
              <w:rPr>
                <w:rFonts w:hint="eastAsia" w:cs="Times New Roman"/>
                <w:b/>
                <w:bCs/>
                <w:color w:val="000000" w:themeColor="text1"/>
                <w:kern w:val="0"/>
                <w:sz w:val="24"/>
                <w:szCs w:val="24"/>
                <w:highlight w:val="none"/>
                <w:lang w:val="en-US" w:eastAsia="zh-CN"/>
                <w14:textFill>
                  <w14:solidFill>
                    <w14:schemeClr w14:val="tx1"/>
                  </w14:solidFill>
                </w14:textFill>
              </w:rPr>
              <w:t>”衔接情况</w:t>
            </w:r>
          </w:p>
          <w:p w14:paraId="1FAA76D9">
            <w:pPr>
              <w:widowControl/>
              <w:numPr>
                <w:ilvl w:val="0"/>
                <w:numId w:val="0"/>
              </w:numPr>
              <w:spacing w:line="440" w:lineRule="exact"/>
              <w:ind w:firstLine="480" w:firstLineChars="200"/>
              <w:jc w:val="left"/>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本项目为</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cs="Times New Roman"/>
                <w:color w:val="000000" w:themeColor="text1"/>
                <w:sz w:val="24"/>
                <w:szCs w:val="24"/>
                <w:highlight w:val="none"/>
                <w:lang w:val="en-US" w:eastAsia="zh-CN"/>
                <w14:textFill>
                  <w14:solidFill>
                    <w14:schemeClr w14:val="tx1"/>
                  </w14:solidFill>
                </w14:textFill>
              </w:rPr>
              <w:t>配套送出线路工程</w:t>
            </w:r>
            <w:r>
              <w:rPr>
                <w:rFonts w:hint="default" w:ascii="Times New Roman" w:hAnsi="Times New Roman" w:cs="Times New Roman" w:eastAsiaTheme="minorEastAsia"/>
                <w:color w:val="000000" w:themeColor="text1"/>
                <w:sz w:val="24"/>
                <w:highlight w:val="none"/>
                <w14:textFill>
                  <w14:solidFill>
                    <w14:schemeClr w14:val="tx1"/>
                  </w14:solidFill>
                </w14:textFill>
              </w:rPr>
              <w:t>，本次环评是在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202</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年</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月1</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日</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highlight w:val="none"/>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号</w:t>
            </w:r>
            <w:r>
              <w:rPr>
                <w:rFonts w:hint="eastAsia"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基础上</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的</w:t>
            </w:r>
            <w:r>
              <w:rPr>
                <w:rFonts w:hint="eastAsia" w:cs="Times New Roman" w:eastAsiaTheme="minorEastAsia"/>
                <w:color w:val="000000" w:themeColor="text1"/>
                <w:sz w:val="24"/>
                <w:highlight w:val="none"/>
                <w:lang w:val="en-US" w:eastAsia="zh-CN"/>
                <w14:textFill>
                  <w14:solidFill>
                    <w14:schemeClr w14:val="tx1"/>
                  </w14:solidFill>
                </w14:textFill>
              </w:rPr>
              <w:t>送出线路</w:t>
            </w:r>
            <w:r>
              <w:rPr>
                <w:rFonts w:hint="default" w:ascii="Times New Roman" w:hAnsi="Times New Roman" w:cs="Times New Roman" w:eastAsiaTheme="minorEastAsia"/>
                <w:color w:val="000000" w:themeColor="text1"/>
                <w:sz w:val="24"/>
                <w:highlight w:val="none"/>
                <w14:textFill>
                  <w14:solidFill>
                    <w14:schemeClr w14:val="tx1"/>
                  </w14:solidFill>
                </w14:textFill>
              </w:rPr>
              <w:t>环评</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p>
          <w:p w14:paraId="475C6859">
            <w:pPr>
              <w:widowControl/>
              <w:numPr>
                <w:ilvl w:val="0"/>
                <w:numId w:val="0"/>
              </w:numPr>
              <w:spacing w:line="440" w:lineRule="exact"/>
              <w:ind w:firstLine="480" w:firstLineChars="20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围场县200MW风电储新能源</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升压站工程（</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110kV和</w:t>
            </w:r>
            <w:r>
              <w:rPr>
                <w:rFonts w:ascii="Times New Roman" w:hAnsi="Times New Roman" w:eastAsia="宋体" w:cs="Times New Roman"/>
                <w:bCs/>
                <w:color w:val="000000" w:themeColor="text1"/>
                <w:sz w:val="24"/>
                <w:szCs w:val="24"/>
                <w:highlight w:val="none"/>
                <w14:textFill>
                  <w14:solidFill>
                    <w14:schemeClr w14:val="tx1"/>
                  </w14:solidFill>
                </w14:textFill>
              </w:rPr>
              <w:t>220kV升压站</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ascii="Times New Roman" w:hAnsi="Times New Roman" w:eastAsia="宋体" w:cs="Times New Roman"/>
                <w:bCs/>
                <w:color w:val="000000" w:themeColor="text1"/>
                <w:sz w:val="24"/>
                <w:szCs w:val="24"/>
                <w:highlight w:val="none"/>
                <w14:textFill>
                  <w14:solidFill>
                    <w14:schemeClr w14:val="tx1"/>
                  </w14:solidFill>
                </w14:textFill>
              </w:rPr>
              <w:t>的电磁辐射</w:t>
            </w:r>
            <w:r>
              <w:rPr>
                <w:rFonts w:hint="eastAsia" w:cs="Times New Roman"/>
                <w:bCs/>
                <w:color w:val="000000" w:themeColor="text1"/>
                <w:sz w:val="24"/>
                <w:szCs w:val="24"/>
                <w:highlight w:val="none"/>
                <w:lang w:val="en-US" w:eastAsia="zh-CN"/>
                <w14:textFill>
                  <w14:solidFill>
                    <w14:schemeClr w14:val="tx1"/>
                  </w14:solidFill>
                </w14:textFill>
              </w:rPr>
              <w:t>环境影响评价已</w:t>
            </w:r>
            <w:r>
              <w:rPr>
                <w:rFonts w:ascii="Times New Roman" w:hAnsi="Times New Roman" w:eastAsia="宋体" w:cs="Times New Roman"/>
                <w:bCs/>
                <w:color w:val="000000" w:themeColor="text1"/>
                <w:sz w:val="24"/>
                <w:szCs w:val="24"/>
                <w:highlight w:val="none"/>
                <w14:textFill>
                  <w14:solidFill>
                    <w14:schemeClr w14:val="tx1"/>
                  </w14:solidFill>
                </w14:textFill>
              </w:rPr>
              <w:t>另行委托</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并于2024年5月22日取得承德市数据和政务服务局出具的关于《围场县200MW风电储新能源项目升压站工程环境影响报告表》的批复（承数政字〔2024〕151号）（见附件）</w:t>
            </w:r>
            <w:r>
              <w:rPr>
                <w:rFonts w:ascii="Times New Roman" w:hAnsi="Times New Roman" w:eastAsia="宋体" w:cs="Times New Roman"/>
                <w:bCs/>
                <w:color w:val="000000" w:themeColor="text1"/>
                <w:sz w:val="24"/>
                <w:szCs w:val="24"/>
                <w:highlight w:val="none"/>
                <w14:textFill>
                  <w14:solidFill>
                    <w14:schemeClr w14:val="tx1"/>
                  </w14:solidFill>
                </w14:textFill>
              </w:rPr>
              <w:t>。</w:t>
            </w:r>
          </w:p>
          <w:p w14:paraId="5B84BB13">
            <w:pPr>
              <w:widowControl/>
              <w:numPr>
                <w:ilvl w:val="0"/>
                <w:numId w:val="0"/>
              </w:numPr>
              <w:spacing w:line="440" w:lineRule="exact"/>
              <w:ind w:firstLine="482" w:firstLineChars="200"/>
              <w:jc w:val="left"/>
              <w:rPr>
                <w:rFonts w:hint="eastAsia"/>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4、项目基本概况</w:t>
            </w:r>
          </w:p>
          <w:p w14:paraId="27F3503C">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目前本项目110kV输电线路铁塔部分已建设，架空线路部分已敷设，但处于建设阶段，无污染物产生，且主动停止建设，违法行为轻微，未造成危害后果。</w:t>
            </w:r>
          </w:p>
          <w:p w14:paraId="75B1775B">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本项目运营期不新增劳动定员，不新增固废和废水，不涉及废气，因此本报告表针对送出线路运营期产生的电磁、噪声影响进行重点环境影响分析。</w:t>
            </w:r>
          </w:p>
          <w:p w14:paraId="2E03E2A3">
            <w:pPr>
              <w:widowControl/>
              <w:numPr>
                <w:ilvl w:val="0"/>
                <w:numId w:val="0"/>
              </w:numPr>
              <w:spacing w:line="440" w:lineRule="exact"/>
              <w:ind w:firstLine="480" w:firstLineChars="200"/>
              <w:jc w:val="left"/>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（1）项目名称：</w:t>
            </w:r>
            <w:r>
              <w:rPr>
                <w:rFonts w:hint="eastAsia" w:cs="Times New Roman"/>
                <w:b w:val="0"/>
                <w:bCs w:val="0"/>
                <w:color w:val="000000" w:themeColor="text1"/>
                <w:sz w:val="24"/>
                <w:highlight w:val="none"/>
                <w:lang w:val="en-US" w:eastAsia="zh-CN"/>
                <w14:textFill>
                  <w14:solidFill>
                    <w14:schemeClr w14:val="tx1"/>
                  </w14:solidFill>
                </w14:textFill>
              </w:rPr>
              <w:t>围场县200MW风电储新能源项目送出线路工程项目</w:t>
            </w:r>
          </w:p>
          <w:p w14:paraId="605C6AA9">
            <w:pPr>
              <w:widowControl/>
              <w:numPr>
                <w:ilvl w:val="0"/>
                <w:numId w:val="0"/>
              </w:numPr>
              <w:spacing w:line="440" w:lineRule="exact"/>
              <w:ind w:firstLine="480" w:firstLineChars="200"/>
              <w:jc w:val="left"/>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（2）建设单位：围场满族蒙古族自治县百世能光伏发电有限公司</w:t>
            </w:r>
          </w:p>
          <w:p w14:paraId="79D413DF">
            <w:pPr>
              <w:widowControl/>
              <w:numPr>
                <w:ilvl w:val="0"/>
                <w:numId w:val="0"/>
              </w:numPr>
              <w:spacing w:line="440" w:lineRule="exact"/>
              <w:ind w:firstLine="480" w:firstLineChars="200"/>
              <w:jc w:val="left"/>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（3）建设性质：新建</w:t>
            </w:r>
          </w:p>
          <w:p w14:paraId="473D5337">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（4）建设地点：</w:t>
            </w:r>
            <w:r>
              <w:rPr>
                <w:rFonts w:hint="eastAsia"/>
                <w:b w:val="0"/>
                <w:bCs w:val="0"/>
                <w:color w:val="000000" w:themeColor="text1"/>
                <w:sz w:val="24"/>
                <w:highlight w:val="none"/>
                <w:lang w:val="en-US" w:eastAsia="zh-CN"/>
                <w14:textFill>
                  <w14:solidFill>
                    <w14:schemeClr w14:val="tx1"/>
                  </w14:solidFill>
                </w14:textFill>
              </w:rPr>
              <w:t>河北省承德市围场满族蒙古族自治县克勒沟镇、银窝沟乡、杨家湾乡、朝阳湾镇</w:t>
            </w:r>
            <w:r>
              <w:rPr>
                <w:rFonts w:hint="eastAsia" w:cs="Times New Roman"/>
                <w:b w:val="0"/>
                <w:bCs w:val="0"/>
                <w:color w:val="000000" w:themeColor="text1"/>
                <w:kern w:val="0"/>
                <w:sz w:val="24"/>
                <w:highlight w:val="none"/>
                <w:lang w:val="en-US" w:eastAsia="zh-CN"/>
                <w14:textFill>
                  <w14:solidFill>
                    <w14:schemeClr w14:val="tx1"/>
                  </w14:solidFill>
                </w14:textFill>
              </w:rPr>
              <w:t>。</w:t>
            </w:r>
          </w:p>
          <w:p w14:paraId="040A9248">
            <w:pPr>
              <w:widowControl/>
              <w:spacing w:line="440" w:lineRule="exact"/>
              <w:ind w:firstLine="480" w:firstLineChars="200"/>
              <w:jc w:val="left"/>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b w:val="0"/>
                <w:bCs w:val="0"/>
                <w:color w:val="000000" w:themeColor="text1"/>
                <w:kern w:val="0"/>
                <w:sz w:val="24"/>
                <w:highlight w:val="none"/>
                <w14:textFill>
                  <w14:solidFill>
                    <w14:schemeClr w14:val="tx1"/>
                  </w14:solidFill>
                </w14:textFill>
              </w:rPr>
              <w:t>建设内容及规模</w:t>
            </w:r>
            <w:r>
              <w:rPr>
                <w:rFonts w:hint="eastAsia" w:cs="Times New Roman"/>
                <w:b w:val="0"/>
                <w:bCs w:val="0"/>
                <w:color w:val="000000" w:themeColor="text1"/>
                <w:kern w:val="0"/>
                <w:sz w:val="24"/>
                <w:highlight w:val="none"/>
                <w:lang w:eastAsia="zh-CN"/>
                <w14:textFill>
                  <w14:solidFill>
                    <w14:schemeClr w14:val="tx1"/>
                  </w14:solidFill>
                </w14:textFill>
              </w:rPr>
              <w:t>：</w:t>
            </w:r>
          </w:p>
          <w:p w14:paraId="08FDF744">
            <w:pPr>
              <w:widowControl/>
              <w:spacing w:line="440" w:lineRule="exact"/>
              <w:ind w:firstLine="480" w:firstLineChars="200"/>
              <w:jc w:val="left"/>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工程新建110kV线路起于围场县200MW风电储新能源项目110kV升压站，止于围场县200MW风电储新能源项目220kV升压站。工程建设期间优化设计，由“单回架空线路28.9km，电缆线路0.2km”调整为“全线单回架空线路，长度约29.033km”，同时减少塔基数量，由“新建铁塔99基”调整为“新建角钢塔87基、钢管杆1基”，其中单回路耐张塔44基，单回路直线塔43基。导线采用JL/G1A-300/40钢芯铝绞线。</w:t>
            </w:r>
          </w:p>
          <w:p w14:paraId="7BB01CF7">
            <w:pPr>
              <w:pStyle w:val="4"/>
              <w:keepNext w:val="0"/>
              <w:keepLines w:val="0"/>
              <w:pageBreakBefore w:val="0"/>
              <w:widowControl/>
              <w:kinsoku/>
              <w:wordWrap/>
              <w:overflowPunct/>
              <w:topLinePunct w:val="0"/>
              <w:autoSpaceDE/>
              <w:autoSpaceDN/>
              <w:bidi w:val="0"/>
              <w:adjustRightInd/>
              <w:snapToGrid/>
              <w:spacing w:line="440" w:lineRule="exac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本项目建设内容一览表见表2-2。</w:t>
            </w:r>
          </w:p>
          <w:p w14:paraId="60AE0C9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表2-</w:t>
            </w:r>
            <w:r>
              <w:rPr>
                <w:rFonts w:hint="eastAsia" w:cs="Times New Roman"/>
                <w:b/>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 w:val="21"/>
                <w:szCs w:val="21"/>
                <w:highlight w:val="none"/>
                <w14:textFill>
                  <w14:solidFill>
                    <w14:schemeClr w14:val="tx1"/>
                  </w14:solidFill>
                </w14:textFill>
              </w:rPr>
              <w:t xml:space="preserve">  </w:t>
            </w:r>
            <w:r>
              <w:rPr>
                <w:rFonts w:hint="eastAsia" w:cs="Times New Roman"/>
                <w:b/>
                <w:bCs/>
                <w:color w:val="000000" w:themeColor="text1"/>
                <w:kern w:val="0"/>
                <w:sz w:val="21"/>
                <w:szCs w:val="21"/>
                <w:highlight w:val="none"/>
                <w:lang w:val="en-US" w:eastAsia="zh-CN"/>
                <w14:textFill>
                  <w14:solidFill>
                    <w14:schemeClr w14:val="tx1"/>
                  </w14:solidFill>
                </w14:textFill>
              </w:rPr>
              <w:t>项目建设内容</w:t>
            </w:r>
            <w:r>
              <w:rPr>
                <w:rFonts w:hint="default" w:ascii="Times New Roman" w:hAnsi="Times New Roman" w:cs="Times New Roman"/>
                <w:b/>
                <w:bCs/>
                <w:color w:val="000000" w:themeColor="text1"/>
                <w:kern w:val="0"/>
                <w:sz w:val="21"/>
                <w:szCs w:val="21"/>
                <w:highlight w:val="none"/>
                <w14:textFill>
                  <w14:solidFill>
                    <w14:schemeClr w14:val="tx1"/>
                  </w14:solidFill>
                </w14:textFill>
              </w:rPr>
              <w:t>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
              <w:gridCol w:w="786"/>
              <w:gridCol w:w="1016"/>
              <w:gridCol w:w="5790"/>
            </w:tblGrid>
            <w:tr w14:paraId="7A7C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5" w:type="pct"/>
                  <w:gridSpan w:val="3"/>
                  <w:tcMar>
                    <w:top w:w="0" w:type="dxa"/>
                    <w:left w:w="51" w:type="dxa"/>
                    <w:bottom w:w="0" w:type="dxa"/>
                    <w:right w:w="51" w:type="dxa"/>
                  </w:tcMar>
                  <w:vAlign w:val="center"/>
                </w:tcPr>
                <w:p w14:paraId="7FB1911A">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3694" w:type="pct"/>
                  <w:tcMar>
                    <w:top w:w="0" w:type="dxa"/>
                    <w:left w:w="51" w:type="dxa"/>
                    <w:bottom w:w="0" w:type="dxa"/>
                    <w:right w:w="51" w:type="dxa"/>
                  </w:tcMar>
                  <w:vAlign w:val="center"/>
                </w:tcPr>
                <w:p w14:paraId="5A188A41">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基本情况</w:t>
                  </w:r>
                </w:p>
              </w:tc>
            </w:tr>
            <w:tr w14:paraId="5D8E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restart"/>
                  <w:tcMar>
                    <w:top w:w="0" w:type="dxa"/>
                    <w:left w:w="17" w:type="dxa"/>
                    <w:bottom w:w="0" w:type="dxa"/>
                    <w:right w:w="17" w:type="dxa"/>
                  </w:tcMar>
                  <w:vAlign w:val="center"/>
                </w:tcPr>
                <w:p w14:paraId="2072CB54">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主体工程</w:t>
                  </w:r>
                </w:p>
              </w:tc>
              <w:tc>
                <w:tcPr>
                  <w:tcW w:w="501" w:type="pct"/>
                  <w:vMerge w:val="restart"/>
                  <w:tcMar>
                    <w:top w:w="0" w:type="dxa"/>
                    <w:left w:w="17" w:type="dxa"/>
                    <w:bottom w:w="0" w:type="dxa"/>
                    <w:right w:w="17" w:type="dxa"/>
                  </w:tcMar>
                  <w:vAlign w:val="center"/>
                </w:tcPr>
                <w:p w14:paraId="6EEF1C2C">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围场县200MW风电储新能源项目送出线路工程</w:t>
                  </w:r>
                </w:p>
              </w:tc>
              <w:tc>
                <w:tcPr>
                  <w:tcW w:w="649" w:type="pct"/>
                  <w:tcMar>
                    <w:top w:w="0" w:type="dxa"/>
                    <w:left w:w="51" w:type="dxa"/>
                    <w:bottom w:w="0" w:type="dxa"/>
                    <w:right w:w="51" w:type="dxa"/>
                  </w:tcMar>
                  <w:vAlign w:val="center"/>
                </w:tcPr>
                <w:p w14:paraId="6618A8D6">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起点</w:t>
                  </w:r>
                </w:p>
              </w:tc>
              <w:tc>
                <w:tcPr>
                  <w:tcW w:w="3694" w:type="pct"/>
                  <w:tcMar>
                    <w:top w:w="0" w:type="dxa"/>
                    <w:left w:w="51" w:type="dxa"/>
                    <w:bottom w:w="0" w:type="dxa"/>
                    <w:right w:w="51" w:type="dxa"/>
                  </w:tcMar>
                  <w:vAlign w:val="center"/>
                </w:tcPr>
                <w:p w14:paraId="5B120676">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围场县200MW风电储新能源项目110kV升压站</w:t>
                  </w:r>
                </w:p>
              </w:tc>
            </w:tr>
            <w:tr w14:paraId="1753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4A3D0A4F">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22C1589C">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6E711F54">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终点</w:t>
                  </w:r>
                </w:p>
              </w:tc>
              <w:tc>
                <w:tcPr>
                  <w:tcW w:w="3694" w:type="pct"/>
                  <w:tcMar>
                    <w:top w:w="0" w:type="dxa"/>
                    <w:left w:w="51" w:type="dxa"/>
                    <w:bottom w:w="0" w:type="dxa"/>
                    <w:right w:w="51" w:type="dxa"/>
                  </w:tcMar>
                  <w:vAlign w:val="center"/>
                </w:tcPr>
                <w:p w14:paraId="04CBBE60">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围场县200MW风电储新能源项目220kV升压站</w:t>
                  </w:r>
                </w:p>
              </w:tc>
            </w:tr>
            <w:tr w14:paraId="156F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67881BFD">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6BA6B5F7">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759FA4A3">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工程特点</w:t>
                  </w:r>
                </w:p>
              </w:tc>
              <w:tc>
                <w:tcPr>
                  <w:tcW w:w="3694" w:type="pct"/>
                  <w:tcMar>
                    <w:top w:w="0" w:type="dxa"/>
                    <w:left w:w="51" w:type="dxa"/>
                    <w:bottom w:w="0" w:type="dxa"/>
                    <w:right w:w="51" w:type="dxa"/>
                  </w:tcMar>
                  <w:vAlign w:val="center"/>
                </w:tcPr>
                <w:p w14:paraId="087BEE3D">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线路途经河北省承德市围场满族蒙古族自治县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克勒沟镇、银窝沟乡、杨家湾乡、朝阳湾镇</w:t>
                  </w:r>
                  <w:r>
                    <w:rPr>
                      <w:rFonts w:hint="default" w:ascii="Times New Roman" w:hAnsi="Times New Roman" w:eastAsia="宋体" w:cs="Times New Roman"/>
                      <w:color w:val="000000" w:themeColor="text1"/>
                      <w:sz w:val="21"/>
                      <w:szCs w:val="21"/>
                      <w:highlight w:val="none"/>
                      <w14:textFill>
                        <w14:solidFill>
                          <w14:schemeClr w14:val="tx1"/>
                        </w14:solidFill>
                      </w14:textFill>
                    </w:rPr>
                    <w:t>，基本呈东南向西北走向</w:t>
                  </w:r>
                </w:p>
              </w:tc>
            </w:tr>
            <w:tr w14:paraId="6399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6BABA4B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32DC10AC">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3F7875DE">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额定电压</w:t>
                  </w:r>
                </w:p>
              </w:tc>
              <w:tc>
                <w:tcPr>
                  <w:tcW w:w="3694" w:type="pct"/>
                  <w:tcMar>
                    <w:top w:w="0" w:type="dxa"/>
                    <w:left w:w="51" w:type="dxa"/>
                    <w:bottom w:w="0" w:type="dxa"/>
                    <w:right w:w="51" w:type="dxa"/>
                  </w:tcMar>
                  <w:vAlign w:val="center"/>
                </w:tcPr>
                <w:p w14:paraId="0B4EA842">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highlight w:val="none"/>
                      <w14:textFill>
                        <w14:solidFill>
                          <w14:schemeClr w14:val="tx1"/>
                        </w14:solidFill>
                      </w14:textFill>
                    </w:rPr>
                    <w:t>0kV</w:t>
                  </w:r>
                </w:p>
              </w:tc>
            </w:tr>
            <w:tr w14:paraId="6082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17C0743B">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4D37A8C4">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6B523CEB">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回路数</w:t>
                  </w:r>
                </w:p>
              </w:tc>
              <w:tc>
                <w:tcPr>
                  <w:tcW w:w="3694" w:type="pct"/>
                  <w:tcMar>
                    <w:top w:w="0" w:type="dxa"/>
                    <w:left w:w="51" w:type="dxa"/>
                    <w:bottom w:w="0" w:type="dxa"/>
                    <w:right w:w="51" w:type="dxa"/>
                  </w:tcMar>
                  <w:vAlign w:val="center"/>
                </w:tcPr>
                <w:p w14:paraId="4CF7FBC8">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单回路架</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设</w:t>
                  </w:r>
                </w:p>
              </w:tc>
            </w:tr>
            <w:tr w14:paraId="7A4A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1C47BD89">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073EFA47">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1614308A">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导线型号</w:t>
                  </w:r>
                </w:p>
              </w:tc>
              <w:tc>
                <w:tcPr>
                  <w:tcW w:w="3694" w:type="pct"/>
                  <w:tcMar>
                    <w:top w:w="0" w:type="dxa"/>
                    <w:left w:w="51" w:type="dxa"/>
                    <w:bottom w:w="0" w:type="dxa"/>
                    <w:right w:w="51" w:type="dxa"/>
                  </w:tcMar>
                  <w:vAlign w:val="center"/>
                </w:tcPr>
                <w:p w14:paraId="1F96E132">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eastAsia"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JL/G1A-300/40</w:t>
                  </w:r>
                  <w:r>
                    <w:rPr>
                      <w:rFonts w:hint="eastAsia" w:cs="Times New Roman"/>
                      <w:color w:val="000000" w:themeColor="text1"/>
                      <w:sz w:val="21"/>
                      <w:szCs w:val="21"/>
                      <w:highlight w:val="none"/>
                      <w:lang w:val="en-US" w:eastAsia="zh-CN"/>
                      <w14:textFill>
                        <w14:solidFill>
                          <w14:schemeClr w14:val="tx1"/>
                        </w14:solidFill>
                      </w14:textFill>
                    </w:rPr>
                    <w:t>钢芯铝绞线</w:t>
                  </w:r>
                </w:p>
              </w:tc>
            </w:tr>
            <w:tr w14:paraId="0610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0499559F">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09765DE7">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1CFD0FA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线路长度</w:t>
                  </w:r>
                </w:p>
              </w:tc>
              <w:tc>
                <w:tcPr>
                  <w:tcW w:w="3694" w:type="pct"/>
                  <w:tcMar>
                    <w:top w:w="0" w:type="dxa"/>
                    <w:left w:w="51" w:type="dxa"/>
                    <w:bottom w:w="0" w:type="dxa"/>
                    <w:right w:w="51" w:type="dxa"/>
                  </w:tcMar>
                  <w:vAlign w:val="center"/>
                </w:tcPr>
                <w:p w14:paraId="334F58D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全线采用单回架空线路，</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线路路径全长</w:t>
                  </w:r>
                  <w:r>
                    <w:rPr>
                      <w:rFonts w:hint="eastAsia" w:cs="Times New Roman"/>
                      <w:snapToGrid w:val="0"/>
                      <w:color w:val="000000" w:themeColor="text1"/>
                      <w:kern w:val="0"/>
                      <w:sz w:val="21"/>
                      <w:szCs w:val="21"/>
                      <w:highlight w:val="none"/>
                      <w:lang w:val="en-US" w:eastAsia="zh-CN" w:bidi="ar-SA"/>
                      <w14:textFill>
                        <w14:solidFill>
                          <w14:schemeClr w14:val="tx1"/>
                        </w14:solidFill>
                      </w14:textFill>
                    </w:rPr>
                    <w:t>29.033</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km</w:t>
                  </w:r>
                </w:p>
              </w:tc>
            </w:tr>
            <w:tr w14:paraId="4796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495BDA94">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63DD3063">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379630E3">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铁塔数量</w:t>
                  </w:r>
                </w:p>
              </w:tc>
              <w:tc>
                <w:tcPr>
                  <w:tcW w:w="3694" w:type="pct"/>
                  <w:tcMar>
                    <w:top w:w="0" w:type="dxa"/>
                    <w:left w:w="51" w:type="dxa"/>
                    <w:bottom w:w="0" w:type="dxa"/>
                    <w:right w:w="51" w:type="dxa"/>
                  </w:tcMar>
                  <w:vAlign w:val="center"/>
                </w:tcPr>
                <w:p w14:paraId="17DE5606">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新建角钢塔87基、钢管杆1基，其中单回路耐张塔44基，单回路直线塔43基</w:t>
                  </w:r>
                </w:p>
              </w:tc>
            </w:tr>
            <w:tr w14:paraId="4D6B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4362CAD7">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1" w:type="pct"/>
                  <w:vMerge w:val="continue"/>
                  <w:tcMar>
                    <w:top w:w="0" w:type="dxa"/>
                    <w:left w:w="51" w:type="dxa"/>
                    <w:bottom w:w="0" w:type="dxa"/>
                    <w:right w:w="51" w:type="dxa"/>
                  </w:tcMar>
                  <w:vAlign w:val="center"/>
                </w:tcPr>
                <w:p w14:paraId="400C65DC">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36AC74E6">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占地</w:t>
                  </w:r>
                </w:p>
              </w:tc>
              <w:tc>
                <w:tcPr>
                  <w:tcW w:w="3694" w:type="pct"/>
                  <w:tcMar>
                    <w:top w:w="0" w:type="dxa"/>
                    <w:left w:w="51" w:type="dxa"/>
                    <w:bottom w:w="0" w:type="dxa"/>
                    <w:right w:w="51" w:type="dxa"/>
                  </w:tcMar>
                  <w:vAlign w:val="center"/>
                </w:tcPr>
                <w:p w14:paraId="110D7C71">
                  <w:pPr>
                    <w:keepNext w:val="0"/>
                    <w:keepLines w:val="0"/>
                    <w:pageBreakBefore w:val="0"/>
                    <w:widowControl w:val="0"/>
                    <w:kinsoku/>
                    <w:wordWrap/>
                    <w:overflowPunct/>
                    <w:topLinePunct w:val="0"/>
                    <w:autoSpaceDE/>
                    <w:autoSpaceDN/>
                    <w:bidi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铁塔</w:t>
                  </w:r>
                  <w:r>
                    <w:rPr>
                      <w:rFonts w:hint="default" w:ascii="Times New Roman" w:hAnsi="Times New Roman" w:eastAsia="宋体" w:cs="Times New Roman"/>
                      <w:color w:val="000000" w:themeColor="text1"/>
                      <w:sz w:val="21"/>
                      <w:szCs w:val="21"/>
                      <w:highlight w:val="none"/>
                      <w14:textFill>
                        <w14:solidFill>
                          <w14:schemeClr w14:val="tx1"/>
                        </w14:solidFill>
                      </w14:textFill>
                    </w:rPr>
                    <w:t>塔基</w:t>
                  </w:r>
                  <w:r>
                    <w:rPr>
                      <w:rFonts w:hint="eastAsia" w:cs="Times New Roman"/>
                      <w:color w:val="000000" w:themeColor="text1"/>
                      <w:sz w:val="21"/>
                      <w:szCs w:val="21"/>
                      <w:highlight w:val="none"/>
                      <w:lang w:val="en-US" w:eastAsia="zh-CN"/>
                      <w14:textFill>
                        <w14:solidFill>
                          <w14:schemeClr w14:val="tx1"/>
                        </w14:solidFill>
                      </w14:textFill>
                    </w:rPr>
                    <w:t>永久</w:t>
                  </w:r>
                  <w:r>
                    <w:rPr>
                      <w:rFonts w:hint="default" w:ascii="Times New Roman" w:hAnsi="Times New Roman" w:eastAsia="宋体" w:cs="Times New Roman"/>
                      <w:color w:val="000000" w:themeColor="text1"/>
                      <w:sz w:val="21"/>
                      <w:szCs w:val="21"/>
                      <w:highlight w:val="none"/>
                      <w14:textFill>
                        <w14:solidFill>
                          <w14:schemeClr w14:val="tx1"/>
                        </w14:solidFill>
                      </w14:textFill>
                    </w:rPr>
                    <w:t>占地</w:t>
                  </w:r>
                  <w:r>
                    <w:rPr>
                      <w:rFonts w:hint="eastAsia" w:cs="Times New Roman"/>
                      <w:color w:val="000000" w:themeColor="text1"/>
                      <w:sz w:val="21"/>
                      <w:szCs w:val="21"/>
                      <w:highlight w:val="none"/>
                      <w:lang w:val="en-US" w:eastAsia="zh-CN"/>
                      <w14:textFill>
                        <w14:solidFill>
                          <w14:schemeClr w14:val="tx1"/>
                        </w14:solidFill>
                      </w14:textFill>
                    </w:rPr>
                    <w:t>面积约7300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r>
            <w:tr w14:paraId="3CBB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5" w:type="pct"/>
                  <w:gridSpan w:val="3"/>
                  <w:tcMar>
                    <w:top w:w="0" w:type="dxa"/>
                    <w:left w:w="51" w:type="dxa"/>
                    <w:bottom w:w="0" w:type="dxa"/>
                    <w:right w:w="51" w:type="dxa"/>
                  </w:tcMar>
                  <w:vAlign w:val="center"/>
                </w:tcPr>
                <w:p w14:paraId="36472BE6">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辅助工程</w:t>
                  </w:r>
                </w:p>
              </w:tc>
              <w:tc>
                <w:tcPr>
                  <w:tcW w:w="3694" w:type="pct"/>
                  <w:tcMar>
                    <w:top w:w="0" w:type="dxa"/>
                    <w:left w:w="51" w:type="dxa"/>
                    <w:bottom w:w="0" w:type="dxa"/>
                    <w:right w:w="51" w:type="dxa"/>
                  </w:tcMar>
                  <w:vAlign w:val="center"/>
                </w:tcPr>
                <w:p w14:paraId="636BE1A2">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24芯OPGW-1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光缆</w:t>
                  </w:r>
                </w:p>
              </w:tc>
            </w:tr>
            <w:tr w14:paraId="130A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restart"/>
                  <w:tcMar>
                    <w:top w:w="0" w:type="dxa"/>
                    <w:left w:w="51" w:type="dxa"/>
                    <w:bottom w:w="0" w:type="dxa"/>
                    <w:right w:w="51" w:type="dxa"/>
                  </w:tcMar>
                  <w:vAlign w:val="center"/>
                </w:tcPr>
                <w:p w14:paraId="1D00B5EC">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临时工程</w:t>
                  </w:r>
                </w:p>
              </w:tc>
              <w:tc>
                <w:tcPr>
                  <w:tcW w:w="649" w:type="pct"/>
                  <w:tcMar>
                    <w:top w:w="0" w:type="dxa"/>
                    <w:left w:w="51" w:type="dxa"/>
                    <w:bottom w:w="0" w:type="dxa"/>
                    <w:right w:w="51" w:type="dxa"/>
                  </w:tcMar>
                  <w:vAlign w:val="center"/>
                </w:tcPr>
                <w:p w14:paraId="3F4FD6DB">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施工营地</w:t>
                  </w:r>
                </w:p>
              </w:tc>
              <w:tc>
                <w:tcPr>
                  <w:tcW w:w="3694" w:type="pct"/>
                  <w:tcMar>
                    <w:top w:w="0" w:type="dxa"/>
                    <w:left w:w="51" w:type="dxa"/>
                    <w:bottom w:w="0" w:type="dxa"/>
                    <w:right w:w="51" w:type="dxa"/>
                  </w:tcMar>
                  <w:vAlign w:val="center"/>
                </w:tcPr>
                <w:p w14:paraId="74F26B4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本项目不设施工人员食宿营地，施工人员租用当地附近村庄居民住房。</w:t>
                  </w:r>
                </w:p>
              </w:tc>
            </w:tr>
            <w:tr w14:paraId="45C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05F3F34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7AC9AF87">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施工场地</w:t>
                  </w:r>
                </w:p>
              </w:tc>
              <w:tc>
                <w:tcPr>
                  <w:tcW w:w="3694" w:type="pct"/>
                  <w:tcMar>
                    <w:top w:w="0" w:type="dxa"/>
                    <w:left w:w="51" w:type="dxa"/>
                    <w:bottom w:w="0" w:type="dxa"/>
                    <w:right w:w="51" w:type="dxa"/>
                  </w:tcMar>
                  <w:vAlign w:val="center"/>
                </w:tcPr>
                <w:p w14:paraId="265FD71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本项目施工</w:t>
                  </w:r>
                  <w:r>
                    <w:rPr>
                      <w:rFonts w:hint="eastAsia" w:cs="Times New Roman"/>
                      <w:color w:val="000000" w:themeColor="text1"/>
                      <w:sz w:val="21"/>
                      <w:szCs w:val="21"/>
                      <w:highlight w:val="none"/>
                      <w:lang w:val="en-US" w:eastAsia="zh-CN"/>
                      <w14:textFill>
                        <w14:solidFill>
                          <w14:schemeClr w14:val="tx1"/>
                        </w14:solidFill>
                      </w14:textFill>
                    </w:rPr>
                    <w:t>场地</w:t>
                  </w:r>
                  <w:r>
                    <w:rPr>
                      <w:rFonts w:hint="default" w:ascii="Times New Roman" w:hAnsi="Times New Roman" w:eastAsia="宋体" w:cs="Times New Roman"/>
                      <w:color w:val="000000" w:themeColor="text1"/>
                      <w:sz w:val="21"/>
                      <w:szCs w:val="21"/>
                      <w:highlight w:val="none"/>
                      <w14:textFill>
                        <w14:solidFill>
                          <w14:schemeClr w14:val="tx1"/>
                        </w14:solidFill>
                      </w14:textFill>
                    </w:rPr>
                    <w:t>主要为</w:t>
                  </w:r>
                  <w:r>
                    <w:rPr>
                      <w:rFonts w:hint="eastAsia" w:cs="Times New Roman"/>
                      <w:color w:val="000000" w:themeColor="text1"/>
                      <w:sz w:val="21"/>
                      <w:szCs w:val="21"/>
                      <w:highlight w:val="none"/>
                      <w:lang w:val="en-US" w:eastAsia="zh-CN"/>
                      <w14:textFill>
                        <w14:solidFill>
                          <w14:schemeClr w14:val="tx1"/>
                        </w14:solidFill>
                      </w14:textFill>
                    </w:rPr>
                    <w:t>塔基施工区</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总</w:t>
                  </w:r>
                  <w:r>
                    <w:rPr>
                      <w:rFonts w:hint="default" w:ascii="Times New Roman" w:hAnsi="Times New Roman" w:eastAsia="宋体" w:cs="Times New Roman"/>
                      <w:color w:val="000000" w:themeColor="text1"/>
                      <w:sz w:val="21"/>
                      <w:szCs w:val="21"/>
                      <w:highlight w:val="none"/>
                      <w14:textFill>
                        <w14:solidFill>
                          <w14:schemeClr w14:val="tx1"/>
                        </w14:solidFill>
                      </w14:textFill>
                    </w:rPr>
                    <w:t>占地</w:t>
                  </w:r>
                  <w:r>
                    <w:rPr>
                      <w:rFonts w:hint="eastAsia" w:cs="Times New Roman"/>
                      <w:color w:val="000000" w:themeColor="text1"/>
                      <w:sz w:val="21"/>
                      <w:szCs w:val="21"/>
                      <w:highlight w:val="none"/>
                      <w:lang w:val="en-US" w:eastAsia="zh-CN"/>
                      <w14:textFill>
                        <w14:solidFill>
                          <w14:schemeClr w14:val="tx1"/>
                        </w14:solidFill>
                      </w14:textFill>
                    </w:rPr>
                    <w:t>面积约14200</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5319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22CAAE4F">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548DDCA6">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施工</w:t>
                  </w:r>
                  <w:r>
                    <w:rPr>
                      <w:rFonts w:hint="eastAsia" w:cs="Times New Roman" w:eastAsiaTheme="minorEastAsia"/>
                      <w:color w:val="000000" w:themeColor="text1"/>
                      <w:sz w:val="21"/>
                      <w:szCs w:val="21"/>
                      <w:highlight w:val="none"/>
                      <w:lang w:val="en-US" w:eastAsia="zh-CN"/>
                      <w14:textFill>
                        <w14:solidFill>
                          <w14:schemeClr w14:val="tx1"/>
                        </w14:solidFill>
                      </w14:textFill>
                    </w:rPr>
                    <w:t>便道</w:t>
                  </w:r>
                </w:p>
              </w:tc>
              <w:tc>
                <w:tcPr>
                  <w:tcW w:w="3694" w:type="pct"/>
                  <w:tcMar>
                    <w:top w:w="0" w:type="dxa"/>
                    <w:left w:w="51" w:type="dxa"/>
                    <w:bottom w:w="0" w:type="dxa"/>
                    <w:right w:w="51" w:type="dxa"/>
                  </w:tcMar>
                  <w:vAlign w:val="center"/>
                </w:tcPr>
                <w:p w14:paraId="61569EE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主要利用</w:t>
                  </w:r>
                  <w:r>
                    <w:rPr>
                      <w:rFonts w:hint="eastAsia" w:cs="Times New Roman"/>
                      <w:color w:val="000000" w:themeColor="text1"/>
                      <w:sz w:val="21"/>
                      <w:szCs w:val="21"/>
                      <w:highlight w:val="none"/>
                      <w:lang w:val="en-US" w:eastAsia="zh-CN"/>
                      <w14:textFill>
                        <w14:solidFill>
                          <w14:schemeClr w14:val="tx1"/>
                        </w14:solidFill>
                      </w14:textFill>
                    </w:rPr>
                    <w:t>机耕路等</w:t>
                  </w:r>
                  <w:r>
                    <w:rPr>
                      <w:rFonts w:hint="default" w:ascii="Times New Roman" w:hAnsi="Times New Roman" w:eastAsia="宋体" w:cs="Times New Roman"/>
                      <w:color w:val="000000" w:themeColor="text1"/>
                      <w:sz w:val="21"/>
                      <w:szCs w:val="21"/>
                      <w:highlight w:val="none"/>
                      <w14:textFill>
                        <w14:solidFill>
                          <w14:schemeClr w14:val="tx1"/>
                        </w14:solidFill>
                      </w14:textFill>
                    </w:rPr>
                    <w:t>现有道路进行施工运输，</w:t>
                  </w:r>
                  <w:r>
                    <w:rPr>
                      <w:rFonts w:hint="eastAsia" w:cs="Times New Roman"/>
                      <w:color w:val="000000" w:themeColor="text1"/>
                      <w:sz w:val="21"/>
                      <w:szCs w:val="21"/>
                      <w:highlight w:val="none"/>
                      <w:lang w:val="en-US" w:eastAsia="zh-CN"/>
                      <w14:textFill>
                        <w14:solidFill>
                          <w14:schemeClr w14:val="tx1"/>
                        </w14:solidFill>
                      </w14:textFill>
                    </w:rPr>
                    <w:t>塔基周边设置</w:t>
                  </w:r>
                  <w:r>
                    <w:rPr>
                      <w:rFonts w:hint="default" w:ascii="Times New Roman" w:hAnsi="Times New Roman" w:eastAsia="宋体" w:cs="Times New Roman"/>
                      <w:color w:val="000000" w:themeColor="text1"/>
                      <w:sz w:val="21"/>
                      <w:szCs w:val="21"/>
                      <w:highlight w:val="none"/>
                      <w14:textFill>
                        <w14:solidFill>
                          <w14:schemeClr w14:val="tx1"/>
                        </w14:solidFill>
                      </w14:textFill>
                    </w:rPr>
                    <w:t>施工</w:t>
                  </w:r>
                  <w:r>
                    <w:rPr>
                      <w:rFonts w:hint="eastAsia" w:cs="Times New Roman"/>
                      <w:color w:val="000000" w:themeColor="text1"/>
                      <w:sz w:val="21"/>
                      <w:szCs w:val="21"/>
                      <w:highlight w:val="none"/>
                      <w:lang w:val="en-US" w:eastAsia="zh-CN"/>
                      <w14:textFill>
                        <w14:solidFill>
                          <w14:schemeClr w14:val="tx1"/>
                        </w14:solidFill>
                      </w14:textFill>
                    </w:rPr>
                    <w:t>便道54处，累计长度6.9km，便道宽3m，总</w:t>
                  </w:r>
                  <w:r>
                    <w:rPr>
                      <w:rFonts w:hint="default" w:ascii="Times New Roman" w:hAnsi="Times New Roman" w:eastAsia="宋体" w:cs="Times New Roman"/>
                      <w:color w:val="000000" w:themeColor="text1"/>
                      <w:sz w:val="21"/>
                      <w:szCs w:val="21"/>
                      <w:highlight w:val="none"/>
                      <w14:textFill>
                        <w14:solidFill>
                          <w14:schemeClr w14:val="tx1"/>
                        </w14:solidFill>
                      </w14:textFill>
                    </w:rPr>
                    <w:t>占地</w:t>
                  </w:r>
                  <w:r>
                    <w:rPr>
                      <w:rFonts w:hint="eastAsia" w:cs="Times New Roman"/>
                      <w:color w:val="000000" w:themeColor="text1"/>
                      <w:sz w:val="21"/>
                      <w:szCs w:val="21"/>
                      <w:highlight w:val="none"/>
                      <w:lang w:val="en-US" w:eastAsia="zh-CN"/>
                      <w14:textFill>
                        <w14:solidFill>
                          <w14:schemeClr w14:val="tx1"/>
                        </w14:solidFill>
                      </w14:textFill>
                    </w:rPr>
                    <w:t>面积</w:t>
                  </w:r>
                  <w:r>
                    <w:rPr>
                      <w:rFonts w:hint="default" w:ascii="Times New Roman" w:hAnsi="Times New Roman" w:eastAsia="宋体" w:cs="Times New Roman"/>
                      <w:color w:val="000000" w:themeColor="text1"/>
                      <w:sz w:val="21"/>
                      <w:szCs w:val="21"/>
                      <w:highlight w:val="none"/>
                      <w14:textFill>
                        <w14:solidFill>
                          <w14:schemeClr w14:val="tx1"/>
                        </w14:solidFill>
                      </w14:textFill>
                    </w:rPr>
                    <w:t>约</w:t>
                  </w:r>
                  <w:r>
                    <w:rPr>
                      <w:rFonts w:hint="eastAsia" w:cs="Times New Roman"/>
                      <w:color w:val="000000" w:themeColor="text1"/>
                      <w:sz w:val="21"/>
                      <w:szCs w:val="21"/>
                      <w:highlight w:val="none"/>
                      <w:lang w:val="en-US" w:eastAsia="zh-CN"/>
                      <w14:textFill>
                        <w14:solidFill>
                          <w14:schemeClr w14:val="tx1"/>
                        </w14:solidFill>
                      </w14:textFill>
                    </w:rPr>
                    <w:t>20700</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7FF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21733188">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5B3FFEA7">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牵张场</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地</w:t>
                  </w:r>
                </w:p>
              </w:tc>
              <w:tc>
                <w:tcPr>
                  <w:tcW w:w="3694" w:type="pct"/>
                  <w:tcMar>
                    <w:top w:w="0" w:type="dxa"/>
                    <w:left w:w="51" w:type="dxa"/>
                    <w:bottom w:w="0" w:type="dxa"/>
                    <w:right w:w="51" w:type="dxa"/>
                  </w:tcMar>
                  <w:vAlign w:val="center"/>
                </w:tcPr>
                <w:p w14:paraId="41193B1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共设置10</w:t>
                  </w:r>
                  <w:r>
                    <w:rPr>
                      <w:rFonts w:hint="default" w:ascii="Times New Roman" w:hAnsi="Times New Roman" w:eastAsia="宋体" w:cs="Times New Roman"/>
                      <w:color w:val="000000" w:themeColor="text1"/>
                      <w:sz w:val="21"/>
                      <w:szCs w:val="21"/>
                      <w:highlight w:val="none"/>
                      <w14:textFill>
                        <w14:solidFill>
                          <w14:schemeClr w14:val="tx1"/>
                        </w14:solidFill>
                      </w14:textFill>
                    </w:rPr>
                    <w:t>处</w:t>
                  </w:r>
                  <w:r>
                    <w:rPr>
                      <w:rFonts w:hint="eastAsia" w:cs="Times New Roman"/>
                      <w:color w:val="000000" w:themeColor="text1"/>
                      <w:sz w:val="21"/>
                      <w:szCs w:val="21"/>
                      <w:highlight w:val="none"/>
                      <w:lang w:val="en-US" w:eastAsia="zh-CN"/>
                      <w14:textFill>
                        <w14:solidFill>
                          <w14:schemeClr w14:val="tx1"/>
                        </w14:solidFill>
                      </w14:textFill>
                    </w:rPr>
                    <w:t>牵张场地</w:t>
                  </w:r>
                  <w:r>
                    <w:rPr>
                      <w:rFonts w:hint="default" w:ascii="Times New Roman" w:hAnsi="Times New Roman" w:eastAsia="宋体" w:cs="Times New Roman"/>
                      <w:color w:val="000000" w:themeColor="text1"/>
                      <w:sz w:val="21"/>
                      <w:szCs w:val="21"/>
                      <w:highlight w:val="none"/>
                      <w14:textFill>
                        <w14:solidFill>
                          <w14:schemeClr w14:val="tx1"/>
                        </w14:solidFill>
                      </w14:textFill>
                    </w:rPr>
                    <w:t>，总占地面积</w:t>
                  </w:r>
                  <w:r>
                    <w:rPr>
                      <w:rFonts w:hint="eastAsia" w:cs="Times New Roman"/>
                      <w:color w:val="000000" w:themeColor="text1"/>
                      <w:sz w:val="21"/>
                      <w:szCs w:val="21"/>
                      <w:highlight w:val="none"/>
                      <w:lang w:val="en-US" w:eastAsia="zh-CN"/>
                      <w14:textFill>
                        <w14:solidFill>
                          <w14:schemeClr w14:val="tx1"/>
                        </w14:solidFill>
                      </w14:textFill>
                    </w:rPr>
                    <w:t>约</w:t>
                  </w:r>
                  <w:r>
                    <w:rPr>
                      <w:rFonts w:hint="eastAsia" w:cs="Times New Roman" w:eastAsiaTheme="minorEastAsia"/>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000m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312F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restart"/>
                  <w:tcMar>
                    <w:top w:w="0" w:type="dxa"/>
                    <w:left w:w="51" w:type="dxa"/>
                    <w:bottom w:w="0" w:type="dxa"/>
                    <w:right w:w="51" w:type="dxa"/>
                  </w:tcMar>
                  <w:vAlign w:val="center"/>
                </w:tcPr>
                <w:p w14:paraId="086AB180">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公用工程</w:t>
                  </w:r>
                </w:p>
              </w:tc>
              <w:tc>
                <w:tcPr>
                  <w:tcW w:w="649" w:type="pct"/>
                  <w:tcMar>
                    <w:top w:w="0" w:type="dxa"/>
                    <w:left w:w="51" w:type="dxa"/>
                    <w:bottom w:w="0" w:type="dxa"/>
                    <w:right w:w="51" w:type="dxa"/>
                  </w:tcMar>
                  <w:vAlign w:val="center"/>
                </w:tcPr>
                <w:p w14:paraId="55C3519E">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供水</w:t>
                  </w:r>
                </w:p>
              </w:tc>
              <w:tc>
                <w:tcPr>
                  <w:tcW w:w="3694" w:type="pct"/>
                  <w:tcMar>
                    <w:top w:w="0" w:type="dxa"/>
                    <w:left w:w="51" w:type="dxa"/>
                    <w:bottom w:w="0" w:type="dxa"/>
                    <w:right w:w="51" w:type="dxa"/>
                  </w:tcMar>
                  <w:vAlign w:val="center"/>
                </w:tcPr>
                <w:p w14:paraId="10594B86">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施工期从附近村庄</w:t>
                  </w:r>
                  <w:r>
                    <w:rPr>
                      <w:rFonts w:hint="eastAsia" w:cs="Times New Roman"/>
                      <w:color w:val="000000" w:themeColor="text1"/>
                      <w:sz w:val="21"/>
                      <w:szCs w:val="21"/>
                      <w:highlight w:val="none"/>
                      <w:lang w:val="en-US" w:eastAsia="zh-CN"/>
                      <w14:textFill>
                        <w14:solidFill>
                          <w14:schemeClr w14:val="tx1"/>
                        </w14:solidFill>
                      </w14:textFill>
                    </w:rPr>
                    <w:t>拉运</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，运营期不涉及用水。</w:t>
                  </w:r>
                </w:p>
              </w:tc>
            </w:tr>
            <w:tr w14:paraId="2C55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52164D2A">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634D88DF">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供电</w:t>
                  </w:r>
                </w:p>
              </w:tc>
              <w:tc>
                <w:tcPr>
                  <w:tcW w:w="3694" w:type="pct"/>
                  <w:tcMar>
                    <w:top w:w="0" w:type="dxa"/>
                    <w:left w:w="51" w:type="dxa"/>
                    <w:bottom w:w="0" w:type="dxa"/>
                    <w:right w:w="51" w:type="dxa"/>
                  </w:tcMar>
                  <w:vAlign w:val="center"/>
                </w:tcPr>
                <w:p w14:paraId="51D519B2">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施工期用电引自附近线路，运营期不涉及用电。</w:t>
                  </w:r>
                </w:p>
              </w:tc>
            </w:tr>
            <w:tr w14:paraId="5205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restart"/>
                  <w:tcMar>
                    <w:top w:w="0" w:type="dxa"/>
                    <w:left w:w="51" w:type="dxa"/>
                    <w:bottom w:w="0" w:type="dxa"/>
                    <w:right w:w="51" w:type="dxa"/>
                  </w:tcMar>
                  <w:vAlign w:val="center"/>
                </w:tcPr>
                <w:p w14:paraId="4183A8CD">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环保工程</w:t>
                  </w:r>
                </w:p>
              </w:tc>
              <w:tc>
                <w:tcPr>
                  <w:tcW w:w="649" w:type="pct"/>
                  <w:tcMar>
                    <w:top w:w="0" w:type="dxa"/>
                    <w:left w:w="51" w:type="dxa"/>
                    <w:bottom w:w="0" w:type="dxa"/>
                    <w:right w:w="51" w:type="dxa"/>
                  </w:tcMar>
                  <w:vAlign w:val="center"/>
                </w:tcPr>
                <w:p w14:paraId="5BB3A6AA">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废气</w:t>
                  </w:r>
                </w:p>
              </w:tc>
              <w:tc>
                <w:tcPr>
                  <w:tcW w:w="3694" w:type="pct"/>
                  <w:tcMar>
                    <w:top w:w="0" w:type="dxa"/>
                    <w:left w:w="51" w:type="dxa"/>
                    <w:bottom w:w="0" w:type="dxa"/>
                    <w:right w:w="51" w:type="dxa"/>
                  </w:tcMar>
                  <w:vAlign w:val="center"/>
                </w:tcPr>
                <w:p w14:paraId="72C4DA78">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施工期：采取设置围挡，车辆冲洗，临时堆放的土方和裸露场地采取覆盖、固化或绿化等防尘措施。</w:t>
                  </w:r>
                </w:p>
                <w:p w14:paraId="18EF2C05">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运营期：无废气产生。</w:t>
                  </w:r>
                </w:p>
              </w:tc>
            </w:tr>
            <w:tr w14:paraId="2E98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49E2B04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26A528B0">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废水</w:t>
                  </w:r>
                </w:p>
              </w:tc>
              <w:tc>
                <w:tcPr>
                  <w:tcW w:w="3694" w:type="pct"/>
                  <w:tcMar>
                    <w:top w:w="0" w:type="dxa"/>
                    <w:left w:w="51" w:type="dxa"/>
                    <w:bottom w:w="0" w:type="dxa"/>
                    <w:right w:w="51" w:type="dxa"/>
                  </w:tcMar>
                  <w:vAlign w:val="center"/>
                </w:tcPr>
                <w:p w14:paraId="77619679">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施工期：生产废水沉淀后，用于场地泼洒降尘；职工盥洗废水用于场地泼洒抑尘，同时施工区设置防渗旱厕，清掏</w:t>
                  </w:r>
                  <w:r>
                    <w:rPr>
                      <w:rFonts w:hint="eastAsia" w:cs="Times New Roman"/>
                      <w:color w:val="000000" w:themeColor="text1"/>
                      <w:sz w:val="21"/>
                      <w:szCs w:val="21"/>
                      <w:highlight w:val="none"/>
                      <w:lang w:val="en-US" w:eastAsia="zh-CN"/>
                      <w14:textFill>
                        <w14:solidFill>
                          <w14:schemeClr w14:val="tx1"/>
                        </w14:solidFill>
                      </w14:textFill>
                    </w:rPr>
                    <w:t>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用作农肥，不外排。</w:t>
                  </w:r>
                </w:p>
                <w:p w14:paraId="5C3D43BC">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运营期：不新增劳动定员，不新增废水。</w:t>
                  </w:r>
                </w:p>
              </w:tc>
            </w:tr>
            <w:tr w14:paraId="5A8E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78F67705">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274A44D5">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噪声</w:t>
                  </w:r>
                </w:p>
              </w:tc>
              <w:tc>
                <w:tcPr>
                  <w:tcW w:w="3694" w:type="pct"/>
                  <w:tcMar>
                    <w:top w:w="0" w:type="dxa"/>
                    <w:left w:w="51" w:type="dxa"/>
                    <w:bottom w:w="0" w:type="dxa"/>
                    <w:right w:w="51" w:type="dxa"/>
                  </w:tcMar>
                  <w:vAlign w:val="center"/>
                </w:tcPr>
                <w:p w14:paraId="43722E30">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施工期：选用低噪声机械设备，同时采取设置围挡、夜间和中午禁止施工、减少临近居民区域的非必要车辆行驶等降噪措施。</w:t>
                  </w:r>
                </w:p>
                <w:p w14:paraId="63962DDC">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运营期：采取科学设置导线排列方式、选购光洁度高的导线，加强输电线路运行维护检查等措施，运营期噪声达标排放。</w:t>
                  </w:r>
                </w:p>
              </w:tc>
            </w:tr>
            <w:tr w14:paraId="3E4E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5164B352">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4CD37442">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固废</w:t>
                  </w:r>
                </w:p>
              </w:tc>
              <w:tc>
                <w:tcPr>
                  <w:tcW w:w="3694" w:type="pct"/>
                  <w:tcMar>
                    <w:top w:w="0" w:type="dxa"/>
                    <w:left w:w="51" w:type="dxa"/>
                    <w:bottom w:w="0" w:type="dxa"/>
                    <w:right w:w="51" w:type="dxa"/>
                  </w:tcMar>
                  <w:vAlign w:val="center"/>
                </w:tcPr>
                <w:p w14:paraId="6D249F1A">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施工期：建筑垃圾送市政部门指定的地点堆存，生活垃圾交由环卫部门统一处理。施工期土石方平衡，无弃方产生。</w:t>
                  </w:r>
                </w:p>
                <w:p w14:paraId="4B68E966">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运营期：不新增劳动定员，不新增生活垃圾；无其他固废产生。</w:t>
                  </w:r>
                </w:p>
              </w:tc>
            </w:tr>
            <w:tr w14:paraId="0060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422826A5">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5C6D240F">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电磁</w:t>
                  </w:r>
                </w:p>
              </w:tc>
              <w:tc>
                <w:tcPr>
                  <w:tcW w:w="3694" w:type="pct"/>
                  <w:tcMar>
                    <w:top w:w="0" w:type="dxa"/>
                    <w:left w:w="51" w:type="dxa"/>
                    <w:bottom w:w="0" w:type="dxa"/>
                    <w:right w:w="51" w:type="dxa"/>
                  </w:tcMar>
                  <w:vAlign w:val="center"/>
                </w:tcPr>
                <w:p w14:paraId="52616165">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施工期：不涉及。</w:t>
                  </w:r>
                </w:p>
                <w:p w14:paraId="3941E03F">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运营期：经预测，线路沿线工频电场强度、工频磁感应强度满足《电磁环境控制限值》（GB8702-2014）中规定的限值要求。</w:t>
                  </w:r>
                </w:p>
              </w:tc>
            </w:tr>
            <w:tr w14:paraId="7BE6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0ACF0D07">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49" w:type="pct"/>
                  <w:tcMar>
                    <w:top w:w="0" w:type="dxa"/>
                    <w:left w:w="51" w:type="dxa"/>
                    <w:bottom w:w="0" w:type="dxa"/>
                    <w:right w:w="51" w:type="dxa"/>
                  </w:tcMar>
                  <w:vAlign w:val="center"/>
                </w:tcPr>
                <w:p w14:paraId="2F502B31">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生态</w:t>
                  </w:r>
                </w:p>
              </w:tc>
              <w:tc>
                <w:tcPr>
                  <w:tcW w:w="3694" w:type="pct"/>
                  <w:tcMar>
                    <w:top w:w="0" w:type="dxa"/>
                    <w:left w:w="51" w:type="dxa"/>
                    <w:bottom w:w="0" w:type="dxa"/>
                    <w:right w:w="51" w:type="dxa"/>
                  </w:tcMar>
                  <w:vAlign w:val="center"/>
                </w:tcPr>
                <w:p w14:paraId="4FF12C14">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w:t>
                  </w:r>
                  <w:r>
                    <w:rPr>
                      <w:rFonts w:hint="eastAsia" w:cs="Times New Roman"/>
                      <w:color w:val="000000" w:themeColor="text1"/>
                      <w:sz w:val="21"/>
                      <w:szCs w:val="21"/>
                      <w:highlight w:val="none"/>
                      <w:lang w:val="en-US" w:eastAsia="zh-CN"/>
                      <w14:textFill>
                        <w14:solidFill>
                          <w14:schemeClr w14:val="tx1"/>
                        </w14:solidFill>
                      </w14:textFill>
                    </w:rPr>
                    <w:t>施工结束后及时</w:t>
                  </w:r>
                  <w:r>
                    <w:rPr>
                      <w:rFonts w:hint="default" w:ascii="Times New Roman" w:hAnsi="Times New Roman" w:eastAsia="宋体" w:cs="Times New Roman"/>
                      <w:color w:val="000000" w:themeColor="text1"/>
                      <w:sz w:val="21"/>
                      <w:szCs w:val="21"/>
                      <w:highlight w:val="none"/>
                      <w14:textFill>
                        <w14:solidFill>
                          <w14:schemeClr w14:val="tx1"/>
                        </w14:solidFill>
                      </w14:textFill>
                    </w:rPr>
                    <w:t>对塔基底部及临时占地进行生态恢复。</w:t>
                  </w:r>
                </w:p>
                <w:p w14:paraId="389157E5">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运营期：采取加强植被养护措施，同时铁塔安装驱鸟器防止造成鸟类伤亡。</w:t>
                  </w:r>
                </w:p>
              </w:tc>
            </w:tr>
            <w:tr w14:paraId="0EDC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5" w:type="pct"/>
                  <w:gridSpan w:val="3"/>
                  <w:shd w:val="clear" w:color="auto" w:fill="auto"/>
                  <w:tcMar>
                    <w:top w:w="0" w:type="dxa"/>
                    <w:left w:w="51" w:type="dxa"/>
                    <w:bottom w:w="0" w:type="dxa"/>
                    <w:right w:w="51" w:type="dxa"/>
                  </w:tcMar>
                  <w:vAlign w:val="center"/>
                </w:tcPr>
                <w:p w14:paraId="3EAE7553">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依托工程</w:t>
                  </w:r>
                </w:p>
              </w:tc>
              <w:tc>
                <w:tcPr>
                  <w:tcW w:w="3694" w:type="pct"/>
                  <w:shd w:val="clear" w:color="auto" w:fill="auto"/>
                  <w:tcMar>
                    <w:top w:w="0" w:type="dxa"/>
                    <w:left w:w="51" w:type="dxa"/>
                    <w:bottom w:w="0" w:type="dxa"/>
                    <w:right w:w="51" w:type="dxa"/>
                  </w:tcMar>
                  <w:vAlign w:val="center"/>
                </w:tcPr>
                <w:p w14:paraId="74716F0D">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线路巡检人员依托</w:t>
                  </w:r>
                  <w:r>
                    <w:rPr>
                      <w:rFonts w:hint="eastAsia" w:cs="Times New Roman"/>
                      <w:color w:val="000000" w:themeColor="text1"/>
                      <w:sz w:val="21"/>
                      <w:szCs w:val="21"/>
                      <w:highlight w:val="none"/>
                      <w:lang w:val="en-US" w:eastAsia="zh-CN"/>
                      <w14:textFill>
                        <w14:solidFill>
                          <w14:schemeClr w14:val="tx1"/>
                        </w14:solidFill>
                      </w14:textFill>
                    </w:rPr>
                    <w:t>风电场区</w:t>
                  </w:r>
                  <w:r>
                    <w:rPr>
                      <w:rFonts w:hint="default" w:ascii="Times New Roman" w:hAnsi="Times New Roman" w:eastAsia="宋体" w:cs="Times New Roman"/>
                      <w:color w:val="000000" w:themeColor="text1"/>
                      <w:sz w:val="21"/>
                      <w:szCs w:val="21"/>
                      <w:highlight w:val="none"/>
                      <w14:textFill>
                        <w14:solidFill>
                          <w14:schemeClr w14:val="tx1"/>
                        </w14:solidFill>
                      </w14:textFill>
                    </w:rPr>
                    <w:t>现有人员，不新增劳动定员</w:t>
                  </w:r>
                </w:p>
              </w:tc>
            </w:tr>
          </w:tbl>
          <w:p w14:paraId="354EB9E5">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（6）沿线环境状况</w:t>
            </w:r>
          </w:p>
          <w:p w14:paraId="3ADBEEE4">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本项目沿线主要为山地、丘陵，其中约5%为平地，95%为山地。</w:t>
            </w:r>
          </w:p>
          <w:p w14:paraId="07F522E0">
            <w:pPr>
              <w:keepNext w:val="0"/>
              <w:keepLines w:val="0"/>
              <w:pageBreakBefore w:val="0"/>
              <w:widowControl/>
              <w:numPr>
                <w:ilvl w:val="0"/>
                <w:numId w:val="3"/>
              </w:numPr>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线路路径</w:t>
            </w:r>
          </w:p>
          <w:p w14:paraId="6BD8BFAF">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110kV线路自围场县200MW风电储新能源项目110kV升压站西南侧A01，向西南架设至A02，A02右转往西走线设转角A05，A05右转往西北方向走线设转角A13，A13右转往西北方向跨越35kV克兰317线设转角A15，A15右转往北走线设转角A19，A19左转往西走线设转角A23，A23右转往西北走线钻越110kV木克线设转角A24，A24左转往西跨越华能吉上110kV艾沁线设转角A33，A33右转往北走线设转角A35，A35左转往西北走线设转角A40，A40右转往北走线设转角A42，A42左转往西北走线设转角A45，A45右转往北走线设转角A50，A50左转往西北设转角A54，A54左转往西北走线设转角A55，A55左转往西北走线设A57，A57右转往北走线设转角A67，A67左转往西设转角A69，A69右转往西北设转角A70，A70右转往北设转角A72，A72右转往北走线设转角A75，A75左转往西北走线设转角A77，A77右转往北走线设转角A79，A79左转往西北走线设转角A85，A85左转往西北走线设转角A87，A87左转往西设转角A89，A89左转往西走线至围场县200MW风电储新能源项目220kV升压站内A90。</w:t>
            </w:r>
          </w:p>
          <w:p w14:paraId="13711125">
            <w:pPr>
              <w:keepNext w:val="0"/>
              <w:keepLines w:val="0"/>
              <w:pageBreakBefore w:val="0"/>
              <w:widowControl/>
              <w:numPr>
                <w:ilvl w:val="0"/>
                <w:numId w:val="3"/>
              </w:numPr>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线路交叉跨越情况</w:t>
            </w:r>
          </w:p>
          <w:p w14:paraId="23555654">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本项目线路主要交叉钻跨越情况见表2-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p>
          <w:p w14:paraId="320B6F2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表2-2  项目线路主要交叉钻跨越情况一览表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2421"/>
              <w:gridCol w:w="798"/>
              <w:gridCol w:w="3179"/>
            </w:tblGrid>
            <w:tr w14:paraId="67A0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972" w:type="pct"/>
                  <w:gridSpan w:val="3"/>
                  <w:noWrap w:val="0"/>
                  <w:tcMar>
                    <w:top w:w="0" w:type="dxa"/>
                    <w:left w:w="51" w:type="dxa"/>
                    <w:bottom w:w="0" w:type="dxa"/>
                    <w:right w:w="51" w:type="dxa"/>
                  </w:tcMar>
                  <w:vAlign w:val="center"/>
                </w:tcPr>
                <w:p w14:paraId="0703C7D1">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交叉跨越</w:t>
                  </w:r>
                </w:p>
              </w:tc>
              <w:tc>
                <w:tcPr>
                  <w:tcW w:w="2027" w:type="pct"/>
                  <w:noWrap w:val="0"/>
                  <w:tcMar>
                    <w:top w:w="0" w:type="dxa"/>
                    <w:left w:w="51" w:type="dxa"/>
                    <w:bottom w:w="0" w:type="dxa"/>
                    <w:right w:w="51" w:type="dxa"/>
                  </w:tcMar>
                  <w:vAlign w:val="center"/>
                </w:tcPr>
                <w:p w14:paraId="7B2CC595">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备注</w:t>
                  </w:r>
                </w:p>
              </w:tc>
            </w:tr>
            <w:tr w14:paraId="6708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noWrap w:val="0"/>
                  <w:tcMar>
                    <w:top w:w="0" w:type="dxa"/>
                    <w:left w:w="51" w:type="dxa"/>
                    <w:bottom w:w="0" w:type="dxa"/>
                    <w:right w:w="51" w:type="dxa"/>
                  </w:tcMar>
                  <w:vAlign w:val="center"/>
                </w:tcPr>
                <w:p w14:paraId="4D875E49">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类型</w:t>
                  </w:r>
                </w:p>
              </w:tc>
              <w:tc>
                <w:tcPr>
                  <w:tcW w:w="1544" w:type="pct"/>
                  <w:noWrap w:val="0"/>
                  <w:tcMar>
                    <w:top w:w="0" w:type="dxa"/>
                    <w:left w:w="51" w:type="dxa"/>
                    <w:bottom w:w="0" w:type="dxa"/>
                    <w:right w:w="51" w:type="dxa"/>
                  </w:tcMar>
                  <w:vAlign w:val="center"/>
                </w:tcPr>
                <w:p w14:paraId="4B738413">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跨越物名称</w:t>
                  </w:r>
                </w:p>
              </w:tc>
              <w:tc>
                <w:tcPr>
                  <w:tcW w:w="509" w:type="pct"/>
                  <w:noWrap w:val="0"/>
                  <w:tcMar>
                    <w:top w:w="0" w:type="dxa"/>
                    <w:left w:w="51" w:type="dxa"/>
                    <w:bottom w:w="0" w:type="dxa"/>
                    <w:right w:w="51" w:type="dxa"/>
                  </w:tcMar>
                  <w:vAlign w:val="center"/>
                </w:tcPr>
                <w:p w14:paraId="04E058CB">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次数</w:t>
                  </w:r>
                </w:p>
              </w:tc>
              <w:tc>
                <w:tcPr>
                  <w:tcW w:w="2027" w:type="pct"/>
                  <w:noWrap w:val="0"/>
                  <w:tcMar>
                    <w:top w:w="0" w:type="dxa"/>
                    <w:left w:w="51" w:type="dxa"/>
                    <w:bottom w:w="0" w:type="dxa"/>
                    <w:right w:w="51" w:type="dxa"/>
                  </w:tcMar>
                  <w:vAlign w:val="center"/>
                </w:tcPr>
                <w:p w14:paraId="5B53CFB4">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1E17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restart"/>
                  <w:noWrap w:val="0"/>
                  <w:tcMar>
                    <w:top w:w="0" w:type="dxa"/>
                    <w:left w:w="51" w:type="dxa"/>
                    <w:bottom w:w="0" w:type="dxa"/>
                    <w:right w:w="51" w:type="dxa"/>
                  </w:tcMar>
                  <w:vAlign w:val="center"/>
                </w:tcPr>
                <w:p w14:paraId="7AE32A43">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道路</w:t>
                  </w:r>
                </w:p>
              </w:tc>
              <w:tc>
                <w:tcPr>
                  <w:tcW w:w="1544" w:type="pct"/>
                  <w:noWrap w:val="0"/>
                  <w:tcMar>
                    <w:top w:w="0" w:type="dxa"/>
                    <w:left w:w="51" w:type="dxa"/>
                    <w:bottom w:w="0" w:type="dxa"/>
                    <w:right w:w="51" w:type="dxa"/>
                  </w:tcMar>
                  <w:vAlign w:val="center"/>
                </w:tcPr>
                <w:p w14:paraId="3CD4CFAE">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国道</w:t>
                  </w:r>
                </w:p>
              </w:tc>
              <w:tc>
                <w:tcPr>
                  <w:tcW w:w="509" w:type="pct"/>
                  <w:noWrap w:val="0"/>
                  <w:tcMar>
                    <w:top w:w="0" w:type="dxa"/>
                    <w:left w:w="51" w:type="dxa"/>
                    <w:bottom w:w="0" w:type="dxa"/>
                    <w:right w:w="51" w:type="dxa"/>
                  </w:tcMar>
                  <w:vAlign w:val="center"/>
                </w:tcPr>
                <w:p w14:paraId="090FDD6B">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2027" w:type="pct"/>
                  <w:noWrap w:val="0"/>
                  <w:tcMar>
                    <w:top w:w="0" w:type="dxa"/>
                    <w:left w:w="51" w:type="dxa"/>
                    <w:bottom w:w="0" w:type="dxa"/>
                    <w:right w:w="51" w:type="dxa"/>
                  </w:tcMar>
                  <w:vAlign w:val="center"/>
                </w:tcPr>
                <w:p w14:paraId="4D363D7B">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G111</w:t>
                  </w:r>
                </w:p>
              </w:tc>
            </w:tr>
            <w:tr w14:paraId="01CE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3FC94610">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0D1B8BAA">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水泥路</w:t>
                  </w:r>
                </w:p>
              </w:tc>
              <w:tc>
                <w:tcPr>
                  <w:tcW w:w="509" w:type="pct"/>
                  <w:noWrap w:val="0"/>
                  <w:tcMar>
                    <w:top w:w="0" w:type="dxa"/>
                    <w:left w:w="51" w:type="dxa"/>
                    <w:bottom w:w="0" w:type="dxa"/>
                    <w:right w:w="51" w:type="dxa"/>
                  </w:tcMar>
                  <w:vAlign w:val="center"/>
                </w:tcPr>
                <w:p w14:paraId="4354BB27">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c>
                <w:tcPr>
                  <w:tcW w:w="2027" w:type="pct"/>
                  <w:noWrap w:val="0"/>
                  <w:tcMar>
                    <w:top w:w="0" w:type="dxa"/>
                    <w:left w:w="51" w:type="dxa"/>
                    <w:bottom w:w="0" w:type="dxa"/>
                    <w:right w:w="51" w:type="dxa"/>
                  </w:tcMar>
                  <w:vAlign w:val="center"/>
                </w:tcPr>
                <w:p w14:paraId="0B007EA2">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09FB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7458BB4E">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78059635">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土路</w:t>
                  </w:r>
                </w:p>
              </w:tc>
              <w:tc>
                <w:tcPr>
                  <w:tcW w:w="509" w:type="pct"/>
                  <w:noWrap w:val="0"/>
                  <w:tcMar>
                    <w:top w:w="0" w:type="dxa"/>
                    <w:left w:w="51" w:type="dxa"/>
                    <w:bottom w:w="0" w:type="dxa"/>
                    <w:right w:w="51" w:type="dxa"/>
                  </w:tcMar>
                  <w:vAlign w:val="center"/>
                </w:tcPr>
                <w:p w14:paraId="7582CC3D">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18</w:t>
                  </w:r>
                </w:p>
              </w:tc>
              <w:tc>
                <w:tcPr>
                  <w:tcW w:w="2027" w:type="pct"/>
                  <w:noWrap w:val="0"/>
                  <w:tcMar>
                    <w:top w:w="0" w:type="dxa"/>
                    <w:left w:w="51" w:type="dxa"/>
                    <w:bottom w:w="0" w:type="dxa"/>
                    <w:right w:w="51" w:type="dxa"/>
                  </w:tcMar>
                  <w:vAlign w:val="center"/>
                </w:tcPr>
                <w:p w14:paraId="5E0E225C">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01F6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restart"/>
                  <w:noWrap w:val="0"/>
                  <w:tcMar>
                    <w:top w:w="0" w:type="dxa"/>
                    <w:left w:w="51" w:type="dxa"/>
                    <w:bottom w:w="0" w:type="dxa"/>
                    <w:right w:w="51" w:type="dxa"/>
                  </w:tcMar>
                  <w:vAlign w:val="center"/>
                </w:tcPr>
                <w:p w14:paraId="6B355104">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电力线</w:t>
                  </w:r>
                </w:p>
              </w:tc>
              <w:tc>
                <w:tcPr>
                  <w:tcW w:w="1544" w:type="pct"/>
                  <w:noWrap w:val="0"/>
                  <w:tcMar>
                    <w:top w:w="0" w:type="dxa"/>
                    <w:left w:w="51" w:type="dxa"/>
                    <w:bottom w:w="0" w:type="dxa"/>
                    <w:right w:w="51" w:type="dxa"/>
                  </w:tcMar>
                  <w:vAlign w:val="center"/>
                </w:tcPr>
                <w:p w14:paraId="21D057CA">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跨</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35</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kV</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克利线</w:t>
                  </w:r>
                </w:p>
              </w:tc>
              <w:tc>
                <w:tcPr>
                  <w:tcW w:w="509" w:type="pct"/>
                  <w:noWrap w:val="0"/>
                  <w:tcMar>
                    <w:top w:w="0" w:type="dxa"/>
                    <w:left w:w="51" w:type="dxa"/>
                    <w:bottom w:w="0" w:type="dxa"/>
                    <w:right w:w="51" w:type="dxa"/>
                  </w:tcMar>
                  <w:vAlign w:val="center"/>
                </w:tcPr>
                <w:p w14:paraId="076940EF">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2027" w:type="pct"/>
                  <w:noWrap w:val="0"/>
                  <w:tcMar>
                    <w:top w:w="0" w:type="dxa"/>
                    <w:left w:w="51" w:type="dxa"/>
                    <w:bottom w:w="0" w:type="dxa"/>
                    <w:right w:w="51" w:type="dxa"/>
                  </w:tcMar>
                  <w:vAlign w:val="center"/>
                </w:tcPr>
                <w:p w14:paraId="7D0ECE31">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A13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A14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段线路</w:t>
                  </w:r>
                </w:p>
              </w:tc>
            </w:tr>
            <w:tr w14:paraId="2CC7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3DAD9EA4">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7E85758A">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钻11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kV</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木克</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线</w:t>
                  </w:r>
                </w:p>
              </w:tc>
              <w:tc>
                <w:tcPr>
                  <w:tcW w:w="509" w:type="pct"/>
                  <w:noWrap w:val="0"/>
                  <w:tcMar>
                    <w:top w:w="0" w:type="dxa"/>
                    <w:left w:w="51" w:type="dxa"/>
                    <w:bottom w:w="0" w:type="dxa"/>
                    <w:right w:w="51" w:type="dxa"/>
                  </w:tcMar>
                  <w:vAlign w:val="center"/>
                </w:tcPr>
                <w:p w14:paraId="580C2705">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2027" w:type="pct"/>
                  <w:noWrap w:val="0"/>
                  <w:tcMar>
                    <w:top w:w="0" w:type="dxa"/>
                    <w:left w:w="51" w:type="dxa"/>
                    <w:bottom w:w="0" w:type="dxa"/>
                    <w:right w:w="51" w:type="dxa"/>
                  </w:tcMar>
                  <w:vAlign w:val="center"/>
                </w:tcPr>
                <w:p w14:paraId="66DB1BBC">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A23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A24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段线路</w:t>
                  </w:r>
                </w:p>
              </w:tc>
            </w:tr>
            <w:tr w14:paraId="1FD4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0BF8C75B">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1652121E">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跨</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kV</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艾沁</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线</w:t>
                  </w:r>
                </w:p>
              </w:tc>
              <w:tc>
                <w:tcPr>
                  <w:tcW w:w="509" w:type="pct"/>
                  <w:noWrap w:val="0"/>
                  <w:tcMar>
                    <w:top w:w="0" w:type="dxa"/>
                    <w:left w:w="51" w:type="dxa"/>
                    <w:bottom w:w="0" w:type="dxa"/>
                    <w:right w:w="51" w:type="dxa"/>
                  </w:tcMar>
                  <w:vAlign w:val="center"/>
                </w:tcPr>
                <w:p w14:paraId="394115E5">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2027" w:type="pct"/>
                  <w:noWrap w:val="0"/>
                  <w:tcMar>
                    <w:top w:w="0" w:type="dxa"/>
                    <w:left w:w="51" w:type="dxa"/>
                    <w:bottom w:w="0" w:type="dxa"/>
                    <w:right w:w="51" w:type="dxa"/>
                  </w:tcMar>
                  <w:vAlign w:val="center"/>
                </w:tcPr>
                <w:p w14:paraId="7D4FBCD6">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A30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A31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段线路</w:t>
                  </w:r>
                </w:p>
              </w:tc>
            </w:tr>
            <w:tr w14:paraId="39FE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1D2CB80D">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77FFD90B">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钻</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kV</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木兰-朝阳地线路</w:t>
                  </w:r>
                </w:p>
              </w:tc>
              <w:tc>
                <w:tcPr>
                  <w:tcW w:w="509" w:type="pct"/>
                  <w:noWrap w:val="0"/>
                  <w:tcMar>
                    <w:top w:w="0" w:type="dxa"/>
                    <w:left w:w="51" w:type="dxa"/>
                    <w:bottom w:w="0" w:type="dxa"/>
                    <w:right w:w="51" w:type="dxa"/>
                  </w:tcMar>
                  <w:vAlign w:val="center"/>
                </w:tcPr>
                <w:p w14:paraId="3B6F46F9">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2027" w:type="pct"/>
                  <w:noWrap w:val="0"/>
                  <w:tcMar>
                    <w:top w:w="0" w:type="dxa"/>
                    <w:left w:w="51" w:type="dxa"/>
                    <w:bottom w:w="0" w:type="dxa"/>
                    <w:right w:w="51" w:type="dxa"/>
                  </w:tcMar>
                  <w:vAlign w:val="center"/>
                </w:tcPr>
                <w:p w14:paraId="1DE1C657">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A54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A55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段线路</w:t>
                  </w:r>
                </w:p>
              </w:tc>
            </w:tr>
            <w:tr w14:paraId="231B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6962994F">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6C439108">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钻220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kV</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艾甜</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线</w:t>
                  </w:r>
                </w:p>
              </w:tc>
              <w:tc>
                <w:tcPr>
                  <w:tcW w:w="509" w:type="pct"/>
                  <w:noWrap w:val="0"/>
                  <w:tcMar>
                    <w:top w:w="0" w:type="dxa"/>
                    <w:left w:w="51" w:type="dxa"/>
                    <w:bottom w:w="0" w:type="dxa"/>
                    <w:right w:w="51" w:type="dxa"/>
                  </w:tcMar>
                  <w:vAlign w:val="center"/>
                </w:tcPr>
                <w:p w14:paraId="2D9B736C">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2027" w:type="pct"/>
                  <w:noWrap w:val="0"/>
                  <w:tcMar>
                    <w:top w:w="0" w:type="dxa"/>
                    <w:left w:w="51" w:type="dxa"/>
                    <w:bottom w:w="0" w:type="dxa"/>
                    <w:right w:w="51" w:type="dxa"/>
                  </w:tcMar>
                  <w:vAlign w:val="center"/>
                </w:tcPr>
                <w:p w14:paraId="41982951">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A6</w:t>
                  </w:r>
                  <w:r>
                    <w:rPr>
                      <w:rFonts w:hint="eastAsia"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A67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段线路</w:t>
                  </w:r>
                </w:p>
              </w:tc>
            </w:tr>
            <w:tr w14:paraId="4E5F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510E2C20">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2F93AF44">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跨</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35</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kV</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朝郭线</w:t>
                  </w:r>
                </w:p>
              </w:tc>
              <w:tc>
                <w:tcPr>
                  <w:tcW w:w="509" w:type="pct"/>
                  <w:noWrap w:val="0"/>
                  <w:tcMar>
                    <w:top w:w="0" w:type="dxa"/>
                    <w:left w:w="51" w:type="dxa"/>
                    <w:bottom w:w="0" w:type="dxa"/>
                    <w:right w:w="51" w:type="dxa"/>
                  </w:tcMar>
                  <w:vAlign w:val="center"/>
                </w:tcPr>
                <w:p w14:paraId="0AEE3E08">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2027" w:type="pct"/>
                  <w:noWrap w:val="0"/>
                  <w:tcMar>
                    <w:top w:w="0" w:type="dxa"/>
                    <w:left w:w="51" w:type="dxa"/>
                    <w:bottom w:w="0" w:type="dxa"/>
                    <w:right w:w="51" w:type="dxa"/>
                  </w:tcMar>
                  <w:vAlign w:val="center"/>
                </w:tcPr>
                <w:p w14:paraId="4D79BD29">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A88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A89</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段线路</w:t>
                  </w:r>
                </w:p>
              </w:tc>
            </w:tr>
            <w:tr w14:paraId="6631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2919D82B">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0167D992">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跨</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kV</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线路</w:t>
                  </w:r>
                </w:p>
              </w:tc>
              <w:tc>
                <w:tcPr>
                  <w:tcW w:w="509" w:type="pct"/>
                  <w:noWrap w:val="0"/>
                  <w:tcMar>
                    <w:top w:w="0" w:type="dxa"/>
                    <w:left w:w="51" w:type="dxa"/>
                    <w:bottom w:w="0" w:type="dxa"/>
                    <w:right w:w="51" w:type="dxa"/>
                  </w:tcMar>
                  <w:vAlign w:val="center"/>
                </w:tcPr>
                <w:p w14:paraId="16328142">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w:t>
                  </w:r>
                </w:p>
              </w:tc>
              <w:tc>
                <w:tcPr>
                  <w:tcW w:w="2027" w:type="pct"/>
                  <w:noWrap w:val="0"/>
                  <w:tcMar>
                    <w:top w:w="0" w:type="dxa"/>
                    <w:left w:w="51" w:type="dxa"/>
                    <w:bottom w:w="0" w:type="dxa"/>
                    <w:right w:w="51" w:type="dxa"/>
                  </w:tcMar>
                  <w:vAlign w:val="center"/>
                </w:tcPr>
                <w:p w14:paraId="6BA7342A">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0B51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vMerge w:val="continue"/>
                  <w:noWrap w:val="0"/>
                  <w:tcMar>
                    <w:top w:w="0" w:type="dxa"/>
                    <w:left w:w="51" w:type="dxa"/>
                    <w:bottom w:w="0" w:type="dxa"/>
                    <w:right w:w="51" w:type="dxa"/>
                  </w:tcMar>
                  <w:vAlign w:val="center"/>
                </w:tcPr>
                <w:p w14:paraId="03A4E077">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44" w:type="pct"/>
                  <w:noWrap w:val="0"/>
                  <w:tcMar>
                    <w:top w:w="0" w:type="dxa"/>
                    <w:left w:w="51" w:type="dxa"/>
                    <w:bottom w:w="0" w:type="dxa"/>
                    <w:right w:w="51" w:type="dxa"/>
                  </w:tcMar>
                  <w:vAlign w:val="center"/>
                </w:tcPr>
                <w:p w14:paraId="02A7048F">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跨</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低压线、通信线</w:t>
                  </w:r>
                </w:p>
              </w:tc>
              <w:tc>
                <w:tcPr>
                  <w:tcW w:w="509" w:type="pct"/>
                  <w:noWrap w:val="0"/>
                  <w:tcMar>
                    <w:top w:w="0" w:type="dxa"/>
                    <w:left w:w="51" w:type="dxa"/>
                    <w:bottom w:w="0" w:type="dxa"/>
                    <w:right w:w="51" w:type="dxa"/>
                  </w:tcMar>
                  <w:vAlign w:val="center"/>
                </w:tcPr>
                <w:p w14:paraId="2B3C04C1">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p>
              </w:tc>
              <w:tc>
                <w:tcPr>
                  <w:tcW w:w="2027" w:type="pct"/>
                  <w:noWrap w:val="0"/>
                  <w:tcMar>
                    <w:top w:w="0" w:type="dxa"/>
                    <w:left w:w="51" w:type="dxa"/>
                    <w:bottom w:w="0" w:type="dxa"/>
                    <w:right w:w="51" w:type="dxa"/>
                  </w:tcMar>
                  <w:vAlign w:val="center"/>
                </w:tcPr>
                <w:p w14:paraId="32E377EF">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48DD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19" w:type="pct"/>
                  <w:noWrap w:val="0"/>
                  <w:tcMar>
                    <w:top w:w="0" w:type="dxa"/>
                    <w:left w:w="51" w:type="dxa"/>
                    <w:bottom w:w="0" w:type="dxa"/>
                    <w:right w:w="51" w:type="dxa"/>
                  </w:tcMar>
                  <w:vAlign w:val="center"/>
                </w:tcPr>
                <w:p w14:paraId="42401A8C">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河流</w:t>
                  </w:r>
                </w:p>
              </w:tc>
              <w:tc>
                <w:tcPr>
                  <w:tcW w:w="1544" w:type="pct"/>
                  <w:noWrap w:val="0"/>
                  <w:tcMar>
                    <w:top w:w="0" w:type="dxa"/>
                    <w:left w:w="51" w:type="dxa"/>
                    <w:bottom w:w="0" w:type="dxa"/>
                    <w:right w:w="51" w:type="dxa"/>
                  </w:tcMar>
                  <w:vAlign w:val="center"/>
                </w:tcPr>
                <w:p w14:paraId="1B1499F9">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西路嘎河</w:t>
                  </w:r>
                </w:p>
              </w:tc>
              <w:tc>
                <w:tcPr>
                  <w:tcW w:w="509" w:type="pct"/>
                  <w:noWrap w:val="0"/>
                  <w:tcMar>
                    <w:top w:w="0" w:type="dxa"/>
                    <w:left w:w="51" w:type="dxa"/>
                    <w:bottom w:w="0" w:type="dxa"/>
                    <w:right w:w="51" w:type="dxa"/>
                  </w:tcMar>
                  <w:vAlign w:val="center"/>
                </w:tcPr>
                <w:p w14:paraId="04EBD59E">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w:t>
                  </w:r>
                </w:p>
              </w:tc>
              <w:tc>
                <w:tcPr>
                  <w:tcW w:w="2027" w:type="pct"/>
                  <w:noWrap w:val="0"/>
                  <w:tcMar>
                    <w:top w:w="0" w:type="dxa"/>
                    <w:left w:w="51" w:type="dxa"/>
                    <w:bottom w:w="0" w:type="dxa"/>
                    <w:right w:w="51" w:type="dxa"/>
                  </w:tcMar>
                  <w:vAlign w:val="center"/>
                </w:tcPr>
                <w:p w14:paraId="67C14301">
                  <w:pPr>
                    <w:keepNext w:val="0"/>
                    <w:keepLines w:val="0"/>
                    <w:pageBreakBefore w:val="0"/>
                    <w:widowControl/>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w:t>
                  </w:r>
                  <w:r>
                    <w:rPr>
                      <w:rFonts w:hint="eastAsia" w:cs="Times New Roman"/>
                      <w:color w:val="000000" w:themeColor="text1"/>
                      <w:kern w:val="0"/>
                      <w:sz w:val="21"/>
                      <w:szCs w:val="21"/>
                      <w:highlight w:val="none"/>
                      <w:lang w:val="en-US" w:eastAsia="zh-CN"/>
                      <w14:textFill>
                        <w14:solidFill>
                          <w14:schemeClr w14:val="tx1"/>
                        </w14:solidFill>
                      </w14:textFill>
                    </w:rPr>
                    <w:t>74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w:t>
                  </w:r>
                  <w:r>
                    <w:rPr>
                      <w:rFonts w:hint="eastAsia" w:cs="Times New Roman"/>
                      <w:color w:val="000000" w:themeColor="text1"/>
                      <w:kern w:val="0"/>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段线路</w:t>
                  </w:r>
                </w:p>
              </w:tc>
            </w:tr>
          </w:tbl>
          <w:p w14:paraId="42437A9C">
            <w:pPr>
              <w:pStyle w:val="82"/>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本项目参考《110kV~750kV架空输电线路设计规范》（GB50545-2010），在最大计算弧垂情况下，导线对地面的最小距离应符合下表规定值。</w:t>
            </w:r>
          </w:p>
          <w:p w14:paraId="475A4A01">
            <w:pPr>
              <w:pStyle w:val="82"/>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表2-3  项目导线对地最小距离一览表</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4221"/>
            </w:tblGrid>
            <w:tr w14:paraId="4504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7" w:type="pct"/>
                  <w:vAlign w:val="center"/>
                </w:tcPr>
                <w:p w14:paraId="32CEEC31">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线路经过地区</w:t>
                  </w:r>
                </w:p>
              </w:tc>
              <w:tc>
                <w:tcPr>
                  <w:tcW w:w="2692" w:type="pct"/>
                  <w:vAlign w:val="center"/>
                </w:tcPr>
                <w:p w14:paraId="1E250233">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最小距离（m）</w:t>
                  </w:r>
                </w:p>
              </w:tc>
            </w:tr>
            <w:tr w14:paraId="291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7" w:type="pct"/>
                  <w:vAlign w:val="center"/>
                </w:tcPr>
                <w:p w14:paraId="5A110A62">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居民区</w:t>
                  </w:r>
                </w:p>
              </w:tc>
              <w:tc>
                <w:tcPr>
                  <w:tcW w:w="2692" w:type="pct"/>
                  <w:vAlign w:val="center"/>
                </w:tcPr>
                <w:p w14:paraId="0DEFF161">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7.0</w:t>
                  </w:r>
                </w:p>
              </w:tc>
            </w:tr>
            <w:tr w14:paraId="0473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7" w:type="pct"/>
                  <w:vAlign w:val="center"/>
                </w:tcPr>
                <w:p w14:paraId="1A62CC62">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非居民区</w:t>
                  </w:r>
                </w:p>
              </w:tc>
              <w:tc>
                <w:tcPr>
                  <w:tcW w:w="2692" w:type="pct"/>
                  <w:vAlign w:val="center"/>
                </w:tcPr>
                <w:p w14:paraId="31ABC6AA">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6.0</w:t>
                  </w:r>
                </w:p>
              </w:tc>
            </w:tr>
            <w:tr w14:paraId="4F68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7" w:type="pct"/>
                  <w:vAlign w:val="center"/>
                </w:tcPr>
                <w:p w14:paraId="43527429">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交通困难地区</w:t>
                  </w:r>
                </w:p>
              </w:tc>
              <w:tc>
                <w:tcPr>
                  <w:tcW w:w="2692" w:type="pct"/>
                  <w:vAlign w:val="center"/>
                </w:tcPr>
                <w:p w14:paraId="600B4633">
                  <w:pPr>
                    <w:pStyle w:val="8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5.5</w:t>
                  </w:r>
                </w:p>
              </w:tc>
            </w:tr>
          </w:tbl>
          <w:p w14:paraId="2A69287B">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（9）塔型选择</w:t>
            </w:r>
          </w:p>
          <w:p w14:paraId="0297EEC3">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本项目共新建</w:t>
            </w:r>
            <w:r>
              <w:rPr>
                <w:rFonts w:hint="eastAsia"/>
                <w:color w:val="000000" w:themeColor="text1"/>
                <w:sz w:val="24"/>
                <w:highlight w:val="none"/>
                <w:lang w:val="en-US" w:eastAsia="zh-CN"/>
                <w14:textFill>
                  <w14:solidFill>
                    <w14:schemeClr w14:val="tx1"/>
                  </w14:solidFill>
                </w14:textFill>
              </w:rPr>
              <w:t>新建角钢塔87基、钢管杆1基，其中单回路耐张塔44基，单回路直线塔43基。</w:t>
            </w:r>
          </w:p>
          <w:p w14:paraId="20AAC011">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本项目杆塔塔型及参数见下表。</w:t>
            </w:r>
          </w:p>
          <w:p w14:paraId="59CC70EC">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themeColor="text1"/>
                <w:kern w:val="0"/>
                <w:sz w:val="24"/>
                <w:highlight w:val="none"/>
                <w:lang w:val="en-US" w:eastAsia="zh-CN"/>
                <w14:textFill>
                  <w14:solidFill>
                    <w14:schemeClr w14:val="tx1"/>
                  </w14:solidFill>
                </w14:textFill>
              </w:rPr>
            </w:pPr>
          </w:p>
          <w:p w14:paraId="6613096C">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p w14:paraId="1198F771">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p w14:paraId="19486AB0">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p w14:paraId="5089F9FE">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p w14:paraId="1D680ABD">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p w14:paraId="31643843">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p w14:paraId="508C7AC6">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p w14:paraId="746C24F2">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000000" w:themeColor="text1"/>
                <w:highlight w:val="none"/>
                <w14:textFill>
                  <w14:solidFill>
                    <w14:schemeClr w14:val="tx1"/>
                  </w14:solidFill>
                </w14:textFill>
              </w:rPr>
            </w:pPr>
          </w:p>
        </w:tc>
      </w:tr>
    </w:tbl>
    <w:p w14:paraId="1F307DE8">
      <w:pPr>
        <w:rPr>
          <w:color w:val="000000" w:themeColor="text1"/>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261D79D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cs="Times New Roman"/>
          <w:b/>
          <w:bCs/>
          <w:color w:val="000000" w:themeColor="text1"/>
          <w:kern w:val="0"/>
          <w:sz w:val="21"/>
          <w:szCs w:val="21"/>
          <w:highlight w:val="none"/>
          <w:lang w:val="en-US" w:eastAsia="zh-CN"/>
          <w14:textFill>
            <w14:solidFill>
              <w14:schemeClr w14:val="tx1"/>
            </w14:solidFill>
          </w14:textFill>
        </w:rPr>
      </w:pPr>
      <w:r>
        <w:rPr>
          <w:rFonts w:hint="eastAsia" w:cs="Times New Roman"/>
          <w:b/>
          <w:bCs/>
          <w:color w:val="000000" w:themeColor="text1"/>
          <w:kern w:val="0"/>
          <w:sz w:val="21"/>
          <w:szCs w:val="21"/>
          <w:highlight w:val="none"/>
          <w:lang w:val="en-US" w:eastAsia="zh-CN"/>
          <w14:textFill>
            <w14:solidFill>
              <w14:schemeClr w14:val="tx1"/>
            </w14:solidFill>
          </w14:textFill>
        </w:rPr>
        <w:t>表2-4  项目杆塔塔型及参数一览表</w:t>
      </w:r>
    </w:p>
    <w:p w14:paraId="2B0A4A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bCs/>
          <w:color w:val="000000" w:themeColor="text1"/>
          <w:kern w:val="0"/>
          <w:sz w:val="21"/>
          <w:szCs w:val="21"/>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drawing>
          <wp:inline distT="0" distB="0" distL="114300" distR="114300">
            <wp:extent cx="6813550" cy="5491480"/>
            <wp:effectExtent l="0" t="0" r="6350" b="1397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4"/>
                    <a:srcRect b="5849"/>
                    <a:stretch>
                      <a:fillRect/>
                    </a:stretch>
                  </pic:blipFill>
                  <pic:spPr>
                    <a:xfrm>
                      <a:off x="0" y="0"/>
                      <a:ext cx="6813550" cy="5491480"/>
                    </a:xfrm>
                    <a:prstGeom prst="rect">
                      <a:avLst/>
                    </a:prstGeom>
                    <a:noFill/>
                    <a:ln w="9525">
                      <a:noFill/>
                    </a:ln>
                  </pic:spPr>
                </pic:pic>
              </a:graphicData>
            </a:graphic>
          </wp:inline>
        </w:drawing>
      </w:r>
    </w:p>
    <w:p w14:paraId="27F23864">
      <w:pPr>
        <w:rPr>
          <w:color w:val="000000" w:themeColor="text1"/>
          <w:highlight w:val="none"/>
          <w14:textFill>
            <w14:solidFill>
              <w14:schemeClr w14:val="tx1"/>
            </w14:solidFill>
          </w14:textFill>
        </w:rPr>
        <w:sectPr>
          <w:pgSz w:w="16838" w:h="11906" w:orient="landscape"/>
          <w:pgMar w:top="1349" w:right="1440" w:bottom="1349"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58E03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67" w:type="pct"/>
            <w:noWrap w:val="0"/>
            <w:vAlign w:val="center"/>
          </w:tcPr>
          <w:p w14:paraId="761EEBB7">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项目组成及规模</w:t>
            </w:r>
          </w:p>
        </w:tc>
        <w:tc>
          <w:tcPr>
            <w:tcW w:w="4732" w:type="pct"/>
            <w:noWrap w:val="0"/>
            <w:vAlign w:val="center"/>
          </w:tcPr>
          <w:p w14:paraId="1D341F37">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（10）工程占地</w:t>
            </w:r>
          </w:p>
          <w:p w14:paraId="50457139">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
                <w:sz w:val="24"/>
                <w:szCs w:val="24"/>
                <w:highlight w:val="none"/>
                <w:lang w:val="en-US" w:eastAsia="zh-CN" w:bidi="ar-SA"/>
                <w14:textFill>
                  <w14:solidFill>
                    <w14:schemeClr w14:val="tx1"/>
                  </w14:solidFill>
                </w14:textFill>
              </w:rPr>
              <w:t>根据本项目水土保持方案报告表，项目永久占地面积约为73</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，临时占地面积约为402</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7F3D7047">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1）永久占地</w:t>
            </w:r>
          </w:p>
          <w:p w14:paraId="3FA120F7">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全线共</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新</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建</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角钢塔87基、钢管杆1基</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塔基永久占地面积约为73</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0DC63B9B">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2）临时占地</w:t>
            </w:r>
          </w:p>
          <w:p w14:paraId="1D2121B0">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
                <w:sz w:val="24"/>
                <w:szCs w:val="24"/>
                <w:highlight w:val="none"/>
                <w:lang w:val="en-US" w:eastAsia="zh-CN" w:bidi="ar-SA"/>
                <w14:textFill>
                  <w14:solidFill>
                    <w14:schemeClr w14:val="tx1"/>
                  </w14:solidFill>
                </w14:textFill>
              </w:rPr>
              <w:t>本</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施工人员租住周边村民用房，施工现场不单独设置施工营地。</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项目施工临时占地主要包括塔基施工区、牵张场地及施工便道占地。</w:t>
            </w:r>
          </w:p>
          <w:p w14:paraId="799B0EAE">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
                <w:sz w:val="24"/>
                <w:szCs w:val="24"/>
                <w:highlight w:val="none"/>
                <w:lang w:val="en-US" w:eastAsia="zh-CN" w:bidi="ar-SA"/>
                <w14:textFill>
                  <w14:solidFill>
                    <w14:schemeClr w14:val="tx1"/>
                  </w14:solidFill>
                </w14:textFill>
              </w:rPr>
              <w:t>①</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塔基施工区</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：总</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占地</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面积约135</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33738D78">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牵张场地：本项目</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在110kV升压站内，A13、A24、A39、A47、A51、A70、A74、A78号塔基附近及220kV升压站内各设置1处牵张场地，共</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设置</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处牵张场地，</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总</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占地</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面积约6</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6A90644C">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
                <w:sz w:val="24"/>
                <w:szCs w:val="24"/>
                <w:highlight w:val="none"/>
                <w:lang w:val="en-US" w:eastAsia="zh-CN" w:bidi="ar-SA"/>
                <w14:textFill>
                  <w14:solidFill>
                    <w14:schemeClr w14:val="tx1"/>
                  </w14:solidFill>
                </w14:textFill>
              </w:rPr>
              <w:t>③</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施工</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便道：主要</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利用机耕路等现有道路，在无现有道路可利用的情况下，需开辟新的进场道路。本项目新建施工</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便道</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宽约</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m，总长度约</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6.9k</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总占地面积约207</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00m</w:t>
            </w:r>
            <w:r>
              <w:rPr>
                <w:rFonts w:hint="eastAsia"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5392D411">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综上所述，本项目塔基永久占地</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73</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施工</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临时占地</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402</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1FEB6598">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（11）土石方量</w:t>
            </w:r>
          </w:p>
          <w:p w14:paraId="1EE370F1">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
                <w:sz w:val="24"/>
                <w:szCs w:val="24"/>
                <w:highlight w:val="none"/>
                <w:lang w:val="en-US" w:eastAsia="zh-CN" w:bidi="ar-SA"/>
                <w14:textFill>
                  <w14:solidFill>
                    <w14:schemeClr w14:val="tx1"/>
                  </w14:solidFill>
                </w14:textFill>
              </w:rPr>
              <w:t>根据本项目水土保持方案报告表，</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项目线路建设期土石方挖填总量为4.31万m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，其中挖方总量2.21万m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（含表土0.76万m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），填方总量2.10万m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（含表土0.76万m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），余方0.11万m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，余方全部平铺于塔基占地范围内</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无弃方产生。</w:t>
            </w:r>
          </w:p>
          <w:p w14:paraId="49A956C2">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（12）劳动定员</w:t>
            </w:r>
          </w:p>
          <w:p w14:paraId="65EA8829">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运营期线路巡检依托风电场区工作人员，不新增劳动定员</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4A98C772">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（13）给排水</w:t>
            </w:r>
          </w:p>
          <w:p w14:paraId="70E92DD2">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施工期用水从附近村庄</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拉运；运营</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期不涉及用水。</w:t>
            </w:r>
          </w:p>
          <w:p w14:paraId="46338C14">
            <w:pPr>
              <w:keepNext w:val="0"/>
              <w:keepLines w:val="0"/>
              <w:pageBreakBefore w:val="0"/>
              <w:widowControl/>
              <w:numPr>
                <w:ilvl w:val="0"/>
                <w:numId w:val="4"/>
              </w:numPr>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主要经济技术指标</w:t>
            </w:r>
          </w:p>
          <w:p w14:paraId="4D172E61">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本工程总投资约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4500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万元，其中环保投资约</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138</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万元，约占总投资的</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3.07</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0FAFADDF">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p>
          <w:p w14:paraId="6C0C23B3">
            <w:pPr>
              <w:pStyle w:val="82"/>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p>
        </w:tc>
      </w:tr>
      <w:tr w14:paraId="65513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7" w:type="pct"/>
            <w:noWrap w:val="0"/>
            <w:vAlign w:val="center"/>
          </w:tcPr>
          <w:p w14:paraId="2BA00526">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总平面及现场布置</w:t>
            </w:r>
          </w:p>
        </w:tc>
        <w:tc>
          <w:tcPr>
            <w:tcW w:w="4732" w:type="pct"/>
            <w:noWrap w:val="0"/>
            <w:vAlign w:val="center"/>
          </w:tcPr>
          <w:p w14:paraId="520B394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1、施工</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平面布置</w:t>
            </w:r>
          </w:p>
          <w:p w14:paraId="2387F7B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本项目租住附近民房，不设置施工营地，不设置取土场、弃土场。</w:t>
            </w:r>
          </w:p>
          <w:p w14:paraId="1B90321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铁塔塔基施工区、施工临时道路布置在塔基周边；牵张场地共</w:t>
            </w:r>
            <w:r>
              <w:rPr>
                <w:rFonts w:hint="eastAsia" w:cs="Times New Roman"/>
                <w:b w:val="0"/>
                <w:bCs w:val="0"/>
                <w:color w:val="000000" w:themeColor="text1"/>
                <w:sz w:val="24"/>
                <w:highlight w:val="none"/>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处，</w:t>
            </w:r>
            <w:r>
              <w:rPr>
                <w:rFonts w:hint="eastAsia" w:cs="Times New Roman"/>
                <w:b w:val="0"/>
                <w:bCs w:val="0"/>
                <w:color w:val="000000" w:themeColor="text1"/>
                <w:sz w:val="24"/>
                <w:highlight w:val="none"/>
                <w:lang w:val="en-US" w:eastAsia="zh-CN"/>
                <w14:textFill>
                  <w14:solidFill>
                    <w14:schemeClr w14:val="tx1"/>
                  </w14:solidFill>
                </w14:textFill>
              </w:rPr>
              <w:t>其中110kV升压站及220kV升压站内各1处，其他8处</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沿输电线路布置</w:t>
            </w:r>
            <w:r>
              <w:rPr>
                <w:rFonts w:hint="eastAsia" w:cs="Times New Roman"/>
                <w:b w:val="0"/>
                <w:b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铁塔塔基施工区、</w:t>
            </w:r>
            <w:r>
              <w:rPr>
                <w:rFonts w:hint="eastAsia" w:cs="Times New Roman"/>
                <w:b w:val="0"/>
                <w:bCs w:val="0"/>
                <w:color w:val="000000" w:themeColor="text1"/>
                <w:sz w:val="24"/>
                <w:highlight w:val="none"/>
                <w:lang w:val="en-US" w:eastAsia="zh-CN"/>
                <w14:textFill>
                  <w14:solidFill>
                    <w14:schemeClr w14:val="tx1"/>
                  </w14:solidFill>
                </w14:textFill>
              </w:rPr>
              <w:t>施工临时道路、</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牵张场地</w:t>
            </w:r>
            <w:r>
              <w:rPr>
                <w:rFonts w:hint="eastAsia" w:cs="Times New Roman"/>
                <w:b w:val="0"/>
                <w:bCs w:val="0"/>
                <w:color w:val="000000" w:themeColor="text1"/>
                <w:sz w:val="24"/>
                <w:highlight w:val="none"/>
                <w:lang w:val="en-US" w:eastAsia="zh-CN"/>
                <w14:textFill>
                  <w14:solidFill>
                    <w14:schemeClr w14:val="tx1"/>
                  </w14:solidFill>
                </w14:textFill>
              </w:rPr>
              <w:t>等</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均远离河道、环境敏感区布置。</w:t>
            </w:r>
          </w:p>
          <w:p w14:paraId="32FB57D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本项目牵张场地位置见附图17。</w:t>
            </w:r>
          </w:p>
          <w:p w14:paraId="0C45E99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2、11</w:t>
            </w:r>
            <w:r>
              <w:rPr>
                <w:rFonts w:hint="default" w:ascii="Times New Roman" w:hAnsi="Times New Roman" w:eastAsia="宋体" w:cs="Times New Roman"/>
                <w:b/>
                <w:bCs/>
                <w:color w:val="000000" w:themeColor="text1"/>
                <w:sz w:val="24"/>
                <w:highlight w:val="none"/>
                <w14:textFill>
                  <w14:solidFill>
                    <w14:schemeClr w14:val="tx1"/>
                  </w14:solidFill>
                </w14:textFill>
              </w:rPr>
              <w:t>0kV</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送出</w:t>
            </w:r>
            <w:r>
              <w:rPr>
                <w:rFonts w:hint="default" w:ascii="Times New Roman" w:hAnsi="Times New Roman" w:eastAsia="宋体" w:cs="Times New Roman"/>
                <w:b/>
                <w:bCs/>
                <w:color w:val="000000" w:themeColor="text1"/>
                <w:sz w:val="24"/>
                <w:highlight w:val="none"/>
                <w14:textFill>
                  <w14:solidFill>
                    <w14:schemeClr w14:val="tx1"/>
                  </w14:solidFill>
                </w14:textFill>
              </w:rPr>
              <w:t>线路总平面布置</w:t>
            </w:r>
          </w:p>
          <w:p w14:paraId="56D98A5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本项目位于承德市围场满族蒙古族自治县，</w:t>
            </w:r>
            <w:r>
              <w:rPr>
                <w:rFonts w:hint="eastAsia"/>
                <w:color w:val="000000" w:themeColor="text1"/>
                <w:sz w:val="24"/>
                <w:highlight w:val="none"/>
                <w:lang w:val="en-US" w:eastAsia="zh-CN"/>
                <w14:textFill>
                  <w14:solidFill>
                    <w14:schemeClr w14:val="tx1"/>
                  </w14:solidFill>
                </w14:textFill>
              </w:rPr>
              <w:t>新建110kV线路长度约29.033km，起于围场县200MW风电储新能源项目110kV升压站，止于围场县200MW风电储新能源项目220kV升压站，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整体呈东南向西北走向，线路途径克勒沟镇、银窝沟乡、杨家湾乡、朝阳湾镇。</w:t>
            </w:r>
          </w:p>
          <w:p w14:paraId="634C0E9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项目输电线路路径图见附图2。</w:t>
            </w:r>
          </w:p>
        </w:tc>
      </w:tr>
      <w:tr w14:paraId="3F718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67" w:type="pct"/>
            <w:noWrap w:val="0"/>
            <w:vAlign w:val="center"/>
          </w:tcPr>
          <w:p w14:paraId="545008B6">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施工方案</w:t>
            </w:r>
          </w:p>
        </w:tc>
        <w:tc>
          <w:tcPr>
            <w:tcW w:w="4732" w:type="pct"/>
            <w:noWrap w:val="0"/>
            <w:vAlign w:val="top"/>
          </w:tcPr>
          <w:p w14:paraId="0375B33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本项目输电线路铁塔部分已建设，架空线路部分已敷设，</w:t>
            </w:r>
            <w:r>
              <w:rPr>
                <w:rFonts w:hint="eastAsia" w:cs="Times New Roman"/>
                <w:b w:val="0"/>
                <w:bCs w:val="0"/>
                <w:color w:val="000000" w:themeColor="text1"/>
                <w:kern w:val="0"/>
                <w:sz w:val="24"/>
                <w:highlight w:val="none"/>
                <w:lang w:val="en-US" w:eastAsia="zh-CN"/>
                <w14:textFill>
                  <w14:solidFill>
                    <w14:schemeClr w14:val="tx1"/>
                  </w14:solidFill>
                </w14:textFill>
              </w:rPr>
              <w:t>但处于建设阶段，且主动停止建设。</w:t>
            </w:r>
            <w:r>
              <w:rPr>
                <w:rFonts w:hint="eastAsia" w:cs="Times New Roman"/>
                <w:b w:val="0"/>
                <w:bCs w:val="0"/>
                <w:color w:val="000000" w:themeColor="text1"/>
                <w:sz w:val="24"/>
                <w:szCs w:val="24"/>
                <w:highlight w:val="none"/>
                <w:lang w:val="en-US" w:eastAsia="zh-CN"/>
                <w14:textFill>
                  <w14:solidFill>
                    <w14:schemeClr w14:val="tx1"/>
                  </w14:solidFill>
                </w14:textFill>
              </w:rPr>
              <w:t>本次评价对输电线路施工进行回顾性分析。</w:t>
            </w:r>
          </w:p>
          <w:p w14:paraId="688A57FA">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baseline"/>
              <w:rPr>
                <w:rFonts w:hint="default" w:ascii="Times New Roman" w:hAnsi="Times New Roman" w:eastAsia="宋体" w:cs="Times New Roman"/>
                <w:b/>
                <w:bCs/>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1</w:t>
            </w:r>
            <w:r>
              <w:rPr>
                <w:rFonts w:hint="default" w:ascii="Times New Roman" w:hAnsi="Times New Roman" w:eastAsia="宋体" w:cs="Times New Roman"/>
                <w:b/>
                <w:bCs/>
                <w:color w:val="000000" w:themeColor="text1"/>
                <w:spacing w:val="-1"/>
                <w:sz w:val="24"/>
                <w:szCs w:val="24"/>
                <w:highlight w:val="none"/>
                <w14:textFill>
                  <w14:solidFill>
                    <w14:schemeClr w14:val="tx1"/>
                  </w14:solidFill>
                </w14:textFill>
              </w:rPr>
              <w:t>、施工工艺和方法</w:t>
            </w:r>
          </w:p>
          <w:p w14:paraId="6B70D04D">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本项目送出线路全线采用单回</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架空线路</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，线路路径全长29.</w:t>
            </w:r>
            <w:r>
              <w:rPr>
                <w:rFonts w:hint="eastAsia" w:cs="Times New Roman"/>
                <w:color w:val="000000" w:themeColor="text1"/>
                <w:spacing w:val="-1"/>
                <w:sz w:val="24"/>
                <w:szCs w:val="24"/>
                <w:highlight w:val="none"/>
                <w:lang w:val="en-US" w:eastAsia="zh-CN"/>
                <w14:textFill>
                  <w14:solidFill>
                    <w14:schemeClr w14:val="tx1"/>
                  </w14:solidFill>
                </w14:textFill>
              </w:rPr>
              <w:t>033</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km。项目架空线路施工工艺流程如下。</w:t>
            </w:r>
          </w:p>
          <w:p w14:paraId="7C6744E4">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塔基施工</w:t>
            </w:r>
          </w:p>
          <w:p w14:paraId="23BF8883">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本项目杆塔建设所使用材料采用汽车运输方式运送到施工处附近。线路全线采用常规基础。施工用混凝土均为外购商品混凝土，不在现场进行搅拌。</w:t>
            </w:r>
          </w:p>
          <w:p w14:paraId="55F030F5">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组塔施工</w:t>
            </w:r>
          </w:p>
          <w:p w14:paraId="4FD490C2">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杆塔组立分为整体组立和分解组立两大类。采用整体组立杆塔施工工艺，须先在地面对杆塔进行整体组装，从而减少高空作业，提高施工效率，并且有利于安全作业，提高经济效益。但整体组立杆塔容易受地形条件、铁塔型式和起吊设备的限制，此种情况下，可采用杆塔分解组立的施工方法。本项目杆塔在建设过程中，根据具体杆塔所处的地形条件和杆塔型式采用适宜的施工方法。</w:t>
            </w:r>
          </w:p>
          <w:p w14:paraId="1A4EF1DF">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架线施工</w:t>
            </w:r>
          </w:p>
          <w:p w14:paraId="3254D78D">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各线路导、地线均采用张力放线施工方法，防止在放线过程中导、地线落地拖拉及相互摩擦。采用张力放线施工时需设置牵张场地，一般利用当地道路；当塔位离施工道路较远或不能满足要求时，根据工程实际情况设置牵张设备、布置导线及施工操作等要求，在施工结束后，牵张场地等临时占地恢复</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原有</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使用功能。</w:t>
            </w:r>
          </w:p>
          <w:p w14:paraId="79A17988">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本项目输电线路架线施工将跨越各类基础设施，主要包括：电力线、通信线等。项目架线采用张力放线施工方法，张力架线全过程中导(地)线是架空状态的，一旦发生张力失控，导(地)线将落至被跨越设施，从而对被跨越设施产生影响。因此，目前跨越架线施工一般采用跨越架施工方式，通过在被跨越设施两侧设立跨越架，跨越架之间架设承力索，通过承力索进行封顶网安装，有效遮护被跨越物，起到保护被跨越物作用。应用跨越架的结构形式有：木(竹)质结构跨越架、悬索式跨越架。</w:t>
            </w:r>
          </w:p>
          <w:p w14:paraId="08773883">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I.木(竹)质结构跨越架</w:t>
            </w:r>
          </w:p>
          <w:p w14:paraId="48328A5E">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用经纬仪测出线路与被跨越设施交叉的中心点，定出两侧跨越架的设置位置。跨越架横向中心线必须在线路的中心线上。于指定地点安装木(竹)质结构跨越架，跨越架体搭设完成后，用钢丝绳连接成一体加强跨越架的稳定性，同时钢丝绳作为封顶网的承力索。在承托线上铺封顶网(麻绳或尼龙绳编织)并作为展放导地线的滑道。跨越架线完成后，及时拆除跨越架。</w:t>
            </w:r>
          </w:p>
          <w:p w14:paraId="3B64117F">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II.悬索式跨越架</w:t>
            </w:r>
          </w:p>
          <w:p w14:paraId="21718D92">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主要是利用被跨越设施两侧跨越塔做支撑，在两塔之间架设承力索，通过承力索进行封顶网安装有效遮护被跨越物，起到保护被跨越物作用。</w:t>
            </w:r>
          </w:p>
          <w:p w14:paraId="4FCFB5D2">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线路工程跨越施工时，应对被跨越设施进行现场调查，了解跨越地形条件、跨越设施的位置、跨越物的重要程度等内容，选用合适的跨越方式进行施工，不会对跨越设施产生影响。</w:t>
            </w:r>
          </w:p>
          <w:p w14:paraId="3BB62B73">
            <w:pPr>
              <w:keepNext w:val="0"/>
              <w:keepLines w:val="0"/>
              <w:pageBreakBefore w:val="0"/>
              <w:widowControl w:val="0"/>
              <w:kinsoku/>
              <w:wordWrap/>
              <w:overflowPunct/>
              <w:topLinePunct w:val="0"/>
              <w:autoSpaceDE/>
              <w:autoSpaceDN/>
              <w:bidi w:val="0"/>
              <w:adjustRightInd w:val="0"/>
              <w:spacing w:line="440" w:lineRule="exact"/>
              <w:ind w:firstLine="476" w:firstLineChars="200"/>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线路施工流程见下图。</w:t>
            </w:r>
          </w:p>
          <w:p w14:paraId="0017F112">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rPr>
                <w:rFonts w:hint="eastAsia" w:ascii="Times New Roman" w:hAnsi="Times New Roman" w:eastAsia="宋体" w:cs="Times New Roman"/>
                <w:color w:val="000000" w:themeColor="text1"/>
                <w:spacing w:val="-1"/>
                <w:sz w:val="24"/>
                <w:szCs w:val="24"/>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562475" cy="174307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4562475" cy="1743075"/>
                          </a:xfrm>
                          <a:prstGeom prst="rect">
                            <a:avLst/>
                          </a:prstGeom>
                          <a:noFill/>
                          <a:ln>
                            <a:noFill/>
                          </a:ln>
                        </pic:spPr>
                      </pic:pic>
                    </a:graphicData>
                  </a:graphic>
                </wp:inline>
              </w:drawing>
            </w:r>
          </w:p>
          <w:p w14:paraId="03BF50F3">
            <w:pPr>
              <w:keepNext w:val="0"/>
              <w:keepLines w:val="0"/>
              <w:pageBreakBefore w:val="0"/>
              <w:widowControl w:val="0"/>
              <w:kinsoku/>
              <w:wordWrap/>
              <w:overflowPunct/>
              <w:topLinePunct w:val="0"/>
              <w:autoSpaceDE/>
              <w:autoSpaceDN/>
              <w:bidi w:val="0"/>
              <w:adjustRightInd w:val="0"/>
              <w:snapToGrid/>
              <w:spacing w:line="420" w:lineRule="exact"/>
              <w:ind w:firstLine="418" w:firstLineChars="200"/>
              <w:jc w:val="center"/>
              <w:textAlignment w:val="baseline"/>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图2-</w:t>
            </w:r>
            <w:r>
              <w:rPr>
                <w:rFonts w:hint="eastAsia" w:cs="Times New Roman"/>
                <w:b/>
                <w:bCs/>
                <w:color w:val="000000" w:themeColor="text1"/>
                <w:spacing w:val="-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 xml:space="preserve">  架空线路施工流程图</w:t>
            </w:r>
          </w:p>
          <w:p w14:paraId="217A76E2">
            <w:pPr>
              <w:keepNext w:val="0"/>
              <w:keepLines w:val="0"/>
              <w:pageBreakBefore w:val="0"/>
              <w:widowControl w:val="0"/>
              <w:kinsoku/>
              <w:wordWrap/>
              <w:overflowPunct/>
              <w:topLinePunct w:val="0"/>
              <w:autoSpaceDE/>
              <w:autoSpaceDN/>
              <w:bidi w:val="0"/>
              <w:adjustRightInd w:val="0"/>
              <w:snapToGrid/>
              <w:spacing w:line="420" w:lineRule="exact"/>
              <w:ind w:firstLine="478" w:firstLineChars="200"/>
              <w:textAlignment w:val="baseline"/>
              <w:rPr>
                <w:rFonts w:hint="default" w:ascii="Times New Roman" w:hAnsi="Times New Roman" w:eastAsia="宋体" w:cs="Times New Roman"/>
                <w:b/>
                <w:bCs/>
                <w:color w:val="000000" w:themeColor="text1"/>
                <w:spacing w:val="-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1"/>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1"/>
                <w:sz w:val="24"/>
                <w:szCs w:val="24"/>
                <w:highlight w:val="none"/>
                <w14:textFill>
                  <w14:solidFill>
                    <w14:schemeClr w14:val="tx1"/>
                  </w14:solidFill>
                </w14:textFill>
              </w:rPr>
              <w:t>施工时序及建设周期</w:t>
            </w:r>
          </w:p>
          <w:p w14:paraId="5FE8881D">
            <w:pPr>
              <w:keepNext w:val="0"/>
              <w:keepLines w:val="0"/>
              <w:pageBreakBefore w:val="0"/>
              <w:widowControl w:val="0"/>
              <w:kinsoku/>
              <w:wordWrap/>
              <w:overflowPunct/>
              <w:topLinePunct w:val="0"/>
              <w:autoSpaceDE/>
              <w:autoSpaceDN/>
              <w:bidi w:val="0"/>
              <w:adjustRightInd w:val="0"/>
              <w:snapToGrid/>
              <w:spacing w:line="420" w:lineRule="exact"/>
              <w:ind w:firstLine="476" w:firstLineChars="200"/>
              <w:textAlignment w:val="baseline"/>
              <w:rPr>
                <w:rFonts w:hint="eastAsia" w:cs="Times New Roman"/>
                <w:color w:val="000000" w:themeColor="text1"/>
                <w:spacing w:val="-1"/>
                <w:sz w:val="24"/>
                <w:szCs w:val="24"/>
                <w:highlight w:val="none"/>
                <w:lang w:val="en-US" w:eastAsia="zh-CN"/>
                <w14:textFill>
                  <w14:solidFill>
                    <w14:schemeClr w14:val="tx1"/>
                  </w14:solidFill>
                </w14:textFill>
              </w:rPr>
            </w:pPr>
            <w:r>
              <w:rPr>
                <w:rFonts w:hint="eastAsia" w:cs="Times New Roman"/>
                <w:color w:val="000000" w:themeColor="text1"/>
                <w:spacing w:val="-1"/>
                <w:sz w:val="24"/>
                <w:szCs w:val="24"/>
                <w:highlight w:val="none"/>
                <w:lang w:val="en-US" w:eastAsia="zh-CN"/>
                <w14:textFill>
                  <w14:solidFill>
                    <w14:schemeClr w14:val="tx1"/>
                  </w14:solidFill>
                </w14:textFill>
              </w:rPr>
              <w:t>施工期</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建设内容主要包括施工准备、塔基施工、组塔施工、架线施工、等。</w:t>
            </w:r>
            <w:r>
              <w:rPr>
                <w:rFonts w:hint="eastAsia" w:cs="Times New Roman"/>
                <w:color w:val="000000" w:themeColor="text1"/>
                <w:spacing w:val="-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建设周期为</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个</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月</w:t>
            </w:r>
            <w:r>
              <w:rPr>
                <w:rFonts w:hint="eastAsia" w:cs="Times New Roman"/>
                <w:color w:val="000000" w:themeColor="text1"/>
                <w:spacing w:val="-1"/>
                <w:sz w:val="24"/>
                <w:szCs w:val="24"/>
                <w:highlight w:val="none"/>
                <w:lang w:eastAsia="zh-CN"/>
                <w14:textFill>
                  <w14:solidFill>
                    <w14:schemeClr w14:val="tx1"/>
                  </w14:solidFill>
                </w14:textFill>
              </w:rPr>
              <w:t>，</w:t>
            </w:r>
            <w:r>
              <w:rPr>
                <w:rFonts w:hint="eastAsia" w:cs="Times New Roman"/>
                <w:color w:val="000000" w:themeColor="text1"/>
                <w:spacing w:val="-1"/>
                <w:sz w:val="24"/>
                <w:szCs w:val="24"/>
                <w:highlight w:val="none"/>
                <w:lang w:val="en-US" w:eastAsia="zh-CN"/>
                <w14:textFill>
                  <w14:solidFill>
                    <w14:schemeClr w14:val="tx1"/>
                  </w14:solidFill>
                </w14:textFill>
              </w:rPr>
              <w:t>输电线路铁塔部分已建设，架空线路部分已敷设，但处于建设阶段，无污染物产生，且目前已主动停止建设。</w:t>
            </w:r>
          </w:p>
          <w:p w14:paraId="4B3D697D">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Chars="0" w:firstLine="478" w:firstLineChars="200"/>
              <w:textAlignment w:val="baseline"/>
              <w:rPr>
                <w:rFonts w:hint="eastAsia" w:cs="Times New Roman"/>
                <w:b/>
                <w:bCs/>
                <w:color w:val="000000" w:themeColor="text1"/>
                <w:spacing w:val="-1"/>
                <w:sz w:val="24"/>
                <w:szCs w:val="24"/>
                <w:highlight w:val="none"/>
                <w:lang w:val="en-US" w:eastAsia="zh-CN"/>
                <w14:textFill>
                  <w14:solidFill>
                    <w14:schemeClr w14:val="tx1"/>
                  </w14:solidFill>
                </w14:textFill>
              </w:rPr>
            </w:pPr>
            <w:r>
              <w:rPr>
                <w:rFonts w:hint="eastAsia" w:cs="Times New Roman"/>
                <w:b/>
                <w:bCs/>
                <w:color w:val="000000" w:themeColor="text1"/>
                <w:spacing w:val="-1"/>
                <w:sz w:val="24"/>
                <w:szCs w:val="24"/>
                <w:highlight w:val="none"/>
                <w:lang w:val="en-US" w:eastAsia="zh-CN"/>
                <w14:textFill>
                  <w14:solidFill>
                    <w14:schemeClr w14:val="tx1"/>
                  </w14:solidFill>
                </w14:textFill>
              </w:rPr>
              <w:t>3、施工期污染工序</w:t>
            </w:r>
          </w:p>
          <w:p w14:paraId="78B4CF17">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Chars="0" w:firstLine="476" w:firstLineChars="200"/>
              <w:textAlignment w:val="baseline"/>
              <w:rPr>
                <w:rFonts w:hint="default" w:cs="Times New Roman"/>
                <w:b/>
                <w:bCs/>
                <w:color w:val="000000" w:themeColor="text1"/>
                <w:spacing w:val="-1"/>
                <w:sz w:val="24"/>
                <w:szCs w:val="24"/>
                <w:highlight w:val="none"/>
                <w:lang w:val="en-US" w:eastAsia="zh-CN"/>
                <w14:textFill>
                  <w14:solidFill>
                    <w14:schemeClr w14:val="tx1"/>
                  </w14:solidFill>
                </w14:textFill>
              </w:rPr>
            </w:pPr>
            <w:r>
              <w:rPr>
                <w:rFonts w:hint="eastAsia" w:cs="Times New Roman"/>
                <w:b w:val="0"/>
                <w:bCs w:val="0"/>
                <w:color w:val="000000" w:themeColor="text1"/>
                <w:spacing w:val="-1"/>
                <w:sz w:val="24"/>
                <w:szCs w:val="24"/>
                <w:highlight w:val="none"/>
                <w:lang w:val="en-US" w:eastAsia="zh-CN"/>
                <w14:textFill>
                  <w14:solidFill>
                    <w14:schemeClr w14:val="tx1"/>
                  </w14:solidFill>
                </w14:textFill>
              </w:rPr>
              <w:t>本项目</w:t>
            </w:r>
            <w:r>
              <w:rPr>
                <w:rFonts w:hint="eastAsia" w:cs="Times New Roman"/>
                <w:b w:val="0"/>
                <w:bCs w:val="0"/>
                <w:color w:val="000000" w:themeColor="text1"/>
                <w:kern w:val="0"/>
                <w:sz w:val="24"/>
                <w:highlight w:val="none"/>
                <w:lang w:val="en-US" w:eastAsia="zh-CN"/>
                <w14:textFill>
                  <w14:solidFill>
                    <w14:schemeClr w14:val="tx1"/>
                  </w14:solidFill>
                </w14:textFill>
              </w:rPr>
              <w:t>输电线路铁塔部分已建设，架空线路部分已敷设，但处于建设阶段，且主动停止建设。项目施工期废气、噪声均达标排放，固废均得到妥善处置，施工期已对临时占地区域进行了土地平整</w:t>
            </w:r>
            <w:r>
              <w:rPr>
                <w:rFonts w:hint="eastAsia"/>
                <w:b w:val="0"/>
                <w:bCs w:val="0"/>
                <w:color w:val="000000" w:themeColor="text1"/>
                <w:sz w:val="24"/>
                <w:highlight w:val="none"/>
                <w:lang w:val="en-US" w:eastAsia="zh-CN"/>
                <w14:textFill>
                  <w14:solidFill>
                    <w14:schemeClr w14:val="tx1"/>
                  </w14:solidFill>
                </w14:textFill>
              </w:rPr>
              <w:t>，并采用原生表土和乡土物种进行了植被恢复。</w:t>
            </w:r>
            <w:r>
              <w:rPr>
                <w:rFonts w:hint="eastAsia" w:cs="Times New Roman"/>
                <w:b w:val="0"/>
                <w:bCs w:val="0"/>
                <w:color w:val="000000" w:themeColor="text1"/>
                <w:kern w:val="0"/>
                <w:sz w:val="24"/>
                <w:highlight w:val="none"/>
                <w:lang w:val="en-US" w:eastAsia="zh-CN"/>
                <w14:textFill>
                  <w14:solidFill>
                    <w14:schemeClr w14:val="tx1"/>
                  </w14:solidFill>
                </w14:textFill>
              </w:rPr>
              <w:t>项目施工未对周边环境造成明显不利影响，未对周边生态环境造成破坏，且施工期未收到投诉。</w:t>
            </w:r>
          </w:p>
        </w:tc>
      </w:tr>
      <w:tr w14:paraId="2FBE4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67" w:type="pct"/>
            <w:noWrap w:val="0"/>
            <w:vAlign w:val="center"/>
          </w:tcPr>
          <w:p w14:paraId="009AE56B">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其他</w:t>
            </w:r>
          </w:p>
        </w:tc>
        <w:tc>
          <w:tcPr>
            <w:tcW w:w="4732" w:type="pct"/>
            <w:noWrap w:val="0"/>
            <w:vAlign w:val="top"/>
          </w:tcPr>
          <w:p w14:paraId="5AD01968">
            <w:pPr>
              <w:pStyle w:val="7"/>
              <w:keepNext/>
              <w:keepLines/>
              <w:pageBreakBefore w:val="0"/>
              <w:widowControl/>
              <w:numPr>
                <w:ilvl w:val="0"/>
                <w:numId w:val="0"/>
              </w:numPr>
              <w:kinsoku/>
              <w:wordWrap/>
              <w:overflowPunct/>
              <w:topLinePunct w:val="0"/>
              <w:autoSpaceDE/>
              <w:autoSpaceDN/>
              <w:bidi w:val="0"/>
              <w:adjustRightInd/>
              <w:snapToGrid/>
              <w:spacing w:before="0" w:after="0" w:line="440" w:lineRule="exact"/>
              <w:ind w:left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运营期工艺流程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及产排污情况</w:t>
            </w:r>
          </w:p>
          <w:p w14:paraId="5ABA9143">
            <w:pPr>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本项目为110kV送出线路工程，即将百世一110kV升压站电流通过送出线路的导线输送至百世二220kV升压站，项目运营期工艺流程及产排污节点见下图。</w:t>
            </w:r>
          </w:p>
          <w:p w14:paraId="6B4409C0">
            <w:pPr>
              <w:pageBreakBefore w:val="0"/>
              <w:numPr>
                <w:ilvl w:val="0"/>
                <w:numId w:val="0"/>
              </w:numPr>
              <w:kinsoku/>
              <w:wordWrap/>
              <w:overflowPunct/>
              <w:topLinePunct w:val="0"/>
              <w:autoSpaceDE/>
              <w:autoSpaceDN/>
              <w:bidi w:val="0"/>
              <w:adjustRightInd/>
              <w:snapToGrid/>
              <w:spacing w:line="240" w:lineRule="auto"/>
              <w:jc w:val="both"/>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drawing>
                <wp:inline distT="0" distB="0" distL="114300" distR="114300">
                  <wp:extent cx="4991735" cy="1702435"/>
                  <wp:effectExtent l="0" t="0" r="18415" b="12065"/>
                  <wp:docPr id="2" name="图片 2" descr="送出线路运营期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送出线路运营期工艺流程"/>
                          <pic:cNvPicPr>
                            <a:picLocks noChangeAspect="1"/>
                          </pic:cNvPicPr>
                        </pic:nvPicPr>
                        <pic:blipFill>
                          <a:blip r:embed="rId16"/>
                          <a:stretch>
                            <a:fillRect/>
                          </a:stretch>
                        </pic:blipFill>
                        <pic:spPr>
                          <a:xfrm>
                            <a:off x="0" y="0"/>
                            <a:ext cx="4991735" cy="1702435"/>
                          </a:xfrm>
                          <a:prstGeom prst="rect">
                            <a:avLst/>
                          </a:prstGeom>
                        </pic:spPr>
                      </pic:pic>
                    </a:graphicData>
                  </a:graphic>
                </wp:inline>
              </w:drawing>
            </w:r>
          </w:p>
          <w:p w14:paraId="41D1BBE1">
            <w:pPr>
              <w:pageBreakBefore w:val="0"/>
              <w:numPr>
                <w:ilvl w:val="0"/>
                <w:numId w:val="0"/>
              </w:numPr>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1"/>
                <w:sz w:val="21"/>
                <w:szCs w:val="21"/>
                <w:highlight w:val="none"/>
                <w:lang w:val="en-US" w:eastAsia="zh-CN"/>
                <w14:textFill>
                  <w14:solidFill>
                    <w14:schemeClr w14:val="tx1"/>
                  </w14:solidFill>
                </w14:textFill>
              </w:rPr>
            </w:pPr>
            <w:r>
              <w:rPr>
                <w:rFonts w:hint="eastAsia" w:eastAsia="宋体" w:cs="Times New Roman"/>
                <w:b/>
                <w:bCs/>
                <w:color w:val="000000" w:themeColor="text1"/>
                <w:spacing w:val="-1"/>
                <w:sz w:val="21"/>
                <w:szCs w:val="21"/>
                <w:highlight w:val="none"/>
                <w:lang w:val="en-US" w:eastAsia="zh-CN"/>
                <w14:textFill>
                  <w14:solidFill>
                    <w14:schemeClr w14:val="tx1"/>
                  </w14:solidFill>
                </w14:textFill>
              </w:rPr>
              <w:t>图2-</w:t>
            </w:r>
            <w:r>
              <w:rPr>
                <w:rFonts w:hint="eastAsia" w:cs="Times New Roman"/>
                <w:b/>
                <w:bCs/>
                <w:color w:val="000000" w:themeColor="text1"/>
                <w:spacing w:val="-1"/>
                <w:sz w:val="21"/>
                <w:szCs w:val="21"/>
                <w:highlight w:val="none"/>
                <w:lang w:val="en-US" w:eastAsia="zh-CN"/>
                <w14:textFill>
                  <w14:solidFill>
                    <w14:schemeClr w14:val="tx1"/>
                  </w14:solidFill>
                </w14:textFill>
              </w:rPr>
              <w:t>3</w:t>
            </w:r>
            <w:r>
              <w:rPr>
                <w:rFonts w:hint="eastAsia" w:eastAsia="宋体" w:cs="Times New Roman"/>
                <w:b/>
                <w:bCs/>
                <w:color w:val="000000" w:themeColor="text1"/>
                <w:spacing w:val="-1"/>
                <w:sz w:val="21"/>
                <w:szCs w:val="21"/>
                <w:highlight w:val="none"/>
                <w:lang w:val="en-US" w:eastAsia="zh-CN"/>
                <w14:textFill>
                  <w14:solidFill>
                    <w14:schemeClr w14:val="tx1"/>
                  </w14:solidFill>
                </w14:textFill>
              </w:rPr>
              <w:t xml:space="preserve">  项目运营期工艺流程及产排污节点图</w:t>
            </w:r>
          </w:p>
          <w:p w14:paraId="77AD708F">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本项目为</w:t>
            </w:r>
            <w:r>
              <w:rPr>
                <w:rFonts w:hint="eastAsia" w:eastAsia="宋体" w:cs="Times New Roman"/>
                <w:color w:val="000000" w:themeColor="text1"/>
                <w:spacing w:val="-1"/>
                <w:sz w:val="24"/>
                <w:szCs w:val="24"/>
                <w:highlight w:val="none"/>
                <w:lang w:val="en-US" w:eastAsia="zh-CN"/>
                <w14:textFill>
                  <w14:solidFill>
                    <w14:schemeClr w14:val="tx1"/>
                  </w14:solidFill>
                </w14:textFill>
              </w:rPr>
              <w:t>风力</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发电项目配套送出线路工程，项目运营期线路巡检依托</w:t>
            </w:r>
            <w:r>
              <w:rPr>
                <w:rFonts w:hint="eastAsia" w:eastAsia="宋体" w:cs="Times New Roman"/>
                <w:color w:val="000000" w:themeColor="text1"/>
                <w:spacing w:val="-1"/>
                <w:sz w:val="24"/>
                <w:szCs w:val="24"/>
                <w:highlight w:val="none"/>
                <w:lang w:val="en-US" w:eastAsia="zh-CN"/>
                <w14:textFill>
                  <w14:solidFill>
                    <w14:schemeClr w14:val="tx1"/>
                  </w14:solidFill>
                </w14:textFill>
              </w:rPr>
              <w:t>风电</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场区工作人员，不新增劳动定员，不新增固废和废水，不涉及废气，运营期污染源主要为架空线路运行过程中产生的工频电磁场及高压线电晕</w:t>
            </w:r>
            <w:r>
              <w:rPr>
                <w:rFonts w:hint="eastAsia" w:eastAsia="宋体" w:cs="Times New Roman"/>
                <w:color w:val="000000" w:themeColor="text1"/>
                <w:spacing w:val="-1"/>
                <w:sz w:val="24"/>
                <w:szCs w:val="24"/>
                <w:highlight w:val="none"/>
                <w:lang w:val="en-US" w:eastAsia="zh-CN"/>
                <w14:textFill>
                  <w14:solidFill>
                    <w14:schemeClr w14:val="tx1"/>
                  </w14:solidFill>
                </w14:textFill>
              </w:rPr>
              <w:t>放电</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而引起的无规则噪声及输电线路的电荷运动产生的交流噪声。</w:t>
            </w:r>
          </w:p>
          <w:p w14:paraId="6679B65D">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p w14:paraId="71EF4442">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p w14:paraId="3FEFAE56">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p w14:paraId="2F32EAA0">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p w14:paraId="1C22E58E">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p w14:paraId="4D123018">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p w14:paraId="53D0CE26">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p w14:paraId="6E9935FE">
            <w:pPr>
              <w:pageBreakBefore w:val="0"/>
              <w:numPr>
                <w:ilvl w:val="0"/>
                <w:numId w:val="0"/>
              </w:numPr>
              <w:kinsoku/>
              <w:wordWrap/>
              <w:overflowPunct/>
              <w:topLinePunct w:val="0"/>
              <w:autoSpaceDE/>
              <w:autoSpaceDN/>
              <w:bidi w:val="0"/>
              <w:adjustRightInd/>
              <w:snapToGrid/>
              <w:spacing w:line="440" w:lineRule="exact"/>
              <w:ind w:firstLine="476" w:firstLineChars="200"/>
              <w:textAlignment w:val="auto"/>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p>
        </w:tc>
      </w:tr>
    </w:tbl>
    <w:p w14:paraId="74FF9E54">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000000" w:themeColor="text1"/>
          <w:sz w:val="30"/>
          <w:szCs w:val="30"/>
          <w:highlight w:val="none"/>
          <w14:textFill>
            <w14:solidFill>
              <w14:schemeClr w14:val="tx1"/>
            </w14:solidFill>
          </w14:textFill>
        </w:rPr>
      </w:pPr>
      <w:r>
        <w:rPr>
          <w:rFonts w:eastAsia="仿宋_GB2312"/>
          <w:b/>
          <w:bCs/>
          <w:color w:val="000000" w:themeColor="text1"/>
          <w:highlight w:val="none"/>
          <w14:textFill>
            <w14:solidFill>
              <w14:schemeClr w14:val="tx1"/>
            </w14:solidFill>
          </w14:textFill>
        </w:rPr>
        <w:br w:type="page"/>
      </w:r>
      <w:bookmarkStart w:id="14" w:name="_Toc24882"/>
      <w:bookmarkStart w:id="15" w:name="_Toc27397"/>
      <w:bookmarkStart w:id="16" w:name="_Toc26542"/>
      <w:r>
        <w:rPr>
          <w:rStyle w:val="43"/>
          <w:rFonts w:hint="eastAsia"/>
          <w:b w:val="0"/>
          <w:bCs w:val="0"/>
          <w:color w:val="000000" w:themeColor="text1"/>
          <w:highlight w:val="none"/>
          <w14:textFill>
            <w14:solidFill>
              <w14:schemeClr w14:val="tx1"/>
            </w14:solidFill>
          </w14:textFill>
        </w:rPr>
        <w:t>三、生态环境现状、保护目标及评价标准</w:t>
      </w:r>
      <w:bookmarkEnd w:id="14"/>
      <w:bookmarkEnd w:id="15"/>
      <w:bookmarkEnd w:id="16"/>
    </w:p>
    <w:tbl>
      <w:tblPr>
        <w:tblStyle w:val="34"/>
        <w:tblW w:w="51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238"/>
      </w:tblGrid>
      <w:tr w14:paraId="5117B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noWrap w:val="0"/>
            <w:tcMar>
              <w:top w:w="0" w:type="dxa"/>
              <w:left w:w="51" w:type="dxa"/>
              <w:bottom w:w="0" w:type="dxa"/>
              <w:right w:w="51" w:type="dxa"/>
            </w:tcMar>
            <w:vAlign w:val="center"/>
          </w:tcPr>
          <w:p w14:paraId="7676479E">
            <w:pPr>
              <w:adjustRightInd w:val="0"/>
              <w:snapToGrid w:val="0"/>
              <w:jc w:val="center"/>
              <w:rPr>
                <w:rFonts w:ascii="宋体" w:hAnsi="宋体" w:cs="宋体"/>
                <w:b/>
                <w:bCs/>
                <w:color w:val="000000" w:themeColor="text1"/>
                <w:kern w:val="0"/>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生态环境现状</w:t>
            </w:r>
          </w:p>
        </w:tc>
        <w:tc>
          <w:tcPr>
            <w:tcW w:w="4684" w:type="pct"/>
            <w:noWrap w:val="0"/>
            <w:vAlign w:val="center"/>
          </w:tcPr>
          <w:p w14:paraId="0DE20527">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主体</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功能区划</w:t>
            </w:r>
          </w:p>
          <w:p w14:paraId="681EBBA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本项目位于河北省承德市围场满族蒙古族自治县克勒沟镇、银窝沟乡、杨家湾乡、朝阳湾镇境内。</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对照《河北省主体功能区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规划</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项目所在区域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“限制开发区域—国家重点生态功能区—坝上高原山地区”。</w:t>
            </w:r>
          </w:p>
          <w:p w14:paraId="22B2E2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区域现状：</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本区自然条件差异较大，西部和北部的坝上高原地区为内流区，东部和南部的燕山山区为外流区，是滦河、潮河和白河的发源地。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区域面积31591平方公里，2011年人口163.71万人，地区生产总值274.23亿元，分别占全省的16.83%、2.26%和1.12%。人均地区生产总值16751元，公路网密度0.39公里/平方公里。</w:t>
            </w:r>
          </w:p>
          <w:p w14:paraId="77AB287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发展方向：公共基础设施。继续实施倾斜政策，大力支持坝上地区教育、医疗、文化、旅游等公共服务设施和农村交通、水利、电力、通讯等基础设施建设，重点推广风能、太阳能、沼气等清洁能源利用。</w:t>
            </w:r>
          </w:p>
          <w:p w14:paraId="502C60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本项目属于</w:t>
            </w:r>
            <w:r>
              <w:rPr>
                <w:rFonts w:hint="eastAsia" w:cs="Times New Roman"/>
                <w:color w:val="000000" w:themeColor="text1"/>
                <w:kern w:val="0"/>
                <w:sz w:val="24"/>
                <w:szCs w:val="24"/>
                <w:highlight w:val="none"/>
                <w:lang w:val="en-US" w:eastAsia="zh-CN"/>
                <w14:textFill>
                  <w14:solidFill>
                    <w14:schemeClr w14:val="tx1"/>
                  </w14:solidFill>
                </w14:textFill>
              </w:rPr>
              <w:t>风力发电项目配套的送出线路工程</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符合该区域发展方向。</w:t>
            </w:r>
          </w:p>
          <w:p w14:paraId="172D11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2、生态功能区划</w:t>
            </w:r>
          </w:p>
          <w:p w14:paraId="26819E1D">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本项目位于河北省承德市围场满族蒙古族自治县克勒沟镇、银窝沟乡、杨家湾乡、朝阳湾镇境内。</w:t>
            </w:r>
          </w:p>
          <w:p w14:paraId="71BA2558">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80" w:firstLineChars="200"/>
              <w:jc w:val="left"/>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对照《河北省生态功能区划》，项目所在区域属于“</w:t>
            </w:r>
            <w:r>
              <w:rPr>
                <w:rFonts w:hint="default" w:ascii="Times New Roman" w:hAnsi="Times New Roman" w:cs="Times New Roman"/>
                <w:color w:val="000000" w:themeColor="text1"/>
                <w:sz w:val="24"/>
                <w:highlight w:val="none"/>
                <w:lang w:val="en-US" w:eastAsia="zh-CN"/>
                <w14:textFill>
                  <w14:solidFill>
                    <w14:schemeClr w14:val="tx1"/>
                  </w14:solidFill>
                </w14:textFill>
              </w:rPr>
              <w:t>Ⅱ1-1</w:t>
            </w:r>
            <w:r>
              <w:rPr>
                <w:rFonts w:hint="eastAsia"/>
                <w:color w:val="000000" w:themeColor="text1"/>
                <w:sz w:val="24"/>
                <w:highlight w:val="none"/>
                <w:lang w:val="en-US" w:eastAsia="zh-CN"/>
                <w14:textFill>
                  <w14:solidFill>
                    <w14:schemeClr w14:val="tx1"/>
                  </w14:solidFill>
                </w14:textFill>
              </w:rPr>
              <w:t>河北山地生态区—冀北及燕山山地森林生态亚区—辽河流域林牧与水源涵养服务功能区”及“</w:t>
            </w:r>
            <w:r>
              <w:rPr>
                <w:rFonts w:hint="default" w:ascii="Times New Roman" w:hAnsi="Times New Roman" w:cs="Times New Roman"/>
                <w:color w:val="000000" w:themeColor="text1"/>
                <w:sz w:val="24"/>
                <w:highlight w:val="none"/>
                <w:lang w:val="en-US" w:eastAsia="zh-CN"/>
                <w14:textFill>
                  <w14:solidFill>
                    <w14:schemeClr w14:val="tx1"/>
                  </w14:solidFill>
                </w14:textFill>
              </w:rPr>
              <w:t>Ⅱ1-</w:t>
            </w:r>
            <w:r>
              <w:rPr>
                <w:rFonts w:hint="eastAsia" w:cs="Times New Roman"/>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河北山地生态区—冀北及燕山山地森林生态亚区—冀北山地北部水源涵养与水土保持生态功能区”。区域主要生态问题及建设方向如下：</w:t>
            </w:r>
          </w:p>
          <w:p w14:paraId="456A3FAF">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right="0"/>
              <w:jc w:val="center"/>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表3-1  项目所在生态功能区主要生态问题及建设方向</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568"/>
              <w:gridCol w:w="1125"/>
              <w:gridCol w:w="1532"/>
              <w:gridCol w:w="889"/>
              <w:gridCol w:w="1381"/>
              <w:gridCol w:w="2001"/>
            </w:tblGrid>
            <w:tr w14:paraId="6031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pct"/>
                  <w:gridSpan w:val="3"/>
                  <w:tcMar>
                    <w:top w:w="0" w:type="dxa"/>
                    <w:left w:w="17" w:type="dxa"/>
                    <w:bottom w:w="0" w:type="dxa"/>
                    <w:right w:w="17" w:type="dxa"/>
                  </w:tcMar>
                  <w:vAlign w:val="center"/>
                </w:tcPr>
                <w:p w14:paraId="10A32E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功能区代码及名称</w:t>
                  </w:r>
                </w:p>
              </w:tc>
              <w:tc>
                <w:tcPr>
                  <w:tcW w:w="956" w:type="pct"/>
                  <w:vMerge w:val="restart"/>
                  <w:tcMar>
                    <w:top w:w="0" w:type="dxa"/>
                    <w:left w:w="17" w:type="dxa"/>
                    <w:bottom w:w="0" w:type="dxa"/>
                    <w:right w:w="17" w:type="dxa"/>
                  </w:tcMar>
                  <w:vAlign w:val="center"/>
                </w:tcPr>
                <w:p w14:paraId="2C9127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位置及范围</w:t>
                  </w:r>
                </w:p>
              </w:tc>
              <w:tc>
                <w:tcPr>
                  <w:tcW w:w="555" w:type="pct"/>
                  <w:vMerge w:val="restart"/>
                  <w:tcMar>
                    <w:top w:w="0" w:type="dxa"/>
                    <w:left w:w="17" w:type="dxa"/>
                    <w:bottom w:w="0" w:type="dxa"/>
                    <w:right w:w="17" w:type="dxa"/>
                  </w:tcMar>
                  <w:vAlign w:val="center"/>
                </w:tcPr>
                <w:p w14:paraId="358559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主要生态环境问题</w:t>
                  </w:r>
                </w:p>
              </w:tc>
              <w:tc>
                <w:tcPr>
                  <w:tcW w:w="862" w:type="pct"/>
                  <w:vMerge w:val="restart"/>
                  <w:tcMar>
                    <w:top w:w="0" w:type="dxa"/>
                    <w:left w:w="17" w:type="dxa"/>
                    <w:bottom w:w="0" w:type="dxa"/>
                    <w:right w:w="17" w:type="dxa"/>
                  </w:tcMar>
                  <w:vAlign w:val="center"/>
                </w:tcPr>
                <w:p w14:paraId="10D5C9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保护目标</w:t>
                  </w:r>
                </w:p>
              </w:tc>
              <w:tc>
                <w:tcPr>
                  <w:tcW w:w="1249" w:type="pct"/>
                  <w:vMerge w:val="restart"/>
                  <w:tcMar>
                    <w:top w:w="0" w:type="dxa"/>
                    <w:left w:w="17" w:type="dxa"/>
                    <w:bottom w:w="0" w:type="dxa"/>
                    <w:right w:w="17" w:type="dxa"/>
                  </w:tcMar>
                  <w:vAlign w:val="center"/>
                </w:tcPr>
                <w:p w14:paraId="250FBB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建设方向及措施</w:t>
                  </w:r>
                </w:p>
              </w:tc>
            </w:tr>
            <w:tr w14:paraId="7B73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tcMar>
                    <w:top w:w="0" w:type="dxa"/>
                    <w:left w:w="17" w:type="dxa"/>
                    <w:bottom w:w="0" w:type="dxa"/>
                    <w:right w:w="17" w:type="dxa"/>
                  </w:tcMar>
                  <w:vAlign w:val="center"/>
                </w:tcPr>
                <w:p w14:paraId="73CB07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生态区</w:t>
                  </w:r>
                </w:p>
              </w:tc>
              <w:tc>
                <w:tcPr>
                  <w:tcW w:w="354" w:type="pct"/>
                  <w:tcMar>
                    <w:top w:w="0" w:type="dxa"/>
                    <w:left w:w="17" w:type="dxa"/>
                    <w:bottom w:w="0" w:type="dxa"/>
                    <w:right w:w="17" w:type="dxa"/>
                  </w:tcMar>
                  <w:vAlign w:val="center"/>
                </w:tcPr>
                <w:p w14:paraId="7B575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生态亚区</w:t>
                  </w:r>
                </w:p>
              </w:tc>
              <w:tc>
                <w:tcPr>
                  <w:tcW w:w="702" w:type="pct"/>
                  <w:tcMar>
                    <w:top w:w="0" w:type="dxa"/>
                    <w:left w:w="17" w:type="dxa"/>
                    <w:bottom w:w="0" w:type="dxa"/>
                    <w:right w:w="17" w:type="dxa"/>
                  </w:tcMar>
                  <w:vAlign w:val="center"/>
                </w:tcPr>
                <w:p w14:paraId="7A6CF5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生态功能区</w:t>
                  </w:r>
                </w:p>
              </w:tc>
              <w:tc>
                <w:tcPr>
                  <w:tcW w:w="956" w:type="pct"/>
                  <w:vMerge w:val="continue"/>
                  <w:tcMar>
                    <w:top w:w="0" w:type="dxa"/>
                    <w:left w:w="17" w:type="dxa"/>
                    <w:bottom w:w="0" w:type="dxa"/>
                    <w:right w:w="17" w:type="dxa"/>
                  </w:tcMar>
                  <w:vAlign w:val="center"/>
                </w:tcPr>
                <w:p w14:paraId="7A5658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55" w:type="pct"/>
                  <w:vMerge w:val="continue"/>
                  <w:tcMar>
                    <w:top w:w="0" w:type="dxa"/>
                    <w:left w:w="17" w:type="dxa"/>
                    <w:bottom w:w="0" w:type="dxa"/>
                    <w:right w:w="17" w:type="dxa"/>
                  </w:tcMar>
                  <w:vAlign w:val="center"/>
                </w:tcPr>
                <w:p w14:paraId="6DB0D7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862" w:type="pct"/>
                  <w:vMerge w:val="continue"/>
                  <w:tcMar>
                    <w:top w:w="0" w:type="dxa"/>
                    <w:left w:w="17" w:type="dxa"/>
                    <w:bottom w:w="0" w:type="dxa"/>
                    <w:right w:w="17" w:type="dxa"/>
                  </w:tcMar>
                  <w:vAlign w:val="center"/>
                </w:tcPr>
                <w:p w14:paraId="7B4BB3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49" w:type="pct"/>
                  <w:vMerge w:val="continue"/>
                  <w:tcMar>
                    <w:top w:w="0" w:type="dxa"/>
                    <w:left w:w="17" w:type="dxa"/>
                    <w:bottom w:w="0" w:type="dxa"/>
                    <w:right w:w="17" w:type="dxa"/>
                  </w:tcMar>
                  <w:vAlign w:val="center"/>
                </w:tcPr>
                <w:p w14:paraId="0527A9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450B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tcMar>
                    <w:top w:w="0" w:type="dxa"/>
                    <w:left w:w="17" w:type="dxa"/>
                    <w:bottom w:w="0" w:type="dxa"/>
                    <w:right w:w="17" w:type="dxa"/>
                  </w:tcMar>
                  <w:vAlign w:val="center"/>
                </w:tcPr>
                <w:p w14:paraId="5531CC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河北山地生态亚区</w:t>
                  </w:r>
                </w:p>
              </w:tc>
              <w:tc>
                <w:tcPr>
                  <w:tcW w:w="354" w:type="pct"/>
                  <w:vMerge w:val="restart"/>
                  <w:tcMar>
                    <w:top w:w="0" w:type="dxa"/>
                    <w:left w:w="17" w:type="dxa"/>
                    <w:bottom w:w="0" w:type="dxa"/>
                    <w:right w:w="17" w:type="dxa"/>
                  </w:tcMar>
                  <w:vAlign w:val="center"/>
                </w:tcPr>
                <w:p w14:paraId="615723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1冀北及燕山山地森林生态亚区</w:t>
                  </w:r>
                </w:p>
              </w:tc>
              <w:tc>
                <w:tcPr>
                  <w:tcW w:w="702" w:type="pct"/>
                  <w:tcMar>
                    <w:top w:w="0" w:type="dxa"/>
                    <w:left w:w="17" w:type="dxa"/>
                    <w:bottom w:w="0" w:type="dxa"/>
                    <w:right w:w="17" w:type="dxa"/>
                  </w:tcMar>
                  <w:vAlign w:val="center"/>
                </w:tcPr>
                <w:p w14:paraId="4768EC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1-1辽河流域林牧与水源涵养服务功能区</w:t>
                  </w:r>
                </w:p>
              </w:tc>
              <w:tc>
                <w:tcPr>
                  <w:tcW w:w="956" w:type="pct"/>
                  <w:tcMar>
                    <w:top w:w="0" w:type="dxa"/>
                    <w:left w:w="17" w:type="dxa"/>
                    <w:bottom w:w="0" w:type="dxa"/>
                    <w:right w:w="17" w:type="dxa"/>
                  </w:tcMar>
                  <w:vAlign w:val="center"/>
                </w:tcPr>
                <w:p w14:paraId="2F53EE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本亚区东北部，属围场县东北，面积2516.39km</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555" w:type="pct"/>
                  <w:tcMar>
                    <w:top w:w="0" w:type="dxa"/>
                    <w:left w:w="17" w:type="dxa"/>
                    <w:bottom w:w="0" w:type="dxa"/>
                    <w:right w:w="17" w:type="dxa"/>
                  </w:tcMar>
                  <w:vAlign w:val="center"/>
                </w:tcPr>
                <w:p w14:paraId="13165B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土壤侵蚀、水源涵养功能脆弱、沙化渐重</w:t>
                  </w:r>
                </w:p>
              </w:tc>
              <w:tc>
                <w:tcPr>
                  <w:tcW w:w="862" w:type="pct"/>
                  <w:tcMar>
                    <w:top w:w="0" w:type="dxa"/>
                    <w:left w:w="17" w:type="dxa"/>
                    <w:bottom w:w="0" w:type="dxa"/>
                    <w:right w:w="17" w:type="dxa"/>
                  </w:tcMar>
                  <w:vAlign w:val="center"/>
                </w:tcPr>
                <w:p w14:paraId="1FAAB3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重要的水源涵养区</w:t>
                  </w:r>
                </w:p>
              </w:tc>
              <w:tc>
                <w:tcPr>
                  <w:tcW w:w="1249" w:type="pct"/>
                  <w:tcMar>
                    <w:top w:w="0" w:type="dxa"/>
                    <w:left w:w="17" w:type="dxa"/>
                    <w:bottom w:w="0" w:type="dxa"/>
                    <w:right w:w="17" w:type="dxa"/>
                  </w:tcMar>
                  <w:vAlign w:val="center"/>
                </w:tcPr>
                <w:p w14:paraId="63C8FA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建设河流源头水源涵养林，水土流失综合防治，调整农、林、牧用地比例，合理利用土地资源加强草场建设，营造防护林网</w:t>
                  </w:r>
                </w:p>
              </w:tc>
            </w:tr>
            <w:tr w14:paraId="3C3E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tcMar>
                    <w:top w:w="0" w:type="dxa"/>
                    <w:left w:w="17" w:type="dxa"/>
                    <w:bottom w:w="0" w:type="dxa"/>
                    <w:right w:w="17" w:type="dxa"/>
                  </w:tcMar>
                  <w:vAlign w:val="center"/>
                </w:tcPr>
                <w:p w14:paraId="721D1F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54" w:type="pct"/>
                  <w:vMerge w:val="continue"/>
                  <w:tcMar>
                    <w:top w:w="0" w:type="dxa"/>
                    <w:left w:w="17" w:type="dxa"/>
                    <w:bottom w:w="0" w:type="dxa"/>
                    <w:right w:w="17" w:type="dxa"/>
                  </w:tcMar>
                  <w:vAlign w:val="center"/>
                </w:tcPr>
                <w:p w14:paraId="7E221E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02" w:type="pct"/>
                  <w:tcMar>
                    <w:top w:w="0" w:type="dxa"/>
                    <w:left w:w="17" w:type="dxa"/>
                    <w:bottom w:w="0" w:type="dxa"/>
                    <w:right w:w="17" w:type="dxa"/>
                  </w:tcMar>
                  <w:vAlign w:val="center"/>
                </w:tcPr>
                <w:p w14:paraId="389DF6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2燕山山地北部水源涵养与水土保持生态功能区</w:t>
                  </w:r>
                </w:p>
              </w:tc>
              <w:tc>
                <w:tcPr>
                  <w:tcW w:w="956" w:type="pct"/>
                  <w:tcMar>
                    <w:top w:w="0" w:type="dxa"/>
                    <w:left w:w="17" w:type="dxa"/>
                    <w:bottom w:w="0" w:type="dxa"/>
                    <w:right w:w="17" w:type="dxa"/>
                  </w:tcMar>
                  <w:vAlign w:val="center"/>
                </w:tcPr>
                <w:p w14:paraId="50659D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本亚区北部、包括丰宁东部，隆化北部，围场南部，面积为10030.3km</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555" w:type="pct"/>
                  <w:tcMar>
                    <w:top w:w="0" w:type="dxa"/>
                    <w:left w:w="17" w:type="dxa"/>
                    <w:bottom w:w="0" w:type="dxa"/>
                    <w:right w:w="17" w:type="dxa"/>
                  </w:tcMar>
                  <w:vAlign w:val="center"/>
                </w:tcPr>
                <w:p w14:paraId="41C15E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水土流失、森林生态功能较弱</w:t>
                  </w:r>
                </w:p>
              </w:tc>
              <w:tc>
                <w:tcPr>
                  <w:tcW w:w="862" w:type="pct"/>
                  <w:tcMar>
                    <w:top w:w="0" w:type="dxa"/>
                    <w:left w:w="17" w:type="dxa"/>
                    <w:bottom w:w="0" w:type="dxa"/>
                    <w:right w:w="17" w:type="dxa"/>
                  </w:tcMar>
                  <w:vAlign w:val="center"/>
                </w:tcPr>
                <w:p w14:paraId="25A330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水源涵养林建设、维护生物多样性、加强水土流失重点区域治理</w:t>
                  </w:r>
                </w:p>
              </w:tc>
              <w:tc>
                <w:tcPr>
                  <w:tcW w:w="1249" w:type="pct"/>
                  <w:tcMar>
                    <w:top w:w="0" w:type="dxa"/>
                    <w:left w:w="17" w:type="dxa"/>
                    <w:bottom w:w="0" w:type="dxa"/>
                    <w:right w:w="17" w:type="dxa"/>
                  </w:tcMar>
                  <w:vAlign w:val="center"/>
                </w:tcPr>
                <w:p w14:paraId="037DE4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66"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大力营造水保林、防护林、开发生态旅游、发展生态农业</w:t>
                  </w:r>
                </w:p>
              </w:tc>
            </w:tr>
          </w:tbl>
          <w:p w14:paraId="662E5CAC">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72" w:firstLineChars="200"/>
              <w:jc w:val="left"/>
              <w:textAlignment w:val="auto"/>
              <w:rPr>
                <w:rFonts w:hint="default"/>
                <w:color w:val="000000" w:themeColor="text1"/>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本项目为风力发电项目配套送出线路工程，</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塔基</w:t>
            </w:r>
            <w:r>
              <w:rPr>
                <w:rFonts w:hint="eastAsia" w:cs="Times New Roman"/>
                <w:color w:val="000000" w:themeColor="text1"/>
                <w:kern w:val="0"/>
                <w:sz w:val="24"/>
                <w:szCs w:val="24"/>
                <w:highlight w:val="none"/>
                <w:lang w:val="en-US" w:eastAsia="zh-CN"/>
                <w14:textFill>
                  <w14:solidFill>
                    <w14:schemeClr w14:val="tx1"/>
                  </w14:solidFill>
                </w14:textFill>
              </w:rPr>
              <w:t>范围</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不占生态保护红线，不占</w:t>
            </w:r>
            <w:r>
              <w:rPr>
                <w:rFonts w:hint="eastAsia" w:cs="Times New Roman"/>
                <w:color w:val="000000" w:themeColor="text1"/>
                <w:kern w:val="0"/>
                <w:sz w:val="24"/>
                <w:szCs w:val="24"/>
                <w:highlight w:val="none"/>
                <w:lang w:val="en-US" w:eastAsia="zh-CN"/>
                <w14:textFill>
                  <w14:solidFill>
                    <w14:schemeClr w14:val="tx1"/>
                  </w14:solidFill>
                </w14:textFill>
              </w:rPr>
              <w:t>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永久基本农田，</w:t>
            </w:r>
            <w:r>
              <w:rPr>
                <w:rFonts w:hint="eastAsia" w:cs="Times New Roman"/>
                <w:color w:val="000000" w:themeColor="text1"/>
                <w:kern w:val="0"/>
                <w:sz w:val="24"/>
                <w:szCs w:val="24"/>
                <w:highlight w:val="none"/>
                <w:lang w:val="en-US" w:eastAsia="zh-CN"/>
                <w14:textFill>
                  <w14:solidFill>
                    <w14:schemeClr w14:val="tx1"/>
                  </w14:solidFill>
                </w14:textFill>
              </w:rPr>
              <w:t>不涉及使用各类自然保护区、风景名胜区、森林公园、湿地公园等各类自然保护地</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b w:val="0"/>
                <w:bCs w:val="0"/>
                <w:color w:val="000000" w:themeColor="text1"/>
                <w:spacing w:val="-2"/>
                <w:sz w:val="24"/>
                <w:highlight w:val="none"/>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输电线路为架空形式</w:t>
            </w: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t>，不属于资源消耗高、环境污染重的工业项目</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，不会造成连续性大面积植被破坏，不影响生境连通性，不会造成生物多样性减少等。</w:t>
            </w:r>
            <w:r>
              <w:rPr>
                <w:rFonts w:hint="eastAsia" w:cs="Times New Roman" w:eastAsiaTheme="minorEastAsia"/>
                <w:color w:val="000000" w:themeColor="text1"/>
                <w:sz w:val="24"/>
                <w:szCs w:val="24"/>
                <w:highlight w:val="none"/>
                <w:lang w:val="en-US" w:eastAsia="zh-CN"/>
                <w14:textFill>
                  <w14:solidFill>
                    <w14:schemeClr w14:val="tx1"/>
                  </w14:solidFill>
                </w14:textFill>
              </w:rPr>
              <w:t>施工结束</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后进行植被恢复，对生态功能进行补偿</w:t>
            </w: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t>，与功能区建设方向无冲突</w:t>
            </w:r>
            <w:r>
              <w:rPr>
                <w:rFonts w:hint="eastAsia"/>
                <w:b w:val="0"/>
                <w:bCs w:val="0"/>
                <w:color w:val="000000" w:themeColor="text1"/>
                <w:spacing w:val="-2"/>
                <w:sz w:val="24"/>
                <w:highlight w:val="none"/>
                <w:lang w:val="en-US" w:eastAsia="zh-CN"/>
                <w14:textFill>
                  <w14:solidFill>
                    <w14:schemeClr w14:val="tx1"/>
                  </w14:solidFill>
                </w14:textFill>
              </w:rPr>
              <w:t>，符合</w:t>
            </w:r>
            <w:r>
              <w:rPr>
                <w:rFonts w:hint="eastAsia"/>
                <w:color w:val="000000" w:themeColor="text1"/>
                <w:sz w:val="24"/>
                <w:highlight w:val="none"/>
                <w:lang w:val="en-US" w:eastAsia="zh-CN"/>
                <w14:textFill>
                  <w14:solidFill>
                    <w14:schemeClr w14:val="tx1"/>
                  </w14:solidFill>
                </w14:textFill>
              </w:rPr>
              <w:t>《河北省生态功能区划》要求。</w:t>
            </w:r>
          </w:p>
          <w:p w14:paraId="58B3C7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color w:val="000000" w:themeColor="text1"/>
                <w:sz w:val="24"/>
                <w:highlight w:val="none"/>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3</w:t>
            </w:r>
            <w:r>
              <w:rPr>
                <w:b/>
                <w:bCs/>
                <w:color w:val="000000" w:themeColor="text1"/>
                <w:kern w:val="0"/>
                <w:sz w:val="24"/>
                <w:highlight w:val="none"/>
                <w14:textFill>
                  <w14:solidFill>
                    <w14:schemeClr w14:val="tx1"/>
                  </w14:solidFill>
                </w14:textFill>
              </w:rPr>
              <w:t>、生态环境现状</w:t>
            </w:r>
          </w:p>
          <w:p w14:paraId="6334A3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（1）土壤条件</w:t>
            </w:r>
          </w:p>
          <w:p w14:paraId="69CAB1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内土壤主要有棕壤、褐土和草甸土等土类，因海拔高度不同而形成亚高山、中、低山分布带。亚高山草甸土分布在海拔1600m以上，棕壤分布在海拔700m以上的山地，是区域的主要土壤类型，褐土分布在海拔300～700m之间的低山、丘陵、坡麓和河谷阶地，草甸土分布在沟谷、河滩低阶地。阴坡和半阴坡多为壤土和沙壤土，土层厚度为30～60cm，阳坡为砂粒粗骨土，上层厚度在20～30cm，pH值6.5～7.5，有机质含量比较丰富，一般表层土有机质含量0.5～4.8%，最高可达15%。</w:t>
            </w:r>
          </w:p>
          <w:p w14:paraId="5F8478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生物资源</w:t>
            </w:r>
          </w:p>
          <w:p w14:paraId="44B2ED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围场满族蒙古族自治县动植物资源丰富，共有高等植物约998余种，脊椎动物260种；有国家级野生珍稀濒危、重点保护植物25种，国家级一、二级保护动物33种。</w:t>
            </w:r>
          </w:p>
          <w:p w14:paraId="675A5D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的森林植被属温带落叶阔叶林、常绿针叶林带，为河北植物区系，同时受邻近几个植物区系影响，保存了种类繁多的生物资源。据调查，项目及周边区域共有7个植被型29个群系，植被生长茂盛，主要乔木树种为油松、山杏、刺槐等，灌木种类主要有荆条、平榛、绣线菊等，草木植物主要有禾本科杂草、蒿类等。</w:t>
            </w:r>
          </w:p>
          <w:p w14:paraId="2CDADE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林业资源丰富，全县森林面积达到17.3万公顷，森林覆盖率达到52.2%，活立木蓄积量达到375.8万立方米。围场满族蒙古族自治县地形地势复杂，具有垂直分布带的“立体”结构特征，又有水平分布带的镶入，而且土壤种类繁多，立地条件层次不一。因而形成了植被类型的多种多样，据不完全统计，围场满族蒙古族自治县境内共有乔木树种100余种，主要代表植物油松、落叶松、桦树、山杨、柞树、椴树、柏树、刺槐、杨树、柳树、榆树、枣树、苹果、梨、山楂等；灌木树种120多种，主要代表植物有荆条、绣线菊、照山白、映山红、六道木、胡枝子、胡榛子、山枣等。</w:t>
            </w:r>
          </w:p>
          <w:p w14:paraId="4A309E9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项目所在地草本植物主要包括：小蓟（刺儿菜）、苦菜、蒲公英、猪毛蒿、大蓬蒿、臭蒿、狼把草、猪毛菜</w:t>
            </w:r>
            <w:r>
              <w:rPr>
                <w:rFonts w:hint="eastAsia"/>
                <w:color w:val="000000" w:themeColor="text1"/>
                <w:sz w:val="24"/>
                <w:highlight w:val="none"/>
                <w:lang w:val="en-US" w:eastAsia="zh-CN"/>
                <w14:textFill>
                  <w14:solidFill>
                    <w14:schemeClr w14:val="tx1"/>
                  </w14:solidFill>
                </w14:textFill>
              </w:rPr>
              <w:t>等</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不涉及重点保护动植物。农作物主要以玉米、大豆、高粱、谷子、小豆为主。</w:t>
            </w:r>
          </w:p>
          <w:p w14:paraId="2B6C1F6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（3）地形地貌</w:t>
            </w:r>
          </w:p>
          <w:p w14:paraId="1B2AAAE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围场满族蒙古族自治县地处内蒙古高原和冀北山地的过渡带，为阴山山脉、大兴安岭山脉的尾部与燕山山脉的结合部，地势西北高东南低。地处坝下、接坝、坝上三大地形区，主要位于坝上草原地区，全县平均海拔1500米，最高处为大光顶子山，海拔2067米。</w:t>
            </w:r>
          </w:p>
          <w:p w14:paraId="134E30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本项目所在区域多为山地地貌。</w:t>
            </w:r>
          </w:p>
          <w:p w14:paraId="328DE4B6">
            <w:pPr>
              <w:keepNext w:val="0"/>
              <w:keepLines w:val="0"/>
              <w:pageBreakBefore w:val="0"/>
              <w:widowControl w:val="0"/>
              <w:numPr>
                <w:ilvl w:val="0"/>
                <w:numId w:val="6"/>
              </w:numPr>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土地利用类型</w:t>
            </w:r>
          </w:p>
          <w:p w14:paraId="5C93AA9D">
            <w:pPr>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hint="default"/>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本项目占地类型主要为旱地、其他林地、其他草地，不涉及使用基本草原，不占用永久基本农田。</w:t>
            </w:r>
          </w:p>
          <w:p w14:paraId="32EFB92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本项目输电线路铁塔部分已建设，架空线路部分已敷设，但处于建设阶段，目前已主动停止建设。</w:t>
            </w:r>
            <w:r>
              <w:rPr>
                <w:rFonts w:hint="eastAsia"/>
                <w:b w:val="0"/>
                <w:bCs w:val="0"/>
                <w:color w:val="000000" w:themeColor="text1"/>
                <w:sz w:val="24"/>
                <w:highlight w:val="none"/>
                <w:lang w:val="en-US" w:eastAsia="zh-CN"/>
                <w14:textFill>
                  <w14:solidFill>
                    <w14:schemeClr w14:val="tx1"/>
                  </w14:solidFill>
                </w14:textFill>
              </w:rPr>
              <w:t>项目施工期已对临时占地区域进行了土地平整，并采用原生表土和乡土物种进行了植被恢复。</w:t>
            </w:r>
          </w:p>
          <w:p w14:paraId="6E93719F">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（5）环境敏感区调查</w:t>
            </w:r>
          </w:p>
          <w:p w14:paraId="54C1101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本项目位于承德市围场满族蒙古族自治县克勒沟镇、银窝沟乡、杨家湾乡、朝阳湾镇境内</w:t>
            </w:r>
            <w:r>
              <w:rPr>
                <w:rFonts w:hint="eastAsia"/>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塔基</w:t>
            </w:r>
            <w:r>
              <w:rPr>
                <w:rFonts w:hint="eastAsia" w:cs="Times New Roman"/>
                <w:color w:val="000000" w:themeColor="text1"/>
                <w:kern w:val="0"/>
                <w:sz w:val="24"/>
                <w:szCs w:val="24"/>
                <w:highlight w:val="none"/>
                <w:lang w:val="en-US" w:eastAsia="zh-CN"/>
                <w14:textFill>
                  <w14:solidFill>
                    <w14:schemeClr w14:val="tx1"/>
                  </w14:solidFill>
                </w14:textFill>
              </w:rPr>
              <w:t>范围</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不占</w:t>
            </w:r>
            <w:r>
              <w:rPr>
                <w:rFonts w:hint="eastAsia" w:cs="Times New Roman"/>
                <w:color w:val="000000" w:themeColor="text1"/>
                <w:kern w:val="0"/>
                <w:sz w:val="24"/>
                <w:szCs w:val="24"/>
                <w:highlight w:val="none"/>
                <w:lang w:val="en-US" w:eastAsia="zh-CN"/>
                <w14:textFill>
                  <w14:solidFill>
                    <w14:schemeClr w14:val="tx1"/>
                  </w14:solidFill>
                </w14:textFill>
              </w:rPr>
              <w:t>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生态保护红线，不占</w:t>
            </w:r>
            <w:r>
              <w:rPr>
                <w:rFonts w:hint="eastAsia" w:cs="Times New Roman"/>
                <w:color w:val="000000" w:themeColor="text1"/>
                <w:kern w:val="0"/>
                <w:sz w:val="24"/>
                <w:szCs w:val="24"/>
                <w:highlight w:val="none"/>
                <w:lang w:val="en-US" w:eastAsia="zh-CN"/>
                <w14:textFill>
                  <w14:solidFill>
                    <w14:schemeClr w14:val="tx1"/>
                  </w14:solidFill>
                </w14:textFill>
              </w:rPr>
              <w:t>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永久基本农田，</w:t>
            </w:r>
            <w:r>
              <w:rPr>
                <w:rFonts w:hint="eastAsia" w:cs="Times New Roman"/>
                <w:color w:val="000000" w:themeColor="text1"/>
                <w:kern w:val="0"/>
                <w:sz w:val="24"/>
                <w:szCs w:val="24"/>
                <w:highlight w:val="none"/>
                <w:lang w:val="en-US" w:eastAsia="zh-CN"/>
                <w14:textFill>
                  <w14:solidFill>
                    <w14:schemeClr w14:val="tx1"/>
                  </w14:solidFill>
                </w14:textFill>
              </w:rPr>
              <w:t>不涉及使用各类自然保护区、风景名胜区、森林公园、湿地公园等各类自然保护地</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25F88D67">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14:textFill>
                  <w14:solidFill>
                    <w14:schemeClr w14:val="tx1"/>
                  </w14:solidFill>
                </w14:textFill>
              </w:rPr>
              <w:t>、环境空气质量现状</w:t>
            </w:r>
          </w:p>
          <w:p w14:paraId="1D60E87C">
            <w:pPr>
              <w:spacing w:line="440" w:lineRule="exact"/>
              <w:ind w:firstLine="480" w:firstLineChars="200"/>
              <w:jc w:val="both"/>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承德市生态环境保护委员会办公室2025年1月21日发布的《关于2024年12月份全市空气质量预警监测结果的通报》（承生态环委办〔2025〕5号），围场县2024年1月至12月环境空气质量监测统计数据如下。</w:t>
            </w:r>
          </w:p>
          <w:p w14:paraId="43BF8BED">
            <w:pPr>
              <w:spacing w:line="440" w:lineRule="exact"/>
              <w:jc w:val="center"/>
              <w:rPr>
                <w:rFonts w:hint="eastAsia"/>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区域环境空气质量现状评价表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8"/>
              <w:gridCol w:w="2892"/>
              <w:gridCol w:w="1297"/>
              <w:gridCol w:w="1177"/>
              <w:gridCol w:w="914"/>
              <w:gridCol w:w="781"/>
            </w:tblGrid>
            <w:tr w14:paraId="2EE3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1" w:type="pct"/>
                  <w:noWrap w:val="0"/>
                  <w:vAlign w:val="center"/>
                </w:tcPr>
                <w:p w14:paraId="2EEAE2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w:t>
                  </w:r>
                </w:p>
              </w:tc>
              <w:tc>
                <w:tcPr>
                  <w:tcW w:w="1805" w:type="pct"/>
                  <w:noWrap w:val="0"/>
                  <w:vAlign w:val="center"/>
                </w:tcPr>
                <w:p w14:paraId="3E9F23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年评价指标</w:t>
                  </w:r>
                </w:p>
              </w:tc>
              <w:tc>
                <w:tcPr>
                  <w:tcW w:w="809" w:type="pct"/>
                  <w:noWrap w:val="0"/>
                  <w:vAlign w:val="center"/>
                </w:tcPr>
                <w:p w14:paraId="0C19803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现状浓度（μg/m³）</w:t>
                  </w:r>
                </w:p>
              </w:tc>
              <w:tc>
                <w:tcPr>
                  <w:tcW w:w="734" w:type="pct"/>
                  <w:noWrap w:val="0"/>
                  <w:vAlign w:val="center"/>
                </w:tcPr>
                <w:p w14:paraId="4ADB38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标准值（μg/m³）</w:t>
                  </w:r>
                </w:p>
              </w:tc>
              <w:tc>
                <w:tcPr>
                  <w:tcW w:w="570" w:type="pct"/>
                  <w:noWrap w:val="0"/>
                  <w:vAlign w:val="center"/>
                </w:tcPr>
                <w:p w14:paraId="7BD104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占标率(%)</w:t>
                  </w:r>
                </w:p>
              </w:tc>
              <w:tc>
                <w:tcPr>
                  <w:tcW w:w="487" w:type="pct"/>
                  <w:noWrap w:val="0"/>
                  <w:vAlign w:val="center"/>
                </w:tcPr>
                <w:p w14:paraId="38CA29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达标情况</w:t>
                  </w:r>
                </w:p>
              </w:tc>
            </w:tr>
            <w:tr w14:paraId="1A46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1" w:type="pct"/>
                  <w:noWrap w:val="0"/>
                  <w:vAlign w:val="center"/>
                </w:tcPr>
                <w:p w14:paraId="6894AC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5"/>
                      <w:sz w:val="21"/>
                      <w:szCs w:val="21"/>
                      <w:highlight w:val="none"/>
                      <w14:textFill>
                        <w14:solidFill>
                          <w14:schemeClr w14:val="tx1"/>
                        </w14:solidFill>
                      </w14:textFill>
                    </w:rPr>
                    <w:t>PM</w:t>
                  </w:r>
                  <w:r>
                    <w:rPr>
                      <w:rFonts w:hint="default" w:ascii="Times New Roman" w:hAnsi="Times New Roman" w:eastAsia="宋体" w:cs="Times New Roman"/>
                      <w:color w:val="000000" w:themeColor="text1"/>
                      <w:w w:val="105"/>
                      <w:sz w:val="21"/>
                      <w:szCs w:val="21"/>
                      <w:highlight w:val="none"/>
                      <w:vertAlign w:val="subscript"/>
                      <w14:textFill>
                        <w14:solidFill>
                          <w14:schemeClr w14:val="tx1"/>
                        </w14:solidFill>
                      </w14:textFill>
                    </w:rPr>
                    <w:t>2.5</w:t>
                  </w:r>
                </w:p>
              </w:tc>
              <w:tc>
                <w:tcPr>
                  <w:tcW w:w="1805" w:type="pct"/>
                  <w:noWrap w:val="0"/>
                  <w:vAlign w:val="center"/>
                </w:tcPr>
                <w:p w14:paraId="25653B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809" w:type="pct"/>
                  <w:noWrap w:val="0"/>
                  <w:vAlign w:val="center"/>
                </w:tcPr>
                <w:p w14:paraId="3A97259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w:t>
                  </w:r>
                </w:p>
              </w:tc>
              <w:tc>
                <w:tcPr>
                  <w:tcW w:w="734" w:type="pct"/>
                  <w:noWrap w:val="0"/>
                  <w:vAlign w:val="center"/>
                </w:tcPr>
                <w:p w14:paraId="69C664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570" w:type="pct"/>
                  <w:noWrap w:val="0"/>
                  <w:vAlign w:val="center"/>
                </w:tcPr>
                <w:p w14:paraId="219AE2D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54.3</w:t>
                  </w:r>
                </w:p>
              </w:tc>
              <w:tc>
                <w:tcPr>
                  <w:tcW w:w="487" w:type="pct"/>
                  <w:noWrap w:val="0"/>
                  <w:vAlign w:val="center"/>
                </w:tcPr>
                <w:p w14:paraId="141F432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80B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1" w:type="pct"/>
                  <w:noWrap w:val="0"/>
                  <w:vAlign w:val="center"/>
                </w:tcPr>
                <w:p w14:paraId="28909A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PM</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10</w:t>
                  </w:r>
                </w:p>
              </w:tc>
              <w:tc>
                <w:tcPr>
                  <w:tcW w:w="1805" w:type="pct"/>
                  <w:noWrap w:val="0"/>
                  <w:vAlign w:val="center"/>
                </w:tcPr>
                <w:p w14:paraId="076687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809" w:type="pct"/>
                  <w:noWrap w:val="0"/>
                  <w:vAlign w:val="center"/>
                </w:tcPr>
                <w:p w14:paraId="6797A2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w:t>
                  </w:r>
                </w:p>
              </w:tc>
              <w:tc>
                <w:tcPr>
                  <w:tcW w:w="734" w:type="pct"/>
                  <w:noWrap w:val="0"/>
                  <w:vAlign w:val="center"/>
                </w:tcPr>
                <w:p w14:paraId="3598D5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570" w:type="pct"/>
                  <w:noWrap w:val="0"/>
                  <w:vAlign w:val="center"/>
                </w:tcPr>
                <w:p w14:paraId="5DBADD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51.4</w:t>
                  </w:r>
                </w:p>
              </w:tc>
              <w:tc>
                <w:tcPr>
                  <w:tcW w:w="487" w:type="pct"/>
                  <w:noWrap w:val="0"/>
                  <w:vAlign w:val="center"/>
                </w:tcPr>
                <w:p w14:paraId="466238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6F0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1" w:type="pct"/>
                  <w:noWrap w:val="0"/>
                  <w:vAlign w:val="center"/>
                </w:tcPr>
                <w:p w14:paraId="4B71C9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SO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2</w:t>
                  </w:r>
                </w:p>
              </w:tc>
              <w:tc>
                <w:tcPr>
                  <w:tcW w:w="1805" w:type="pct"/>
                  <w:noWrap w:val="0"/>
                  <w:vAlign w:val="center"/>
                </w:tcPr>
                <w:p w14:paraId="506054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809" w:type="pct"/>
                  <w:noWrap w:val="0"/>
                  <w:vAlign w:val="center"/>
                </w:tcPr>
                <w:p w14:paraId="0479F68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734" w:type="pct"/>
                  <w:noWrap w:val="0"/>
                  <w:vAlign w:val="center"/>
                </w:tcPr>
                <w:p w14:paraId="6C3EB00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570" w:type="pct"/>
                  <w:noWrap w:val="0"/>
                  <w:vAlign w:val="center"/>
                </w:tcPr>
                <w:p w14:paraId="4D06A3F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8.3</w:t>
                  </w:r>
                </w:p>
              </w:tc>
              <w:tc>
                <w:tcPr>
                  <w:tcW w:w="487" w:type="pct"/>
                  <w:noWrap w:val="0"/>
                  <w:vAlign w:val="center"/>
                </w:tcPr>
                <w:p w14:paraId="57A66C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362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1" w:type="pct"/>
                  <w:noWrap w:val="0"/>
                  <w:vAlign w:val="center"/>
                </w:tcPr>
                <w:p w14:paraId="788DC0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NO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2</w:t>
                  </w:r>
                </w:p>
              </w:tc>
              <w:tc>
                <w:tcPr>
                  <w:tcW w:w="1805" w:type="pct"/>
                  <w:noWrap w:val="0"/>
                  <w:vAlign w:val="center"/>
                </w:tcPr>
                <w:p w14:paraId="179487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809" w:type="pct"/>
                  <w:noWrap w:val="0"/>
                  <w:vAlign w:val="center"/>
                </w:tcPr>
                <w:p w14:paraId="31E7C4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734" w:type="pct"/>
                  <w:noWrap w:val="0"/>
                  <w:vAlign w:val="center"/>
                </w:tcPr>
                <w:p w14:paraId="597582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570" w:type="pct"/>
                  <w:noWrap w:val="0"/>
                  <w:vAlign w:val="center"/>
                </w:tcPr>
                <w:p w14:paraId="20C8C73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45.0</w:t>
                  </w:r>
                </w:p>
              </w:tc>
              <w:tc>
                <w:tcPr>
                  <w:tcW w:w="487" w:type="pct"/>
                  <w:noWrap w:val="0"/>
                  <w:vAlign w:val="center"/>
                </w:tcPr>
                <w:p w14:paraId="01DBA85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7892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1" w:type="pct"/>
                  <w:noWrap w:val="0"/>
                  <w:vAlign w:val="center"/>
                </w:tcPr>
                <w:p w14:paraId="623D278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805" w:type="pct"/>
                  <w:noWrap w:val="0"/>
                  <w:vAlign w:val="center"/>
                </w:tcPr>
                <w:p w14:paraId="6EC39C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第95百分位数日平均质量浓</w:t>
                  </w:r>
                  <w:r>
                    <w:rPr>
                      <w:rFonts w:hint="default" w:ascii="Times New Roman" w:hAnsi="Times New Roman" w:eastAsia="宋体" w:cs="Times New Roman"/>
                      <w:color w:val="000000" w:themeColor="text1"/>
                      <w:w w:val="99"/>
                      <w:sz w:val="21"/>
                      <w:szCs w:val="21"/>
                      <w:highlight w:val="none"/>
                      <w14:textFill>
                        <w14:solidFill>
                          <w14:schemeClr w14:val="tx1"/>
                        </w14:solidFill>
                      </w14:textFill>
                    </w:rPr>
                    <w:t>度</w:t>
                  </w:r>
                </w:p>
              </w:tc>
              <w:tc>
                <w:tcPr>
                  <w:tcW w:w="809" w:type="pct"/>
                  <w:noWrap w:val="0"/>
                  <w:vAlign w:val="center"/>
                </w:tcPr>
                <w:p w14:paraId="67C3AC8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700</w:t>
                  </w:r>
                </w:p>
              </w:tc>
              <w:tc>
                <w:tcPr>
                  <w:tcW w:w="734" w:type="pct"/>
                  <w:noWrap w:val="0"/>
                  <w:vAlign w:val="center"/>
                </w:tcPr>
                <w:p w14:paraId="439404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w:t>
                  </w:r>
                </w:p>
              </w:tc>
              <w:tc>
                <w:tcPr>
                  <w:tcW w:w="570" w:type="pct"/>
                  <w:noWrap w:val="0"/>
                  <w:vAlign w:val="center"/>
                </w:tcPr>
                <w:p w14:paraId="534398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17.5</w:t>
                  </w:r>
                </w:p>
              </w:tc>
              <w:tc>
                <w:tcPr>
                  <w:tcW w:w="487" w:type="pct"/>
                  <w:noWrap w:val="0"/>
                  <w:vAlign w:val="center"/>
                </w:tcPr>
                <w:p w14:paraId="5BB302C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09F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1" w:type="pct"/>
                  <w:noWrap w:val="0"/>
                  <w:vAlign w:val="center"/>
                </w:tcPr>
                <w:p w14:paraId="33B48F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3</w:t>
                  </w:r>
                </w:p>
              </w:tc>
              <w:tc>
                <w:tcPr>
                  <w:tcW w:w="1805" w:type="pct"/>
                  <w:noWrap w:val="0"/>
                  <w:vAlign w:val="center"/>
                </w:tcPr>
                <w:p w14:paraId="271AEB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第90百分位数平均质量浓度</w:t>
                  </w:r>
                </w:p>
              </w:tc>
              <w:tc>
                <w:tcPr>
                  <w:tcW w:w="809" w:type="pct"/>
                  <w:noWrap w:val="0"/>
                  <w:vAlign w:val="center"/>
                </w:tcPr>
                <w:p w14:paraId="58EAC3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136</w:t>
                  </w:r>
                </w:p>
              </w:tc>
              <w:tc>
                <w:tcPr>
                  <w:tcW w:w="734" w:type="pct"/>
                  <w:noWrap w:val="0"/>
                  <w:vAlign w:val="center"/>
                </w:tcPr>
                <w:p w14:paraId="734B29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570" w:type="pct"/>
                  <w:noWrap w:val="0"/>
                  <w:vAlign w:val="center"/>
                </w:tcPr>
                <w:p w14:paraId="73F367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85.0</w:t>
                  </w:r>
                </w:p>
              </w:tc>
              <w:tc>
                <w:tcPr>
                  <w:tcW w:w="487" w:type="pct"/>
                  <w:noWrap w:val="0"/>
                  <w:vAlign w:val="center"/>
                </w:tcPr>
                <w:p w14:paraId="3FFA6CE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14:paraId="714DC4B6">
            <w:pPr>
              <w:adjustRightInd w:val="0"/>
              <w:snapToGrid w:val="0"/>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由</w:t>
            </w:r>
            <w:r>
              <w:rPr>
                <w:rFonts w:hint="eastAsia"/>
                <w:color w:val="000000" w:themeColor="text1"/>
                <w:sz w:val="24"/>
                <w:highlight w:val="none"/>
                <w:lang w:val="en-US" w:eastAsia="zh-CN"/>
                <w14:textFill>
                  <w14:solidFill>
                    <w14:schemeClr w14:val="tx1"/>
                  </w14:solidFill>
                </w14:textFill>
              </w:rPr>
              <w:t>上表</w:t>
            </w:r>
            <w:r>
              <w:rPr>
                <w:rFonts w:hint="eastAsia"/>
                <w:color w:val="000000" w:themeColor="text1"/>
                <w:sz w:val="24"/>
                <w:highlight w:val="none"/>
                <w14:textFill>
                  <w14:solidFill>
                    <w14:schemeClr w14:val="tx1"/>
                  </w14:solidFill>
                </w14:textFill>
              </w:rPr>
              <w:t>可知，</w:t>
            </w:r>
            <w:r>
              <w:rPr>
                <w:rFonts w:hint="eastAsia"/>
                <w:color w:val="000000" w:themeColor="text1"/>
                <w:sz w:val="24"/>
                <w:highlight w:val="none"/>
                <w:lang w:val="en-US" w:eastAsia="zh-CN"/>
                <w14:textFill>
                  <w14:solidFill>
                    <w14:schemeClr w14:val="tx1"/>
                  </w14:solidFill>
                </w14:textFill>
              </w:rPr>
              <w:t>项目所在区域</w:t>
            </w:r>
            <w:r>
              <w:rPr>
                <w:rFonts w:hint="eastAsia"/>
                <w:color w:val="000000" w:themeColor="text1"/>
                <w:sz w:val="24"/>
                <w:highlight w:val="none"/>
                <w14:textFill>
                  <w14:solidFill>
                    <w14:schemeClr w14:val="tx1"/>
                  </w14:solidFill>
                </w14:textFill>
              </w:rPr>
              <w:t>承德市</w:t>
            </w:r>
            <w:r>
              <w:rPr>
                <w:rFonts w:hint="eastAsia"/>
                <w:color w:val="000000" w:themeColor="text1"/>
                <w:sz w:val="24"/>
                <w:highlight w:val="none"/>
                <w:lang w:val="en-US" w:eastAsia="zh-CN"/>
                <w14:textFill>
                  <w14:solidFill>
                    <w14:schemeClr w14:val="tx1"/>
                  </w14:solidFill>
                </w14:textFill>
              </w:rPr>
              <w:t>围场满族蒙古族自治县</w:t>
            </w:r>
            <w:r>
              <w:rPr>
                <w:rFonts w:hint="eastAsia"/>
                <w:color w:val="000000" w:themeColor="text1"/>
                <w:sz w:val="24"/>
                <w:highlight w:val="none"/>
                <w14:textFill>
                  <w14:solidFill>
                    <w14:schemeClr w14:val="tx1"/>
                  </w14:solidFill>
                </w14:textFill>
              </w:rPr>
              <w:t>环境空气中，PM</w:t>
            </w:r>
            <w:r>
              <w:rPr>
                <w:rFonts w:hint="eastAsia"/>
                <w:color w:val="000000" w:themeColor="text1"/>
                <w:sz w:val="24"/>
                <w:highlight w:val="none"/>
                <w:vertAlign w:val="subscript"/>
                <w14:textFill>
                  <w14:solidFill>
                    <w14:schemeClr w14:val="tx1"/>
                  </w14:solidFill>
                </w14:textFill>
              </w:rPr>
              <w:t>10</w:t>
            </w:r>
            <w:r>
              <w:rPr>
                <w:rFonts w:hint="eastAsia"/>
                <w:color w:val="000000" w:themeColor="text1"/>
                <w:sz w:val="24"/>
                <w:highlight w:val="none"/>
                <w14:textFill>
                  <w14:solidFill>
                    <w14:schemeClr w14:val="tx1"/>
                  </w14:solidFill>
                </w14:textFill>
              </w:rPr>
              <w:t>、PM</w:t>
            </w:r>
            <w:r>
              <w:rPr>
                <w:rFonts w:hint="eastAsia"/>
                <w:color w:val="000000" w:themeColor="text1"/>
                <w:sz w:val="24"/>
                <w:highlight w:val="none"/>
                <w:vertAlign w:val="subscript"/>
                <w14:textFill>
                  <w14:solidFill>
                    <w14:schemeClr w14:val="tx1"/>
                  </w14:solidFill>
                </w14:textFill>
              </w:rPr>
              <w:t>2.5</w:t>
            </w:r>
            <w:r>
              <w:rPr>
                <w:rFonts w:hint="eastAsia"/>
                <w:color w:val="000000" w:themeColor="text1"/>
                <w:sz w:val="24"/>
                <w:highlight w:val="none"/>
                <w14:textFill>
                  <w14:solidFill>
                    <w14:schemeClr w14:val="tx1"/>
                  </w14:solidFill>
                </w14:textFill>
              </w:rPr>
              <w:t>、SO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、NO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vertAlign w:val="baseline"/>
                <w:lang w:val="en-US" w:eastAsia="zh-CN"/>
                <w14:textFill>
                  <w14:solidFill>
                    <w14:schemeClr w14:val="tx1"/>
                  </w14:solidFill>
                </w14:textFill>
              </w:rPr>
              <w:t>年平均质量浓度</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O</w:t>
            </w:r>
            <w:r>
              <w:rPr>
                <w:rFonts w:hint="eastAsia"/>
                <w:color w:val="000000" w:themeColor="text1"/>
                <w:sz w:val="24"/>
                <w:highlight w:val="none"/>
                <w:vertAlign w:val="subscript"/>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最大8小时</w:t>
            </w:r>
            <w:r>
              <w:rPr>
                <w:rFonts w:hint="eastAsia"/>
                <w:color w:val="000000" w:themeColor="text1"/>
                <w:sz w:val="24"/>
                <w:highlight w:val="none"/>
                <w:vertAlign w:val="baseline"/>
                <w14:textFill>
                  <w14:solidFill>
                    <w14:schemeClr w14:val="tx1"/>
                  </w14:solidFill>
                </w14:textFill>
              </w:rPr>
              <w:t>第90百分位数平均质量浓度</w:t>
            </w:r>
            <w:r>
              <w:rPr>
                <w:rFonts w:hint="eastAsia"/>
                <w:color w:val="000000" w:themeColor="text1"/>
                <w:sz w:val="24"/>
                <w:highlight w:val="none"/>
                <w14:textFill>
                  <w14:solidFill>
                    <w14:schemeClr w14:val="tx1"/>
                  </w14:solidFill>
                </w14:textFill>
              </w:rPr>
              <w:t>和CO</w:t>
            </w:r>
            <w:r>
              <w:rPr>
                <w:rFonts w:hint="eastAsia"/>
                <w:color w:val="000000" w:themeColor="text1"/>
                <w:sz w:val="24"/>
                <w:highlight w:val="none"/>
                <w:lang w:val="en-US" w:eastAsia="zh-CN"/>
                <w14:textFill>
                  <w14:solidFill>
                    <w14:schemeClr w14:val="tx1"/>
                  </w14:solidFill>
                </w14:textFill>
              </w:rPr>
              <w:t xml:space="preserve"> 24小时</w:t>
            </w:r>
            <w:r>
              <w:rPr>
                <w:rFonts w:hint="eastAsia"/>
                <w:color w:val="000000" w:themeColor="text1"/>
                <w:sz w:val="24"/>
                <w:highlight w:val="none"/>
                <w14:textFill>
                  <w14:solidFill>
                    <w14:schemeClr w14:val="tx1"/>
                  </w14:solidFill>
                </w14:textFill>
              </w:rPr>
              <w:t>第95百分位数日平均质量浓度均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满足《环境空气质量标准》(GB3095-2012)及2018年修改单中的二级标准</w:t>
            </w:r>
            <w:r>
              <w:rPr>
                <w:rFonts w:hint="eastAsia"/>
                <w:color w:val="000000" w:themeColor="text1"/>
                <w:sz w:val="24"/>
                <w:highlight w:val="none"/>
                <w:lang w:val="en-US" w:eastAsia="zh-CN"/>
                <w14:textFill>
                  <w14:solidFill>
                    <w14:schemeClr w14:val="tx1"/>
                  </w14:solidFill>
                </w14:textFill>
              </w:rPr>
              <w:t>，项目所在区域</w:t>
            </w:r>
            <w:r>
              <w:rPr>
                <w:rFonts w:hint="eastAsia"/>
                <w:color w:val="000000" w:themeColor="text1"/>
                <w:sz w:val="24"/>
                <w:highlight w:val="none"/>
                <w14:textFill>
                  <w14:solidFill>
                    <w14:schemeClr w14:val="tx1"/>
                  </w14:solidFill>
                </w14:textFill>
              </w:rPr>
              <w:t>为达标区。</w:t>
            </w:r>
          </w:p>
          <w:p w14:paraId="4ACC0767">
            <w:pPr>
              <w:spacing w:line="44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5</w:t>
            </w:r>
            <w:r>
              <w:rPr>
                <w:rFonts w:hint="eastAsia"/>
                <w:b/>
                <w:bCs/>
                <w:color w:val="000000" w:themeColor="text1"/>
                <w:sz w:val="24"/>
                <w:highlight w:val="none"/>
                <w14:textFill>
                  <w14:solidFill>
                    <w14:schemeClr w14:val="tx1"/>
                  </w14:solidFill>
                </w14:textFill>
              </w:rPr>
              <w:t>、地表水环境质量现状</w:t>
            </w:r>
          </w:p>
          <w:p w14:paraId="62223E1F">
            <w:pPr>
              <w:adjustRightInd w:val="0"/>
              <w:snapToGrid w:val="0"/>
              <w:spacing w:line="440" w:lineRule="exact"/>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项目所在区域地表水主要为西路嘎河，</w:t>
            </w: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承德市生态环境局于2024年5月发布的</w:t>
            </w:r>
            <w:r>
              <w:rPr>
                <w:rFonts w:hint="eastAsia"/>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年承德市生态环境状况公报》</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2023年西路嘎河水质总体为优，与2022年持平，二道河水库入口监测断面水质为</w:t>
            </w:r>
            <w:r>
              <w:rPr>
                <w:rFonts w:hint="default" w:ascii="Times New Roman" w:hAnsi="Times New Roman" w:cs="Times New Roman"/>
                <w:color w:val="000000" w:themeColor="text1"/>
                <w:sz w:val="24"/>
                <w:highlight w:val="none"/>
                <w:lang w:val="en-US" w:eastAsia="zh-CN"/>
                <w14:textFill>
                  <w14:solidFill>
                    <w14:schemeClr w14:val="tx1"/>
                  </w14:solidFill>
                </w14:textFill>
              </w:rPr>
              <w:t>Ⅱ</w:t>
            </w:r>
            <w:r>
              <w:rPr>
                <w:rFonts w:hint="eastAsia"/>
                <w:color w:val="000000" w:themeColor="text1"/>
                <w:sz w:val="24"/>
                <w:highlight w:val="none"/>
                <w:lang w:val="en-US" w:eastAsia="zh-CN"/>
                <w14:textFill>
                  <w14:solidFill>
                    <w14:schemeClr w14:val="tx1"/>
                  </w14:solidFill>
                </w14:textFill>
              </w:rPr>
              <w:t>类。</w:t>
            </w:r>
          </w:p>
          <w:p w14:paraId="24966B62">
            <w:pPr>
              <w:numPr>
                <w:ilvl w:val="0"/>
                <w:numId w:val="0"/>
              </w:numPr>
              <w:spacing w:line="440" w:lineRule="exact"/>
              <w:ind w:firstLine="482" w:firstLineChars="200"/>
              <w:contextualSpacing/>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6、工频电磁场环境现状</w:t>
            </w:r>
          </w:p>
          <w:p w14:paraId="59B02DCC">
            <w:pPr>
              <w:pStyle w:val="4"/>
              <w:pageBreakBefore w:val="0"/>
              <w:widowControl w:val="0"/>
              <w:kinsoku/>
              <w:wordWrap/>
              <w:overflowPunct/>
              <w:topLinePunct w:val="0"/>
              <w:bidi w:val="0"/>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目前本项目输电线路铁塔部分已建设，架空线路部分已敷设，但处于建设阶段，无污染物产生，且主动停止建设。</w:t>
            </w:r>
          </w:p>
          <w:p w14:paraId="46EC740C">
            <w:pPr>
              <w:pStyle w:val="4"/>
              <w:pageBreakBefore w:val="0"/>
              <w:widowControl w:val="0"/>
              <w:kinsoku/>
              <w:wordWrap/>
              <w:overflowPunct/>
              <w:topLinePunct w:val="0"/>
              <w:bidi w:val="0"/>
              <w:spacing w:after="0"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为了解</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项目拟建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线路沿线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电磁环境质量现状，委托</w:t>
            </w:r>
            <w:r>
              <w:rPr>
                <w:rFonts w:hint="eastAsia" w:hAnsi="Times New Roman" w:cs="Times New Roman"/>
                <w:bCs/>
                <w:color w:val="000000" w:themeColor="text1"/>
                <w:sz w:val="24"/>
                <w:szCs w:val="24"/>
                <w:highlight w:val="none"/>
                <w:lang w:val="en-US" w:eastAsia="zh-CN"/>
                <w14:textFill>
                  <w14:solidFill>
                    <w14:schemeClr w14:val="tx1"/>
                  </w14:solidFill>
                </w14:textFill>
              </w:rPr>
              <w:t>河北省华川检验检测技术服务有限公司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对本项目电磁环境</w:t>
            </w:r>
            <w:r>
              <w:rPr>
                <w:rFonts w:hint="eastAsia" w:hAnsi="Times New Roman" w:cs="Times New Roman"/>
                <w:color w:val="000000" w:themeColor="text1"/>
                <w:sz w:val="24"/>
                <w:szCs w:val="24"/>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现状进行了监测，监测报告编号为：</w:t>
            </w:r>
            <w:r>
              <w:rPr>
                <w:rFonts w:hint="eastAsia" w:hAnsi="Times New Roman" w:cs="Times New Roman"/>
                <w:bCs/>
                <w:color w:val="000000" w:themeColor="text1"/>
                <w:sz w:val="24"/>
                <w:szCs w:val="24"/>
                <w:highlight w:val="none"/>
                <w:lang w:val="en-US" w:eastAsia="zh-CN"/>
                <w14:textFill>
                  <w14:solidFill>
                    <w14:schemeClr w14:val="tx1"/>
                  </w14:solidFill>
                </w14:textFill>
              </w:rPr>
              <w:t>HBHC检字</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（202</w:t>
            </w:r>
            <w:r>
              <w:rPr>
                <w:rFonts w:hint="eastAsia" w:hAnsi="Times New Roman"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）第</w:t>
            </w:r>
            <w:r>
              <w:rPr>
                <w:rFonts w:hint="eastAsia" w:hAnsi="Times New Roman" w:cs="Times New Roman"/>
                <w:bCs/>
                <w:color w:val="000000" w:themeColor="text1"/>
                <w:sz w:val="24"/>
                <w:szCs w:val="24"/>
                <w:highlight w:val="none"/>
                <w:lang w:val="en-US" w:eastAsia="zh-CN"/>
                <w14:textFill>
                  <w14:solidFill>
                    <w14:schemeClr w14:val="tx1"/>
                  </w14:solidFill>
                </w14:textFill>
              </w:rPr>
              <w:t>009</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号（详见附件）。</w:t>
            </w:r>
          </w:p>
          <w:p w14:paraId="074031FB">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（1）监测仪器</w:t>
            </w:r>
          </w:p>
          <w:p w14:paraId="312A691A">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所用仪器均经国家计量部门检验合格，并处于检验证书有效期内，仪器的频率性能覆盖监测对象的频率范围。</w:t>
            </w:r>
          </w:p>
          <w:p w14:paraId="7971B8C2">
            <w:pPr>
              <w:numPr>
                <w:ilvl w:val="0"/>
                <w:numId w:val="0"/>
              </w:numPr>
              <w:spacing w:line="440" w:lineRule="exact"/>
              <w:ind w:firstLine="480" w:firstLineChars="200"/>
              <w:contextualSpacing/>
              <w:rPr>
                <w:rFonts w:hint="default"/>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仪器名称：电磁辐射场强仪；仪器型号：BHYT2010B；仪器编号：HCIE-22；测量范围：0.01V/m~100kV/m（电场），1nT~10mT（磁场）；频率响应范围：1Hz~400kHz；校准有效期至：2025年2月1日。</w:t>
            </w:r>
          </w:p>
          <w:p w14:paraId="612EB41E">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（2）监测方法</w:t>
            </w:r>
          </w:p>
          <w:p w14:paraId="5899C4AF">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按照《交流输变电工程电磁环境监测方法（试行）》（HJ681-2013）进行。</w:t>
            </w:r>
          </w:p>
          <w:p w14:paraId="14AA3966">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（3）监测点位、监测频次及监测因子</w:t>
            </w:r>
          </w:p>
          <w:p w14:paraId="53DDFEAB">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监测点位：分别在架空线路A16~A17号塔位之间线路正下方、A02号塔位西北侧四把伙村、A48~A49号塔之间线路东侧下常乐店、A65~A67号塔位之间线路下方布设1个检测点位，共布设4个检测点位。</w:t>
            </w:r>
          </w:p>
          <w:p w14:paraId="1F709BB2">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监测布点示意图见附图4。</w:t>
            </w:r>
          </w:p>
          <w:p w14:paraId="666FC45A">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监测频次：监测1次。</w:t>
            </w:r>
          </w:p>
          <w:p w14:paraId="013F852E">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监测因子</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：工频电场</w:t>
            </w:r>
            <w:r>
              <w:rPr>
                <w:rFonts w:hint="eastAsia" w:cs="Times New Roman"/>
                <w:b w:val="0"/>
                <w:bCs w:val="0"/>
                <w:color w:val="000000" w:themeColor="text1"/>
                <w:sz w:val="24"/>
                <w:highlight w:val="none"/>
                <w:lang w:val="en-US" w:eastAsia="zh-CN"/>
                <w14:textFill>
                  <w14:solidFill>
                    <w14:schemeClr w14:val="tx1"/>
                  </w14:solidFill>
                </w14:textFill>
              </w:rPr>
              <w:t>强度</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（V/m）、工频</w:t>
            </w:r>
            <w:r>
              <w:rPr>
                <w:rFonts w:hint="eastAsia" w:cs="Times New Roman"/>
                <w:b w:val="0"/>
                <w:bCs w:val="0"/>
                <w:color w:val="000000" w:themeColor="text1"/>
                <w:sz w:val="24"/>
                <w:highlight w:val="none"/>
                <w:lang w:val="en-US" w:eastAsia="zh-CN"/>
                <w14:textFill>
                  <w14:solidFill>
                    <w14:schemeClr w14:val="tx1"/>
                  </w14:solidFill>
                </w14:textFill>
              </w:rPr>
              <w:t>磁感应强度</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（μT）。</w:t>
            </w:r>
          </w:p>
          <w:p w14:paraId="65CBA89B">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（4）监测单位、时间</w:t>
            </w:r>
          </w:p>
          <w:p w14:paraId="071D47CE">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hAnsi="Times New Roman" w:cs="Times New Roman"/>
                <w:bCs/>
                <w:color w:val="000000" w:themeColor="text1"/>
                <w:sz w:val="24"/>
                <w:szCs w:val="24"/>
                <w:highlight w:val="none"/>
                <w:lang w:val="en-US" w:eastAsia="zh-CN"/>
                <w14:textFill>
                  <w14:solidFill>
                    <w14:schemeClr w14:val="tx1"/>
                  </w14:solidFill>
                </w14:textFill>
              </w:rPr>
              <w:t>河北省华川检验检测技术服务有限公司</w:t>
            </w:r>
            <w:r>
              <w:rPr>
                <w:rFonts w:hint="eastAsia"/>
                <w:b w:val="0"/>
                <w:bCs w:val="0"/>
                <w:color w:val="000000" w:themeColor="text1"/>
                <w:sz w:val="24"/>
                <w:highlight w:val="none"/>
                <w:lang w:val="en-US" w:eastAsia="zh-CN"/>
                <w14:textFill>
                  <w14:solidFill>
                    <w14:schemeClr w14:val="tx1"/>
                  </w14:solidFill>
                </w14:textFill>
              </w:rPr>
              <w:t>于2025年1月10日进行监测。</w:t>
            </w:r>
          </w:p>
          <w:p w14:paraId="2F56D877">
            <w:pPr>
              <w:numPr>
                <w:ilvl w:val="0"/>
                <w:numId w:val="6"/>
              </w:numPr>
              <w:spacing w:line="440" w:lineRule="exact"/>
              <w:ind w:left="0" w:leftChars="0"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监测期间气象条件</w:t>
            </w:r>
          </w:p>
          <w:p w14:paraId="54C726E6">
            <w:pPr>
              <w:numPr>
                <w:ilvl w:val="0"/>
                <w:numId w:val="0"/>
              </w:numPr>
              <w:spacing w:line="440" w:lineRule="exact"/>
              <w:ind w:firstLine="480" w:firstLineChars="200"/>
              <w:contextualSpacing/>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1月10日，天气状况：晴、无雨雪、无雷电。昼间：环境温度-3.3℃~0.9℃；相对湿度30.2%RH~31.6%RH；风速2.43m/s~2.68m/s。</w:t>
            </w:r>
          </w:p>
          <w:p w14:paraId="3B760EE4">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（6）监测结果</w:t>
            </w:r>
          </w:p>
          <w:p w14:paraId="5699A409">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拟建线路周边工频电磁强度现状值监测结果见下表。</w:t>
            </w:r>
          </w:p>
          <w:p w14:paraId="40A53B09">
            <w:pPr>
              <w:numPr>
                <w:ilvl w:val="0"/>
                <w:numId w:val="0"/>
              </w:numPr>
              <w:spacing w:line="440" w:lineRule="exact"/>
              <w:contextualSpacing/>
              <w:jc w:val="center"/>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表3-3  本项目拟建线路周边电磁环境质量现状监测结果</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351"/>
              <w:gridCol w:w="1382"/>
              <w:gridCol w:w="1543"/>
              <w:gridCol w:w="1147"/>
            </w:tblGrid>
            <w:tr w14:paraId="5B9A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3ED0948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2092" w:type="pct"/>
                  <w:tcMar>
                    <w:top w:w="0" w:type="dxa"/>
                    <w:left w:w="28" w:type="dxa"/>
                    <w:bottom w:w="0" w:type="dxa"/>
                    <w:right w:w="28" w:type="dxa"/>
                  </w:tcMar>
                  <w:vAlign w:val="center"/>
                </w:tcPr>
                <w:p w14:paraId="2D1FB5E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监测点位</w:t>
                  </w:r>
                </w:p>
              </w:tc>
              <w:tc>
                <w:tcPr>
                  <w:tcW w:w="862" w:type="pct"/>
                  <w:tcMar>
                    <w:top w:w="0" w:type="dxa"/>
                    <w:left w:w="28" w:type="dxa"/>
                    <w:bottom w:w="0" w:type="dxa"/>
                    <w:right w:w="28" w:type="dxa"/>
                  </w:tcMar>
                  <w:vAlign w:val="center"/>
                </w:tcPr>
                <w:p w14:paraId="3C04FD5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工频电场强度(V/m)</w:t>
                  </w:r>
                </w:p>
              </w:tc>
              <w:tc>
                <w:tcPr>
                  <w:tcW w:w="963" w:type="pct"/>
                  <w:tcMar>
                    <w:top w:w="0" w:type="dxa"/>
                    <w:left w:w="28" w:type="dxa"/>
                    <w:bottom w:w="0" w:type="dxa"/>
                    <w:right w:w="28" w:type="dxa"/>
                  </w:tcMar>
                  <w:vAlign w:val="center"/>
                </w:tcPr>
                <w:p w14:paraId="78DDD95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工频磁感应强度(μT)</w:t>
                  </w:r>
                </w:p>
              </w:tc>
              <w:tc>
                <w:tcPr>
                  <w:tcW w:w="716" w:type="pct"/>
                  <w:tcMar>
                    <w:top w:w="0" w:type="dxa"/>
                    <w:left w:w="28" w:type="dxa"/>
                    <w:bottom w:w="0" w:type="dxa"/>
                    <w:right w:w="28" w:type="dxa"/>
                  </w:tcMar>
                  <w:vAlign w:val="center"/>
                </w:tcPr>
                <w:p w14:paraId="103CF4E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备注</w:t>
                  </w:r>
                </w:p>
              </w:tc>
            </w:tr>
            <w:tr w14:paraId="6BD5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09A97B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092" w:type="pct"/>
                  <w:tcMar>
                    <w:top w:w="0" w:type="dxa"/>
                    <w:left w:w="28" w:type="dxa"/>
                    <w:bottom w:w="0" w:type="dxa"/>
                    <w:right w:w="28" w:type="dxa"/>
                  </w:tcMar>
                  <w:vAlign w:val="center"/>
                </w:tcPr>
                <w:p w14:paraId="568325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A02号塔西北侧四把伙村</w:t>
                  </w:r>
                </w:p>
              </w:tc>
              <w:tc>
                <w:tcPr>
                  <w:tcW w:w="862" w:type="pct"/>
                  <w:tcMar>
                    <w:top w:w="0" w:type="dxa"/>
                    <w:left w:w="28" w:type="dxa"/>
                    <w:bottom w:w="0" w:type="dxa"/>
                    <w:right w:w="28" w:type="dxa"/>
                  </w:tcMar>
                  <w:vAlign w:val="center"/>
                </w:tcPr>
                <w:p w14:paraId="64FF42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119.4</w:t>
                  </w:r>
                </w:p>
              </w:tc>
              <w:tc>
                <w:tcPr>
                  <w:tcW w:w="963" w:type="pct"/>
                  <w:tcMar>
                    <w:top w:w="0" w:type="dxa"/>
                    <w:left w:w="28" w:type="dxa"/>
                    <w:bottom w:w="0" w:type="dxa"/>
                    <w:right w:w="28" w:type="dxa"/>
                  </w:tcMar>
                  <w:vAlign w:val="center"/>
                </w:tcPr>
                <w:p w14:paraId="0360BB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0.065</w:t>
                  </w:r>
                </w:p>
              </w:tc>
              <w:tc>
                <w:tcPr>
                  <w:tcW w:w="716" w:type="pct"/>
                  <w:vMerge w:val="restart"/>
                  <w:tcMar>
                    <w:top w:w="0" w:type="dxa"/>
                    <w:left w:w="28" w:type="dxa"/>
                    <w:bottom w:w="0" w:type="dxa"/>
                    <w:right w:w="28" w:type="dxa"/>
                  </w:tcMar>
                  <w:vAlign w:val="center"/>
                </w:tcPr>
                <w:p w14:paraId="13C7DE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受已运行并行线路影响，现状监测值较大</w:t>
                  </w:r>
                </w:p>
              </w:tc>
            </w:tr>
            <w:tr w14:paraId="6793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2F9E97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092" w:type="pct"/>
                  <w:tcMar>
                    <w:top w:w="0" w:type="dxa"/>
                    <w:left w:w="28" w:type="dxa"/>
                    <w:bottom w:w="0" w:type="dxa"/>
                    <w:right w:w="28" w:type="dxa"/>
                  </w:tcMar>
                  <w:vAlign w:val="center"/>
                </w:tcPr>
                <w:p w14:paraId="630F50C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A16~A17号塔位间线路正下方</w:t>
                  </w:r>
                </w:p>
              </w:tc>
              <w:tc>
                <w:tcPr>
                  <w:tcW w:w="862" w:type="pct"/>
                  <w:tcMar>
                    <w:top w:w="0" w:type="dxa"/>
                    <w:left w:w="28" w:type="dxa"/>
                    <w:bottom w:w="0" w:type="dxa"/>
                    <w:right w:w="28" w:type="dxa"/>
                  </w:tcMar>
                  <w:vAlign w:val="center"/>
                </w:tcPr>
                <w:p w14:paraId="0B3F28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35.85</w:t>
                  </w:r>
                </w:p>
              </w:tc>
              <w:tc>
                <w:tcPr>
                  <w:tcW w:w="963" w:type="pct"/>
                  <w:tcMar>
                    <w:top w:w="0" w:type="dxa"/>
                    <w:left w:w="28" w:type="dxa"/>
                    <w:bottom w:w="0" w:type="dxa"/>
                    <w:right w:w="28" w:type="dxa"/>
                  </w:tcMar>
                  <w:vAlign w:val="center"/>
                </w:tcPr>
                <w:p w14:paraId="224D64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0.219</w:t>
                  </w:r>
                </w:p>
              </w:tc>
              <w:tc>
                <w:tcPr>
                  <w:tcW w:w="716" w:type="pct"/>
                  <w:vMerge w:val="continue"/>
                  <w:tcMar>
                    <w:top w:w="0" w:type="dxa"/>
                    <w:left w:w="28" w:type="dxa"/>
                    <w:bottom w:w="0" w:type="dxa"/>
                    <w:right w:w="28" w:type="dxa"/>
                  </w:tcMar>
                  <w:vAlign w:val="center"/>
                </w:tcPr>
                <w:p w14:paraId="7047516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p>
              </w:tc>
            </w:tr>
            <w:tr w14:paraId="03F7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6DD2BA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092" w:type="pct"/>
                  <w:tcMar>
                    <w:top w:w="0" w:type="dxa"/>
                    <w:left w:w="28" w:type="dxa"/>
                    <w:bottom w:w="0" w:type="dxa"/>
                    <w:right w:w="28" w:type="dxa"/>
                  </w:tcMar>
                  <w:vAlign w:val="center"/>
                </w:tcPr>
                <w:p w14:paraId="2CEEF1F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A48~A49号塔间线路东侧下常乐店</w:t>
                  </w:r>
                </w:p>
              </w:tc>
              <w:tc>
                <w:tcPr>
                  <w:tcW w:w="862" w:type="pct"/>
                  <w:tcMar>
                    <w:top w:w="0" w:type="dxa"/>
                    <w:left w:w="28" w:type="dxa"/>
                    <w:bottom w:w="0" w:type="dxa"/>
                    <w:right w:w="28" w:type="dxa"/>
                  </w:tcMar>
                  <w:vAlign w:val="center"/>
                </w:tcPr>
                <w:p w14:paraId="51CA68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190.5</w:t>
                  </w:r>
                </w:p>
              </w:tc>
              <w:tc>
                <w:tcPr>
                  <w:tcW w:w="963" w:type="pct"/>
                  <w:tcMar>
                    <w:top w:w="0" w:type="dxa"/>
                    <w:left w:w="28" w:type="dxa"/>
                    <w:bottom w:w="0" w:type="dxa"/>
                    <w:right w:w="28" w:type="dxa"/>
                  </w:tcMar>
                  <w:vAlign w:val="center"/>
                </w:tcPr>
                <w:p w14:paraId="699FE4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0.064</w:t>
                  </w:r>
                </w:p>
              </w:tc>
              <w:tc>
                <w:tcPr>
                  <w:tcW w:w="716" w:type="pct"/>
                  <w:vMerge w:val="continue"/>
                  <w:tcMar>
                    <w:top w:w="0" w:type="dxa"/>
                    <w:left w:w="28" w:type="dxa"/>
                    <w:bottom w:w="0" w:type="dxa"/>
                    <w:right w:w="28" w:type="dxa"/>
                  </w:tcMar>
                  <w:vAlign w:val="center"/>
                </w:tcPr>
                <w:p w14:paraId="00F600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p>
              </w:tc>
            </w:tr>
            <w:tr w14:paraId="1076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11B310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2092" w:type="pct"/>
                  <w:tcMar>
                    <w:top w:w="0" w:type="dxa"/>
                    <w:left w:w="28" w:type="dxa"/>
                    <w:bottom w:w="0" w:type="dxa"/>
                    <w:right w:w="28" w:type="dxa"/>
                  </w:tcMar>
                  <w:vAlign w:val="center"/>
                </w:tcPr>
                <w:p w14:paraId="11E698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A65~A67号塔间线路下方</w:t>
                  </w:r>
                </w:p>
              </w:tc>
              <w:tc>
                <w:tcPr>
                  <w:tcW w:w="862" w:type="pct"/>
                  <w:tcMar>
                    <w:top w:w="0" w:type="dxa"/>
                    <w:left w:w="28" w:type="dxa"/>
                    <w:bottom w:w="0" w:type="dxa"/>
                    <w:right w:w="28" w:type="dxa"/>
                  </w:tcMar>
                  <w:vAlign w:val="center"/>
                </w:tcPr>
                <w:p w14:paraId="71A690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300.0</w:t>
                  </w:r>
                </w:p>
              </w:tc>
              <w:tc>
                <w:tcPr>
                  <w:tcW w:w="963" w:type="pct"/>
                  <w:tcMar>
                    <w:top w:w="0" w:type="dxa"/>
                    <w:left w:w="28" w:type="dxa"/>
                    <w:bottom w:w="0" w:type="dxa"/>
                    <w:right w:w="28" w:type="dxa"/>
                  </w:tcMar>
                  <w:vAlign w:val="center"/>
                </w:tcPr>
                <w:p w14:paraId="25232D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0.106</w:t>
                  </w:r>
                </w:p>
              </w:tc>
              <w:tc>
                <w:tcPr>
                  <w:tcW w:w="716" w:type="pct"/>
                  <w:vMerge w:val="continue"/>
                  <w:tcMar>
                    <w:top w:w="0" w:type="dxa"/>
                    <w:left w:w="28" w:type="dxa"/>
                    <w:bottom w:w="0" w:type="dxa"/>
                    <w:right w:w="28" w:type="dxa"/>
                  </w:tcMar>
                  <w:vAlign w:val="center"/>
                </w:tcPr>
                <w:p w14:paraId="0D80A3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p>
              </w:tc>
            </w:tr>
          </w:tbl>
          <w:p w14:paraId="13A1404B">
            <w:pPr>
              <w:pageBreakBefore w:val="0"/>
              <w:widowControl w:val="0"/>
              <w:kinsoku/>
              <w:wordWrap/>
              <w:overflowPunct/>
              <w:topLinePunct w:val="0"/>
              <w:bidi w:val="0"/>
              <w:adjustRightInd w:val="0"/>
              <w:snapToGrid/>
              <w:spacing w:line="440" w:lineRule="exact"/>
              <w:ind w:firstLine="480" w:firstLineChars="200"/>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由上表可知，拟建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线路</w:t>
            </w:r>
            <w:r>
              <w:rPr>
                <w:rFonts w:hint="eastAsia" w:cs="Times New Roman"/>
                <w:color w:val="000000" w:themeColor="text1"/>
                <w:sz w:val="24"/>
                <w:szCs w:val="24"/>
                <w:highlight w:val="none"/>
                <w:lang w:val="en-US" w:eastAsia="zh-CN"/>
                <w14:textFill>
                  <w14:solidFill>
                    <w14:schemeClr w14:val="tx1"/>
                  </w14:solidFill>
                </w14:textFill>
              </w:rPr>
              <w:t>下方</w:t>
            </w:r>
            <w:r>
              <w:rPr>
                <w:rFonts w:hint="default" w:ascii="Times New Roman" w:hAnsi="Times New Roman" w:eastAsia="宋体" w:cs="Times New Roman"/>
                <w:color w:val="000000" w:themeColor="text1"/>
                <w:sz w:val="24"/>
                <w:szCs w:val="24"/>
                <w:highlight w:val="none"/>
                <w14:textFill>
                  <w14:solidFill>
                    <w14:schemeClr w14:val="tx1"/>
                  </w14:solidFill>
                </w14:textFill>
              </w:rPr>
              <w:t>工频电场强度为</w:t>
            </w:r>
            <w:r>
              <w:rPr>
                <w:rFonts w:hint="eastAsia" w:cs="Times New Roman"/>
                <w:color w:val="000000" w:themeColor="text1"/>
                <w:sz w:val="24"/>
                <w:szCs w:val="24"/>
                <w:highlight w:val="none"/>
                <w:lang w:val="en-US" w:eastAsia="zh-CN"/>
                <w14:textFill>
                  <w14:solidFill>
                    <w14:schemeClr w14:val="tx1"/>
                  </w14:solidFill>
                </w14:textFill>
              </w:rPr>
              <w:t>35.85</w:t>
            </w:r>
            <w:r>
              <w:rPr>
                <w:rFonts w:hint="default" w:ascii="Times New Roman" w:hAnsi="Times New Roman" w:eastAsia="宋体" w:cs="Times New Roman"/>
                <w:color w:val="000000" w:themeColor="text1"/>
                <w:sz w:val="24"/>
                <w:szCs w:val="24"/>
                <w:highlight w:val="none"/>
                <w14:textFill>
                  <w14:solidFill>
                    <w14:schemeClr w14:val="tx1"/>
                  </w14:solidFill>
                </w14:textFill>
              </w:rPr>
              <w:t>V/m~</w:t>
            </w:r>
            <w:r>
              <w:rPr>
                <w:rFonts w:hint="eastAsia" w:cs="Times New Roman"/>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color w:val="000000" w:themeColor="text1"/>
                <w:sz w:val="24"/>
                <w:szCs w:val="24"/>
                <w:highlight w:val="none"/>
                <w14:textFill>
                  <w14:solidFill>
                    <w14:schemeClr w14:val="tx1"/>
                  </w14:solidFill>
                </w14:textFill>
              </w:rPr>
              <w:t>V/m，工频磁感应强度为</w:t>
            </w:r>
            <w:r>
              <w:rPr>
                <w:rFonts w:hint="eastAsia" w:cs="Times New Roman"/>
                <w:color w:val="000000" w:themeColor="text1"/>
                <w:sz w:val="24"/>
                <w:szCs w:val="24"/>
                <w:highlight w:val="none"/>
                <w:lang w:val="en-US" w:eastAsia="zh-CN"/>
                <w14:textFill>
                  <w14:solidFill>
                    <w14:schemeClr w14:val="tx1"/>
                  </w14:solidFill>
                </w14:textFill>
              </w:rPr>
              <w:t>0.106</w:t>
            </w:r>
            <w:r>
              <w:rPr>
                <w:rFonts w:hint="default" w:ascii="Times New Roman" w:hAnsi="Times New Roman" w:eastAsia="宋体" w:cs="Times New Roman"/>
                <w:color w:val="000000" w:themeColor="text1"/>
                <w:sz w:val="24"/>
                <w:szCs w:val="24"/>
                <w:highlight w:val="none"/>
                <w14:textFill>
                  <w14:solidFill>
                    <w14:schemeClr w14:val="tx1"/>
                  </w14:solidFill>
                </w14:textFill>
              </w:rPr>
              <w:t>μT~0.</w:t>
            </w:r>
            <w:r>
              <w:rPr>
                <w:rFonts w:hint="eastAsia" w:cs="Times New Roman"/>
                <w:color w:val="000000" w:themeColor="text1"/>
                <w:sz w:val="24"/>
                <w:szCs w:val="24"/>
                <w:highlight w:val="none"/>
                <w:lang w:val="en-US" w:eastAsia="zh-CN"/>
                <w14:textFill>
                  <w14:solidFill>
                    <w14:schemeClr w14:val="tx1"/>
                  </w14:solidFill>
                </w14:textFill>
              </w:rPr>
              <w:t>219</w:t>
            </w:r>
            <w:r>
              <w:rPr>
                <w:rFonts w:hint="default" w:ascii="Times New Roman" w:hAnsi="Times New Roman" w:eastAsia="宋体" w:cs="Times New Roman"/>
                <w:color w:val="000000" w:themeColor="text1"/>
                <w:sz w:val="24"/>
                <w:szCs w:val="24"/>
                <w:highlight w:val="none"/>
                <w14:textFill>
                  <w14:solidFill>
                    <w14:schemeClr w14:val="tx1"/>
                  </w14:solidFill>
                </w14:textFill>
              </w:rPr>
              <w:t>μT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电磁环境敏感目标处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工频电场强度</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119.4</w:t>
            </w:r>
            <w:r>
              <w:rPr>
                <w:rFonts w:hint="default" w:ascii="Times New Roman" w:hAnsi="Times New Roman" w:eastAsia="宋体" w:cs="Times New Roman"/>
                <w:color w:val="000000" w:themeColor="text1"/>
                <w:sz w:val="24"/>
                <w:szCs w:val="24"/>
                <w:highlight w:val="none"/>
                <w14:textFill>
                  <w14:solidFill>
                    <w14:schemeClr w14:val="tx1"/>
                  </w14:solidFill>
                </w14:textFill>
              </w:rPr>
              <w:t>V/m</w:t>
            </w:r>
            <w:r>
              <w:rPr>
                <w:rFonts w:hint="eastAsia" w:cs="Times New Roman"/>
                <w:color w:val="000000" w:themeColor="text1"/>
                <w:sz w:val="24"/>
                <w:szCs w:val="24"/>
                <w:highlight w:val="none"/>
                <w:lang w:val="en-US" w:eastAsia="zh-CN"/>
                <w14:textFill>
                  <w14:solidFill>
                    <w14:schemeClr w14:val="tx1"/>
                  </w14:solidFill>
                </w14:textFill>
              </w:rPr>
              <w:t>~190.5</w:t>
            </w:r>
            <w:r>
              <w:rPr>
                <w:rFonts w:hint="default" w:ascii="Times New Roman" w:hAnsi="Times New Roman" w:eastAsia="宋体" w:cs="Times New Roman"/>
                <w:color w:val="000000" w:themeColor="text1"/>
                <w:sz w:val="24"/>
                <w:szCs w:val="24"/>
                <w:highlight w:val="none"/>
                <w14:textFill>
                  <w14:solidFill>
                    <w14:schemeClr w14:val="tx1"/>
                  </w14:solidFill>
                </w14:textFill>
              </w:rPr>
              <w:t>V/m，工频磁感应强度为</w:t>
            </w:r>
            <w:r>
              <w:rPr>
                <w:rFonts w:hint="eastAsia" w:cs="Times New Roman"/>
                <w:color w:val="000000" w:themeColor="text1"/>
                <w:sz w:val="24"/>
                <w:szCs w:val="24"/>
                <w:highlight w:val="none"/>
                <w:lang w:val="en-US" w:eastAsia="zh-CN"/>
                <w14:textFill>
                  <w14:solidFill>
                    <w14:schemeClr w14:val="tx1"/>
                  </w14:solidFill>
                </w14:textFill>
              </w:rPr>
              <w:t>0.064</w:t>
            </w:r>
            <w:r>
              <w:rPr>
                <w:rFonts w:hint="default" w:ascii="Times New Roman" w:hAnsi="Times New Roman" w:eastAsia="宋体" w:cs="Times New Roman"/>
                <w:color w:val="000000" w:themeColor="text1"/>
                <w:sz w:val="24"/>
                <w:szCs w:val="24"/>
                <w:highlight w:val="none"/>
                <w14:textFill>
                  <w14:solidFill>
                    <w14:schemeClr w14:val="tx1"/>
                  </w14:solidFill>
                </w14:textFill>
              </w:rPr>
              <w:t>μT</w:t>
            </w:r>
            <w:r>
              <w:rPr>
                <w:rFonts w:hint="eastAsia" w:cs="Times New Roman"/>
                <w:color w:val="000000" w:themeColor="text1"/>
                <w:sz w:val="24"/>
                <w:szCs w:val="24"/>
                <w:highlight w:val="none"/>
                <w:lang w:val="en-US" w:eastAsia="zh-CN"/>
                <w14:textFill>
                  <w14:solidFill>
                    <w14:schemeClr w14:val="tx1"/>
                  </w14:solidFill>
                </w14:textFill>
              </w:rPr>
              <w:t>~0.065</w:t>
            </w:r>
            <w:r>
              <w:rPr>
                <w:rFonts w:hint="default" w:ascii="Times New Roman" w:hAnsi="Times New Roman" w:eastAsia="宋体" w:cs="Times New Roman"/>
                <w:color w:val="000000" w:themeColor="text1"/>
                <w:sz w:val="24"/>
                <w:szCs w:val="24"/>
                <w:highlight w:val="none"/>
                <w14:textFill>
                  <w14:solidFill>
                    <w14:schemeClr w14:val="tx1"/>
                  </w14:solidFill>
                </w14:textFill>
              </w:rPr>
              <w:t>μT</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监测结果均符合《电磁环境控制限值》(GB8702-2014)中规定的4kV/m和100μT公众曝露控制限值要求。</w:t>
            </w:r>
          </w:p>
          <w:p w14:paraId="01BEA165">
            <w:pPr>
              <w:numPr>
                <w:ilvl w:val="0"/>
                <w:numId w:val="7"/>
              </w:numPr>
              <w:adjustRightInd w:val="0"/>
              <w:snapToGrid w:val="0"/>
              <w:spacing w:line="44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声环境质量现状</w:t>
            </w:r>
          </w:p>
          <w:p w14:paraId="3ACC73F3">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为了解项目拟建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线路沿线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声环境质量现状，委托</w:t>
            </w:r>
            <w:r>
              <w:rPr>
                <w:rFonts w:hint="eastAsia" w:hAnsi="Times New Roman" w:cs="Times New Roman"/>
                <w:bCs/>
                <w:color w:val="000000" w:themeColor="text1"/>
                <w:sz w:val="24"/>
                <w:szCs w:val="24"/>
                <w:highlight w:val="none"/>
                <w:lang w:val="en-US" w:eastAsia="zh-CN"/>
                <w14:textFill>
                  <w14:solidFill>
                    <w14:schemeClr w14:val="tx1"/>
                  </w14:solidFill>
                </w14:textFill>
              </w:rPr>
              <w:t>河北省华川检验检测技术服务有限公司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对本项目</w:t>
            </w:r>
            <w:r>
              <w:rPr>
                <w:rFonts w:hint="eastAsia" w:cs="Times New Roman"/>
                <w:color w:val="000000" w:themeColor="text1"/>
                <w:sz w:val="24"/>
                <w:szCs w:val="24"/>
                <w:highlight w:val="none"/>
                <w:lang w:val="en-US" w:eastAsia="zh-CN"/>
                <w14:textFill>
                  <w14:solidFill>
                    <w14:schemeClr w14:val="tx1"/>
                  </w14:solidFill>
                </w14:textFill>
              </w:rPr>
              <w:t>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w:t>
            </w:r>
            <w:r>
              <w:rPr>
                <w:rFonts w:hint="eastAsia" w:hAnsi="Times New Roman" w:cs="Times New Roman"/>
                <w:color w:val="000000" w:themeColor="text1"/>
                <w:sz w:val="24"/>
                <w:szCs w:val="24"/>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现状进行了监测，监测报告编号为：</w:t>
            </w:r>
            <w:r>
              <w:rPr>
                <w:rFonts w:hint="eastAsia" w:hAnsi="Times New Roman" w:cs="Times New Roman"/>
                <w:bCs/>
                <w:color w:val="000000" w:themeColor="text1"/>
                <w:sz w:val="24"/>
                <w:szCs w:val="24"/>
                <w:highlight w:val="none"/>
                <w:lang w:val="en-US" w:eastAsia="zh-CN"/>
                <w14:textFill>
                  <w14:solidFill>
                    <w14:schemeClr w14:val="tx1"/>
                  </w14:solidFill>
                </w14:textFill>
              </w:rPr>
              <w:t>HBHC检字</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（202</w:t>
            </w:r>
            <w:r>
              <w:rPr>
                <w:rFonts w:hint="eastAsia" w:hAnsi="Times New Roman"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）第</w:t>
            </w:r>
            <w:r>
              <w:rPr>
                <w:rFonts w:hint="eastAsia" w:hAnsi="Times New Roman" w:cs="Times New Roman"/>
                <w:bCs/>
                <w:color w:val="000000" w:themeColor="text1"/>
                <w:sz w:val="24"/>
                <w:szCs w:val="24"/>
                <w:highlight w:val="none"/>
                <w:lang w:val="en-US" w:eastAsia="zh-CN"/>
                <w14:textFill>
                  <w14:solidFill>
                    <w14:schemeClr w14:val="tx1"/>
                  </w14:solidFill>
                </w14:textFill>
              </w:rPr>
              <w:t>009</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号（详见附件）</w:t>
            </w:r>
            <w:r>
              <w:rPr>
                <w:rFonts w:hint="eastAsia" w:cs="Times New Roman"/>
                <w:bCs/>
                <w:color w:val="000000" w:themeColor="text1"/>
                <w:sz w:val="24"/>
                <w:szCs w:val="24"/>
                <w:highlight w:val="none"/>
                <w:lang w:eastAsia="zh-CN"/>
                <w14:textFill>
                  <w14:solidFill>
                    <w14:schemeClr w14:val="tx1"/>
                  </w14:solidFill>
                </w14:textFill>
              </w:rPr>
              <w:t>。</w:t>
            </w:r>
          </w:p>
          <w:p w14:paraId="65F8D337">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（1）监测仪器</w:t>
            </w:r>
          </w:p>
          <w:p w14:paraId="38D698CE">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所用仪器均经国家计量部门检验合格，并处于检验证书有效期内，仪器的频率性能覆盖监测对象的频率范围。</w:t>
            </w:r>
          </w:p>
          <w:p w14:paraId="09EFFEEB">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仪器名称：多功能声级计；仪器型号：AWA5688；仪器编号：HCIE-04；测量范围：28dB(A)~133dB(A)；检定有效期至2025年5月30日。</w:t>
            </w:r>
          </w:p>
          <w:p w14:paraId="22245B11">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（2）监测方法</w:t>
            </w:r>
          </w:p>
          <w:p w14:paraId="15DF8278">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按照《声环境质量标准》（GB3096-2008）规定进行。</w:t>
            </w:r>
          </w:p>
          <w:p w14:paraId="2D665DEC">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（3）监测点位、监测频次及监测因子</w:t>
            </w:r>
          </w:p>
          <w:p w14:paraId="33D11E35">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监测点位：</w:t>
            </w:r>
            <w:r>
              <w:rPr>
                <w:rFonts w:hint="eastAsia"/>
                <w:b w:val="0"/>
                <w:bCs w:val="0"/>
                <w:color w:val="000000" w:themeColor="text1"/>
                <w:sz w:val="24"/>
                <w:highlight w:val="none"/>
                <w:lang w:val="en-US" w:eastAsia="zh-CN"/>
                <w14:textFill>
                  <w14:solidFill>
                    <w14:schemeClr w14:val="tx1"/>
                  </w14:solidFill>
                </w14:textFill>
              </w:rPr>
              <w:t>分别在架空线路A16~A17号塔位之间线路正下方、A02号塔位西北侧四把伙村、A48~A49号塔之间线路东侧下常乐店、A65~A67号塔位之间线路下方布设1个检测点位，共布设4个检测点位。</w:t>
            </w:r>
          </w:p>
          <w:p w14:paraId="008301EC">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监测布点示意图见附图</w:t>
            </w:r>
            <w:r>
              <w:rPr>
                <w:rFonts w:hint="eastAsia" w:cs="Times New Roman"/>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33C71F13">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监测频次：昼夜各监测1次。</w:t>
            </w:r>
          </w:p>
          <w:p w14:paraId="21B1F9DC">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监测因子：昼间、夜间等效</w:t>
            </w: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连续A声级</w:t>
            </w:r>
            <w:r>
              <w:rPr>
                <w:rFonts w:hint="eastAsia"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w:t>
            </w:r>
          </w:p>
          <w:p w14:paraId="7B1C477D">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（4）监测单位、时间和工况</w:t>
            </w:r>
          </w:p>
          <w:p w14:paraId="3711E0A3">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hAnsi="Times New Roman" w:cs="Times New Roman"/>
                <w:bCs/>
                <w:color w:val="000000" w:themeColor="text1"/>
                <w:sz w:val="24"/>
                <w:szCs w:val="24"/>
                <w:highlight w:val="none"/>
                <w:lang w:val="en-US" w:eastAsia="zh-CN"/>
                <w14:textFill>
                  <w14:solidFill>
                    <w14:schemeClr w14:val="tx1"/>
                  </w14:solidFill>
                </w14:textFill>
              </w:rPr>
              <w:t>河北省华川检验检测技术服务有限公司</w:t>
            </w:r>
            <w:r>
              <w:rPr>
                <w:rFonts w:hint="eastAsia"/>
                <w:b w:val="0"/>
                <w:bCs w:val="0"/>
                <w:color w:val="000000" w:themeColor="text1"/>
                <w:sz w:val="24"/>
                <w:highlight w:val="none"/>
                <w:lang w:val="en-US" w:eastAsia="zh-CN"/>
                <w14:textFill>
                  <w14:solidFill>
                    <w14:schemeClr w14:val="tx1"/>
                  </w14:solidFill>
                </w14:textFill>
              </w:rPr>
              <w:t>于2025年1月10日~1月11日进行监测。</w:t>
            </w:r>
          </w:p>
          <w:p w14:paraId="762198B6">
            <w:pPr>
              <w:numPr>
                <w:ilvl w:val="0"/>
                <w:numId w:val="0"/>
              </w:numPr>
              <w:spacing w:line="440" w:lineRule="exact"/>
              <w:ind w:firstLine="480" w:firstLineChars="200"/>
              <w:contextualSpacing/>
              <w:rPr>
                <w:rFonts w:hint="eastAsia" w:cs="Times New Roman"/>
                <w:b w:val="0"/>
                <w:bCs w:val="0"/>
                <w:color w:val="000000" w:themeColor="text1"/>
                <w:sz w:val="24"/>
                <w:szCs w:val="24"/>
                <w:highlight w:val="none"/>
                <w:lang w:val="en-US" w:eastAsia="zh-CN" w:bidi="ar-SA"/>
                <w14:textFill>
                  <w14:solidFill>
                    <w14:schemeClr w14:val="tx1"/>
                  </w14:solidFill>
                </w14:textFill>
              </w:rPr>
            </w:pPr>
            <w:r>
              <w:rPr>
                <w:rFonts w:hint="eastAsia" w:cs="Times New Roman"/>
                <w:b w:val="0"/>
                <w:bCs w:val="0"/>
                <w:color w:val="000000" w:themeColor="text1"/>
                <w:sz w:val="24"/>
                <w:szCs w:val="24"/>
                <w:highlight w:val="none"/>
                <w:lang w:val="en-US" w:eastAsia="zh-CN" w:bidi="ar-SA"/>
                <w14:textFill>
                  <w14:solidFill>
                    <w14:schemeClr w14:val="tx1"/>
                  </w14:solidFill>
                </w14:textFill>
              </w:rPr>
              <w:t>（5）监测期间气象条件</w:t>
            </w:r>
          </w:p>
          <w:p w14:paraId="492C1148">
            <w:pPr>
              <w:numPr>
                <w:ilvl w:val="0"/>
                <w:numId w:val="0"/>
              </w:numPr>
              <w:spacing w:line="440" w:lineRule="exact"/>
              <w:ind w:firstLine="480" w:firstLineChars="200"/>
              <w:contextualSpacing/>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1月10日，天气状况：晴、无雨雪、无雷电。昼间：环境温度-3.3℃~0.9℃；相对湿度30.2%RH~31.6%RH；风速2.43m/s~2.68m/s。</w:t>
            </w:r>
          </w:p>
          <w:p w14:paraId="7FB756A3">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1月10日~1月11日，天气状况：晴、无雨雪、无雷电。夜间：环境温度-8.9℃~-8.0℃；相对湿度32.5%RH~33.7%RH；风速2.16m/s~2.42m/s。</w:t>
            </w:r>
          </w:p>
          <w:p w14:paraId="128A5552">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）监测结果</w:t>
            </w:r>
          </w:p>
          <w:p w14:paraId="7842D226">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拟建</w:t>
            </w:r>
            <w:r>
              <w:rPr>
                <w:rFonts w:hint="eastAsia" w:cs="Times New Roman"/>
                <w:color w:val="000000" w:themeColor="text1"/>
                <w:sz w:val="24"/>
                <w:szCs w:val="24"/>
                <w:highlight w:val="none"/>
                <w:lang w:val="en-US" w:eastAsia="zh-CN" w:bidi="ar-SA"/>
                <w14:textFill>
                  <w14:solidFill>
                    <w14:schemeClr w14:val="tx1"/>
                  </w14:solidFill>
                </w14:textFill>
              </w:rPr>
              <w:t>线路周边</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声环境</w:t>
            </w:r>
            <w:r>
              <w:rPr>
                <w:rFonts w:hint="eastAsia" w:cs="Times New Roman"/>
                <w:color w:val="000000" w:themeColor="text1"/>
                <w:sz w:val="24"/>
                <w:szCs w:val="24"/>
                <w:highlight w:val="none"/>
                <w:lang w:val="en-US" w:eastAsia="zh-CN" w:bidi="ar-SA"/>
                <w14:textFill>
                  <w14:solidFill>
                    <w14:schemeClr w14:val="tx1"/>
                  </w14:solidFill>
                </w14:textFill>
              </w:rPr>
              <w:t>质量</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现状值监测结果见下表。</w:t>
            </w:r>
          </w:p>
          <w:p w14:paraId="4C6920C1">
            <w:pPr>
              <w:keepNext/>
              <w:keepLines/>
              <w:pageBreakBefore w:val="0"/>
              <w:widowControl w:val="0"/>
              <w:kinsoku/>
              <w:wordWrap/>
              <w:overflowPunct/>
              <w:topLinePunct w:val="0"/>
              <w:autoSpaceDE w:val="0"/>
              <w:autoSpaceDN w:val="0"/>
              <w:bidi w:val="0"/>
              <w:snapToGrid/>
              <w:spacing w:before="0" w:after="0" w:line="440" w:lineRule="exact"/>
              <w:jc w:val="center"/>
              <w:textAlignment w:val="auto"/>
              <w:outlineLvl w:val="3"/>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4  </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本项目</w:t>
            </w:r>
            <w:r>
              <w:rPr>
                <w:rFonts w:hint="eastAsia" w:cs="Times New Roman"/>
                <w:b/>
                <w:bCs/>
                <w:color w:val="000000" w:themeColor="text1"/>
                <w:sz w:val="21"/>
                <w:szCs w:val="21"/>
                <w:highlight w:val="none"/>
                <w:lang w:val="en-US" w:eastAsia="zh-CN" w:bidi="ar-SA"/>
                <w14:textFill>
                  <w14:solidFill>
                    <w14:schemeClr w14:val="tx1"/>
                  </w14:solidFill>
                </w14:textFill>
              </w:rPr>
              <w:t>拟建线路周边</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噪声现状值监测结果</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955"/>
              <w:gridCol w:w="1574"/>
              <w:gridCol w:w="1718"/>
            </w:tblGrid>
            <w:tr w14:paraId="09ED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5" w:type="pct"/>
                  <w:vAlign w:val="center"/>
                </w:tcPr>
                <w:p w14:paraId="63F2A691">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序号</w:t>
                  </w:r>
                </w:p>
              </w:tc>
              <w:tc>
                <w:tcPr>
                  <w:tcW w:w="2469" w:type="pct"/>
                  <w:vAlign w:val="center"/>
                </w:tcPr>
                <w:p w14:paraId="0541B774">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监测点位</w:t>
                  </w:r>
                </w:p>
              </w:tc>
              <w:tc>
                <w:tcPr>
                  <w:tcW w:w="982" w:type="pct"/>
                  <w:vAlign w:val="center"/>
                </w:tcPr>
                <w:p w14:paraId="70EE0C20">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昼间（dB(A)）</w:t>
                  </w:r>
                </w:p>
              </w:tc>
              <w:tc>
                <w:tcPr>
                  <w:tcW w:w="1072" w:type="pct"/>
                  <w:vAlign w:val="center"/>
                </w:tcPr>
                <w:p w14:paraId="25B26917">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夜间（dB(A)）</w:t>
                  </w:r>
                </w:p>
              </w:tc>
            </w:tr>
            <w:tr w14:paraId="2B11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5" w:type="pct"/>
                  <w:vAlign w:val="center"/>
                </w:tcPr>
                <w:p w14:paraId="38D2910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469" w:type="pct"/>
                  <w:shd w:val="clear" w:color="auto" w:fill="auto"/>
                  <w:vAlign w:val="center"/>
                </w:tcPr>
                <w:p w14:paraId="4B4383F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A02号塔西北侧四把伙村</w:t>
                  </w:r>
                </w:p>
              </w:tc>
              <w:tc>
                <w:tcPr>
                  <w:tcW w:w="982" w:type="pct"/>
                  <w:vAlign w:val="center"/>
                </w:tcPr>
                <w:p w14:paraId="56D469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40</w:t>
                  </w:r>
                </w:p>
              </w:tc>
              <w:tc>
                <w:tcPr>
                  <w:tcW w:w="1072" w:type="pct"/>
                  <w:vAlign w:val="center"/>
                </w:tcPr>
                <w:p w14:paraId="2DA8341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38</w:t>
                  </w:r>
                </w:p>
              </w:tc>
            </w:tr>
            <w:tr w14:paraId="2413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5" w:type="pct"/>
                  <w:vAlign w:val="center"/>
                </w:tcPr>
                <w:p w14:paraId="12ABC5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469" w:type="pct"/>
                  <w:shd w:val="clear" w:color="auto" w:fill="auto"/>
                  <w:vAlign w:val="center"/>
                </w:tcPr>
                <w:p w14:paraId="5FBFEC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A16~A17号塔位间线路正下方</w:t>
                  </w:r>
                </w:p>
              </w:tc>
              <w:tc>
                <w:tcPr>
                  <w:tcW w:w="982" w:type="pct"/>
                  <w:vAlign w:val="center"/>
                </w:tcPr>
                <w:p w14:paraId="335778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43</w:t>
                  </w:r>
                </w:p>
              </w:tc>
              <w:tc>
                <w:tcPr>
                  <w:tcW w:w="1072" w:type="pct"/>
                  <w:vAlign w:val="center"/>
                </w:tcPr>
                <w:p w14:paraId="35D6B5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42</w:t>
                  </w:r>
                </w:p>
              </w:tc>
            </w:tr>
            <w:tr w14:paraId="039D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5" w:type="pct"/>
                  <w:vAlign w:val="center"/>
                </w:tcPr>
                <w:p w14:paraId="450948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469" w:type="pct"/>
                  <w:shd w:val="clear" w:color="auto" w:fill="auto"/>
                  <w:vAlign w:val="center"/>
                </w:tcPr>
                <w:p w14:paraId="2960CB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A48~A49号塔间线路东侧下常乐店</w:t>
                  </w:r>
                </w:p>
              </w:tc>
              <w:tc>
                <w:tcPr>
                  <w:tcW w:w="982" w:type="pct"/>
                  <w:vAlign w:val="center"/>
                </w:tcPr>
                <w:p w14:paraId="6BA7E8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40</w:t>
                  </w:r>
                </w:p>
              </w:tc>
              <w:tc>
                <w:tcPr>
                  <w:tcW w:w="1072" w:type="pct"/>
                  <w:vAlign w:val="center"/>
                </w:tcPr>
                <w:p w14:paraId="084324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39</w:t>
                  </w:r>
                </w:p>
              </w:tc>
            </w:tr>
            <w:tr w14:paraId="2302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5" w:type="pct"/>
                  <w:vAlign w:val="center"/>
                </w:tcPr>
                <w:p w14:paraId="1DAEE46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w:t>
                  </w:r>
                </w:p>
              </w:tc>
              <w:tc>
                <w:tcPr>
                  <w:tcW w:w="2469" w:type="pct"/>
                  <w:shd w:val="clear" w:color="auto" w:fill="auto"/>
                  <w:vAlign w:val="center"/>
                </w:tcPr>
                <w:p w14:paraId="50D1835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A65~A67号塔间线路下方</w:t>
                  </w:r>
                </w:p>
              </w:tc>
              <w:tc>
                <w:tcPr>
                  <w:tcW w:w="982" w:type="pct"/>
                  <w:vAlign w:val="center"/>
                </w:tcPr>
                <w:p w14:paraId="3A1A46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39</w:t>
                  </w:r>
                </w:p>
              </w:tc>
              <w:tc>
                <w:tcPr>
                  <w:tcW w:w="1072" w:type="pct"/>
                  <w:vAlign w:val="center"/>
                </w:tcPr>
                <w:p w14:paraId="170D09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38</w:t>
                  </w:r>
                </w:p>
              </w:tc>
            </w:tr>
          </w:tbl>
          <w:p w14:paraId="75B4BA78">
            <w:pPr>
              <w:numPr>
                <w:ilvl w:val="0"/>
                <w:numId w:val="0"/>
              </w:numPr>
              <w:adjustRightInd w:val="0"/>
              <w:snapToGrid w:val="0"/>
              <w:spacing w:line="440" w:lineRule="exact"/>
              <w:ind w:firstLine="480" w:firstLineChars="200"/>
              <w:rPr>
                <w:rFonts w:hint="eastAsia" w:eastAsia="宋体"/>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由上表可知，拟建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线路</w:t>
            </w:r>
            <w:r>
              <w:rPr>
                <w:rFonts w:hint="eastAsia" w:cs="Times New Roman"/>
                <w:color w:val="000000" w:themeColor="text1"/>
                <w:sz w:val="24"/>
                <w:szCs w:val="24"/>
                <w:highlight w:val="none"/>
                <w:lang w:val="en-US" w:eastAsia="zh-CN"/>
                <w14:textFill>
                  <w14:solidFill>
                    <w14:schemeClr w14:val="tx1"/>
                  </w14:solidFill>
                </w14:textFill>
              </w:rPr>
              <w:t>下方</w:t>
            </w:r>
            <w:r>
              <w:rPr>
                <w:rFonts w:hint="default" w:ascii="Times New Roman" w:hAnsi="Times New Roman" w:eastAsia="宋体" w:cs="Times New Roman"/>
                <w:color w:val="000000" w:themeColor="text1"/>
                <w:sz w:val="24"/>
                <w:szCs w:val="24"/>
                <w:highlight w:val="none"/>
                <w14:textFill>
                  <w14:solidFill>
                    <w14:schemeClr w14:val="tx1"/>
                  </w14:solidFill>
                </w14:textFill>
              </w:rPr>
              <w:t>昼间现状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值为</w:t>
            </w:r>
            <w:r>
              <w:rPr>
                <w:rFonts w:hint="eastAsia" w:cs="Times New Roman"/>
                <w:color w:val="000000" w:themeColor="text1"/>
                <w:sz w:val="24"/>
                <w:szCs w:val="24"/>
                <w:highlight w:val="none"/>
                <w:lang w:val="en-US" w:eastAsia="zh-CN"/>
                <w14:textFill>
                  <w14:solidFill>
                    <w14:schemeClr w14:val="tx1"/>
                  </w14:solidFill>
                </w14:textFill>
              </w:rPr>
              <w:t>39</w:t>
            </w:r>
            <w:r>
              <w:rPr>
                <w:rFonts w:hint="default" w:ascii="Times New Roman" w:hAnsi="Times New Roman" w:eastAsia="宋体" w:cs="Times New Roman"/>
                <w:bCs/>
                <w:color w:val="000000" w:themeColor="text1"/>
                <w:sz w:val="24"/>
                <w:szCs w:val="24"/>
                <w:highlight w:val="none"/>
                <w14:textFill>
                  <w14:solidFill>
                    <w14:schemeClr w14:val="tx1"/>
                  </w14:solidFill>
                </w14:textFill>
              </w:rPr>
              <w:t>dB(A)</w:t>
            </w:r>
            <w:r>
              <w:rPr>
                <w:rFonts w:hint="eastAsia" w:cs="Times New Roman"/>
                <w:color w:val="000000" w:themeColor="text1"/>
                <w:sz w:val="24"/>
                <w:szCs w:val="24"/>
                <w:highlight w:val="none"/>
                <w:lang w:val="en-US" w:eastAsia="zh-CN"/>
                <w14:textFill>
                  <w14:solidFill>
                    <w14:schemeClr w14:val="tx1"/>
                  </w14:solidFill>
                </w14:textFill>
              </w:rPr>
              <w:t>~43</w:t>
            </w:r>
            <w:r>
              <w:rPr>
                <w:rFonts w:hint="default" w:ascii="Times New Roman" w:hAnsi="Times New Roman" w:eastAsia="宋体" w:cs="Times New Roman"/>
                <w:bCs/>
                <w:color w:val="000000" w:themeColor="text1"/>
                <w:sz w:val="24"/>
                <w:szCs w:val="24"/>
                <w:highlight w:val="none"/>
                <w14:textFill>
                  <w14:solidFill>
                    <w14:schemeClr w14:val="tx1"/>
                  </w14:solidFill>
                </w14:textFill>
              </w:rPr>
              <w:t>dB(A)，夜间现状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监测</w:t>
            </w:r>
            <w:r>
              <w:rPr>
                <w:rFonts w:hint="default" w:ascii="Times New Roman" w:hAnsi="Times New Roman" w:eastAsia="宋体" w:cs="Times New Roman"/>
                <w:bCs/>
                <w:color w:val="000000" w:themeColor="text1"/>
                <w:sz w:val="24"/>
                <w:szCs w:val="24"/>
                <w:highlight w:val="none"/>
                <w14:textFill>
                  <w14:solidFill>
                    <w14:schemeClr w14:val="tx1"/>
                  </w14:solidFill>
                </w14:textFill>
              </w:rPr>
              <w:t>值为</w:t>
            </w:r>
            <w:r>
              <w:rPr>
                <w:rFonts w:hint="eastAsia" w:cs="Times New Roman"/>
                <w:bCs/>
                <w:color w:val="000000" w:themeColor="text1"/>
                <w:sz w:val="24"/>
                <w:szCs w:val="24"/>
                <w:highlight w:val="none"/>
                <w:lang w:val="en-US" w:eastAsia="zh-CN"/>
                <w14:textFill>
                  <w14:solidFill>
                    <w14:schemeClr w14:val="tx1"/>
                  </w14:solidFill>
                </w14:textFill>
              </w:rPr>
              <w:t>38</w:t>
            </w:r>
            <w:r>
              <w:rPr>
                <w:rFonts w:hint="default" w:ascii="Times New Roman" w:hAnsi="Times New Roman" w:eastAsia="宋体" w:cs="Times New Roman"/>
                <w:bCs/>
                <w:color w:val="000000" w:themeColor="text1"/>
                <w:sz w:val="24"/>
                <w:szCs w:val="24"/>
                <w:highlight w:val="none"/>
                <w14:textFill>
                  <w14:solidFill>
                    <w14:schemeClr w14:val="tx1"/>
                  </w14:solidFill>
                </w14:textFill>
              </w:rPr>
              <w:t>dB(A)</w:t>
            </w:r>
            <w:r>
              <w:rPr>
                <w:rFonts w:hint="eastAsia" w:cs="Times New Roman"/>
                <w:bCs/>
                <w:color w:val="000000" w:themeColor="text1"/>
                <w:sz w:val="24"/>
                <w:szCs w:val="24"/>
                <w:highlight w:val="none"/>
                <w:lang w:val="en-US" w:eastAsia="zh-CN"/>
                <w14:textFill>
                  <w14:solidFill>
                    <w14:schemeClr w14:val="tx1"/>
                  </w14:solidFill>
                </w14:textFill>
              </w:rPr>
              <w:t>~42</w:t>
            </w:r>
            <w:r>
              <w:rPr>
                <w:rFonts w:hint="default" w:ascii="Times New Roman" w:hAnsi="Times New Roman" w:eastAsia="宋体" w:cs="Times New Roman"/>
                <w:bCs/>
                <w:color w:val="000000" w:themeColor="text1"/>
                <w:sz w:val="24"/>
                <w:szCs w:val="24"/>
                <w:highlight w:val="none"/>
                <w14:textFill>
                  <w14:solidFill>
                    <w14:schemeClr w14:val="tx1"/>
                  </w14:solidFill>
                </w14:textFill>
              </w:rPr>
              <w:t>dB(A)</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声环境保护目标处</w:t>
            </w:r>
            <w:r>
              <w:rPr>
                <w:rFonts w:hint="default" w:ascii="Times New Roman" w:hAnsi="Times New Roman" w:eastAsia="宋体" w:cs="Times New Roman"/>
                <w:color w:val="000000" w:themeColor="text1"/>
                <w:sz w:val="24"/>
                <w:szCs w:val="24"/>
                <w:highlight w:val="none"/>
                <w14:textFill>
                  <w14:solidFill>
                    <w14:schemeClr w14:val="tx1"/>
                  </w14:solidFill>
                </w14:textFill>
              </w:rPr>
              <w:t>昼间现状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值</w:t>
            </w:r>
            <w:r>
              <w:rPr>
                <w:rFonts w:hint="eastAsia"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bCs/>
                <w:color w:val="000000" w:themeColor="text1"/>
                <w:sz w:val="24"/>
                <w:szCs w:val="24"/>
                <w:highlight w:val="none"/>
                <w14:textFill>
                  <w14:solidFill>
                    <w14:schemeClr w14:val="tx1"/>
                  </w14:solidFill>
                </w14:textFill>
              </w:rPr>
              <w:t>dB(A)，夜间现状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监测</w:t>
            </w:r>
            <w:r>
              <w:rPr>
                <w:rFonts w:hint="default" w:ascii="Times New Roman" w:hAnsi="Times New Roman" w:eastAsia="宋体" w:cs="Times New Roman"/>
                <w:bCs/>
                <w:color w:val="000000" w:themeColor="text1"/>
                <w:sz w:val="24"/>
                <w:szCs w:val="24"/>
                <w:highlight w:val="none"/>
                <w14:textFill>
                  <w14:solidFill>
                    <w14:schemeClr w14:val="tx1"/>
                  </w14:solidFill>
                </w14:textFill>
              </w:rPr>
              <w:t>值为</w:t>
            </w:r>
            <w:r>
              <w:rPr>
                <w:rFonts w:hint="eastAsia" w:cs="Times New Roman"/>
                <w:bCs/>
                <w:color w:val="000000" w:themeColor="text1"/>
                <w:sz w:val="24"/>
                <w:szCs w:val="24"/>
                <w:highlight w:val="none"/>
                <w:lang w:val="en-US" w:eastAsia="zh-CN"/>
                <w14:textFill>
                  <w14:solidFill>
                    <w14:schemeClr w14:val="tx1"/>
                  </w14:solidFill>
                </w14:textFill>
              </w:rPr>
              <w:t>38</w:t>
            </w:r>
            <w:r>
              <w:rPr>
                <w:rFonts w:hint="default" w:ascii="Times New Roman" w:hAnsi="Times New Roman" w:eastAsia="宋体" w:cs="Times New Roman"/>
                <w:bCs/>
                <w:color w:val="000000" w:themeColor="text1"/>
                <w:sz w:val="24"/>
                <w:szCs w:val="24"/>
                <w:highlight w:val="none"/>
                <w14:textFill>
                  <w14:solidFill>
                    <w14:schemeClr w14:val="tx1"/>
                  </w14:solidFill>
                </w14:textFill>
              </w:rPr>
              <w:t>dB(A)</w:t>
            </w:r>
            <w:r>
              <w:rPr>
                <w:rFonts w:hint="eastAsia" w:cs="Times New Roman"/>
                <w:bCs/>
                <w:color w:val="000000" w:themeColor="text1"/>
                <w:sz w:val="24"/>
                <w:szCs w:val="24"/>
                <w:highlight w:val="none"/>
                <w:lang w:val="en-US" w:eastAsia="zh-CN"/>
                <w14:textFill>
                  <w14:solidFill>
                    <w14:schemeClr w14:val="tx1"/>
                  </w14:solidFill>
                </w14:textFill>
              </w:rPr>
              <w:t>~39dB(A)</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监测结果</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满足《声环境质量标准》(GB3096-2008)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相应声环境功能区</w:t>
            </w:r>
            <w:r>
              <w:rPr>
                <w:rFonts w:hint="default" w:ascii="Times New Roman" w:hAnsi="Times New Roman" w:eastAsia="宋体" w:cs="Times New Roman"/>
                <w:color w:val="000000" w:themeColor="text1"/>
                <w:sz w:val="24"/>
                <w:szCs w:val="24"/>
                <w:highlight w:val="none"/>
                <w14:textFill>
                  <w14:solidFill>
                    <w14:schemeClr w14:val="tx1"/>
                  </w14:solidFill>
                </w14:textFill>
              </w:rPr>
              <w:t>标准。</w:t>
            </w:r>
          </w:p>
        </w:tc>
      </w:tr>
      <w:tr w14:paraId="14167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315" w:type="pct"/>
            <w:noWrap w:val="0"/>
            <w:tcMar>
              <w:top w:w="0" w:type="dxa"/>
              <w:left w:w="17" w:type="dxa"/>
              <w:bottom w:w="0" w:type="dxa"/>
              <w:right w:w="17" w:type="dxa"/>
            </w:tcMar>
            <w:vAlign w:val="center"/>
          </w:tcPr>
          <w:p w14:paraId="6334D76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b/>
                <w:bCs/>
                <w:color w:val="000000" w:themeColor="text1"/>
                <w:spacing w:val="-2"/>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与项目有关的原有环境污染和生态破坏问题</w:t>
            </w:r>
          </w:p>
        </w:tc>
        <w:tc>
          <w:tcPr>
            <w:tcW w:w="4684" w:type="pct"/>
            <w:noWrap w:val="0"/>
            <w:vAlign w:val="center"/>
          </w:tcPr>
          <w:p w14:paraId="45250255">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本项目为新建</w:t>
            </w:r>
            <w:r>
              <w:rPr>
                <w:rFonts w:hint="eastAsia"/>
                <w:color w:val="000000" w:themeColor="text1"/>
                <w:sz w:val="24"/>
                <w:highlight w:val="none"/>
                <w:lang w:val="en-US" w:eastAsia="zh-CN"/>
                <w14:textFill>
                  <w14:solidFill>
                    <w14:schemeClr w14:val="tx1"/>
                  </w14:solidFill>
                </w14:textFill>
              </w:rPr>
              <w:t>风力发电项目配套送出线路工程</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输电线路铁塔部分已建设，架空线路部分已敷设，但处于建设阶段，且主动停止建设。</w:t>
            </w:r>
            <w:r>
              <w:rPr>
                <w:rFonts w:hint="eastAsia" w:cs="Times New Roman"/>
                <w:b w:val="0"/>
                <w:bCs w:val="0"/>
                <w:color w:val="000000" w:themeColor="text1"/>
                <w:spacing w:val="-1"/>
                <w:sz w:val="24"/>
                <w:szCs w:val="24"/>
                <w:highlight w:val="none"/>
                <w:lang w:val="en-US" w:eastAsia="zh-CN"/>
                <w14:textFill>
                  <w14:solidFill>
                    <w14:schemeClr w14:val="tx1"/>
                  </w14:solidFill>
                </w14:textFill>
              </w:rPr>
              <w:t>项目</w:t>
            </w:r>
            <w:r>
              <w:rPr>
                <w:rFonts w:hint="eastAsia" w:cs="Times New Roman"/>
                <w:b w:val="0"/>
                <w:bCs w:val="0"/>
                <w:color w:val="000000" w:themeColor="text1"/>
                <w:kern w:val="0"/>
                <w:sz w:val="24"/>
                <w:highlight w:val="none"/>
                <w:lang w:val="en-US" w:eastAsia="zh-CN"/>
                <w14:textFill>
                  <w14:solidFill>
                    <w14:schemeClr w14:val="tx1"/>
                  </w14:solidFill>
                </w14:textFill>
              </w:rPr>
              <w:t>施工期废气、噪声均达标排放，固废均得到妥善处置，施工期已对临时占地区域进行了土地平整</w:t>
            </w:r>
            <w:r>
              <w:rPr>
                <w:rFonts w:hint="eastAsia"/>
                <w:b w:val="0"/>
                <w:bCs w:val="0"/>
                <w:color w:val="000000" w:themeColor="text1"/>
                <w:sz w:val="24"/>
                <w:highlight w:val="none"/>
                <w:lang w:val="en-US" w:eastAsia="zh-CN"/>
                <w14:textFill>
                  <w14:solidFill>
                    <w14:schemeClr w14:val="tx1"/>
                  </w14:solidFill>
                </w14:textFill>
              </w:rPr>
              <w:t>，并采用原生表土和乡土物种进行了植被恢复。</w:t>
            </w:r>
            <w:r>
              <w:rPr>
                <w:rFonts w:hint="eastAsia" w:cs="Times New Roman"/>
                <w:b w:val="0"/>
                <w:bCs w:val="0"/>
                <w:color w:val="000000" w:themeColor="text1"/>
                <w:kern w:val="0"/>
                <w:sz w:val="24"/>
                <w:highlight w:val="none"/>
                <w:lang w:val="en-US" w:eastAsia="zh-CN"/>
                <w14:textFill>
                  <w14:solidFill>
                    <w14:schemeClr w14:val="tx1"/>
                  </w14:solidFill>
                </w14:textFill>
              </w:rPr>
              <w:t>项目施工未对周边环境造成明显不利影响，未对周边生态环境造成破坏，且施工期未收到投诉。因此，</w:t>
            </w:r>
            <w:r>
              <w:rPr>
                <w:rFonts w:hint="eastAsia"/>
                <w:color w:val="000000" w:themeColor="text1"/>
                <w:sz w:val="24"/>
                <w:highlight w:val="none"/>
                <w14:textFill>
                  <w14:solidFill>
                    <w14:schemeClr w14:val="tx1"/>
                  </w14:solidFill>
                </w14:textFill>
              </w:rPr>
              <w:t>无</w:t>
            </w:r>
            <w:r>
              <w:rPr>
                <w:rFonts w:hint="eastAsia"/>
                <w:color w:val="000000" w:themeColor="text1"/>
                <w:sz w:val="24"/>
                <w:highlight w:val="none"/>
                <w:lang w:val="en-US" w:eastAsia="zh-CN"/>
                <w14:textFill>
                  <w14:solidFill>
                    <w14:schemeClr w14:val="tx1"/>
                  </w14:solidFill>
                </w14:textFill>
              </w:rPr>
              <w:t>与项目有关的</w:t>
            </w:r>
            <w:r>
              <w:rPr>
                <w:rFonts w:hint="eastAsia"/>
                <w:color w:val="000000" w:themeColor="text1"/>
                <w:sz w:val="24"/>
                <w:highlight w:val="none"/>
                <w14:textFill>
                  <w14:solidFill>
                    <w14:schemeClr w14:val="tx1"/>
                  </w14:solidFill>
                </w14:textFill>
              </w:rPr>
              <w:t>原有环境污染</w:t>
            </w:r>
            <w:r>
              <w:rPr>
                <w:rFonts w:hint="eastAsia"/>
                <w:color w:val="000000" w:themeColor="text1"/>
                <w:sz w:val="24"/>
                <w:highlight w:val="none"/>
                <w:lang w:val="en-US" w:eastAsia="zh-CN"/>
                <w14:textFill>
                  <w14:solidFill>
                    <w14:schemeClr w14:val="tx1"/>
                  </w14:solidFill>
                </w14:textFill>
              </w:rPr>
              <w:t>和生态破坏</w:t>
            </w:r>
            <w:r>
              <w:rPr>
                <w:rFonts w:hint="eastAsia"/>
                <w:color w:val="000000" w:themeColor="text1"/>
                <w:sz w:val="24"/>
                <w:highlight w:val="none"/>
                <w14:textFill>
                  <w14:solidFill>
                    <w14:schemeClr w14:val="tx1"/>
                  </w14:solidFill>
                </w14:textFill>
              </w:rPr>
              <w:t>问题。</w:t>
            </w:r>
          </w:p>
        </w:tc>
      </w:tr>
      <w:tr w14:paraId="34E32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15" w:type="pct"/>
            <w:noWrap w:val="0"/>
            <w:tcMar>
              <w:top w:w="0" w:type="dxa"/>
              <w:left w:w="51" w:type="dxa"/>
              <w:bottom w:w="0" w:type="dxa"/>
              <w:right w:w="51" w:type="dxa"/>
            </w:tcMar>
            <w:vAlign w:val="center"/>
          </w:tcPr>
          <w:p w14:paraId="2576966A">
            <w:pPr>
              <w:adjustRightInd w:val="0"/>
              <w:snapToGrid w:val="0"/>
              <w:jc w:val="center"/>
              <w:rPr>
                <w:rFonts w:hint="eastAsia"/>
                <w:b/>
                <w:bCs/>
                <w:color w:val="000000" w:themeColor="text1"/>
                <w:spacing w:val="-2"/>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生态环境保护目标</w:t>
            </w:r>
          </w:p>
        </w:tc>
        <w:tc>
          <w:tcPr>
            <w:tcW w:w="4684" w:type="pct"/>
            <w:noWrap w:val="0"/>
            <w:vAlign w:val="center"/>
          </w:tcPr>
          <w:p w14:paraId="36D0E1AE">
            <w:pPr>
              <w:keepNext w:val="0"/>
              <w:keepLines w:val="0"/>
              <w:pageBreakBefore w:val="0"/>
              <w:widowControl w:val="0"/>
              <w:kinsoku/>
              <w:wordWrap/>
              <w:overflowPunct/>
              <w:topLinePunct w:val="0"/>
              <w:autoSpaceDE w:val="0"/>
              <w:autoSpaceDN w:val="0"/>
              <w:bidi w:val="0"/>
              <w:snapToGrid/>
              <w:spacing w:line="44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1、评价范围</w:t>
            </w:r>
          </w:p>
          <w:p w14:paraId="3F380389">
            <w:pPr>
              <w:keepNext w:val="0"/>
              <w:keepLines w:val="0"/>
              <w:pageBreakBefore w:val="0"/>
              <w:widowControl w:val="0"/>
              <w:kinsoku/>
              <w:wordWrap/>
              <w:overflowPunct/>
              <w:topLinePunct w:val="0"/>
              <w:autoSpaceDE w:val="0"/>
              <w:autoSpaceDN w:val="0"/>
              <w:bidi w:val="0"/>
              <w:adjustRightInd w:val="0"/>
              <w:spacing w:line="440" w:lineRule="exact"/>
              <w:ind w:firstLine="496"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bCs/>
                <w:color w:val="000000" w:themeColor="text1"/>
                <w:spacing w:val="4"/>
                <w:sz w:val="24"/>
                <w:szCs w:val="24"/>
                <w:highlight w:val="none"/>
                <w:lang w:val="en-US" w:eastAsia="zh-CN"/>
                <w14:textFill>
                  <w14:solidFill>
                    <w14:schemeClr w14:val="tx1"/>
                  </w14:solidFill>
                </w14:textFill>
              </w:rPr>
              <w:t>本项目输电线路电压等级为110kV，根据《环境影响评价技术导则 输变电》（HJ24-2020），项目电磁环境影响及声环境影响评价范围为边导线地面投影外两侧各30m</w:t>
            </w:r>
            <w:r>
              <w:rPr>
                <w:rFonts w:hint="eastAsia" w:cs="Times New Roman" w:eastAsiaTheme="minorEastAsia"/>
                <w:bCs/>
                <w:color w:val="000000" w:themeColor="text1"/>
                <w:spacing w:val="4"/>
                <w:sz w:val="24"/>
                <w:szCs w:val="24"/>
                <w:highlight w:val="none"/>
                <w:lang w:val="en-US" w:eastAsia="zh-CN"/>
                <w14:textFill>
                  <w14:solidFill>
                    <w14:schemeClr w14:val="tx1"/>
                  </w14:solidFill>
                </w14:textFill>
              </w:rPr>
              <w:t>带状区域</w:t>
            </w:r>
            <w:r>
              <w:rPr>
                <w:rFonts w:hint="eastAsia" w:ascii="Times New Roman" w:hAnsi="Times New Roman" w:cs="Times New Roman" w:eastAsiaTheme="minorEastAsia"/>
                <w:bCs/>
                <w:color w:val="000000" w:themeColor="text1"/>
                <w:spacing w:val="4"/>
                <w:sz w:val="24"/>
                <w:szCs w:val="24"/>
                <w:highlight w:val="none"/>
                <w:lang w:val="en-US" w:eastAsia="zh-CN"/>
                <w14:textFill>
                  <w14:solidFill>
                    <w14:schemeClr w14:val="tx1"/>
                  </w14:solidFill>
                </w14:textFill>
              </w:rPr>
              <w:t>；生态环境影响评价范围为边导线地面投影外两侧各300m内的带状区域。</w:t>
            </w:r>
          </w:p>
          <w:p w14:paraId="16284E40">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2、环境保护目标</w:t>
            </w:r>
          </w:p>
          <w:p w14:paraId="3A58B4ED">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电磁环境敏感目标</w:t>
            </w:r>
          </w:p>
          <w:p w14:paraId="18E8E11B">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A72~A73号塔之间线路下方有1座冷库，冷库人员居住场所距项目线路边导线距离约为50m；A74~A75号塔之间线路西侧约8m处为废弃的养殖场，因此冷库及废弃的养殖场均不作为本项目电磁环境敏感目标。</w:t>
            </w:r>
          </w:p>
          <w:p w14:paraId="61E6A38D">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线路边导线地面投影外两侧各30m电磁环境影响评价范围内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电磁环境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敏感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目标为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A02号塔位西北侧四把伙村</w:t>
            </w:r>
            <w:r>
              <w:rPr>
                <w:rFonts w:hint="eastAsia" w:cs="Times New Roman"/>
                <w:color w:val="000000" w:themeColor="text1"/>
                <w:sz w:val="24"/>
                <w:szCs w:val="24"/>
                <w:highlight w:val="none"/>
                <w:lang w:val="en-US" w:eastAsia="zh-CN"/>
                <w14:textFill>
                  <w14:solidFill>
                    <w14:schemeClr w14:val="tx1"/>
                  </w14:solidFill>
                </w14:textFill>
              </w:rPr>
              <w:t>、A48~A49号塔之间线路东侧下常乐店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5E5EE907">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声环境保护目标</w:t>
            </w:r>
          </w:p>
          <w:p w14:paraId="36073206">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线路边导线地面投影外两侧各30m声环境影响评价范围内声环境保护目标为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A02号塔位西北侧四把伙村</w:t>
            </w:r>
            <w:r>
              <w:rPr>
                <w:rFonts w:hint="eastAsia" w:cs="Times New Roman"/>
                <w:color w:val="000000" w:themeColor="text1"/>
                <w:sz w:val="24"/>
                <w:szCs w:val="24"/>
                <w:highlight w:val="none"/>
                <w:lang w:val="en-US" w:eastAsia="zh-CN"/>
                <w14:textFill>
                  <w14:solidFill>
                    <w14:schemeClr w14:val="tx1"/>
                  </w14:solidFill>
                </w14:textFill>
              </w:rPr>
              <w:t>、A48~A49号塔之间线路东侧下常乐店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D9B0247">
            <w:pPr>
              <w:keepNext w:val="0"/>
              <w:keepLines w:val="0"/>
              <w:pageBreakBefore w:val="0"/>
              <w:suppressLineNumbers w:val="0"/>
              <w:kinsoku/>
              <w:wordWrap/>
              <w:bidi w:val="0"/>
              <w:spacing w:before="0" w:beforeAutospacing="0" w:after="0" w:afterAutospacing="0" w:line="440" w:lineRule="exact"/>
              <w:ind w:left="0" w:leftChars="0" w:right="0" w:firstLine="480"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水环境保护目标</w:t>
            </w:r>
          </w:p>
          <w:p w14:paraId="2D04E7B6">
            <w:pPr>
              <w:keepNext w:val="0"/>
              <w:keepLines w:val="0"/>
              <w:pageBreakBefore w:val="0"/>
              <w:suppressLineNumbers w:val="0"/>
              <w:kinsoku/>
              <w:wordWrap/>
              <w:bidi w:val="0"/>
              <w:spacing w:before="0" w:beforeAutospacing="0" w:after="0" w:afterAutospacing="0" w:line="440" w:lineRule="exact"/>
              <w:ind w:left="0" w:leftChars="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项目用地范围及附近不涉及饮用水水源保护区、饮用水取水口、自然保护区、风景名胜区，重要湿地、重点保护与珍</w:t>
            </w:r>
            <w:r>
              <w:rPr>
                <w:rFonts w:hint="eastAsia" w:cs="Times New Roman"/>
                <w:color w:val="000000" w:themeColor="text1"/>
                <w:sz w:val="24"/>
                <w:szCs w:val="24"/>
                <w:highlight w:val="none"/>
                <w:lang w:val="en-US" w:eastAsia="zh-CN"/>
                <w14:textFill>
                  <w14:solidFill>
                    <w14:schemeClr w14:val="tx1"/>
                  </w14:solidFill>
                </w14:textFill>
              </w:rPr>
              <w:t>稀</w:t>
            </w:r>
            <w:r>
              <w:rPr>
                <w:rFonts w:hint="default" w:ascii="Times New Roman" w:hAnsi="Times New Roman" w:eastAsia="宋体" w:cs="Times New Roman"/>
                <w:color w:val="000000" w:themeColor="text1"/>
                <w:sz w:val="24"/>
                <w:szCs w:val="24"/>
                <w:highlight w:val="none"/>
                <w14:textFill>
                  <w14:solidFill>
                    <w14:schemeClr w14:val="tx1"/>
                  </w14:solidFill>
                </w14:textFill>
              </w:rPr>
              <w:t>水生生物的栖息地，重要水生生物的自然产卵场及索饵场、越冬场和洄游通道，天然渔场等渔业水体，以及水产种质资源保护区等</w:t>
            </w:r>
            <w:r>
              <w:rPr>
                <w:rFonts w:hint="eastAsia" w:cs="Times New Roman"/>
                <w:color w:val="000000" w:themeColor="text1"/>
                <w:sz w:val="24"/>
                <w:szCs w:val="24"/>
                <w:highlight w:val="none"/>
                <w:lang w:val="en-US" w:eastAsia="zh-CN"/>
                <w14:textFill>
                  <w14:solidFill>
                    <w14:schemeClr w14:val="tx1"/>
                  </w14:solidFill>
                </w14:textFill>
              </w:rPr>
              <w:t>地表水环境</w:t>
            </w:r>
            <w:r>
              <w:rPr>
                <w:rFonts w:hint="default" w:ascii="Times New Roman" w:hAnsi="Times New Roman" w:eastAsia="宋体" w:cs="Times New Roman"/>
                <w:color w:val="000000" w:themeColor="text1"/>
                <w:sz w:val="24"/>
                <w:szCs w:val="24"/>
                <w:highlight w:val="none"/>
                <w14:textFill>
                  <w14:solidFill>
                    <w14:schemeClr w14:val="tx1"/>
                  </w14:solidFill>
                </w14:textFill>
              </w:rPr>
              <w:t>敏感目标，同时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项目线路周边</w:t>
            </w:r>
            <w:r>
              <w:rPr>
                <w:rFonts w:hint="default" w:ascii="Times New Roman" w:hAnsi="Times New Roman" w:eastAsia="宋体" w:cs="Times New Roman"/>
                <w:color w:val="000000" w:themeColor="text1"/>
                <w:sz w:val="24"/>
                <w:szCs w:val="24"/>
                <w:highlight w:val="none"/>
                <w14:textFill>
                  <w14:solidFill>
                    <w14:schemeClr w14:val="tx1"/>
                  </w14:solidFill>
                </w14:textFill>
              </w:rPr>
              <w:t>无地下水集中式饮用水水源和热水、矿泉水、温泉等特殊地下水资源</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无地下水环境保护目标</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9921263">
            <w:pPr>
              <w:keepNext w:val="0"/>
              <w:keepLines w:val="0"/>
              <w:pageBreakBefore w:val="0"/>
              <w:widowControl w:val="0"/>
              <w:numPr>
                <w:ilvl w:val="0"/>
                <w:numId w:val="0"/>
              </w:numPr>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生态保护目标</w:t>
            </w:r>
          </w:p>
          <w:p w14:paraId="61CDEF52">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本项目评价范围内无国家公园、自然保护区、自然公园等自然保护地、世界自然遗产等区域，无重要生境以及其他具有重要生态功能、对保护生物多样性具有重要意义的区域。本项目塔基</w:t>
            </w:r>
            <w:r>
              <w:rPr>
                <w:rFonts w:hint="eastAsia" w:cs="Times New Roman"/>
                <w:color w:val="000000" w:themeColor="text1"/>
                <w:sz w:val="24"/>
                <w:szCs w:val="24"/>
                <w:highlight w:val="none"/>
                <w:lang w:val="en-US" w:eastAsia="zh-CN"/>
                <w14:textFill>
                  <w14:solidFill>
                    <w14:schemeClr w14:val="tx1"/>
                  </w14:solidFill>
                </w14:textFill>
              </w:rPr>
              <w:t>占地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范围不涉及生态保护红线，</w:t>
            </w:r>
            <w:r>
              <w:rPr>
                <w:rFonts w:hint="eastAsia" w:cs="Times New Roman"/>
                <w:color w:val="000000" w:themeColor="text1"/>
                <w:sz w:val="24"/>
                <w:szCs w:val="24"/>
                <w:highlight w:val="none"/>
                <w:lang w:val="en-US" w:eastAsia="zh-CN"/>
                <w14:textFill>
                  <w14:solidFill>
                    <w14:schemeClr w14:val="tx1"/>
                  </w14:solidFill>
                </w14:textFill>
              </w:rPr>
              <w:t>A37、A38号塔基距离生态保护红线较近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，因此将</w:t>
            </w:r>
            <w:r>
              <w:rPr>
                <w:rFonts w:hint="eastAsia" w:ascii="Times New Roman" w:hAnsi="Times New Roman" w:cs="Times New Roman" w:eastAsiaTheme="minorEastAsia"/>
                <w:bCs/>
                <w:color w:val="000000" w:themeColor="text1"/>
                <w:spacing w:val="4"/>
                <w:sz w:val="24"/>
                <w:szCs w:val="24"/>
                <w:highlight w:val="none"/>
                <w:lang w:val="en-US" w:eastAsia="zh-CN"/>
                <w14:textFill>
                  <w14:solidFill>
                    <w14:schemeClr w14:val="tx1"/>
                  </w14:solidFill>
                </w14:textFill>
              </w:rPr>
              <w:t>边导线地面投影外两侧各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300m范围内生态保护红线作为生态保护目标。</w:t>
            </w:r>
          </w:p>
          <w:p w14:paraId="2AA0CD5C">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本项目主要环境保护目标一览表见下表。</w:t>
            </w:r>
          </w:p>
          <w:p w14:paraId="262AC7E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表3</w:t>
            </w:r>
            <w:r>
              <w:rPr>
                <w:rFonts w:hint="eastAsia"/>
                <w:b/>
                <w:color w:val="000000" w:themeColor="text1"/>
                <w:sz w:val="21"/>
                <w:szCs w:val="21"/>
                <w:highlight w:val="none"/>
                <w14:textFill>
                  <w14:solidFill>
                    <w14:schemeClr w14:val="tx1"/>
                  </w14:solidFill>
                </w14:textFill>
              </w:rPr>
              <w:t>-</w:t>
            </w:r>
            <w:r>
              <w:rPr>
                <w:rFonts w:hint="eastAsia"/>
                <w:b/>
                <w:color w:val="000000" w:themeColor="text1"/>
                <w:sz w:val="21"/>
                <w:szCs w:val="21"/>
                <w:highlight w:val="none"/>
                <w:lang w:val="en-US" w:eastAsia="zh-CN"/>
                <w14:textFill>
                  <w14:solidFill>
                    <w14:schemeClr w14:val="tx1"/>
                  </w14:solidFill>
                </w14:textFill>
              </w:rPr>
              <w:t>5</w:t>
            </w:r>
            <w:r>
              <w:rPr>
                <w:b/>
                <w:color w:val="000000" w:themeColor="text1"/>
                <w:sz w:val="21"/>
                <w:szCs w:val="21"/>
                <w:highlight w:val="none"/>
                <w14:textFill>
                  <w14:solidFill>
                    <w14:schemeClr w14:val="tx1"/>
                  </w14:solidFill>
                </w14:textFill>
              </w:rPr>
              <w:t xml:space="preserve">  主要环境保护目标一览表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264"/>
              <w:gridCol w:w="895"/>
              <w:gridCol w:w="552"/>
              <w:gridCol w:w="536"/>
              <w:gridCol w:w="900"/>
              <w:gridCol w:w="792"/>
              <w:gridCol w:w="913"/>
              <w:gridCol w:w="612"/>
              <w:gridCol w:w="1044"/>
            </w:tblGrid>
            <w:tr w14:paraId="1D3A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restart"/>
                  <w:noWrap w:val="0"/>
                  <w:tcMar>
                    <w:top w:w="0" w:type="dxa"/>
                    <w:left w:w="17" w:type="dxa"/>
                    <w:bottom w:w="0" w:type="dxa"/>
                    <w:right w:w="17" w:type="dxa"/>
                  </w:tcMar>
                  <w:vAlign w:val="center"/>
                </w:tcPr>
                <w:p w14:paraId="67DCC78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环境要素</w:t>
                  </w:r>
                </w:p>
              </w:tc>
              <w:tc>
                <w:tcPr>
                  <w:tcW w:w="789" w:type="pct"/>
                  <w:vMerge w:val="restart"/>
                  <w:noWrap w:val="0"/>
                  <w:tcMar>
                    <w:top w:w="0" w:type="dxa"/>
                    <w:left w:w="17" w:type="dxa"/>
                    <w:bottom w:w="0" w:type="dxa"/>
                    <w:right w:w="17" w:type="dxa"/>
                  </w:tcMar>
                  <w:vAlign w:val="center"/>
                </w:tcPr>
                <w:p w14:paraId="7B15856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评价范围</w:t>
                  </w:r>
                </w:p>
              </w:tc>
              <w:tc>
                <w:tcPr>
                  <w:tcW w:w="3247" w:type="pct"/>
                  <w:gridSpan w:val="7"/>
                  <w:noWrap w:val="0"/>
                  <w:tcMar>
                    <w:top w:w="0" w:type="dxa"/>
                    <w:left w:w="17" w:type="dxa"/>
                    <w:bottom w:w="0" w:type="dxa"/>
                    <w:right w:w="17" w:type="dxa"/>
                  </w:tcMar>
                  <w:vAlign w:val="center"/>
                </w:tcPr>
                <w:p w14:paraId="66F96D00">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保护目标</w:t>
                  </w:r>
                </w:p>
              </w:tc>
              <w:tc>
                <w:tcPr>
                  <w:tcW w:w="651" w:type="pct"/>
                  <w:vMerge w:val="restart"/>
                  <w:noWrap w:val="0"/>
                  <w:tcMar>
                    <w:top w:w="0" w:type="dxa"/>
                    <w:left w:w="17" w:type="dxa"/>
                    <w:bottom w:w="0" w:type="dxa"/>
                    <w:right w:w="17" w:type="dxa"/>
                  </w:tcMar>
                  <w:vAlign w:val="center"/>
                </w:tcPr>
                <w:p w14:paraId="29ADFF9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保护级别</w:t>
                  </w:r>
                </w:p>
              </w:tc>
            </w:tr>
            <w:tr w14:paraId="5D35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continue"/>
                  <w:noWrap w:val="0"/>
                  <w:tcMar>
                    <w:top w:w="0" w:type="dxa"/>
                    <w:left w:w="17" w:type="dxa"/>
                    <w:bottom w:w="0" w:type="dxa"/>
                    <w:right w:w="17" w:type="dxa"/>
                  </w:tcMar>
                  <w:vAlign w:val="center"/>
                </w:tcPr>
                <w:p w14:paraId="0E455B9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9" w:type="pct"/>
                  <w:vMerge w:val="continue"/>
                  <w:noWrap w:val="0"/>
                  <w:tcMar>
                    <w:top w:w="0" w:type="dxa"/>
                    <w:left w:w="17" w:type="dxa"/>
                    <w:bottom w:w="0" w:type="dxa"/>
                    <w:right w:w="17" w:type="dxa"/>
                  </w:tcMar>
                  <w:vAlign w:val="center"/>
                </w:tcPr>
                <w:p w14:paraId="38CF78A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8" w:type="pct"/>
                  <w:vMerge w:val="restart"/>
                  <w:noWrap w:val="0"/>
                  <w:tcMar>
                    <w:top w:w="0" w:type="dxa"/>
                    <w:left w:w="17" w:type="dxa"/>
                    <w:bottom w:w="0" w:type="dxa"/>
                    <w:right w:w="17" w:type="dxa"/>
                  </w:tcMar>
                  <w:vAlign w:val="center"/>
                </w:tcPr>
                <w:p w14:paraId="3F40B97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344" w:type="pct"/>
                  <w:vMerge w:val="restart"/>
                  <w:noWrap w:val="0"/>
                  <w:tcMar>
                    <w:top w:w="0" w:type="dxa"/>
                    <w:left w:w="17" w:type="dxa"/>
                    <w:bottom w:w="0" w:type="dxa"/>
                    <w:right w:w="17" w:type="dxa"/>
                  </w:tcMar>
                  <w:vAlign w:val="center"/>
                </w:tcPr>
                <w:p w14:paraId="25C8DB5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功能</w:t>
                  </w:r>
                </w:p>
              </w:tc>
              <w:tc>
                <w:tcPr>
                  <w:tcW w:w="334" w:type="pct"/>
                  <w:vMerge w:val="restart"/>
                  <w:noWrap w:val="0"/>
                  <w:tcMar>
                    <w:top w:w="0" w:type="dxa"/>
                    <w:left w:w="17" w:type="dxa"/>
                    <w:bottom w:w="0" w:type="dxa"/>
                    <w:right w:w="17" w:type="dxa"/>
                  </w:tcMar>
                  <w:vAlign w:val="center"/>
                </w:tcPr>
                <w:p w14:paraId="03D6AA4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方位</w:t>
                  </w:r>
                </w:p>
              </w:tc>
              <w:tc>
                <w:tcPr>
                  <w:tcW w:w="1056" w:type="pct"/>
                  <w:gridSpan w:val="2"/>
                  <w:noWrap w:val="0"/>
                  <w:tcMar>
                    <w:top w:w="0" w:type="dxa"/>
                    <w:left w:w="17" w:type="dxa"/>
                    <w:bottom w:w="0" w:type="dxa"/>
                    <w:right w:w="17" w:type="dxa"/>
                  </w:tcMar>
                  <w:vAlign w:val="center"/>
                </w:tcPr>
                <w:p w14:paraId="3922D2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评价范围内</w:t>
                  </w:r>
                </w:p>
              </w:tc>
              <w:tc>
                <w:tcPr>
                  <w:tcW w:w="570" w:type="pct"/>
                  <w:vMerge w:val="restart"/>
                  <w:noWrap w:val="0"/>
                  <w:tcMar>
                    <w:top w:w="0" w:type="dxa"/>
                    <w:left w:w="17" w:type="dxa"/>
                    <w:bottom w:w="0" w:type="dxa"/>
                    <w:right w:w="17" w:type="dxa"/>
                  </w:tcMar>
                  <w:vAlign w:val="center"/>
                </w:tcPr>
                <w:p w14:paraId="4AD090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与</w:t>
                  </w:r>
                  <w:r>
                    <w:rPr>
                      <w:rFonts w:hint="eastAsia" w:cs="Times New Roman"/>
                      <w:color w:val="000000" w:themeColor="text1"/>
                      <w:sz w:val="21"/>
                      <w:szCs w:val="21"/>
                      <w:highlight w:val="none"/>
                      <w:lang w:val="en-US" w:eastAsia="zh-CN"/>
                      <w14:textFill>
                        <w14:solidFill>
                          <w14:schemeClr w14:val="tx1"/>
                        </w14:solidFill>
                      </w14:textFill>
                    </w:rPr>
                    <w:t>线路边导线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地面投影</w:t>
                  </w:r>
                  <w:r>
                    <w:rPr>
                      <w:rFonts w:hint="default" w:ascii="Times New Roman" w:hAnsi="Times New Roman" w:eastAsia="宋体" w:cs="Times New Roman"/>
                      <w:color w:val="000000" w:themeColor="text1"/>
                      <w:sz w:val="21"/>
                      <w:szCs w:val="21"/>
                      <w:highlight w:val="none"/>
                      <w14:textFill>
                        <w14:solidFill>
                          <w14:schemeClr w14:val="tx1"/>
                        </w14:solidFill>
                      </w14:textFill>
                    </w:rPr>
                    <w:t>距离（m）</w:t>
                  </w:r>
                </w:p>
              </w:tc>
              <w:tc>
                <w:tcPr>
                  <w:tcW w:w="382" w:type="pct"/>
                  <w:vMerge w:val="restart"/>
                  <w:noWrap w:val="0"/>
                  <w:tcMar>
                    <w:top w:w="0" w:type="dxa"/>
                    <w:left w:w="17" w:type="dxa"/>
                    <w:bottom w:w="0" w:type="dxa"/>
                    <w:right w:w="17" w:type="dxa"/>
                  </w:tcMar>
                  <w:vAlign w:val="center"/>
                </w:tcPr>
                <w:p w14:paraId="54AE35D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导线对地高度（m）</w:t>
                  </w:r>
                </w:p>
              </w:tc>
              <w:tc>
                <w:tcPr>
                  <w:tcW w:w="651" w:type="pct"/>
                  <w:vMerge w:val="continue"/>
                  <w:noWrap w:val="0"/>
                  <w:tcMar>
                    <w:top w:w="0" w:type="dxa"/>
                    <w:left w:w="17" w:type="dxa"/>
                    <w:bottom w:w="0" w:type="dxa"/>
                    <w:right w:w="17" w:type="dxa"/>
                  </w:tcMar>
                  <w:vAlign w:val="center"/>
                </w:tcPr>
                <w:p w14:paraId="7CDCDF50">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5E6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continue"/>
                  <w:noWrap w:val="0"/>
                  <w:tcMar>
                    <w:top w:w="0" w:type="dxa"/>
                    <w:left w:w="17" w:type="dxa"/>
                    <w:bottom w:w="0" w:type="dxa"/>
                    <w:right w:w="17" w:type="dxa"/>
                  </w:tcMar>
                  <w:vAlign w:val="center"/>
                </w:tcPr>
                <w:p w14:paraId="7470193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9" w:type="pct"/>
                  <w:vMerge w:val="continue"/>
                  <w:noWrap w:val="0"/>
                  <w:tcMar>
                    <w:top w:w="0" w:type="dxa"/>
                    <w:left w:w="17" w:type="dxa"/>
                    <w:bottom w:w="0" w:type="dxa"/>
                    <w:right w:w="17" w:type="dxa"/>
                  </w:tcMar>
                  <w:vAlign w:val="center"/>
                </w:tcPr>
                <w:p w14:paraId="1DD684C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8" w:type="pct"/>
                  <w:vMerge w:val="continue"/>
                  <w:noWrap w:val="0"/>
                  <w:tcMar>
                    <w:top w:w="0" w:type="dxa"/>
                    <w:left w:w="17" w:type="dxa"/>
                    <w:bottom w:w="0" w:type="dxa"/>
                    <w:right w:w="17" w:type="dxa"/>
                  </w:tcMar>
                  <w:vAlign w:val="center"/>
                </w:tcPr>
                <w:p w14:paraId="0014B114">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4" w:type="pct"/>
                  <w:vMerge w:val="continue"/>
                  <w:noWrap w:val="0"/>
                  <w:tcMar>
                    <w:top w:w="0" w:type="dxa"/>
                    <w:left w:w="17" w:type="dxa"/>
                    <w:bottom w:w="0" w:type="dxa"/>
                    <w:right w:w="17" w:type="dxa"/>
                  </w:tcMar>
                  <w:vAlign w:val="center"/>
                </w:tcPr>
                <w:p w14:paraId="20B43DB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4" w:type="pct"/>
                  <w:vMerge w:val="continue"/>
                  <w:noWrap w:val="0"/>
                  <w:tcMar>
                    <w:top w:w="0" w:type="dxa"/>
                    <w:left w:w="17" w:type="dxa"/>
                    <w:bottom w:w="0" w:type="dxa"/>
                    <w:right w:w="17" w:type="dxa"/>
                  </w:tcMar>
                  <w:vAlign w:val="center"/>
                </w:tcPr>
                <w:p w14:paraId="773A72D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2" w:type="pct"/>
                  <w:noWrap w:val="0"/>
                  <w:tcMar>
                    <w:top w:w="0" w:type="dxa"/>
                    <w:left w:w="17" w:type="dxa"/>
                    <w:bottom w:w="0" w:type="dxa"/>
                    <w:right w:w="17" w:type="dxa"/>
                  </w:tcMar>
                  <w:vAlign w:val="center"/>
                </w:tcPr>
                <w:p w14:paraId="3217C4F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建筑物层数（数量）</w:t>
                  </w:r>
                </w:p>
              </w:tc>
              <w:tc>
                <w:tcPr>
                  <w:tcW w:w="494" w:type="pct"/>
                  <w:noWrap w:val="0"/>
                  <w:tcMar>
                    <w:top w:w="0" w:type="dxa"/>
                    <w:left w:w="17" w:type="dxa"/>
                    <w:bottom w:w="0" w:type="dxa"/>
                    <w:right w:w="17" w:type="dxa"/>
                  </w:tcMar>
                  <w:vAlign w:val="center"/>
                </w:tcPr>
                <w:p w14:paraId="1D58E8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建筑物高度/m</w:t>
                  </w:r>
                </w:p>
              </w:tc>
              <w:tc>
                <w:tcPr>
                  <w:tcW w:w="570" w:type="pct"/>
                  <w:vMerge w:val="continue"/>
                  <w:noWrap w:val="0"/>
                  <w:tcMar>
                    <w:top w:w="0" w:type="dxa"/>
                    <w:left w:w="17" w:type="dxa"/>
                    <w:bottom w:w="0" w:type="dxa"/>
                    <w:right w:w="17" w:type="dxa"/>
                  </w:tcMar>
                  <w:vAlign w:val="center"/>
                </w:tcPr>
                <w:p w14:paraId="31850E1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82" w:type="pct"/>
                  <w:vMerge w:val="continue"/>
                  <w:noWrap w:val="0"/>
                  <w:tcMar>
                    <w:top w:w="0" w:type="dxa"/>
                    <w:left w:w="17" w:type="dxa"/>
                    <w:bottom w:w="0" w:type="dxa"/>
                    <w:right w:w="17" w:type="dxa"/>
                  </w:tcMar>
                  <w:vAlign w:val="center"/>
                </w:tcPr>
                <w:p w14:paraId="2CADF43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51" w:type="pct"/>
                  <w:vMerge w:val="continue"/>
                  <w:noWrap w:val="0"/>
                  <w:tcMar>
                    <w:top w:w="0" w:type="dxa"/>
                    <w:left w:w="17" w:type="dxa"/>
                    <w:bottom w:w="0" w:type="dxa"/>
                    <w:right w:w="17" w:type="dxa"/>
                  </w:tcMar>
                  <w:vAlign w:val="center"/>
                </w:tcPr>
                <w:p w14:paraId="1C4FFF9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787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311" w:type="pct"/>
                  <w:vMerge w:val="restart"/>
                  <w:noWrap w:val="0"/>
                  <w:tcMar>
                    <w:top w:w="0" w:type="dxa"/>
                    <w:left w:w="17" w:type="dxa"/>
                    <w:bottom w:w="0" w:type="dxa"/>
                    <w:right w:w="17" w:type="dxa"/>
                  </w:tcMar>
                  <w:vAlign w:val="center"/>
                </w:tcPr>
                <w:p w14:paraId="0AA079B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电磁环境</w:t>
                  </w:r>
                </w:p>
              </w:tc>
              <w:tc>
                <w:tcPr>
                  <w:tcW w:w="789" w:type="pct"/>
                  <w:vMerge w:val="restart"/>
                  <w:noWrap w:val="0"/>
                  <w:tcMar>
                    <w:top w:w="0" w:type="dxa"/>
                    <w:left w:w="17" w:type="dxa"/>
                    <w:bottom w:w="0" w:type="dxa"/>
                    <w:right w:w="17" w:type="dxa"/>
                  </w:tcMar>
                  <w:vAlign w:val="center"/>
                </w:tcPr>
                <w:p w14:paraId="11C2933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架空线路边导线</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地面投影外</w:t>
                  </w:r>
                  <w:r>
                    <w:rPr>
                      <w:rFonts w:hint="default" w:ascii="Times New Roman" w:hAnsi="Times New Roman" w:eastAsia="宋体" w:cs="Times New Roman"/>
                      <w:bCs/>
                      <w:color w:val="000000" w:themeColor="text1"/>
                      <w:sz w:val="21"/>
                      <w:szCs w:val="21"/>
                      <w:highlight w:val="none"/>
                      <w14:textFill>
                        <w14:solidFill>
                          <w14:schemeClr w14:val="tx1"/>
                        </w14:solidFill>
                      </w14:textFill>
                    </w:rPr>
                    <w:t>两侧</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各30</w:t>
                  </w:r>
                  <w:r>
                    <w:rPr>
                      <w:rFonts w:hint="default" w:ascii="Times New Roman" w:hAnsi="Times New Roman" w:eastAsia="宋体" w:cs="Times New Roman"/>
                      <w:bCs/>
                      <w:color w:val="000000" w:themeColor="text1"/>
                      <w:sz w:val="21"/>
                      <w:szCs w:val="21"/>
                      <w:highlight w:val="none"/>
                      <w14:textFill>
                        <w14:solidFill>
                          <w14:schemeClr w14:val="tx1"/>
                        </w14:solidFill>
                      </w14:textFill>
                    </w:rPr>
                    <w:t>m带状</w:t>
                  </w:r>
                  <w:r>
                    <w:rPr>
                      <w:rFonts w:hint="eastAsia" w:cs="Times New Roman"/>
                      <w:bCs/>
                      <w:color w:val="000000" w:themeColor="text1"/>
                      <w:sz w:val="21"/>
                      <w:szCs w:val="21"/>
                      <w:highlight w:val="none"/>
                      <w:lang w:val="en-US" w:eastAsia="zh-CN"/>
                      <w14:textFill>
                        <w14:solidFill>
                          <w14:schemeClr w14:val="tx1"/>
                        </w14:solidFill>
                      </w14:textFill>
                    </w:rPr>
                    <w:t>区域</w:t>
                  </w:r>
                </w:p>
              </w:tc>
              <w:tc>
                <w:tcPr>
                  <w:tcW w:w="558" w:type="pct"/>
                  <w:noWrap w:val="0"/>
                  <w:tcMar>
                    <w:top w:w="0" w:type="dxa"/>
                    <w:left w:w="17" w:type="dxa"/>
                    <w:bottom w:w="0" w:type="dxa"/>
                    <w:right w:w="17" w:type="dxa"/>
                  </w:tcMar>
                  <w:vAlign w:val="center"/>
                </w:tcPr>
                <w:p w14:paraId="16E633F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四把伙村</w:t>
                  </w:r>
                </w:p>
              </w:tc>
              <w:tc>
                <w:tcPr>
                  <w:tcW w:w="344" w:type="pct"/>
                  <w:noWrap w:val="0"/>
                  <w:tcMar>
                    <w:top w:w="0" w:type="dxa"/>
                    <w:left w:w="17" w:type="dxa"/>
                    <w:bottom w:w="0" w:type="dxa"/>
                    <w:right w:w="17" w:type="dxa"/>
                  </w:tcMar>
                  <w:vAlign w:val="center"/>
                </w:tcPr>
                <w:p w14:paraId="3B05AA9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居住</w:t>
                  </w:r>
                </w:p>
              </w:tc>
              <w:tc>
                <w:tcPr>
                  <w:tcW w:w="334" w:type="pct"/>
                  <w:noWrap w:val="0"/>
                  <w:tcMar>
                    <w:top w:w="0" w:type="dxa"/>
                    <w:left w:w="17" w:type="dxa"/>
                    <w:bottom w:w="0" w:type="dxa"/>
                    <w:right w:w="17" w:type="dxa"/>
                  </w:tcMar>
                  <w:vAlign w:val="center"/>
                </w:tcPr>
                <w:p w14:paraId="707F07D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NW</w:t>
                  </w:r>
                </w:p>
              </w:tc>
              <w:tc>
                <w:tcPr>
                  <w:tcW w:w="562" w:type="pct"/>
                  <w:noWrap w:val="0"/>
                  <w:tcMar>
                    <w:top w:w="0" w:type="dxa"/>
                    <w:left w:w="17" w:type="dxa"/>
                    <w:bottom w:w="0" w:type="dxa"/>
                    <w:right w:w="17" w:type="dxa"/>
                  </w:tcMar>
                  <w:vAlign w:val="center"/>
                </w:tcPr>
                <w:p w14:paraId="0567965D">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1层</w:t>
                  </w:r>
                </w:p>
              </w:tc>
              <w:tc>
                <w:tcPr>
                  <w:tcW w:w="494" w:type="pct"/>
                  <w:noWrap w:val="0"/>
                  <w:tcMar>
                    <w:top w:w="0" w:type="dxa"/>
                    <w:left w:w="17" w:type="dxa"/>
                    <w:bottom w:w="0" w:type="dxa"/>
                    <w:right w:w="17" w:type="dxa"/>
                  </w:tcMar>
                  <w:vAlign w:val="center"/>
                </w:tcPr>
                <w:p w14:paraId="69B4ECE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570" w:type="pct"/>
                  <w:noWrap w:val="0"/>
                  <w:tcMar>
                    <w:top w:w="0" w:type="dxa"/>
                    <w:left w:w="17" w:type="dxa"/>
                    <w:bottom w:w="0" w:type="dxa"/>
                    <w:right w:w="17" w:type="dxa"/>
                  </w:tcMar>
                  <w:vAlign w:val="center"/>
                </w:tcPr>
                <w:p w14:paraId="7B6A3F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382" w:type="pct"/>
                  <w:noWrap w:val="0"/>
                  <w:tcMar>
                    <w:top w:w="0" w:type="dxa"/>
                    <w:left w:w="17" w:type="dxa"/>
                    <w:bottom w:w="0" w:type="dxa"/>
                    <w:right w:w="17" w:type="dxa"/>
                  </w:tcMar>
                  <w:vAlign w:val="center"/>
                </w:tcPr>
                <w:p w14:paraId="2298E1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17.5</w:t>
                  </w:r>
                </w:p>
              </w:tc>
              <w:tc>
                <w:tcPr>
                  <w:tcW w:w="651" w:type="pct"/>
                  <w:vMerge w:val="restart"/>
                  <w:noWrap w:val="0"/>
                  <w:tcMar>
                    <w:top w:w="0" w:type="dxa"/>
                    <w:left w:w="17" w:type="dxa"/>
                    <w:bottom w:w="0" w:type="dxa"/>
                    <w:right w:w="17" w:type="dxa"/>
                  </w:tcMar>
                  <w:vAlign w:val="center"/>
                </w:tcPr>
                <w:p w14:paraId="1A6D930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《电磁环境控制限值》（GB8702-2014）</w:t>
                  </w:r>
                </w:p>
              </w:tc>
            </w:tr>
            <w:tr w14:paraId="1B03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continue"/>
                  <w:noWrap w:val="0"/>
                  <w:tcMar>
                    <w:top w:w="0" w:type="dxa"/>
                    <w:left w:w="17" w:type="dxa"/>
                    <w:bottom w:w="0" w:type="dxa"/>
                    <w:right w:w="17" w:type="dxa"/>
                  </w:tcMar>
                  <w:vAlign w:val="center"/>
                </w:tcPr>
                <w:p w14:paraId="1B55BF66">
                  <w:pPr>
                    <w:keepNext w:val="0"/>
                    <w:keepLines w:val="0"/>
                    <w:pageBreakBefore w:val="0"/>
                    <w:kinsoku/>
                    <w:wordWrap/>
                    <w:overflowPunct/>
                    <w:topLinePunct w:val="0"/>
                    <w:autoSpaceDE/>
                    <w:autoSpaceDN/>
                    <w:bidi w:val="0"/>
                    <w:adjustRightInd/>
                    <w:snapToGrid/>
                    <w:spacing w:line="300" w:lineRule="exact"/>
                    <w:jc w:val="center"/>
                    <w:textAlignment w:val="auto"/>
                    <w:rPr>
                      <w:color w:val="000000" w:themeColor="text1"/>
                      <w:highlight w:val="none"/>
                      <w14:textFill>
                        <w14:solidFill>
                          <w14:schemeClr w14:val="tx1"/>
                        </w14:solidFill>
                      </w14:textFill>
                    </w:rPr>
                  </w:pPr>
                </w:p>
              </w:tc>
              <w:tc>
                <w:tcPr>
                  <w:tcW w:w="789" w:type="pct"/>
                  <w:vMerge w:val="continue"/>
                  <w:noWrap w:val="0"/>
                  <w:tcMar>
                    <w:top w:w="0" w:type="dxa"/>
                    <w:left w:w="17" w:type="dxa"/>
                    <w:bottom w:w="0" w:type="dxa"/>
                    <w:right w:w="17" w:type="dxa"/>
                  </w:tcMar>
                  <w:vAlign w:val="center"/>
                </w:tcPr>
                <w:p w14:paraId="63F18892">
                  <w:pPr>
                    <w:keepNext w:val="0"/>
                    <w:keepLines w:val="0"/>
                    <w:pageBreakBefore w:val="0"/>
                    <w:kinsoku/>
                    <w:wordWrap/>
                    <w:overflowPunct/>
                    <w:topLinePunct w:val="0"/>
                    <w:autoSpaceDE/>
                    <w:autoSpaceDN/>
                    <w:bidi w:val="0"/>
                    <w:adjustRightInd/>
                    <w:snapToGrid/>
                    <w:spacing w:line="300" w:lineRule="exact"/>
                    <w:jc w:val="center"/>
                    <w:textAlignment w:val="auto"/>
                    <w:rPr>
                      <w:color w:val="000000" w:themeColor="text1"/>
                      <w:highlight w:val="none"/>
                      <w14:textFill>
                        <w14:solidFill>
                          <w14:schemeClr w14:val="tx1"/>
                        </w14:solidFill>
                      </w14:textFill>
                    </w:rPr>
                  </w:pPr>
                </w:p>
              </w:tc>
              <w:tc>
                <w:tcPr>
                  <w:tcW w:w="558" w:type="pct"/>
                  <w:noWrap w:val="0"/>
                  <w:tcMar>
                    <w:top w:w="0" w:type="dxa"/>
                    <w:left w:w="17" w:type="dxa"/>
                    <w:bottom w:w="0" w:type="dxa"/>
                    <w:right w:w="17" w:type="dxa"/>
                  </w:tcMar>
                  <w:vAlign w:val="center"/>
                </w:tcPr>
                <w:p w14:paraId="12C1A45D">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下常乐店</w:t>
                  </w:r>
                </w:p>
              </w:tc>
              <w:tc>
                <w:tcPr>
                  <w:tcW w:w="344" w:type="pct"/>
                  <w:noWrap w:val="0"/>
                  <w:tcMar>
                    <w:top w:w="0" w:type="dxa"/>
                    <w:left w:w="17" w:type="dxa"/>
                    <w:bottom w:w="0" w:type="dxa"/>
                    <w:right w:w="17" w:type="dxa"/>
                  </w:tcMar>
                  <w:vAlign w:val="center"/>
                </w:tcPr>
                <w:p w14:paraId="4BF8A17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居住</w:t>
                  </w:r>
                </w:p>
              </w:tc>
              <w:tc>
                <w:tcPr>
                  <w:tcW w:w="334" w:type="pct"/>
                  <w:noWrap w:val="0"/>
                  <w:tcMar>
                    <w:top w:w="0" w:type="dxa"/>
                    <w:left w:w="17" w:type="dxa"/>
                    <w:bottom w:w="0" w:type="dxa"/>
                    <w:right w:w="17" w:type="dxa"/>
                  </w:tcMar>
                  <w:vAlign w:val="center"/>
                </w:tcPr>
                <w:p w14:paraId="7416F75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E</w:t>
                  </w:r>
                </w:p>
              </w:tc>
              <w:tc>
                <w:tcPr>
                  <w:tcW w:w="562" w:type="pct"/>
                  <w:noWrap w:val="0"/>
                  <w:tcMar>
                    <w:top w:w="0" w:type="dxa"/>
                    <w:left w:w="17" w:type="dxa"/>
                    <w:bottom w:w="0" w:type="dxa"/>
                    <w:right w:w="17" w:type="dxa"/>
                  </w:tcMar>
                  <w:vAlign w:val="center"/>
                </w:tcPr>
                <w:p w14:paraId="6CFABD3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1层</w:t>
                  </w:r>
                </w:p>
              </w:tc>
              <w:tc>
                <w:tcPr>
                  <w:tcW w:w="494" w:type="pct"/>
                  <w:noWrap w:val="0"/>
                  <w:tcMar>
                    <w:top w:w="0" w:type="dxa"/>
                    <w:left w:w="17" w:type="dxa"/>
                    <w:bottom w:w="0" w:type="dxa"/>
                    <w:right w:w="17" w:type="dxa"/>
                  </w:tcMar>
                  <w:vAlign w:val="center"/>
                </w:tcPr>
                <w:p w14:paraId="265FB1A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570" w:type="pct"/>
                  <w:noWrap w:val="0"/>
                  <w:tcMar>
                    <w:top w:w="0" w:type="dxa"/>
                    <w:left w:w="17" w:type="dxa"/>
                    <w:bottom w:w="0" w:type="dxa"/>
                    <w:right w:w="17" w:type="dxa"/>
                  </w:tcMar>
                  <w:vAlign w:val="center"/>
                </w:tcPr>
                <w:p w14:paraId="60B7ECC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382" w:type="pct"/>
                  <w:noWrap w:val="0"/>
                  <w:tcMar>
                    <w:top w:w="0" w:type="dxa"/>
                    <w:left w:w="17" w:type="dxa"/>
                    <w:bottom w:w="0" w:type="dxa"/>
                    <w:right w:w="17" w:type="dxa"/>
                  </w:tcMar>
                  <w:vAlign w:val="center"/>
                </w:tcPr>
                <w:p w14:paraId="1C4118D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w:t>
                  </w:r>
                </w:p>
              </w:tc>
              <w:tc>
                <w:tcPr>
                  <w:tcW w:w="651" w:type="pct"/>
                  <w:vMerge w:val="continue"/>
                  <w:noWrap w:val="0"/>
                  <w:tcMar>
                    <w:top w:w="0" w:type="dxa"/>
                    <w:left w:w="17" w:type="dxa"/>
                    <w:bottom w:w="0" w:type="dxa"/>
                    <w:right w:w="17" w:type="dxa"/>
                  </w:tcMar>
                  <w:vAlign w:val="center"/>
                </w:tcPr>
                <w:p w14:paraId="7B69F72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r>
            <w:tr w14:paraId="61E9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11" w:type="pct"/>
                  <w:vMerge w:val="restart"/>
                  <w:noWrap w:val="0"/>
                  <w:tcMar>
                    <w:top w:w="0" w:type="dxa"/>
                    <w:left w:w="17" w:type="dxa"/>
                    <w:bottom w:w="0" w:type="dxa"/>
                    <w:right w:w="17" w:type="dxa"/>
                  </w:tcMar>
                  <w:vAlign w:val="center"/>
                </w:tcPr>
                <w:p w14:paraId="3BBD235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声环境</w:t>
                  </w:r>
                </w:p>
              </w:tc>
              <w:tc>
                <w:tcPr>
                  <w:tcW w:w="789" w:type="pct"/>
                  <w:vMerge w:val="restart"/>
                  <w:noWrap w:val="0"/>
                  <w:tcMar>
                    <w:top w:w="0" w:type="dxa"/>
                    <w:left w:w="17" w:type="dxa"/>
                    <w:bottom w:w="0" w:type="dxa"/>
                    <w:right w:w="17" w:type="dxa"/>
                  </w:tcMar>
                  <w:vAlign w:val="center"/>
                </w:tcPr>
                <w:p w14:paraId="13E442E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架空线路边导线</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地面投影外</w:t>
                  </w:r>
                  <w:r>
                    <w:rPr>
                      <w:rFonts w:hint="default" w:ascii="Times New Roman" w:hAnsi="Times New Roman" w:eastAsia="宋体" w:cs="Times New Roman"/>
                      <w:bCs/>
                      <w:color w:val="000000" w:themeColor="text1"/>
                      <w:sz w:val="21"/>
                      <w:szCs w:val="21"/>
                      <w:highlight w:val="none"/>
                      <w14:textFill>
                        <w14:solidFill>
                          <w14:schemeClr w14:val="tx1"/>
                        </w14:solidFill>
                      </w14:textFill>
                    </w:rPr>
                    <w:t>两侧</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各3</w:t>
                  </w:r>
                  <w:r>
                    <w:rPr>
                      <w:rFonts w:hint="default" w:ascii="Times New Roman" w:hAnsi="Times New Roman" w:eastAsia="宋体" w:cs="Times New Roman"/>
                      <w:bCs/>
                      <w:color w:val="000000" w:themeColor="text1"/>
                      <w:sz w:val="21"/>
                      <w:szCs w:val="21"/>
                      <w:highlight w:val="none"/>
                      <w14:textFill>
                        <w14:solidFill>
                          <w14:schemeClr w14:val="tx1"/>
                        </w14:solidFill>
                      </w14:textFill>
                    </w:rPr>
                    <w:t>0m带状</w:t>
                  </w:r>
                  <w:r>
                    <w:rPr>
                      <w:rFonts w:hint="eastAsia" w:cs="Times New Roman"/>
                      <w:bCs/>
                      <w:color w:val="000000" w:themeColor="text1"/>
                      <w:sz w:val="21"/>
                      <w:szCs w:val="21"/>
                      <w:highlight w:val="none"/>
                      <w:lang w:val="en-US" w:eastAsia="zh-CN"/>
                      <w14:textFill>
                        <w14:solidFill>
                          <w14:schemeClr w14:val="tx1"/>
                        </w14:solidFill>
                      </w14:textFill>
                    </w:rPr>
                    <w:t>区域</w:t>
                  </w:r>
                </w:p>
              </w:tc>
              <w:tc>
                <w:tcPr>
                  <w:tcW w:w="558" w:type="pct"/>
                  <w:shd w:val="clear" w:color="auto" w:fill="auto"/>
                  <w:noWrap w:val="0"/>
                  <w:tcMar>
                    <w:top w:w="0" w:type="dxa"/>
                    <w:left w:w="17" w:type="dxa"/>
                    <w:bottom w:w="0" w:type="dxa"/>
                    <w:right w:w="17" w:type="dxa"/>
                  </w:tcMar>
                  <w:vAlign w:val="center"/>
                </w:tcPr>
                <w:p w14:paraId="024409EA">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四把伙村</w:t>
                  </w:r>
                </w:p>
              </w:tc>
              <w:tc>
                <w:tcPr>
                  <w:tcW w:w="344" w:type="pct"/>
                  <w:noWrap w:val="0"/>
                  <w:tcMar>
                    <w:top w:w="0" w:type="dxa"/>
                    <w:left w:w="17" w:type="dxa"/>
                    <w:bottom w:w="0" w:type="dxa"/>
                    <w:right w:w="17" w:type="dxa"/>
                  </w:tcMar>
                  <w:vAlign w:val="center"/>
                </w:tcPr>
                <w:p w14:paraId="61C9DBC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居住</w:t>
                  </w:r>
                </w:p>
              </w:tc>
              <w:tc>
                <w:tcPr>
                  <w:tcW w:w="334" w:type="pct"/>
                  <w:shd w:val="clear" w:color="auto" w:fill="auto"/>
                  <w:noWrap w:val="0"/>
                  <w:tcMar>
                    <w:top w:w="0" w:type="dxa"/>
                    <w:left w:w="17" w:type="dxa"/>
                    <w:bottom w:w="0" w:type="dxa"/>
                    <w:right w:w="17" w:type="dxa"/>
                  </w:tcMar>
                  <w:vAlign w:val="center"/>
                </w:tcPr>
                <w:p w14:paraId="19ADAED4">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NW</w:t>
                  </w:r>
                </w:p>
              </w:tc>
              <w:tc>
                <w:tcPr>
                  <w:tcW w:w="562" w:type="pct"/>
                  <w:noWrap w:val="0"/>
                  <w:tcMar>
                    <w:top w:w="0" w:type="dxa"/>
                    <w:left w:w="17" w:type="dxa"/>
                    <w:bottom w:w="0" w:type="dxa"/>
                    <w:right w:w="17" w:type="dxa"/>
                  </w:tcMar>
                  <w:vAlign w:val="center"/>
                </w:tcPr>
                <w:p w14:paraId="1DCDD81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1层</w:t>
                  </w:r>
                </w:p>
              </w:tc>
              <w:tc>
                <w:tcPr>
                  <w:tcW w:w="494" w:type="pct"/>
                  <w:noWrap w:val="0"/>
                  <w:tcMar>
                    <w:top w:w="0" w:type="dxa"/>
                    <w:left w:w="17" w:type="dxa"/>
                    <w:bottom w:w="0" w:type="dxa"/>
                    <w:right w:w="17" w:type="dxa"/>
                  </w:tcMar>
                  <w:vAlign w:val="center"/>
                </w:tcPr>
                <w:p w14:paraId="7B9E277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570" w:type="pct"/>
                  <w:shd w:val="clear" w:color="auto" w:fill="auto"/>
                  <w:noWrap w:val="0"/>
                  <w:tcMar>
                    <w:top w:w="0" w:type="dxa"/>
                    <w:left w:w="17" w:type="dxa"/>
                    <w:bottom w:w="0" w:type="dxa"/>
                    <w:right w:w="17" w:type="dxa"/>
                  </w:tcMar>
                  <w:vAlign w:val="center"/>
                </w:tcPr>
                <w:p w14:paraId="72060B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382" w:type="pct"/>
                  <w:shd w:val="clear" w:color="auto" w:fill="auto"/>
                  <w:noWrap w:val="0"/>
                  <w:tcMar>
                    <w:top w:w="0" w:type="dxa"/>
                    <w:left w:w="17" w:type="dxa"/>
                    <w:bottom w:w="0" w:type="dxa"/>
                    <w:right w:w="17" w:type="dxa"/>
                  </w:tcMar>
                  <w:vAlign w:val="center"/>
                </w:tcPr>
                <w:p w14:paraId="1D89C2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17.5</w:t>
                  </w:r>
                </w:p>
              </w:tc>
              <w:tc>
                <w:tcPr>
                  <w:tcW w:w="651" w:type="pct"/>
                  <w:vMerge w:val="restart"/>
                  <w:noWrap w:val="0"/>
                  <w:tcMar>
                    <w:top w:w="0" w:type="dxa"/>
                    <w:left w:w="17" w:type="dxa"/>
                    <w:bottom w:w="0" w:type="dxa"/>
                    <w:right w:w="17" w:type="dxa"/>
                  </w:tcMar>
                  <w:vAlign w:val="center"/>
                </w:tcPr>
                <w:p w14:paraId="66D7B86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声环境质量标准</w:t>
                  </w:r>
                  <w:r>
                    <w:rPr>
                      <w:rFonts w:hint="eastAsia" w:ascii="Times New Roman" w:hAnsi="Times New Roman" w:eastAsia="宋体" w:cs="Times New Roman"/>
                      <w:snapToGrid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GB3096-2008</w:t>
                  </w:r>
                  <w:r>
                    <w:rPr>
                      <w:rFonts w:hint="eastAsia" w:ascii="Times New Roman" w:hAnsi="Times New Roman" w:eastAsia="宋体" w:cs="Times New Roman"/>
                      <w:snapToGrid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1类标准</w:t>
                  </w:r>
                </w:p>
              </w:tc>
            </w:tr>
            <w:tr w14:paraId="27B0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Merge w:val="continue"/>
                  <w:noWrap w:val="0"/>
                  <w:tcMar>
                    <w:top w:w="0" w:type="dxa"/>
                    <w:left w:w="17" w:type="dxa"/>
                    <w:bottom w:w="0" w:type="dxa"/>
                    <w:right w:w="17" w:type="dxa"/>
                  </w:tcMar>
                  <w:vAlign w:val="center"/>
                </w:tcPr>
                <w:p w14:paraId="190A9DC9">
                  <w:pPr>
                    <w:keepNext w:val="0"/>
                    <w:keepLines w:val="0"/>
                    <w:pageBreakBefore w:val="0"/>
                    <w:kinsoku/>
                    <w:wordWrap/>
                    <w:overflowPunct/>
                    <w:topLinePunct w:val="0"/>
                    <w:autoSpaceDE/>
                    <w:autoSpaceDN/>
                    <w:bidi w:val="0"/>
                    <w:adjustRightInd/>
                    <w:snapToGrid/>
                    <w:spacing w:line="300" w:lineRule="exact"/>
                    <w:jc w:val="center"/>
                    <w:textAlignment w:val="auto"/>
                    <w:rPr>
                      <w:color w:val="000000" w:themeColor="text1"/>
                      <w:highlight w:val="none"/>
                      <w14:textFill>
                        <w14:solidFill>
                          <w14:schemeClr w14:val="tx1"/>
                        </w14:solidFill>
                      </w14:textFill>
                    </w:rPr>
                  </w:pPr>
                </w:p>
              </w:tc>
              <w:tc>
                <w:tcPr>
                  <w:tcW w:w="789" w:type="pct"/>
                  <w:vMerge w:val="continue"/>
                  <w:noWrap w:val="0"/>
                  <w:tcMar>
                    <w:top w:w="0" w:type="dxa"/>
                    <w:left w:w="17" w:type="dxa"/>
                    <w:bottom w:w="0" w:type="dxa"/>
                    <w:right w:w="17" w:type="dxa"/>
                  </w:tcMar>
                  <w:vAlign w:val="center"/>
                </w:tcPr>
                <w:p w14:paraId="1CCF75BA">
                  <w:pPr>
                    <w:keepNext w:val="0"/>
                    <w:keepLines w:val="0"/>
                    <w:pageBreakBefore w:val="0"/>
                    <w:kinsoku/>
                    <w:wordWrap/>
                    <w:overflowPunct/>
                    <w:topLinePunct w:val="0"/>
                    <w:autoSpaceDE/>
                    <w:autoSpaceDN/>
                    <w:bidi w:val="0"/>
                    <w:adjustRightInd/>
                    <w:snapToGrid/>
                    <w:spacing w:line="300" w:lineRule="exact"/>
                    <w:jc w:val="center"/>
                    <w:textAlignment w:val="auto"/>
                    <w:rPr>
                      <w:color w:val="000000" w:themeColor="text1"/>
                      <w:highlight w:val="none"/>
                      <w14:textFill>
                        <w14:solidFill>
                          <w14:schemeClr w14:val="tx1"/>
                        </w14:solidFill>
                      </w14:textFill>
                    </w:rPr>
                  </w:pPr>
                </w:p>
              </w:tc>
              <w:tc>
                <w:tcPr>
                  <w:tcW w:w="558" w:type="pct"/>
                  <w:shd w:val="clear" w:color="auto" w:fill="auto"/>
                  <w:noWrap w:val="0"/>
                  <w:tcMar>
                    <w:top w:w="0" w:type="dxa"/>
                    <w:left w:w="17" w:type="dxa"/>
                    <w:bottom w:w="0" w:type="dxa"/>
                    <w:right w:w="17" w:type="dxa"/>
                  </w:tcMar>
                  <w:vAlign w:val="center"/>
                </w:tcPr>
                <w:p w14:paraId="3428BFD0">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下常乐店</w:t>
                  </w:r>
                </w:p>
              </w:tc>
              <w:tc>
                <w:tcPr>
                  <w:tcW w:w="344" w:type="pct"/>
                  <w:noWrap w:val="0"/>
                  <w:tcMar>
                    <w:top w:w="0" w:type="dxa"/>
                    <w:left w:w="17" w:type="dxa"/>
                    <w:bottom w:w="0" w:type="dxa"/>
                    <w:right w:w="17" w:type="dxa"/>
                  </w:tcMar>
                  <w:vAlign w:val="center"/>
                </w:tcPr>
                <w:p w14:paraId="56C2EAB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居住</w:t>
                  </w:r>
                </w:p>
              </w:tc>
              <w:tc>
                <w:tcPr>
                  <w:tcW w:w="334" w:type="pct"/>
                  <w:shd w:val="clear" w:color="auto" w:fill="auto"/>
                  <w:noWrap w:val="0"/>
                  <w:tcMar>
                    <w:top w:w="0" w:type="dxa"/>
                    <w:left w:w="17" w:type="dxa"/>
                    <w:bottom w:w="0" w:type="dxa"/>
                    <w:right w:w="17" w:type="dxa"/>
                  </w:tcMar>
                  <w:vAlign w:val="center"/>
                </w:tcPr>
                <w:p w14:paraId="6834C46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E</w:t>
                  </w:r>
                </w:p>
              </w:tc>
              <w:tc>
                <w:tcPr>
                  <w:tcW w:w="562" w:type="pct"/>
                  <w:noWrap w:val="0"/>
                  <w:tcMar>
                    <w:top w:w="0" w:type="dxa"/>
                    <w:left w:w="17" w:type="dxa"/>
                    <w:bottom w:w="0" w:type="dxa"/>
                    <w:right w:w="17" w:type="dxa"/>
                  </w:tcMar>
                  <w:vAlign w:val="center"/>
                </w:tcPr>
                <w:p w14:paraId="786263B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1层</w:t>
                  </w:r>
                </w:p>
              </w:tc>
              <w:tc>
                <w:tcPr>
                  <w:tcW w:w="494" w:type="pct"/>
                  <w:noWrap w:val="0"/>
                  <w:tcMar>
                    <w:top w:w="0" w:type="dxa"/>
                    <w:left w:w="17" w:type="dxa"/>
                    <w:bottom w:w="0" w:type="dxa"/>
                    <w:right w:w="17" w:type="dxa"/>
                  </w:tcMar>
                  <w:vAlign w:val="center"/>
                </w:tcPr>
                <w:p w14:paraId="6F1A81C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p>
              </w:tc>
              <w:tc>
                <w:tcPr>
                  <w:tcW w:w="570" w:type="pct"/>
                  <w:shd w:val="clear" w:color="auto" w:fill="auto"/>
                  <w:noWrap w:val="0"/>
                  <w:tcMar>
                    <w:top w:w="0" w:type="dxa"/>
                    <w:left w:w="17" w:type="dxa"/>
                    <w:bottom w:w="0" w:type="dxa"/>
                    <w:right w:w="17" w:type="dxa"/>
                  </w:tcMar>
                  <w:vAlign w:val="center"/>
                </w:tcPr>
                <w:p w14:paraId="62305FA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382" w:type="pct"/>
                  <w:shd w:val="clear" w:color="auto" w:fill="auto"/>
                  <w:noWrap w:val="0"/>
                  <w:tcMar>
                    <w:top w:w="0" w:type="dxa"/>
                    <w:left w:w="17" w:type="dxa"/>
                    <w:bottom w:w="0" w:type="dxa"/>
                    <w:right w:w="17" w:type="dxa"/>
                  </w:tcMar>
                  <w:vAlign w:val="center"/>
                </w:tcPr>
                <w:p w14:paraId="0632EFCA">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w:t>
                  </w:r>
                </w:p>
              </w:tc>
              <w:tc>
                <w:tcPr>
                  <w:tcW w:w="651" w:type="pct"/>
                  <w:vMerge w:val="continue"/>
                  <w:noWrap w:val="0"/>
                  <w:tcMar>
                    <w:top w:w="0" w:type="dxa"/>
                    <w:left w:w="17" w:type="dxa"/>
                    <w:bottom w:w="0" w:type="dxa"/>
                    <w:right w:w="17" w:type="dxa"/>
                  </w:tcMar>
                  <w:vAlign w:val="center"/>
                </w:tcPr>
                <w:p w14:paraId="5157DBD4">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r>
            <w:tr w14:paraId="7D74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noWrap w:val="0"/>
                  <w:tcMar>
                    <w:top w:w="0" w:type="dxa"/>
                    <w:left w:w="17" w:type="dxa"/>
                    <w:bottom w:w="0" w:type="dxa"/>
                    <w:right w:w="17" w:type="dxa"/>
                  </w:tcMar>
                  <w:vAlign w:val="center"/>
                </w:tcPr>
                <w:p w14:paraId="3A36CFEA">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环境要素</w:t>
                  </w:r>
                </w:p>
              </w:tc>
              <w:tc>
                <w:tcPr>
                  <w:tcW w:w="789" w:type="pct"/>
                  <w:noWrap w:val="0"/>
                  <w:tcMar>
                    <w:top w:w="0" w:type="dxa"/>
                    <w:left w:w="17" w:type="dxa"/>
                    <w:bottom w:w="0" w:type="dxa"/>
                    <w:right w:w="17" w:type="dxa"/>
                  </w:tcMar>
                  <w:vAlign w:val="center"/>
                </w:tcPr>
                <w:p w14:paraId="16CCE90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评价范围</w:t>
                  </w:r>
                </w:p>
              </w:tc>
              <w:tc>
                <w:tcPr>
                  <w:tcW w:w="558" w:type="pct"/>
                  <w:noWrap w:val="0"/>
                  <w:tcMar>
                    <w:top w:w="0" w:type="dxa"/>
                    <w:left w:w="17" w:type="dxa"/>
                    <w:bottom w:w="0" w:type="dxa"/>
                    <w:right w:w="17" w:type="dxa"/>
                  </w:tcMar>
                  <w:vAlign w:val="center"/>
                </w:tcPr>
                <w:p w14:paraId="4DC9B56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名称</w:t>
                  </w:r>
                </w:p>
              </w:tc>
              <w:tc>
                <w:tcPr>
                  <w:tcW w:w="1241" w:type="pct"/>
                  <w:gridSpan w:val="3"/>
                  <w:shd w:val="clear" w:color="auto" w:fill="auto"/>
                  <w:noWrap w:val="0"/>
                  <w:tcMar>
                    <w:top w:w="0" w:type="dxa"/>
                    <w:left w:w="17" w:type="dxa"/>
                    <w:bottom w:w="0" w:type="dxa"/>
                    <w:right w:w="17" w:type="dxa"/>
                  </w:tcMar>
                  <w:vAlign w:val="center"/>
                </w:tcPr>
                <w:p w14:paraId="4D2035C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保护目标功能</w:t>
                  </w:r>
                </w:p>
              </w:tc>
              <w:tc>
                <w:tcPr>
                  <w:tcW w:w="2098" w:type="pct"/>
                  <w:gridSpan w:val="4"/>
                  <w:noWrap w:val="0"/>
                  <w:tcMar>
                    <w:top w:w="0" w:type="dxa"/>
                    <w:left w:w="17" w:type="dxa"/>
                    <w:bottom w:w="0" w:type="dxa"/>
                    <w:right w:w="17" w:type="dxa"/>
                  </w:tcMar>
                  <w:vAlign w:val="center"/>
                </w:tcPr>
                <w:p w14:paraId="48AD57E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保护要求</w:t>
                  </w:r>
                </w:p>
              </w:tc>
            </w:tr>
            <w:tr w14:paraId="78AC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noWrap w:val="0"/>
                  <w:tcMar>
                    <w:top w:w="0" w:type="dxa"/>
                    <w:left w:w="17" w:type="dxa"/>
                    <w:bottom w:w="0" w:type="dxa"/>
                    <w:right w:w="17" w:type="dxa"/>
                  </w:tcMar>
                  <w:vAlign w:val="center"/>
                </w:tcPr>
                <w:p w14:paraId="4E911DB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生态环境</w:t>
                  </w:r>
                </w:p>
              </w:tc>
              <w:tc>
                <w:tcPr>
                  <w:tcW w:w="789" w:type="pct"/>
                  <w:noWrap w:val="0"/>
                  <w:tcMar>
                    <w:top w:w="0" w:type="dxa"/>
                    <w:left w:w="17" w:type="dxa"/>
                    <w:bottom w:w="0" w:type="dxa"/>
                    <w:right w:w="17" w:type="dxa"/>
                  </w:tcMar>
                  <w:vAlign w:val="center"/>
                </w:tcPr>
                <w:p w14:paraId="357AA5E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架空</w:t>
                  </w:r>
                  <w:r>
                    <w:rPr>
                      <w:rFonts w:hint="default" w:ascii="Times New Roman" w:hAnsi="Times New Roman" w:eastAsia="宋体" w:cs="Times New Roman"/>
                      <w:bCs/>
                      <w:color w:val="000000" w:themeColor="text1"/>
                      <w:sz w:val="21"/>
                      <w:szCs w:val="21"/>
                      <w:highlight w:val="none"/>
                      <w14:textFill>
                        <w14:solidFill>
                          <w14:schemeClr w14:val="tx1"/>
                        </w14:solidFill>
                      </w14:textFill>
                    </w:rPr>
                    <w:t>线路边导线</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地面投影外</w:t>
                  </w:r>
                  <w:r>
                    <w:rPr>
                      <w:rFonts w:hint="default" w:ascii="Times New Roman" w:hAnsi="Times New Roman" w:eastAsia="宋体" w:cs="Times New Roman"/>
                      <w:bCs/>
                      <w:color w:val="000000" w:themeColor="text1"/>
                      <w:sz w:val="21"/>
                      <w:szCs w:val="21"/>
                      <w:highlight w:val="none"/>
                      <w14:textFill>
                        <w14:solidFill>
                          <w14:schemeClr w14:val="tx1"/>
                        </w14:solidFill>
                      </w14:textFill>
                    </w:rPr>
                    <w:t>两侧</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各300</w:t>
                  </w:r>
                  <w:r>
                    <w:rPr>
                      <w:rFonts w:hint="default" w:ascii="Times New Roman" w:hAnsi="Times New Roman" w:eastAsia="宋体" w:cs="Times New Roman"/>
                      <w:bCs/>
                      <w:color w:val="000000" w:themeColor="text1"/>
                      <w:sz w:val="21"/>
                      <w:szCs w:val="21"/>
                      <w:highlight w:val="none"/>
                      <w14:textFill>
                        <w14:solidFill>
                          <w14:schemeClr w14:val="tx1"/>
                        </w14:solidFill>
                      </w14:textFill>
                    </w:rPr>
                    <w:t>m带状</w:t>
                  </w:r>
                  <w:r>
                    <w:rPr>
                      <w:rFonts w:hint="eastAsia" w:cs="Times New Roman"/>
                      <w:bCs/>
                      <w:color w:val="000000" w:themeColor="text1"/>
                      <w:sz w:val="21"/>
                      <w:szCs w:val="21"/>
                      <w:highlight w:val="none"/>
                      <w:lang w:val="en-US" w:eastAsia="zh-CN"/>
                      <w14:textFill>
                        <w14:solidFill>
                          <w14:schemeClr w14:val="tx1"/>
                        </w14:solidFill>
                      </w14:textFill>
                    </w:rPr>
                    <w:t>区域</w:t>
                  </w:r>
                </w:p>
              </w:tc>
              <w:tc>
                <w:tcPr>
                  <w:tcW w:w="558" w:type="pct"/>
                  <w:noWrap w:val="0"/>
                  <w:tcMar>
                    <w:top w:w="0" w:type="dxa"/>
                    <w:left w:w="17" w:type="dxa"/>
                    <w:bottom w:w="0" w:type="dxa"/>
                    <w:right w:w="17" w:type="dxa"/>
                  </w:tcMar>
                  <w:vAlign w:val="center"/>
                </w:tcPr>
                <w:p w14:paraId="4D4E1D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燕山水源涵养-生物多样性维护</w:t>
                  </w:r>
                  <w:r>
                    <w:rPr>
                      <w:rFonts w:hint="eastAsia" w:eastAsia="宋体"/>
                      <w:color w:val="000000" w:themeColor="text1"/>
                      <w:highlight w:val="none"/>
                      <w:lang w:val="en-US" w:eastAsia="zh-CN"/>
                      <w14:textFill>
                        <w14:solidFill>
                          <w14:schemeClr w14:val="tx1"/>
                        </w14:solidFill>
                      </w14:textFill>
                    </w:rPr>
                    <w:t>生态保护红线</w:t>
                  </w:r>
                </w:p>
              </w:tc>
              <w:tc>
                <w:tcPr>
                  <w:tcW w:w="1241" w:type="pct"/>
                  <w:gridSpan w:val="3"/>
                  <w:shd w:val="clear" w:color="auto" w:fill="auto"/>
                  <w:noWrap w:val="0"/>
                  <w:tcMar>
                    <w:top w:w="0" w:type="dxa"/>
                    <w:left w:w="17" w:type="dxa"/>
                    <w:bottom w:w="0" w:type="dxa"/>
                    <w:right w:w="17" w:type="dxa"/>
                  </w:tcMar>
                  <w:vAlign w:val="center"/>
                </w:tcPr>
                <w:p w14:paraId="43037D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水源涵养与生物多样性维护</w:t>
                  </w:r>
                </w:p>
              </w:tc>
              <w:tc>
                <w:tcPr>
                  <w:tcW w:w="2098" w:type="pct"/>
                  <w:gridSpan w:val="4"/>
                  <w:noWrap w:val="0"/>
                  <w:tcMar>
                    <w:top w:w="0" w:type="dxa"/>
                    <w:left w:w="17" w:type="dxa"/>
                    <w:bottom w:w="0" w:type="dxa"/>
                    <w:right w:w="17" w:type="dxa"/>
                  </w:tcMar>
                  <w:vAlign w:val="center"/>
                </w:tcPr>
                <w:p w14:paraId="51C5065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区域生态环境功能不降低</w:t>
                  </w:r>
                </w:p>
              </w:tc>
            </w:tr>
          </w:tbl>
          <w:p w14:paraId="47BE1297">
            <w:pPr>
              <w:keepNext w:val="0"/>
              <w:keepLines w:val="0"/>
              <w:pageBreakBefore w:val="0"/>
              <w:widowControl w:val="0"/>
              <w:numPr>
                <w:ilvl w:val="0"/>
                <w:numId w:val="0"/>
              </w:numPr>
              <w:kinsoku/>
              <w:wordWrap/>
              <w:overflowPunct/>
              <w:topLinePunct w:val="0"/>
              <w:autoSpaceDE w:val="0"/>
              <w:autoSpaceDN w:val="0"/>
              <w:bidi w:val="0"/>
              <w:adjustRightInd w:val="0"/>
              <w:spacing w:line="440" w:lineRule="exact"/>
              <w:ind w:leftChars="200"/>
              <w:textAlignment w:val="auto"/>
              <w:rPr>
                <w:rFonts w:hint="eastAsia"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3、环境保护目标照片</w:t>
            </w:r>
          </w:p>
          <w:p w14:paraId="7E432CD3">
            <w:pPr>
              <w:keepNext w:val="0"/>
              <w:keepLines w:val="0"/>
              <w:pageBreakBefore w:val="0"/>
              <w:widowControl w:val="0"/>
              <w:numPr>
                <w:ilvl w:val="0"/>
                <w:numId w:val="0"/>
              </w:numPr>
              <w:kinsoku/>
              <w:wordWrap/>
              <w:overflowPunct/>
              <w:topLinePunct w:val="0"/>
              <w:autoSpaceDE w:val="0"/>
              <w:autoSpaceDN w:val="0"/>
              <w:bidi w:val="0"/>
              <w:adjustRightInd w:val="0"/>
              <w:spacing w:line="440" w:lineRule="exact"/>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b/>
                <w:color w:val="000000" w:themeColor="text1"/>
                <w:sz w:val="21"/>
                <w:szCs w:val="21"/>
                <w:highlight w:val="none"/>
                <w14:textFill>
                  <w14:solidFill>
                    <w14:schemeClr w14:val="tx1"/>
                  </w14:solidFill>
                </w14:textFill>
              </w:rPr>
              <w:t>表3</w:t>
            </w:r>
            <w:r>
              <w:rPr>
                <w:rFonts w:hint="eastAsia"/>
                <w:b/>
                <w:color w:val="000000" w:themeColor="text1"/>
                <w:sz w:val="21"/>
                <w:szCs w:val="21"/>
                <w:highlight w:val="none"/>
                <w14:textFill>
                  <w14:solidFill>
                    <w14:schemeClr w14:val="tx1"/>
                  </w14:solidFill>
                </w14:textFill>
              </w:rPr>
              <w:t>-</w:t>
            </w:r>
            <w:r>
              <w:rPr>
                <w:rFonts w:hint="eastAsia"/>
                <w:b/>
                <w:color w:val="000000" w:themeColor="text1"/>
                <w:sz w:val="21"/>
                <w:szCs w:val="21"/>
                <w:highlight w:val="none"/>
                <w:lang w:val="en-US" w:eastAsia="zh-CN"/>
                <w14:textFill>
                  <w14:solidFill>
                    <w14:schemeClr w14:val="tx1"/>
                  </w14:solidFill>
                </w14:textFill>
              </w:rPr>
              <w:t>6</w:t>
            </w:r>
            <w:r>
              <w:rPr>
                <w:b/>
                <w:color w:val="000000" w:themeColor="text1"/>
                <w:sz w:val="21"/>
                <w:szCs w:val="21"/>
                <w:highlight w:val="none"/>
                <w14:textFill>
                  <w14:solidFill>
                    <w14:schemeClr w14:val="tx1"/>
                  </w14:solidFill>
                </w14:textFill>
              </w:rPr>
              <w:t xml:space="preserve">  </w:t>
            </w:r>
            <w:r>
              <w:rPr>
                <w:rFonts w:hint="eastAsia"/>
                <w:b/>
                <w:color w:val="000000" w:themeColor="text1"/>
                <w:sz w:val="21"/>
                <w:szCs w:val="21"/>
                <w:highlight w:val="none"/>
                <w:lang w:val="en-US" w:eastAsia="zh-CN"/>
                <w14:textFill>
                  <w14:solidFill>
                    <w14:schemeClr w14:val="tx1"/>
                  </w14:solidFill>
                </w14:textFill>
              </w:rPr>
              <w:t>电磁环境与声</w:t>
            </w:r>
            <w:r>
              <w:rPr>
                <w:b/>
                <w:color w:val="000000" w:themeColor="text1"/>
                <w:sz w:val="21"/>
                <w:szCs w:val="21"/>
                <w:highlight w:val="none"/>
                <w14:textFill>
                  <w14:solidFill>
                    <w14:schemeClr w14:val="tx1"/>
                  </w14:solidFill>
                </w14:textFill>
              </w:rPr>
              <w:t>环境保护目标</w:t>
            </w:r>
            <w:r>
              <w:rPr>
                <w:rFonts w:hint="eastAsia"/>
                <w:b/>
                <w:color w:val="000000" w:themeColor="text1"/>
                <w:sz w:val="21"/>
                <w:szCs w:val="21"/>
                <w:highlight w:val="none"/>
                <w:lang w:val="en-US" w:eastAsia="zh-CN"/>
                <w14:textFill>
                  <w14:solidFill>
                    <w14:schemeClr w14:val="tx1"/>
                  </w14:solidFill>
                </w14:textFill>
              </w:rPr>
              <w:t>现状照片</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3010"/>
              <w:gridCol w:w="3998"/>
            </w:tblGrid>
            <w:tr w14:paraId="4687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Align w:val="center"/>
                </w:tcPr>
                <w:p w14:paraId="54119B1B">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名称</w:t>
                  </w:r>
                </w:p>
              </w:tc>
              <w:tc>
                <w:tcPr>
                  <w:tcW w:w="1879" w:type="pct"/>
                  <w:vAlign w:val="center"/>
                </w:tcPr>
                <w:p w14:paraId="3E6925FE">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卫图</w:t>
                  </w:r>
                </w:p>
              </w:tc>
              <w:tc>
                <w:tcPr>
                  <w:tcW w:w="2495" w:type="pct"/>
                  <w:vAlign w:val="center"/>
                </w:tcPr>
                <w:p w14:paraId="1B784F8A">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现状照片</w:t>
                  </w:r>
                </w:p>
              </w:tc>
            </w:tr>
            <w:tr w14:paraId="2860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624" w:type="pct"/>
                  <w:tcMar>
                    <w:top w:w="0" w:type="dxa"/>
                    <w:left w:w="51" w:type="dxa"/>
                    <w:bottom w:w="0" w:type="dxa"/>
                    <w:right w:w="51" w:type="dxa"/>
                  </w:tcMar>
                  <w:vAlign w:val="center"/>
                </w:tcPr>
                <w:p w14:paraId="390DCB45">
                  <w:pPr>
                    <w:keepNext w:val="0"/>
                    <w:keepLines w:val="0"/>
                    <w:pageBreakBefore w:val="0"/>
                    <w:widowControl w:val="0"/>
                    <w:kinsoku/>
                    <w:wordWrap/>
                    <w:overflowPunct/>
                    <w:topLinePunct w:val="0"/>
                    <w:autoSpaceDE w:val="0"/>
                    <w:autoSpaceDN w:val="0"/>
                    <w:bidi w:val="0"/>
                    <w:adjustRightInd w:val="0"/>
                    <w:spacing w:line="44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四把伙村</w:t>
                  </w:r>
                </w:p>
              </w:tc>
              <w:tc>
                <w:tcPr>
                  <w:tcW w:w="1879" w:type="pct"/>
                  <w:vAlign w:val="center"/>
                </w:tcPr>
                <w:p w14:paraId="0ED995B4">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drawing>
                      <wp:inline distT="0" distB="0" distL="114300" distR="114300">
                        <wp:extent cx="1725930" cy="1434465"/>
                        <wp:effectExtent l="0" t="0" r="7620" b="13335"/>
                        <wp:docPr id="20" name="图片 20" descr="174227858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2278589661(1)"/>
                                <pic:cNvPicPr>
                                  <a:picLocks noChangeAspect="1"/>
                                </pic:cNvPicPr>
                              </pic:nvPicPr>
                              <pic:blipFill>
                                <a:blip r:embed="rId17"/>
                                <a:stretch>
                                  <a:fillRect/>
                                </a:stretch>
                              </pic:blipFill>
                              <pic:spPr>
                                <a:xfrm>
                                  <a:off x="0" y="0"/>
                                  <a:ext cx="1725930" cy="1434465"/>
                                </a:xfrm>
                                <a:prstGeom prst="rect">
                                  <a:avLst/>
                                </a:prstGeom>
                              </pic:spPr>
                            </pic:pic>
                          </a:graphicData>
                        </a:graphic>
                      </wp:inline>
                    </w:drawing>
                  </w:r>
                </w:p>
              </w:tc>
              <w:tc>
                <w:tcPr>
                  <w:tcW w:w="2495" w:type="pct"/>
                  <w:vAlign w:val="center"/>
                </w:tcPr>
                <w:p w14:paraId="52394494">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drawing>
                      <wp:inline distT="0" distB="0" distL="114300" distR="114300">
                        <wp:extent cx="2389505" cy="1344295"/>
                        <wp:effectExtent l="0" t="0" r="10795" b="8255"/>
                        <wp:docPr id="10" name="图片 10" desc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02"/>
                                <pic:cNvPicPr>
                                  <a:picLocks noChangeAspect="1"/>
                                </pic:cNvPicPr>
                              </pic:nvPicPr>
                              <pic:blipFill>
                                <a:blip r:embed="rId18"/>
                                <a:stretch>
                                  <a:fillRect/>
                                </a:stretch>
                              </pic:blipFill>
                              <pic:spPr>
                                <a:xfrm>
                                  <a:off x="0" y="0"/>
                                  <a:ext cx="2389505" cy="1344295"/>
                                </a:xfrm>
                                <a:prstGeom prst="rect">
                                  <a:avLst/>
                                </a:prstGeom>
                              </pic:spPr>
                            </pic:pic>
                          </a:graphicData>
                        </a:graphic>
                      </wp:inline>
                    </w:drawing>
                  </w:r>
                </w:p>
              </w:tc>
            </w:tr>
            <w:tr w14:paraId="3C8C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624" w:type="pct"/>
                  <w:tcMar>
                    <w:top w:w="0" w:type="dxa"/>
                    <w:left w:w="51" w:type="dxa"/>
                    <w:bottom w:w="0" w:type="dxa"/>
                    <w:right w:w="51" w:type="dxa"/>
                  </w:tcMar>
                  <w:vAlign w:val="center"/>
                </w:tcPr>
                <w:p w14:paraId="3F36FCB8">
                  <w:pPr>
                    <w:keepNext w:val="0"/>
                    <w:keepLines w:val="0"/>
                    <w:pageBreakBefore w:val="0"/>
                    <w:widowControl w:val="0"/>
                    <w:kinsoku/>
                    <w:wordWrap/>
                    <w:overflowPunct/>
                    <w:topLinePunct w:val="0"/>
                    <w:autoSpaceDE w:val="0"/>
                    <w:autoSpaceDN w:val="0"/>
                    <w:bidi w:val="0"/>
                    <w:adjustRightInd w:val="0"/>
                    <w:spacing w:line="44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下常乐店</w:t>
                  </w:r>
                </w:p>
              </w:tc>
              <w:tc>
                <w:tcPr>
                  <w:tcW w:w="1879" w:type="pct"/>
                  <w:vAlign w:val="center"/>
                </w:tcPr>
                <w:p w14:paraId="63D7DB93">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drawing>
                      <wp:inline distT="0" distB="0" distL="114300" distR="114300">
                        <wp:extent cx="1791335" cy="1424305"/>
                        <wp:effectExtent l="0" t="0" r="18415" b="4445"/>
                        <wp:docPr id="8" name="图片 8" descr="174280067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2800673020"/>
                                <pic:cNvPicPr>
                                  <a:picLocks noChangeAspect="1"/>
                                </pic:cNvPicPr>
                              </pic:nvPicPr>
                              <pic:blipFill>
                                <a:blip r:embed="rId19"/>
                                <a:stretch>
                                  <a:fillRect/>
                                </a:stretch>
                              </pic:blipFill>
                              <pic:spPr>
                                <a:xfrm>
                                  <a:off x="0" y="0"/>
                                  <a:ext cx="1791335" cy="1424305"/>
                                </a:xfrm>
                                <a:prstGeom prst="rect">
                                  <a:avLst/>
                                </a:prstGeom>
                              </pic:spPr>
                            </pic:pic>
                          </a:graphicData>
                        </a:graphic>
                      </wp:inline>
                    </w:drawing>
                  </w:r>
                </w:p>
              </w:tc>
              <w:tc>
                <w:tcPr>
                  <w:tcW w:w="2495" w:type="pct"/>
                  <w:vAlign w:val="center"/>
                </w:tcPr>
                <w:p w14:paraId="491CF048">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drawing>
                      <wp:inline distT="0" distB="0" distL="114300" distR="114300">
                        <wp:extent cx="2389505" cy="1344295"/>
                        <wp:effectExtent l="0" t="0" r="10795" b="8255"/>
                        <wp:docPr id="11" name="图片 11" descr="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48-"/>
                                <pic:cNvPicPr>
                                  <a:picLocks noChangeAspect="1"/>
                                </pic:cNvPicPr>
                              </pic:nvPicPr>
                              <pic:blipFill>
                                <a:blip r:embed="rId20"/>
                                <a:stretch>
                                  <a:fillRect/>
                                </a:stretch>
                              </pic:blipFill>
                              <pic:spPr>
                                <a:xfrm>
                                  <a:off x="0" y="0"/>
                                  <a:ext cx="2389505" cy="1344295"/>
                                </a:xfrm>
                                <a:prstGeom prst="rect">
                                  <a:avLst/>
                                </a:prstGeom>
                              </pic:spPr>
                            </pic:pic>
                          </a:graphicData>
                        </a:graphic>
                      </wp:inline>
                    </w:drawing>
                  </w:r>
                </w:p>
              </w:tc>
            </w:tr>
          </w:tbl>
          <w:p w14:paraId="241D587B">
            <w:pPr>
              <w:keepNext w:val="0"/>
              <w:keepLines w:val="0"/>
              <w:pageBreakBefore w:val="0"/>
              <w:widowControl w:val="0"/>
              <w:kinsoku/>
              <w:wordWrap/>
              <w:overflowPunct/>
              <w:topLinePunct w:val="0"/>
              <w:autoSpaceDE w:val="0"/>
              <w:autoSpaceDN w:val="0"/>
              <w:bidi w:val="0"/>
              <w:adjustRightInd w:val="0"/>
              <w:spacing w:line="440" w:lineRule="exact"/>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p>
          <w:p w14:paraId="3DBFB939">
            <w:pPr>
              <w:keepNext w:val="0"/>
              <w:keepLines w:val="0"/>
              <w:pageBreakBefore w:val="0"/>
              <w:widowControl w:val="0"/>
              <w:kinsoku/>
              <w:wordWrap/>
              <w:overflowPunct/>
              <w:topLinePunct w:val="0"/>
              <w:autoSpaceDE w:val="0"/>
              <w:autoSpaceDN w:val="0"/>
              <w:bidi w:val="0"/>
              <w:adjustRightInd w:val="0"/>
              <w:spacing w:line="440" w:lineRule="exact"/>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p>
          <w:p w14:paraId="39325CCD">
            <w:pPr>
              <w:keepNext w:val="0"/>
              <w:keepLines w:val="0"/>
              <w:pageBreakBefore w:val="0"/>
              <w:widowControl w:val="0"/>
              <w:kinsoku/>
              <w:wordWrap/>
              <w:overflowPunct/>
              <w:topLinePunct w:val="0"/>
              <w:autoSpaceDE w:val="0"/>
              <w:autoSpaceDN w:val="0"/>
              <w:bidi w:val="0"/>
              <w:adjustRightInd w:val="0"/>
              <w:spacing w:line="440" w:lineRule="exact"/>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eastAsia" w:cs="Times New Roman"/>
                <w:b/>
                <w:bCs/>
                <w:color w:val="000000" w:themeColor="text1"/>
                <w:sz w:val="21"/>
                <w:szCs w:val="21"/>
                <w:highlight w:val="none"/>
                <w:lang w:val="en-US" w:eastAsia="zh-CN"/>
                <w14:textFill>
                  <w14:solidFill>
                    <w14:schemeClr w14:val="tx1"/>
                  </w14:solidFill>
                </w14:textFill>
              </w:rPr>
              <w:t>7  项目与生态保护红线位置关系</w:t>
            </w:r>
          </w:p>
          <w:tbl>
            <w:tblPr>
              <w:tblStyle w:val="35"/>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377"/>
            </w:tblGrid>
            <w:tr w14:paraId="574E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Mar>
                    <w:top w:w="0" w:type="dxa"/>
                    <w:left w:w="28" w:type="dxa"/>
                    <w:bottom w:w="0" w:type="dxa"/>
                    <w:right w:w="28" w:type="dxa"/>
                  </w:tcMar>
                  <w:vAlign w:val="center"/>
                </w:tcPr>
                <w:p w14:paraId="3145FD88">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保护目标名称</w:t>
                  </w:r>
                </w:p>
              </w:tc>
              <w:tc>
                <w:tcPr>
                  <w:tcW w:w="7377" w:type="dxa"/>
                  <w:tcMar>
                    <w:top w:w="0" w:type="dxa"/>
                    <w:left w:w="28" w:type="dxa"/>
                    <w:bottom w:w="0" w:type="dxa"/>
                    <w:right w:w="28" w:type="dxa"/>
                  </w:tcMar>
                  <w:vAlign w:val="center"/>
                </w:tcPr>
                <w:p w14:paraId="027E2F2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21"/>
                      <w:szCs w:val="21"/>
                      <w:highlight w:val="none"/>
                      <w:vertAlign w:val="baseline"/>
                      <w:lang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线路与生态保护红线位置关系示意图</w:t>
                  </w:r>
                </w:p>
              </w:tc>
            </w:tr>
            <w:tr w14:paraId="3EC4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14:paraId="0817F76D">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生态保护红线</w:t>
                  </w:r>
                </w:p>
              </w:tc>
              <w:tc>
                <w:tcPr>
                  <w:tcW w:w="7377" w:type="dxa"/>
                  <w:vAlign w:val="center"/>
                </w:tcPr>
                <w:p w14:paraId="664CBC9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21"/>
                      <w:szCs w:val="21"/>
                      <w:highlight w:val="none"/>
                      <w:vertAlign w:val="baseli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4491990" cy="2389505"/>
                        <wp:effectExtent l="0" t="0" r="3810" b="10795"/>
                        <wp:docPr id="13" name="图片 13" descr="174314471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3144714793"/>
                                <pic:cNvPicPr>
                                  <a:picLocks noChangeAspect="1"/>
                                </pic:cNvPicPr>
                              </pic:nvPicPr>
                              <pic:blipFill>
                                <a:blip r:embed="rId21"/>
                                <a:stretch>
                                  <a:fillRect/>
                                </a:stretch>
                              </pic:blipFill>
                              <pic:spPr>
                                <a:xfrm>
                                  <a:off x="0" y="0"/>
                                  <a:ext cx="4491990" cy="2389505"/>
                                </a:xfrm>
                                <a:prstGeom prst="rect">
                                  <a:avLst/>
                                </a:prstGeom>
                              </pic:spPr>
                            </pic:pic>
                          </a:graphicData>
                        </a:graphic>
                      </wp:inline>
                    </w:drawing>
                  </w:r>
                </w:p>
              </w:tc>
            </w:tr>
          </w:tbl>
          <w:p w14:paraId="3DF17FE2">
            <w:pPr>
              <w:jc w:val="center"/>
              <w:rPr>
                <w:color w:val="000000" w:themeColor="text1"/>
                <w:sz w:val="10"/>
                <w:szCs w:val="10"/>
                <w:highlight w:val="none"/>
                <w14:textFill>
                  <w14:solidFill>
                    <w14:schemeClr w14:val="tx1"/>
                  </w14:solidFill>
                </w14:textFill>
              </w:rPr>
            </w:pPr>
          </w:p>
        </w:tc>
      </w:tr>
      <w:tr w14:paraId="605E3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noWrap w:val="0"/>
            <w:tcMar>
              <w:top w:w="0" w:type="dxa"/>
              <w:left w:w="51" w:type="dxa"/>
              <w:bottom w:w="0" w:type="dxa"/>
              <w:right w:w="51" w:type="dxa"/>
            </w:tcMar>
            <w:vAlign w:val="center"/>
          </w:tcPr>
          <w:p w14:paraId="08ECEB9A">
            <w:pPr>
              <w:adjustRightInd w:val="0"/>
              <w:snapToGrid w:val="0"/>
              <w:jc w:val="center"/>
              <w:rPr>
                <w:rFonts w:ascii="宋体" w:hAnsi="宋体" w:cs="宋体"/>
                <w:b/>
                <w:bCs/>
                <w:color w:val="000000" w:themeColor="text1"/>
                <w:kern w:val="0"/>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评价标准</w:t>
            </w:r>
          </w:p>
        </w:tc>
        <w:tc>
          <w:tcPr>
            <w:tcW w:w="4684" w:type="pct"/>
            <w:noWrap w:val="0"/>
            <w:vAlign w:val="center"/>
          </w:tcPr>
          <w:p w14:paraId="6D966329">
            <w:pPr>
              <w:adjustRightInd w:val="0"/>
              <w:snapToGrid w:val="0"/>
              <w:spacing w:line="420" w:lineRule="exact"/>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1</w:t>
            </w:r>
            <w:r>
              <w:rPr>
                <w:b/>
                <w:bCs/>
                <w:color w:val="000000" w:themeColor="text1"/>
                <w:sz w:val="24"/>
                <w:highlight w:val="none"/>
                <w14:textFill>
                  <w14:solidFill>
                    <w14:schemeClr w14:val="tx1"/>
                  </w14:solidFill>
                </w14:textFill>
              </w:rPr>
              <w:t>、环境质量标准</w:t>
            </w:r>
          </w:p>
          <w:p w14:paraId="24FCE7BA">
            <w:pPr>
              <w:spacing w:line="460" w:lineRule="exact"/>
              <w:ind w:firstLine="48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（1）</w:t>
            </w:r>
            <w:r>
              <w:rPr>
                <w:rFonts w:hint="eastAsia" w:ascii="Times New Roman" w:hAnsi="Times New Roman" w:cs="Times New Roman"/>
                <w:color w:val="000000" w:themeColor="text1"/>
                <w:sz w:val="24"/>
                <w:highlight w:val="none"/>
                <w14:textFill>
                  <w14:solidFill>
                    <w14:schemeClr w14:val="tx1"/>
                  </w14:solidFill>
                </w14:textFill>
              </w:rPr>
              <w:t>电磁环境</w:t>
            </w:r>
            <w:r>
              <w:rPr>
                <w:rFonts w:hint="eastAsia" w:cs="Times New Roman"/>
                <w:color w:val="000000" w:themeColor="text1"/>
                <w:sz w:val="24"/>
                <w:highlight w:val="none"/>
                <w:lang w:val="en-US" w:eastAsia="zh-CN"/>
                <w14:textFill>
                  <w14:solidFill>
                    <w14:schemeClr w14:val="tx1"/>
                  </w14:solidFill>
                </w14:textFill>
              </w:rPr>
              <w:t>质量标准</w:t>
            </w:r>
          </w:p>
          <w:p w14:paraId="24FA81AB">
            <w:pPr>
              <w:spacing w:line="460" w:lineRule="exact"/>
              <w:ind w:firstLine="48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工频电场强度、工频磁场强度执行《电磁环境控制限值》（GB8702-2014）中的4kV/m和100μT的标准限值。</w:t>
            </w:r>
          </w:p>
          <w:p w14:paraId="0861DDBE">
            <w:pPr>
              <w:adjustRightInd w:val="0"/>
              <w:snapToGrid w:val="0"/>
              <w:spacing w:line="420" w:lineRule="exact"/>
              <w:ind w:firstLine="480" w:firstLineChars="200"/>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环境空气质量标准</w:t>
            </w:r>
          </w:p>
          <w:p w14:paraId="741046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区域大气环境执行《环境空气质量标准》（GB3095-2012及修改单）二级标准</w:t>
            </w:r>
            <w:r>
              <w:rPr>
                <w:rFonts w:hint="eastAsia"/>
                <w:color w:val="000000" w:themeColor="text1"/>
                <w:sz w:val="24"/>
                <w:highlight w:val="none"/>
                <w:lang w:val="en-US" w:eastAsia="zh-CN"/>
                <w14:textFill>
                  <w14:solidFill>
                    <w14:schemeClr w14:val="tx1"/>
                  </w14:solidFill>
                </w14:textFill>
              </w:rPr>
              <w:t>及其修改单</w:t>
            </w:r>
            <w:r>
              <w:rPr>
                <w:color w:val="000000" w:themeColor="text1"/>
                <w:sz w:val="24"/>
                <w:highlight w:val="none"/>
                <w14:textFill>
                  <w14:solidFill>
                    <w14:schemeClr w14:val="tx1"/>
                  </w14:solidFill>
                </w14:textFill>
              </w:rPr>
              <w:t>。</w:t>
            </w:r>
          </w:p>
          <w:p w14:paraId="3B1EE8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8</w:t>
            </w:r>
            <w:r>
              <w:rPr>
                <w:b/>
                <w:bCs/>
                <w:color w:val="000000" w:themeColor="text1"/>
                <w:sz w:val="21"/>
                <w:szCs w:val="21"/>
                <w:highlight w:val="none"/>
                <w14:textFill>
                  <w14:solidFill>
                    <w14:schemeClr w14:val="tx1"/>
                  </w14:solidFill>
                </w14:textFill>
              </w:rPr>
              <w:t xml:space="preserve">  环境空气质量标准</w:t>
            </w:r>
          </w:p>
          <w:tbl>
            <w:tblPr>
              <w:tblStyle w:val="34"/>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1"/>
              <w:gridCol w:w="1374"/>
              <w:gridCol w:w="1714"/>
              <w:gridCol w:w="1275"/>
              <w:gridCol w:w="2804"/>
            </w:tblGrid>
            <w:tr w14:paraId="37DD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3" w:type="pct"/>
                  <w:noWrap w:val="0"/>
                  <w:vAlign w:val="center"/>
                </w:tcPr>
                <w:p w14:paraId="2E17EE9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p>
              </w:tc>
              <w:tc>
                <w:tcPr>
                  <w:tcW w:w="852" w:type="pct"/>
                  <w:noWrap w:val="0"/>
                  <w:vAlign w:val="center"/>
                </w:tcPr>
                <w:p w14:paraId="62CE87E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污染物名称</w:t>
                  </w:r>
                </w:p>
              </w:tc>
              <w:tc>
                <w:tcPr>
                  <w:tcW w:w="1063" w:type="pct"/>
                  <w:noWrap w:val="0"/>
                  <w:vAlign w:val="center"/>
                </w:tcPr>
                <w:p w14:paraId="651FE9A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取值时间</w:t>
                  </w:r>
                </w:p>
              </w:tc>
              <w:tc>
                <w:tcPr>
                  <w:tcW w:w="791" w:type="pct"/>
                  <w:noWrap w:val="0"/>
                  <w:vAlign w:val="center"/>
                </w:tcPr>
                <w:p w14:paraId="2578DE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浓度限值</w:t>
                  </w:r>
                </w:p>
              </w:tc>
              <w:tc>
                <w:tcPr>
                  <w:tcW w:w="1739" w:type="pct"/>
                  <w:noWrap w:val="0"/>
                  <w:vAlign w:val="center"/>
                </w:tcPr>
                <w:p w14:paraId="6835C8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来源</w:t>
                  </w:r>
                </w:p>
              </w:tc>
            </w:tr>
            <w:tr w14:paraId="727B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3" w:type="pct"/>
                  <w:vMerge w:val="restart"/>
                  <w:noWrap w:val="0"/>
                  <w:vAlign w:val="center"/>
                </w:tcPr>
                <w:p w14:paraId="294044D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w:t>
                  </w:r>
                </w:p>
              </w:tc>
              <w:tc>
                <w:tcPr>
                  <w:tcW w:w="852" w:type="pct"/>
                  <w:noWrap w:val="0"/>
                  <w:vAlign w:val="center"/>
                </w:tcPr>
                <w:p w14:paraId="7A0E201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063" w:type="pct"/>
                  <w:noWrap w:val="0"/>
                  <w:vAlign w:val="center"/>
                </w:tcPr>
                <w:p w14:paraId="53D22C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14:paraId="7F01510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p w14:paraId="51002F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14:paraId="7251193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2B32E01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7097BE6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restart"/>
                  <w:noWrap w:val="0"/>
                  <w:vAlign w:val="center"/>
                </w:tcPr>
                <w:p w14:paraId="6E5C4C5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《环境空气质量标准》（GB3095-2012）二级标准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及其修改单</w:t>
                  </w:r>
                </w:p>
              </w:tc>
            </w:tr>
            <w:tr w14:paraId="0137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3" w:type="pct"/>
                  <w:vMerge w:val="continue"/>
                  <w:noWrap w:val="0"/>
                  <w:vAlign w:val="center"/>
                </w:tcPr>
                <w:p w14:paraId="3E52CE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14:paraId="21AA238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063" w:type="pct"/>
                  <w:noWrap w:val="0"/>
                  <w:vAlign w:val="center"/>
                </w:tcPr>
                <w:p w14:paraId="12F201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14:paraId="430F775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p w14:paraId="76748B2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14:paraId="315682A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5C29615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5CAD1F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14:paraId="407BA9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A32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3" w:type="pct"/>
                  <w:vMerge w:val="continue"/>
                  <w:noWrap w:val="0"/>
                  <w:vAlign w:val="center"/>
                </w:tcPr>
                <w:p w14:paraId="2B74E40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14:paraId="59A1011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063" w:type="pct"/>
                  <w:noWrap w:val="0"/>
                  <w:vAlign w:val="center"/>
                </w:tcPr>
                <w:p w14:paraId="5BCB370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14:paraId="16D31D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tc>
              <w:tc>
                <w:tcPr>
                  <w:tcW w:w="791" w:type="pct"/>
                  <w:noWrap w:val="0"/>
                  <w:vAlign w:val="center"/>
                </w:tcPr>
                <w:p w14:paraId="6526F38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7835691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14:paraId="44B29EB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182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3" w:type="pct"/>
                  <w:vMerge w:val="continue"/>
                  <w:noWrap w:val="0"/>
                  <w:vAlign w:val="center"/>
                </w:tcPr>
                <w:p w14:paraId="63C0DD8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14:paraId="5A29C73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063" w:type="pct"/>
                  <w:noWrap w:val="0"/>
                  <w:vAlign w:val="center"/>
                </w:tcPr>
                <w:p w14:paraId="1E040B3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14:paraId="29CAA6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tc>
              <w:tc>
                <w:tcPr>
                  <w:tcW w:w="791" w:type="pct"/>
                  <w:noWrap w:val="0"/>
                  <w:vAlign w:val="center"/>
                </w:tcPr>
                <w:p w14:paraId="1646AB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28E7C0A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14:paraId="57F6E83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EFB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3" w:type="pct"/>
                  <w:vMerge w:val="continue"/>
                  <w:noWrap w:val="0"/>
                  <w:vAlign w:val="center"/>
                </w:tcPr>
                <w:p w14:paraId="4773B26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14:paraId="16621A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063" w:type="pct"/>
                  <w:noWrap w:val="0"/>
                  <w:vAlign w:val="center"/>
                </w:tcPr>
                <w:p w14:paraId="47F9C1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p w14:paraId="54CB7D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14:paraId="423905D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5F79F24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14:paraId="3BDE24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DE4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3" w:type="pct"/>
                  <w:vMerge w:val="continue"/>
                  <w:noWrap w:val="0"/>
                  <w:vAlign w:val="center"/>
                </w:tcPr>
                <w:p w14:paraId="24F27C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14:paraId="1DF09B8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063" w:type="pct"/>
                  <w:noWrap w:val="0"/>
                  <w:vAlign w:val="center"/>
                </w:tcPr>
                <w:p w14:paraId="42AE748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日最大8小时平均</w:t>
                  </w:r>
                </w:p>
                <w:p w14:paraId="4E0D49F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14:paraId="4B0502D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14:paraId="4DEAF12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14:paraId="497F06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150923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声环境质量标准</w:t>
            </w:r>
          </w:p>
          <w:p w14:paraId="584B4C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区域</w:t>
            </w:r>
            <w:r>
              <w:rPr>
                <w:color w:val="000000" w:themeColor="text1"/>
                <w:sz w:val="24"/>
                <w:highlight w:val="none"/>
                <w14:textFill>
                  <w14:solidFill>
                    <w14:schemeClr w14:val="tx1"/>
                  </w14:solidFill>
                </w14:textFill>
              </w:rPr>
              <w:t>声环境执行《声环境质量标准》（GB3096-2008</w:t>
            </w:r>
            <w:r>
              <w:rPr>
                <w:rFonts w:hint="eastAsia"/>
                <w:color w:val="000000" w:themeColor="text1"/>
                <w:sz w:val="24"/>
                <w:highlight w:val="none"/>
                <w:lang w:val="en-US" w:eastAsia="zh-CN"/>
                <w14:textFill>
                  <w14:solidFill>
                    <w14:schemeClr w14:val="tx1"/>
                  </w14:solidFill>
                </w14:textFill>
              </w:rPr>
              <w:t>相应功能区</w:t>
            </w:r>
            <w:r>
              <w:rPr>
                <w:color w:val="000000" w:themeColor="text1"/>
                <w:sz w:val="24"/>
                <w:highlight w:val="none"/>
                <w14:textFill>
                  <w14:solidFill>
                    <w14:schemeClr w14:val="tx1"/>
                  </w14:solidFill>
                </w14:textFill>
              </w:rPr>
              <w:t>标准</w:t>
            </w:r>
            <w:r>
              <w:rPr>
                <w:rFonts w:hint="eastAsia"/>
                <w:color w:val="000000" w:themeColor="text1"/>
                <w:sz w:val="24"/>
                <w:highlight w:val="none"/>
                <w:lang w:val="en-US" w:eastAsia="zh-CN"/>
                <w14:textFill>
                  <w14:solidFill>
                    <w14:schemeClr w14:val="tx1"/>
                  </w14:solidFill>
                </w14:textFill>
              </w:rPr>
              <w:t>要求，线路跨越G111国道两侧50m范围内执行4a类功能区标准，其余一般区域执行1类功能区标准</w:t>
            </w:r>
            <w:r>
              <w:rPr>
                <w:color w:val="000000" w:themeColor="text1"/>
                <w:sz w:val="24"/>
                <w:highlight w:val="none"/>
                <w14:textFill>
                  <w14:solidFill>
                    <w14:schemeClr w14:val="tx1"/>
                  </w14:solidFill>
                </w14:textFill>
              </w:rPr>
              <w:t>。</w:t>
            </w:r>
          </w:p>
          <w:p w14:paraId="320E64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9</w:t>
            </w:r>
            <w:r>
              <w:rPr>
                <w:b/>
                <w:bCs/>
                <w:color w:val="000000" w:themeColor="text1"/>
                <w:sz w:val="21"/>
                <w:szCs w:val="21"/>
                <w:highlight w:val="none"/>
                <w14:textFill>
                  <w14:solidFill>
                    <w14:schemeClr w14:val="tx1"/>
                  </w14:solidFill>
                </w14:textFill>
              </w:rPr>
              <w:t xml:space="preserve">  声环境质量标准</w:t>
            </w:r>
            <w:r>
              <w:rPr>
                <w:rFonts w:hint="eastAsia"/>
                <w:b/>
                <w:bCs/>
                <w:color w:val="000000" w:themeColor="text1"/>
                <w:sz w:val="21"/>
                <w:szCs w:val="21"/>
                <w:highlight w:val="none"/>
                <w:lang w:val="en-US" w:eastAsia="zh-CN"/>
                <w14:textFill>
                  <w14:solidFill>
                    <w14:schemeClr w14:val="tx1"/>
                  </w14:solidFill>
                </w14:textFill>
              </w:rPr>
              <w:t xml:space="preserve">    单位：</w:t>
            </w:r>
            <w:r>
              <w:rPr>
                <w:b/>
                <w:bCs/>
                <w:color w:val="000000" w:themeColor="text1"/>
                <w:sz w:val="21"/>
                <w:szCs w:val="21"/>
                <w:highlight w:val="none"/>
                <w14:textFill>
                  <w14:solidFill>
                    <w14:schemeClr w14:val="tx1"/>
                  </w14:solidFill>
                </w14:textFill>
              </w:rPr>
              <w:t>dB</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A</w:t>
            </w:r>
            <w:r>
              <w:rPr>
                <w:rFonts w:hint="eastAsia"/>
                <w:b/>
                <w:bCs/>
                <w:color w:val="000000" w:themeColor="text1"/>
                <w:sz w:val="21"/>
                <w:szCs w:val="21"/>
                <w:highlight w:val="none"/>
                <w:lang w:eastAsia="zh-CN"/>
                <w14:textFill>
                  <w14:solidFill>
                    <w14:schemeClr w14:val="tx1"/>
                  </w14:solidFill>
                </w14:textFill>
              </w:rPr>
              <w:t>）</w:t>
            </w:r>
          </w:p>
          <w:tbl>
            <w:tblPr>
              <w:tblStyle w:val="34"/>
              <w:tblW w:w="8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5"/>
              <w:gridCol w:w="1696"/>
              <w:gridCol w:w="814"/>
              <w:gridCol w:w="804"/>
              <w:gridCol w:w="2885"/>
            </w:tblGrid>
            <w:tr w14:paraId="1812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965" w:type="dxa"/>
                  <w:tcBorders>
                    <w:top w:val="single" w:color="auto" w:sz="4" w:space="0"/>
                    <w:left w:val="single" w:color="auto" w:sz="4" w:space="0"/>
                    <w:bottom w:val="single" w:color="auto" w:sz="4" w:space="0"/>
                    <w:right w:val="single" w:color="auto" w:sz="4" w:space="0"/>
                  </w:tcBorders>
                  <w:vAlign w:val="center"/>
                </w:tcPr>
                <w:p w14:paraId="7B0397F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position w:val="-1"/>
                      <w:sz w:val="21"/>
                      <w:szCs w:val="21"/>
                      <w:highlight w:val="none"/>
                      <w14:textFill>
                        <w14:solidFill>
                          <w14:schemeClr w14:val="tx1"/>
                        </w14:solidFill>
                      </w14:textFill>
                    </w:rPr>
                    <w:t>项目</w:t>
                  </w:r>
                </w:p>
              </w:tc>
              <w:tc>
                <w:tcPr>
                  <w:tcW w:w="1696" w:type="dxa"/>
                  <w:tcBorders>
                    <w:top w:val="single" w:color="auto" w:sz="4" w:space="0"/>
                    <w:left w:val="single" w:color="auto" w:sz="4" w:space="0"/>
                    <w:bottom w:val="single" w:color="auto" w:sz="4" w:space="0"/>
                    <w:right w:val="single" w:color="auto" w:sz="4" w:space="0"/>
                  </w:tcBorders>
                  <w:vAlign w:val="center"/>
                </w:tcPr>
                <w:p w14:paraId="5774C5EA">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污染物名称</w:t>
                  </w:r>
                </w:p>
              </w:tc>
              <w:tc>
                <w:tcPr>
                  <w:tcW w:w="814" w:type="dxa"/>
                  <w:tcBorders>
                    <w:top w:val="single" w:color="auto" w:sz="4" w:space="0"/>
                    <w:left w:val="single" w:color="auto" w:sz="4" w:space="0"/>
                    <w:bottom w:val="single" w:color="auto" w:sz="4" w:space="0"/>
                    <w:right w:val="single" w:color="auto" w:sz="4" w:space="0"/>
                  </w:tcBorders>
                  <w:vAlign w:val="center"/>
                </w:tcPr>
                <w:p w14:paraId="485F26B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position w:val="-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position w:val="-1"/>
                      <w:sz w:val="21"/>
                      <w:szCs w:val="21"/>
                      <w:highlight w:val="none"/>
                      <w14:textFill>
                        <w14:solidFill>
                          <w14:schemeClr w14:val="tx1"/>
                        </w14:solidFill>
                      </w14:textFill>
                    </w:rPr>
                    <w:t>昼间</w:t>
                  </w:r>
                </w:p>
              </w:tc>
              <w:tc>
                <w:tcPr>
                  <w:tcW w:w="804" w:type="dxa"/>
                  <w:tcBorders>
                    <w:top w:val="single" w:color="auto" w:sz="4" w:space="0"/>
                    <w:left w:val="single" w:color="auto" w:sz="4" w:space="0"/>
                    <w:bottom w:val="single" w:color="auto" w:sz="4" w:space="0"/>
                    <w:right w:val="single" w:color="auto" w:sz="4" w:space="0"/>
                  </w:tcBorders>
                  <w:vAlign w:val="center"/>
                </w:tcPr>
                <w:p w14:paraId="7826329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position w:val="-1"/>
                      <w:sz w:val="21"/>
                      <w:szCs w:val="21"/>
                      <w:highlight w:val="none"/>
                      <w14:textFill>
                        <w14:solidFill>
                          <w14:schemeClr w14:val="tx1"/>
                        </w14:solidFill>
                      </w14:textFill>
                    </w:rPr>
                    <w:t>夜间</w:t>
                  </w:r>
                </w:p>
              </w:tc>
              <w:tc>
                <w:tcPr>
                  <w:tcW w:w="2885" w:type="dxa"/>
                  <w:tcBorders>
                    <w:top w:val="single" w:color="auto" w:sz="4" w:space="0"/>
                    <w:left w:val="single" w:color="auto" w:sz="4" w:space="0"/>
                    <w:bottom w:val="single" w:color="auto" w:sz="4" w:space="0"/>
                    <w:right w:val="single" w:color="auto" w:sz="4" w:space="0"/>
                  </w:tcBorders>
                  <w:vAlign w:val="center"/>
                </w:tcPr>
                <w:p w14:paraId="62FD850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position w:val="-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position w:val="-1"/>
                      <w:sz w:val="21"/>
                      <w:szCs w:val="21"/>
                      <w:highlight w:val="none"/>
                      <w14:textFill>
                        <w14:solidFill>
                          <w14:schemeClr w14:val="tx1"/>
                        </w14:solidFill>
                      </w14:textFill>
                    </w:rPr>
                    <w:t>标准来源</w:t>
                  </w:r>
                </w:p>
              </w:tc>
            </w:tr>
            <w:tr w14:paraId="251B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965" w:type="dxa"/>
                  <w:tcBorders>
                    <w:top w:val="single" w:color="auto" w:sz="4" w:space="0"/>
                    <w:left w:val="single" w:color="auto" w:sz="4" w:space="0"/>
                    <w:right w:val="single" w:color="auto" w:sz="4" w:space="0"/>
                  </w:tcBorders>
                  <w:vAlign w:val="center"/>
                </w:tcPr>
                <w:p w14:paraId="53CC05F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一般区域</w:t>
                  </w:r>
                </w:p>
              </w:tc>
              <w:tc>
                <w:tcPr>
                  <w:tcW w:w="1696" w:type="dxa"/>
                  <w:vMerge w:val="restart"/>
                  <w:tcBorders>
                    <w:top w:val="nil"/>
                    <w:left w:val="single" w:color="auto" w:sz="4" w:space="0"/>
                    <w:right w:val="single" w:color="auto" w:sz="4" w:space="0"/>
                  </w:tcBorders>
                  <w:vAlign w:val="center"/>
                </w:tcPr>
                <w:p w14:paraId="3FE8DDF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等效连续A声级</w:t>
                  </w:r>
                </w:p>
              </w:tc>
              <w:tc>
                <w:tcPr>
                  <w:tcW w:w="814" w:type="dxa"/>
                  <w:tcBorders>
                    <w:top w:val="single" w:color="auto" w:sz="4" w:space="0"/>
                    <w:left w:val="single" w:color="auto" w:sz="4" w:space="0"/>
                    <w:bottom w:val="single" w:color="auto" w:sz="4" w:space="0"/>
                    <w:right w:val="single" w:color="auto" w:sz="4" w:space="0"/>
                  </w:tcBorders>
                  <w:vAlign w:val="center"/>
                </w:tcPr>
                <w:p w14:paraId="7A0FD5B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55</w:t>
                  </w:r>
                </w:p>
              </w:tc>
              <w:tc>
                <w:tcPr>
                  <w:tcW w:w="804" w:type="dxa"/>
                  <w:tcBorders>
                    <w:top w:val="single" w:color="auto" w:sz="4" w:space="0"/>
                    <w:left w:val="single" w:color="auto" w:sz="4" w:space="0"/>
                    <w:bottom w:val="single" w:color="auto" w:sz="4" w:space="0"/>
                    <w:right w:val="single" w:color="auto" w:sz="4" w:space="0"/>
                  </w:tcBorders>
                  <w:vAlign w:val="center"/>
                </w:tcPr>
                <w:p w14:paraId="7A2CB80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45</w:t>
                  </w:r>
                </w:p>
              </w:tc>
              <w:tc>
                <w:tcPr>
                  <w:tcW w:w="2885" w:type="dxa"/>
                  <w:tcBorders>
                    <w:top w:val="single" w:color="auto" w:sz="4" w:space="0"/>
                    <w:left w:val="single" w:color="auto" w:sz="4" w:space="0"/>
                    <w:bottom w:val="single" w:color="auto" w:sz="4" w:space="0"/>
                    <w:right w:val="single" w:color="auto" w:sz="4" w:space="0"/>
                  </w:tcBorders>
                  <w:vAlign w:val="center"/>
                </w:tcPr>
                <w:p w14:paraId="093C5E4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《声环境质量标准》（GB3096-2008）1类标准</w:t>
                  </w:r>
                </w:p>
              </w:tc>
            </w:tr>
            <w:tr w14:paraId="5492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965" w:type="dxa"/>
                  <w:tcBorders>
                    <w:left w:val="single" w:color="auto" w:sz="4" w:space="0"/>
                    <w:bottom w:val="single" w:color="auto" w:sz="4" w:space="0"/>
                    <w:right w:val="single" w:color="auto" w:sz="4" w:space="0"/>
                  </w:tcBorders>
                  <w:vAlign w:val="center"/>
                </w:tcPr>
                <w:p w14:paraId="01C95F4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跨越</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G111国道两侧50m范围</w:t>
                  </w:r>
                </w:p>
              </w:tc>
              <w:tc>
                <w:tcPr>
                  <w:tcW w:w="1696" w:type="dxa"/>
                  <w:vMerge w:val="continue"/>
                  <w:tcBorders>
                    <w:left w:val="single" w:color="auto" w:sz="4" w:space="0"/>
                    <w:bottom w:val="single" w:color="auto" w:sz="4" w:space="0"/>
                    <w:right w:val="single" w:color="auto" w:sz="4" w:space="0"/>
                  </w:tcBorders>
                  <w:vAlign w:val="center"/>
                </w:tcPr>
                <w:p w14:paraId="12FDD8B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14" w:type="dxa"/>
                  <w:tcBorders>
                    <w:top w:val="single" w:color="auto" w:sz="4" w:space="0"/>
                    <w:left w:val="single" w:color="auto" w:sz="4" w:space="0"/>
                    <w:bottom w:val="single" w:color="auto" w:sz="4" w:space="0"/>
                    <w:right w:val="single" w:color="auto" w:sz="4" w:space="0"/>
                  </w:tcBorders>
                  <w:vAlign w:val="center"/>
                </w:tcPr>
                <w:p w14:paraId="538E22B1">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70</w:t>
                  </w:r>
                </w:p>
              </w:tc>
              <w:tc>
                <w:tcPr>
                  <w:tcW w:w="804" w:type="dxa"/>
                  <w:tcBorders>
                    <w:top w:val="single" w:color="auto" w:sz="4" w:space="0"/>
                    <w:left w:val="single" w:color="auto" w:sz="4" w:space="0"/>
                    <w:bottom w:val="single" w:color="auto" w:sz="4" w:space="0"/>
                    <w:right w:val="single" w:color="auto" w:sz="4" w:space="0"/>
                  </w:tcBorders>
                  <w:vAlign w:val="center"/>
                </w:tcPr>
                <w:p w14:paraId="26099DE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55</w:t>
                  </w:r>
                </w:p>
              </w:tc>
              <w:tc>
                <w:tcPr>
                  <w:tcW w:w="2885" w:type="dxa"/>
                  <w:tcBorders>
                    <w:top w:val="single" w:color="auto" w:sz="4" w:space="0"/>
                    <w:left w:val="single" w:color="auto" w:sz="4" w:space="0"/>
                    <w:bottom w:val="single" w:color="auto" w:sz="4" w:space="0"/>
                    <w:right w:val="single" w:color="auto" w:sz="4" w:space="0"/>
                  </w:tcBorders>
                  <w:vAlign w:val="center"/>
                </w:tcPr>
                <w:p w14:paraId="2101CD2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《声环境质量标准》（GB3096-2008）</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4a</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类标准</w:t>
                  </w:r>
                </w:p>
              </w:tc>
            </w:tr>
          </w:tbl>
          <w:p w14:paraId="7C09940A">
            <w:pPr>
              <w:adjustRightInd w:val="0"/>
              <w:snapToGrid w:val="0"/>
              <w:spacing w:line="440" w:lineRule="exact"/>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2</w:t>
            </w:r>
            <w:r>
              <w:rPr>
                <w:b/>
                <w:bCs/>
                <w:color w:val="000000" w:themeColor="text1"/>
                <w:sz w:val="24"/>
                <w:highlight w:val="none"/>
                <w14:textFill>
                  <w14:solidFill>
                    <w14:schemeClr w14:val="tx1"/>
                  </w14:solidFill>
                </w14:textFill>
              </w:rPr>
              <w:t>、污染物排放标准</w:t>
            </w:r>
          </w:p>
          <w:p w14:paraId="507B1FBA">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rFonts w:hint="default" w:eastAsia="宋体"/>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1</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施工期</w:t>
            </w:r>
          </w:p>
          <w:p w14:paraId="5E1501F9">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施工期扬尘执行《施工场地扬尘排放标准》（</w:t>
            </w:r>
            <w:r>
              <w:rPr>
                <w:b w:val="0"/>
                <w:bCs w:val="0"/>
                <w:color w:val="000000" w:themeColor="text1"/>
                <w:sz w:val="24"/>
                <w:highlight w:val="none"/>
                <w14:textFill>
                  <w14:solidFill>
                    <w14:schemeClr w14:val="tx1"/>
                  </w14:solidFill>
                </w14:textFill>
              </w:rPr>
              <w:t>DB13/2934-2019</w:t>
            </w:r>
            <w:r>
              <w:rPr>
                <w:rFonts w:hint="eastAsia"/>
                <w:b w:val="0"/>
                <w:bCs w:val="0"/>
                <w:color w:val="000000" w:themeColor="text1"/>
                <w:sz w:val="24"/>
                <w:highlight w:val="none"/>
                <w14:textFill>
                  <w14:solidFill>
                    <w14:schemeClr w14:val="tx1"/>
                  </w14:solidFill>
                </w14:textFill>
              </w:rPr>
              <w:t>）中颗粒物浓度限值</w:t>
            </w:r>
            <w:r>
              <w:rPr>
                <w:rFonts w:hint="eastAsia"/>
                <w:b w:val="0"/>
                <w:bCs w:val="0"/>
                <w:color w:val="000000" w:themeColor="text1"/>
                <w:sz w:val="24"/>
                <w:highlight w:val="none"/>
                <w:lang w:val="en-US" w:eastAsia="zh-CN"/>
                <w14:textFill>
                  <w14:solidFill>
                    <w14:schemeClr w14:val="tx1"/>
                  </w14:solidFill>
                </w14:textFill>
              </w:rPr>
              <w:t>要求</w:t>
            </w:r>
            <w:r>
              <w:rPr>
                <w:rFonts w:hint="eastAsia"/>
                <w:b w:val="0"/>
                <w:bCs w:val="0"/>
                <w:color w:val="000000" w:themeColor="text1"/>
                <w:sz w:val="24"/>
                <w:highlight w:val="none"/>
                <w14:textFill>
                  <w14:solidFill>
                    <w14:schemeClr w14:val="tx1"/>
                  </w14:solidFill>
                </w14:textFill>
              </w:rPr>
              <w:t>。</w:t>
            </w:r>
          </w:p>
          <w:p w14:paraId="11D40DBE">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施工期噪声执行《建筑施工场界环境噪声排放标准》（</w:t>
            </w:r>
            <w:r>
              <w:rPr>
                <w:b w:val="0"/>
                <w:bCs w:val="0"/>
                <w:color w:val="000000" w:themeColor="text1"/>
                <w:sz w:val="24"/>
                <w:highlight w:val="none"/>
                <w14:textFill>
                  <w14:solidFill>
                    <w14:schemeClr w14:val="tx1"/>
                  </w14:solidFill>
                </w14:textFill>
              </w:rPr>
              <w:t>GB12523-2011</w:t>
            </w:r>
            <w:r>
              <w:rPr>
                <w:rFonts w:hint="eastAsia"/>
                <w:b w:val="0"/>
                <w:bCs w:val="0"/>
                <w:color w:val="000000" w:themeColor="text1"/>
                <w:sz w:val="24"/>
                <w:highlight w:val="none"/>
                <w14:textFill>
                  <w14:solidFill>
                    <w14:schemeClr w14:val="tx1"/>
                  </w14:solidFill>
                </w14:textFill>
              </w:rPr>
              <w:t>）限值要求，</w:t>
            </w:r>
            <w:r>
              <w:rPr>
                <w:b w:val="0"/>
                <w:bCs w:val="0"/>
                <w:color w:val="000000" w:themeColor="text1"/>
                <w:sz w:val="24"/>
                <w:highlight w:val="none"/>
                <w14:textFill>
                  <w14:solidFill>
                    <w14:schemeClr w14:val="tx1"/>
                  </w14:solidFill>
                </w14:textFill>
              </w:rPr>
              <w:t>即昼间≤70dB(A)、夜间≤55dB(A)</w:t>
            </w:r>
            <w:r>
              <w:rPr>
                <w:rFonts w:hint="eastAsia"/>
                <w:b w:val="0"/>
                <w:bCs w:val="0"/>
                <w:color w:val="000000" w:themeColor="text1"/>
                <w:sz w:val="24"/>
                <w:highlight w:val="none"/>
                <w14:textFill>
                  <w14:solidFill>
                    <w14:schemeClr w14:val="tx1"/>
                  </w14:solidFill>
                </w14:textFill>
              </w:rPr>
              <w:t>。</w:t>
            </w:r>
          </w:p>
          <w:p w14:paraId="12916F28">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（2）运营期</w:t>
            </w:r>
          </w:p>
          <w:p w14:paraId="7A437D3E">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工频电场强度、工频磁场强度</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执行</w:t>
            </w: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《电磁环境控制限值》（GB8702-2014）中的4kV/m和100μT的标准限值</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要求，其中架空输电线路线下的耕地、园地、道路等场所，其频率50Hz的电场强度控制限值为10kV/m，</w:t>
            </w: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且应给出警示和防护指示标志</w:t>
            </w: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w:t>
            </w:r>
          </w:p>
          <w:p w14:paraId="6CC70D3A">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噪声执行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《声环境质量标准》（GB3096-2008）</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相应功能区标准要求</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其中线路穿越G111国道两侧</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50</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m范围内执行4a类功能区标准，其余一般区域执行1类功能区标准。</w:t>
            </w:r>
          </w:p>
          <w:p w14:paraId="3D7920BA">
            <w:pPr>
              <w:keepNext w:val="0"/>
              <w:keepLines w:val="0"/>
              <w:pageBreakBefore w:val="0"/>
              <w:widowControl w:val="0"/>
              <w:kinsoku/>
              <w:wordWrap/>
              <w:overflowPunct/>
              <w:topLinePunct w:val="0"/>
              <w:autoSpaceDE/>
              <w:autoSpaceDN/>
              <w:bidi w:val="0"/>
              <w:adjustRightInd w:val="0"/>
              <w:snapToGrid w:val="0"/>
              <w:spacing w:before="24" w:beforeLines="10" w:line="440" w:lineRule="exact"/>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rFonts w:hint="eastAsia"/>
                <w:b/>
                <w:bCs/>
                <w:color w:val="000000" w:themeColor="text1"/>
                <w:sz w:val="21"/>
                <w:szCs w:val="21"/>
                <w:highlight w:val="none"/>
                <w:lang w:val="en-US" w:eastAsia="zh-CN"/>
                <w14:textFill>
                  <w14:solidFill>
                    <w14:schemeClr w14:val="tx1"/>
                  </w14:solidFill>
                </w14:textFill>
              </w:rPr>
              <w:t>10</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污染物排放标准</w:t>
            </w:r>
          </w:p>
          <w:tbl>
            <w:tblPr>
              <w:tblStyle w:val="35"/>
              <w:tblW w:w="8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249"/>
              <w:gridCol w:w="1433"/>
              <w:gridCol w:w="1821"/>
              <w:gridCol w:w="1586"/>
              <w:gridCol w:w="2575"/>
            </w:tblGrid>
            <w:tr w14:paraId="5970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67" w:type="dxa"/>
                  <w:gridSpan w:val="3"/>
                  <w:tcMar>
                    <w:top w:w="0" w:type="dxa"/>
                    <w:left w:w="17" w:type="dxa"/>
                    <w:bottom w:w="0" w:type="dxa"/>
                    <w:right w:w="17" w:type="dxa"/>
                  </w:tcMar>
                  <w:vAlign w:val="center"/>
                </w:tcPr>
                <w:p w14:paraId="18EFBE8E">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污染物名称</w:t>
                  </w:r>
                </w:p>
              </w:tc>
              <w:tc>
                <w:tcPr>
                  <w:tcW w:w="3407" w:type="dxa"/>
                  <w:gridSpan w:val="2"/>
                  <w:tcMar>
                    <w:top w:w="0" w:type="dxa"/>
                    <w:left w:w="17" w:type="dxa"/>
                    <w:bottom w:w="0" w:type="dxa"/>
                    <w:right w:w="17" w:type="dxa"/>
                  </w:tcMar>
                  <w:vAlign w:val="center"/>
                </w:tcPr>
                <w:p w14:paraId="458F2943">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标准值</w:t>
                  </w:r>
                </w:p>
              </w:tc>
              <w:tc>
                <w:tcPr>
                  <w:tcW w:w="2575" w:type="dxa"/>
                  <w:tcMar>
                    <w:top w:w="0" w:type="dxa"/>
                    <w:left w:w="17" w:type="dxa"/>
                    <w:bottom w:w="0" w:type="dxa"/>
                    <w:right w:w="17" w:type="dxa"/>
                  </w:tcMar>
                  <w:vAlign w:val="center"/>
                </w:tcPr>
                <w:p w14:paraId="0B0F4EAA">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标准来源</w:t>
                  </w:r>
                </w:p>
              </w:tc>
            </w:tr>
            <w:tr w14:paraId="48AC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5" w:type="dxa"/>
                  <w:vMerge w:val="restart"/>
                  <w:tcMar>
                    <w:top w:w="0" w:type="dxa"/>
                    <w:left w:w="17" w:type="dxa"/>
                    <w:bottom w:w="0" w:type="dxa"/>
                    <w:right w:w="17" w:type="dxa"/>
                  </w:tcMar>
                  <w:vAlign w:val="center"/>
                </w:tcPr>
                <w:p w14:paraId="682DDEE1">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施工期</w:t>
                  </w:r>
                </w:p>
              </w:tc>
              <w:tc>
                <w:tcPr>
                  <w:tcW w:w="1682" w:type="dxa"/>
                  <w:gridSpan w:val="2"/>
                  <w:tcMar>
                    <w:top w:w="0" w:type="dxa"/>
                    <w:left w:w="17" w:type="dxa"/>
                    <w:bottom w:w="0" w:type="dxa"/>
                    <w:right w:w="17" w:type="dxa"/>
                  </w:tcMar>
                  <w:vAlign w:val="center"/>
                </w:tcPr>
                <w:p w14:paraId="19C258BF">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1821" w:type="dxa"/>
                  <w:tcMar>
                    <w:top w:w="0" w:type="dxa"/>
                    <w:left w:w="17" w:type="dxa"/>
                    <w:bottom w:w="0" w:type="dxa"/>
                    <w:right w:w="17" w:type="dxa"/>
                  </w:tcMar>
                  <w:vAlign w:val="center"/>
                </w:tcPr>
                <w:p w14:paraId="1456026D">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70dB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（昼）</w:t>
                  </w:r>
                </w:p>
              </w:tc>
              <w:tc>
                <w:tcPr>
                  <w:tcW w:w="1586" w:type="dxa"/>
                  <w:tcMar>
                    <w:top w:w="0" w:type="dxa"/>
                    <w:left w:w="17" w:type="dxa"/>
                    <w:bottom w:w="0" w:type="dxa"/>
                    <w:right w:w="17" w:type="dxa"/>
                  </w:tcMar>
                  <w:vAlign w:val="center"/>
                </w:tcPr>
                <w:p w14:paraId="199C176E">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55dB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（夜）</w:t>
                  </w:r>
                </w:p>
              </w:tc>
              <w:tc>
                <w:tcPr>
                  <w:tcW w:w="2575" w:type="dxa"/>
                  <w:tcMar>
                    <w:top w:w="0" w:type="dxa"/>
                    <w:left w:w="17" w:type="dxa"/>
                    <w:bottom w:w="0" w:type="dxa"/>
                    <w:right w:w="17" w:type="dxa"/>
                  </w:tcMar>
                  <w:vAlign w:val="center"/>
                </w:tcPr>
                <w:p w14:paraId="673AD605">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建筑施工场界环境噪声排放标准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（GB12523-2011）</w:t>
                  </w:r>
                </w:p>
              </w:tc>
            </w:tr>
            <w:tr w14:paraId="27AE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5" w:type="dxa"/>
                  <w:vMerge w:val="continue"/>
                  <w:tcMar>
                    <w:top w:w="0" w:type="dxa"/>
                    <w:left w:w="17" w:type="dxa"/>
                    <w:bottom w:w="0" w:type="dxa"/>
                    <w:right w:w="17" w:type="dxa"/>
                  </w:tcMar>
                  <w:vAlign w:val="center"/>
                </w:tcPr>
                <w:p w14:paraId="1C4ABDA1">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2" w:type="dxa"/>
                  <w:gridSpan w:val="2"/>
                  <w:tcMar>
                    <w:top w:w="0" w:type="dxa"/>
                    <w:left w:w="17" w:type="dxa"/>
                    <w:bottom w:w="0" w:type="dxa"/>
                    <w:right w:w="17" w:type="dxa"/>
                  </w:tcMar>
                  <w:vAlign w:val="center"/>
                </w:tcPr>
                <w:p w14:paraId="61782388">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扬尘</w:t>
                  </w:r>
                </w:p>
              </w:tc>
              <w:tc>
                <w:tcPr>
                  <w:tcW w:w="3407" w:type="dxa"/>
                  <w:gridSpan w:val="2"/>
                  <w:tcMar>
                    <w:top w:w="0" w:type="dxa"/>
                    <w:left w:w="17" w:type="dxa"/>
                    <w:bottom w:w="0" w:type="dxa"/>
                    <w:right w:w="17" w:type="dxa"/>
                  </w:tcMar>
                  <w:vAlign w:val="center"/>
                </w:tcPr>
                <w:p w14:paraId="6EFFEC42">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 xml:space="preserve">10 </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小时平均浓度实测值与同时段所属县（市、区）PM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小时平均浓度的差值≤80μg/m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，同时达标判定依据≤2次/天。</w:t>
                  </w:r>
                </w:p>
              </w:tc>
              <w:tc>
                <w:tcPr>
                  <w:tcW w:w="2575" w:type="dxa"/>
                  <w:tcMar>
                    <w:top w:w="0" w:type="dxa"/>
                    <w:left w:w="17" w:type="dxa"/>
                    <w:bottom w:w="0" w:type="dxa"/>
                    <w:right w:w="17" w:type="dxa"/>
                  </w:tcMar>
                  <w:vAlign w:val="center"/>
                </w:tcPr>
                <w:p w14:paraId="5D536433">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《施工场地扬尘排放标准》（DB13/2934-2019）</w:t>
                  </w:r>
                </w:p>
              </w:tc>
            </w:tr>
            <w:tr w14:paraId="4526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5" w:type="dxa"/>
                  <w:vMerge w:val="restart"/>
                  <w:tcMar>
                    <w:top w:w="0" w:type="dxa"/>
                    <w:left w:w="17" w:type="dxa"/>
                    <w:bottom w:w="0" w:type="dxa"/>
                    <w:right w:w="17" w:type="dxa"/>
                  </w:tcMar>
                  <w:vAlign w:val="center"/>
                </w:tcPr>
                <w:p w14:paraId="0DF0D0DF">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运营期</w:t>
                  </w:r>
                </w:p>
              </w:tc>
              <w:tc>
                <w:tcPr>
                  <w:tcW w:w="1682" w:type="dxa"/>
                  <w:gridSpan w:val="2"/>
                  <w:tcMar>
                    <w:top w:w="0" w:type="dxa"/>
                    <w:left w:w="17" w:type="dxa"/>
                    <w:bottom w:w="0" w:type="dxa"/>
                    <w:right w:w="17" w:type="dxa"/>
                  </w:tcMar>
                  <w:vAlign w:val="center"/>
                </w:tcPr>
                <w:p w14:paraId="73C935D7">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电场强度</w:t>
                  </w:r>
                </w:p>
              </w:tc>
              <w:tc>
                <w:tcPr>
                  <w:tcW w:w="3407" w:type="dxa"/>
                  <w:gridSpan w:val="2"/>
                  <w:tcMar>
                    <w:top w:w="0" w:type="dxa"/>
                    <w:left w:w="17" w:type="dxa"/>
                    <w:bottom w:w="0" w:type="dxa"/>
                    <w:right w:w="17" w:type="dxa"/>
                  </w:tcMar>
                  <w:vAlign w:val="center"/>
                </w:tcPr>
                <w:p w14:paraId="6C712EB9">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4kV/m</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，其中架空输电线路线下的耕地、园地、道路等场所，其频率50Hz的电场强度控制限值为10kV/m</w:t>
                  </w:r>
                </w:p>
              </w:tc>
              <w:tc>
                <w:tcPr>
                  <w:tcW w:w="2575" w:type="dxa"/>
                  <w:vMerge w:val="restart"/>
                  <w:tcMar>
                    <w:top w:w="0" w:type="dxa"/>
                    <w:left w:w="17" w:type="dxa"/>
                    <w:bottom w:w="0" w:type="dxa"/>
                    <w:right w:w="17" w:type="dxa"/>
                  </w:tcMar>
                  <w:vAlign w:val="center"/>
                </w:tcPr>
                <w:p w14:paraId="0C0DF4C5">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《电磁环境控制限值》（GB8702-2014）</w:t>
                  </w:r>
                </w:p>
              </w:tc>
            </w:tr>
            <w:tr w14:paraId="1FE9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5" w:type="dxa"/>
                  <w:vMerge w:val="continue"/>
                  <w:tcMar>
                    <w:top w:w="0" w:type="dxa"/>
                    <w:left w:w="17" w:type="dxa"/>
                    <w:bottom w:w="0" w:type="dxa"/>
                    <w:right w:w="17" w:type="dxa"/>
                  </w:tcMar>
                  <w:vAlign w:val="center"/>
                </w:tcPr>
                <w:p w14:paraId="0353721E">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2" w:type="dxa"/>
                  <w:gridSpan w:val="2"/>
                  <w:tcMar>
                    <w:top w:w="0" w:type="dxa"/>
                    <w:left w:w="17" w:type="dxa"/>
                    <w:bottom w:w="0" w:type="dxa"/>
                    <w:right w:w="17" w:type="dxa"/>
                  </w:tcMar>
                  <w:vAlign w:val="center"/>
                </w:tcPr>
                <w:p w14:paraId="37710DC6">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场</w:t>
                  </w:r>
                  <w:r>
                    <w:rPr>
                      <w:rFonts w:hint="default" w:ascii="Times New Roman" w:hAnsi="Times New Roman" w:eastAsia="宋体" w:cs="Times New Roman"/>
                      <w:color w:val="000000" w:themeColor="text1"/>
                      <w:sz w:val="21"/>
                      <w:szCs w:val="21"/>
                      <w:highlight w:val="none"/>
                      <w14:textFill>
                        <w14:solidFill>
                          <w14:schemeClr w14:val="tx1"/>
                        </w14:solidFill>
                      </w14:textFill>
                    </w:rPr>
                    <w:t>强度</w:t>
                  </w:r>
                </w:p>
              </w:tc>
              <w:tc>
                <w:tcPr>
                  <w:tcW w:w="3407" w:type="dxa"/>
                  <w:gridSpan w:val="2"/>
                  <w:tcMar>
                    <w:top w:w="0" w:type="dxa"/>
                    <w:left w:w="17" w:type="dxa"/>
                    <w:bottom w:w="0" w:type="dxa"/>
                    <w:right w:w="17" w:type="dxa"/>
                  </w:tcMar>
                  <w:vAlign w:val="center"/>
                </w:tcPr>
                <w:p w14:paraId="04002463">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100μT</w:t>
                  </w:r>
                </w:p>
              </w:tc>
              <w:tc>
                <w:tcPr>
                  <w:tcW w:w="2575" w:type="dxa"/>
                  <w:vMerge w:val="continue"/>
                  <w:tcMar>
                    <w:top w:w="0" w:type="dxa"/>
                    <w:left w:w="17" w:type="dxa"/>
                    <w:bottom w:w="0" w:type="dxa"/>
                    <w:right w:w="17" w:type="dxa"/>
                  </w:tcMar>
                  <w:vAlign w:val="center"/>
                </w:tcPr>
                <w:p w14:paraId="4CEA8341">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B9D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5" w:type="dxa"/>
                  <w:vMerge w:val="continue"/>
                  <w:tcMar>
                    <w:top w:w="0" w:type="dxa"/>
                    <w:left w:w="17" w:type="dxa"/>
                    <w:bottom w:w="0" w:type="dxa"/>
                    <w:right w:w="17" w:type="dxa"/>
                  </w:tcMar>
                  <w:vAlign w:val="center"/>
                </w:tcPr>
                <w:p w14:paraId="76B97337">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9" w:type="dxa"/>
                  <w:vMerge w:val="restart"/>
                  <w:tcMar>
                    <w:top w:w="0" w:type="dxa"/>
                    <w:left w:w="17" w:type="dxa"/>
                    <w:bottom w:w="0" w:type="dxa"/>
                    <w:right w:w="17" w:type="dxa"/>
                  </w:tcMar>
                  <w:vAlign w:val="center"/>
                </w:tcPr>
                <w:p w14:paraId="6FED3746">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1433" w:type="dxa"/>
                  <w:tcMar>
                    <w:top w:w="0" w:type="dxa"/>
                    <w:left w:w="17" w:type="dxa"/>
                    <w:bottom w:w="0" w:type="dxa"/>
                    <w:right w:w="17" w:type="dxa"/>
                  </w:tcMar>
                  <w:vAlign w:val="center"/>
                </w:tcPr>
                <w:p w14:paraId="3921525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一般区域</w:t>
                  </w:r>
                </w:p>
              </w:tc>
              <w:tc>
                <w:tcPr>
                  <w:tcW w:w="1821" w:type="dxa"/>
                  <w:tcMar>
                    <w:top w:w="0" w:type="dxa"/>
                    <w:left w:w="17" w:type="dxa"/>
                    <w:bottom w:w="0" w:type="dxa"/>
                    <w:right w:w="17" w:type="dxa"/>
                  </w:tcMar>
                  <w:vAlign w:val="center"/>
                </w:tcPr>
                <w:p w14:paraId="2D602601">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55</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（昼）</w:t>
                  </w:r>
                </w:p>
              </w:tc>
              <w:tc>
                <w:tcPr>
                  <w:tcW w:w="1586" w:type="dxa"/>
                  <w:tcMar>
                    <w:top w:w="0" w:type="dxa"/>
                    <w:left w:w="17" w:type="dxa"/>
                    <w:bottom w:w="0" w:type="dxa"/>
                    <w:right w:w="17" w:type="dxa"/>
                  </w:tcMar>
                  <w:vAlign w:val="center"/>
                </w:tcPr>
                <w:p w14:paraId="67A3653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45</w:t>
                  </w:r>
                  <w:r>
                    <w:rPr>
                      <w:rFonts w:hint="default" w:ascii="Times New Roman" w:hAnsi="Times New Roman" w:eastAsia="宋体" w:cs="Times New Roman"/>
                      <w:color w:val="000000" w:themeColor="text1"/>
                      <w:sz w:val="21"/>
                      <w:szCs w:val="21"/>
                      <w:highlight w:val="none"/>
                      <w14:textFill>
                        <w14:solidFill>
                          <w14:schemeClr w14:val="tx1"/>
                        </w14:solidFill>
                      </w14:textFill>
                    </w:rPr>
                    <w:t>dB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（夜）</w:t>
                  </w:r>
                </w:p>
              </w:tc>
              <w:tc>
                <w:tcPr>
                  <w:tcW w:w="2575" w:type="dxa"/>
                  <w:tcMar>
                    <w:top w:w="0" w:type="dxa"/>
                    <w:left w:w="17" w:type="dxa"/>
                    <w:bottom w:w="0" w:type="dxa"/>
                    <w:right w:w="17" w:type="dxa"/>
                  </w:tcMar>
                  <w:vAlign w:val="center"/>
                </w:tcPr>
                <w:p w14:paraId="64CF028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《声环境质量标准》（GB3096-2008）1类标准</w:t>
                  </w:r>
                </w:p>
              </w:tc>
            </w:tr>
            <w:tr w14:paraId="03CF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5" w:type="dxa"/>
                  <w:vMerge w:val="continue"/>
                  <w:tcMar>
                    <w:top w:w="0" w:type="dxa"/>
                    <w:left w:w="17" w:type="dxa"/>
                    <w:bottom w:w="0" w:type="dxa"/>
                    <w:right w:w="17" w:type="dxa"/>
                  </w:tcMar>
                  <w:vAlign w:val="center"/>
                </w:tcPr>
                <w:p w14:paraId="5C821645">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231E6FC8">
                  <w:pPr>
                    <w:pStyle w:val="4"/>
                    <w:keepNext w:val="0"/>
                    <w:keepLines w:val="0"/>
                    <w:pageBreakBefore w:val="0"/>
                    <w:widowControl w:val="0"/>
                    <w:kinsoku/>
                    <w:wordWrap/>
                    <w:overflowPunct/>
                    <w:topLinePunct w:val="0"/>
                    <w:autoSpaceDE/>
                    <w:autoSpaceDN/>
                    <w:bidi w:val="0"/>
                    <w:spacing w:after="0" w:line="280" w:lineRule="exact"/>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249" w:type="dxa"/>
                  <w:vMerge w:val="continue"/>
                  <w:tcMar>
                    <w:top w:w="0" w:type="dxa"/>
                    <w:left w:w="17" w:type="dxa"/>
                    <w:bottom w:w="0" w:type="dxa"/>
                    <w:right w:w="17" w:type="dxa"/>
                  </w:tcMar>
                  <w:vAlign w:val="center"/>
                </w:tcPr>
                <w:p w14:paraId="1F16C4A1">
                  <w:pPr>
                    <w:keepNext w:val="0"/>
                    <w:keepLines w:val="0"/>
                    <w:pageBreakBefore w:val="0"/>
                    <w:widowControl w:val="0"/>
                    <w:kinsoku/>
                    <w:wordWrap/>
                    <w:overflowPunct/>
                    <w:topLinePunct w:val="0"/>
                    <w:autoSpaceDE/>
                    <w:autoSpaceDN/>
                    <w:bidi w:val="0"/>
                    <w:adjustRightInd w:val="0"/>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33" w:type="dxa"/>
                  <w:tcMar>
                    <w:top w:w="0" w:type="dxa"/>
                    <w:left w:w="17" w:type="dxa"/>
                    <w:bottom w:w="0" w:type="dxa"/>
                    <w:right w:w="17" w:type="dxa"/>
                  </w:tcMar>
                  <w:vAlign w:val="center"/>
                </w:tcPr>
                <w:p w14:paraId="7421D6C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跨</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越G111国道两侧50m范围</w:t>
                  </w:r>
                </w:p>
              </w:tc>
              <w:tc>
                <w:tcPr>
                  <w:tcW w:w="1821" w:type="dxa"/>
                  <w:tcMar>
                    <w:top w:w="0" w:type="dxa"/>
                    <w:left w:w="17" w:type="dxa"/>
                    <w:bottom w:w="0" w:type="dxa"/>
                    <w:right w:w="17" w:type="dxa"/>
                  </w:tcMar>
                  <w:vAlign w:val="center"/>
                </w:tcPr>
                <w:p w14:paraId="1104AAA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highlight w:val="none"/>
                      <w14:textFill>
                        <w14:solidFill>
                          <w14:schemeClr w14:val="tx1"/>
                        </w14:solidFill>
                      </w14:textFill>
                    </w:rPr>
                    <w:t>dB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（昼）</w:t>
                  </w:r>
                </w:p>
              </w:tc>
              <w:tc>
                <w:tcPr>
                  <w:tcW w:w="1586" w:type="dxa"/>
                  <w:tcMar>
                    <w:top w:w="0" w:type="dxa"/>
                    <w:left w:w="17" w:type="dxa"/>
                    <w:bottom w:w="0" w:type="dxa"/>
                    <w:right w:w="17" w:type="dxa"/>
                  </w:tcMar>
                  <w:vAlign w:val="center"/>
                </w:tcPr>
                <w:p w14:paraId="214A92D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55</w:t>
                  </w:r>
                  <w:r>
                    <w:rPr>
                      <w:rFonts w:hint="default" w:ascii="Times New Roman" w:hAnsi="Times New Roman" w:eastAsia="宋体" w:cs="Times New Roman"/>
                      <w:color w:val="000000" w:themeColor="text1"/>
                      <w:sz w:val="21"/>
                      <w:szCs w:val="21"/>
                      <w:highlight w:val="none"/>
                      <w14:textFill>
                        <w14:solidFill>
                          <w14:schemeClr w14:val="tx1"/>
                        </w14:solidFill>
                      </w14:textFill>
                    </w:rPr>
                    <w:t>dB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（夜）</w:t>
                  </w:r>
                </w:p>
              </w:tc>
              <w:tc>
                <w:tcPr>
                  <w:tcW w:w="2575" w:type="dxa"/>
                  <w:tcMar>
                    <w:top w:w="0" w:type="dxa"/>
                    <w:left w:w="17" w:type="dxa"/>
                    <w:bottom w:w="0" w:type="dxa"/>
                    <w:right w:w="17" w:type="dxa"/>
                  </w:tcMar>
                  <w:vAlign w:val="center"/>
                </w:tcPr>
                <w:p w14:paraId="274969E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《声环境质量标准》（GB3096-2008）</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4a</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类标准</w:t>
                  </w:r>
                </w:p>
              </w:tc>
            </w:tr>
          </w:tbl>
          <w:p w14:paraId="5DA7D5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kern w:val="0"/>
                <w:sz w:val="24"/>
                <w:highlight w:val="none"/>
                <w:lang w:val="en-US" w:eastAsia="zh-CN"/>
                <w14:textFill>
                  <w14:solidFill>
                    <w14:schemeClr w14:val="tx1"/>
                  </w14:solidFill>
                </w14:textFill>
              </w:rPr>
            </w:pPr>
          </w:p>
        </w:tc>
      </w:tr>
      <w:tr w14:paraId="453B5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3" w:hRule="atLeast"/>
          <w:jc w:val="center"/>
        </w:trPr>
        <w:tc>
          <w:tcPr>
            <w:tcW w:w="315" w:type="pct"/>
            <w:noWrap w:val="0"/>
            <w:tcMar>
              <w:top w:w="0" w:type="dxa"/>
              <w:left w:w="51" w:type="dxa"/>
              <w:bottom w:w="0" w:type="dxa"/>
              <w:right w:w="51" w:type="dxa"/>
            </w:tcMar>
            <w:vAlign w:val="center"/>
          </w:tcPr>
          <w:p w14:paraId="4B0DFA67">
            <w:pPr>
              <w:adjustRightInd w:val="0"/>
              <w:snapToGrid w:val="0"/>
              <w:jc w:val="center"/>
              <w:rPr>
                <w:rFonts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其他</w:t>
            </w:r>
          </w:p>
        </w:tc>
        <w:tc>
          <w:tcPr>
            <w:tcW w:w="4684" w:type="pct"/>
            <w:noWrap w:val="0"/>
            <w:vAlign w:val="center"/>
          </w:tcPr>
          <w:p w14:paraId="1112F354">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jc w:val="both"/>
              <w:textAlignment w:val="auto"/>
              <w:rPr>
                <w:rFonts w:hint="eastAsia" w:eastAsia="宋体"/>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为输电</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线路</w:t>
            </w:r>
            <w:r>
              <w:rPr>
                <w:rFonts w:hint="default" w:ascii="Times New Roman" w:hAnsi="Times New Roman" w:eastAsia="宋体" w:cs="Times New Roman"/>
                <w:color w:val="000000" w:themeColor="text1"/>
                <w:sz w:val="24"/>
                <w:szCs w:val="24"/>
                <w:highlight w:val="none"/>
                <w14:textFill>
                  <w14:solidFill>
                    <w14:schemeClr w14:val="tx1"/>
                  </w14:solidFill>
                </w14:textFill>
              </w:rPr>
              <w:t>工程，不涉及废气和废水的排放，因此不需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w:t>
            </w:r>
            <w:r>
              <w:rPr>
                <w:rFonts w:hint="default" w:ascii="Times New Roman" w:hAnsi="Times New Roman" w:eastAsia="宋体" w:cs="Times New Roman"/>
                <w:color w:val="000000" w:themeColor="text1"/>
                <w:sz w:val="24"/>
                <w:szCs w:val="24"/>
                <w:highlight w:val="none"/>
                <w14:textFill>
                  <w14:solidFill>
                    <w14:schemeClr w14:val="tx1"/>
                  </w14:solidFill>
                </w14:textFill>
              </w:rPr>
              <w:t>申请污染物总量指标。</w:t>
            </w:r>
          </w:p>
        </w:tc>
      </w:tr>
    </w:tbl>
    <w:p w14:paraId="120739DE">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000000" w:themeColor="text1"/>
          <w:sz w:val="30"/>
          <w:szCs w:val="30"/>
          <w:highlight w:val="none"/>
          <w14:textFill>
            <w14:solidFill>
              <w14:schemeClr w14:val="tx1"/>
            </w14:solidFill>
          </w14:textFill>
        </w:rPr>
      </w:pPr>
      <w:bookmarkStart w:id="17" w:name="_Toc5468"/>
      <w:bookmarkStart w:id="18" w:name="_Toc20485"/>
      <w:r>
        <w:rPr>
          <w:rStyle w:val="43"/>
          <w:rFonts w:hint="eastAsia"/>
          <w:b w:val="0"/>
          <w:bCs w:val="0"/>
          <w:color w:val="000000" w:themeColor="text1"/>
          <w:highlight w:val="none"/>
          <w14:textFill>
            <w14:solidFill>
              <w14:schemeClr w14:val="tx1"/>
            </w14:solidFill>
          </w14:textFill>
        </w:rPr>
        <w:br w:type="page"/>
      </w:r>
      <w:bookmarkStart w:id="19" w:name="_Toc6485"/>
      <w:r>
        <w:rPr>
          <w:rStyle w:val="43"/>
          <w:rFonts w:hint="eastAsia"/>
          <w:b w:val="0"/>
          <w:bCs w:val="0"/>
          <w:color w:val="000000" w:themeColor="text1"/>
          <w:highlight w:val="none"/>
          <w14:textFill>
            <w14:solidFill>
              <w14:schemeClr w14:val="tx1"/>
            </w14:solidFill>
          </w14:textFill>
        </w:rPr>
        <w:t>四、生态环境影响分析</w:t>
      </w:r>
      <w:bookmarkEnd w:id="17"/>
      <w:bookmarkEnd w:id="18"/>
      <w:bookmarkEnd w:id="19"/>
    </w:p>
    <w:tbl>
      <w:tblPr>
        <w:tblStyle w:val="34"/>
        <w:tblW w:w="53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449"/>
      </w:tblGrid>
      <w:tr w14:paraId="11645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 w:type="pct"/>
            <w:noWrap w:val="0"/>
            <w:tcMar>
              <w:left w:w="28" w:type="dxa"/>
              <w:right w:w="28" w:type="dxa"/>
            </w:tcMar>
            <w:vAlign w:val="center"/>
          </w:tcPr>
          <w:p w14:paraId="573D1B83">
            <w:pPr>
              <w:pStyle w:val="30"/>
              <w:adjustRightInd w:val="0"/>
              <w:snapToGrid w:val="0"/>
              <w:spacing w:before="0" w:beforeAutospacing="0" w:after="0" w:afterAutospacing="0"/>
              <w:jc w:val="center"/>
              <w:rPr>
                <w:rFonts w:cs="宋体"/>
                <w:b/>
                <w:bCs/>
                <w:color w:val="000000" w:themeColor="text1"/>
                <w:kern w:val="2"/>
                <w:sz w:val="21"/>
                <w:szCs w:val="21"/>
                <w:highlight w:val="none"/>
                <w:lang w:val="en-US" w:eastAsia="zh-CN"/>
                <w14:textFill>
                  <w14:solidFill>
                    <w14:schemeClr w14:val="tx1"/>
                  </w14:solidFill>
                </w14:textFill>
              </w:rPr>
            </w:pPr>
            <w:bookmarkStart w:id="20" w:name="_Hlk49796138"/>
            <w:r>
              <w:rPr>
                <w:rFonts w:hint="eastAsia" w:ascii="Times New Roman" w:hAnsi="Times New Roman"/>
                <w:b/>
                <w:bCs/>
                <w:color w:val="000000" w:themeColor="text1"/>
                <w:spacing w:val="-2"/>
                <w:kern w:val="2"/>
                <w:szCs w:val="24"/>
                <w:highlight w:val="none"/>
                <w:lang w:val="en-US" w:eastAsia="zh-CN"/>
                <w14:textFill>
                  <w14:solidFill>
                    <w14:schemeClr w14:val="tx1"/>
                  </w14:solidFill>
                </w14:textFill>
              </w:rPr>
              <w:t>施工期生态环境影响分析</w:t>
            </w:r>
            <w:bookmarkEnd w:id="20"/>
          </w:p>
        </w:tc>
        <w:tc>
          <w:tcPr>
            <w:tcW w:w="4720" w:type="pct"/>
            <w:noWrap w:val="0"/>
            <w:vAlign w:val="top"/>
          </w:tcPr>
          <w:p w14:paraId="0696D3FA">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本项目输电线路铁塔部分已建设，架空线路部分已敷设，但处于建设阶段，且主动停止建设。本次评价对输电线路施工期环境影响进行回顾性分析。</w:t>
            </w:r>
          </w:p>
          <w:p w14:paraId="706328CB">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建设施工过程中主要污染因素有塔基基础施工、组塔施工、架线施工等产生的扬尘，施工机械及运输车辆尾气；施工机械及运输车辆产生的噪声；施工废水、施工人员生活污水；施工建筑垃圾及施工人员生活垃圾；塔基基础开挖、回填等对生态环境的影响以及水土流失。</w:t>
            </w:r>
          </w:p>
          <w:p w14:paraId="7622BFB7">
            <w:pPr>
              <w:keepNext w:val="0"/>
              <w:keepLines w:val="0"/>
              <w:pageBreakBefore w:val="0"/>
              <w:kinsoku/>
              <w:wordWrap/>
              <w:overflowPunct/>
              <w:topLinePunct w:val="0"/>
              <w:bidi w:val="0"/>
              <w:snapToGrid/>
              <w:spacing w:line="440" w:lineRule="exact"/>
              <w:ind w:firstLine="482"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生态</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影响分析</w:t>
            </w:r>
          </w:p>
          <w:p w14:paraId="34A31C96">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生态环境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影响分析</w:t>
            </w:r>
          </w:p>
          <w:p w14:paraId="327015C5">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本项目施工场地严格控制在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w:t>
            </w:r>
            <w:r>
              <w:rPr>
                <w:rFonts w:hint="default" w:ascii="Times New Roman" w:hAnsi="Times New Roman" w:eastAsia="宋体" w:cs="Times New Roman"/>
                <w:color w:val="000000" w:themeColor="text1"/>
                <w:sz w:val="24"/>
                <w:szCs w:val="24"/>
                <w:highlight w:val="none"/>
                <w14:textFill>
                  <w14:solidFill>
                    <w14:schemeClr w14:val="tx1"/>
                  </w14:solidFill>
                </w14:textFill>
              </w:rPr>
              <w:t>征地范围内进行，施工人员租住线路沿线的居民房屋，</w:t>
            </w:r>
            <w:r>
              <w:rPr>
                <w:rFonts w:hint="eastAsia" w:cs="Times New Roman"/>
                <w:color w:val="000000" w:themeColor="text1"/>
                <w:sz w:val="24"/>
                <w:szCs w:val="24"/>
                <w:highlight w:val="none"/>
                <w:lang w:val="en-US" w:eastAsia="zh-CN"/>
                <w14:textFill>
                  <w14:solidFill>
                    <w14:schemeClr w14:val="tx1"/>
                  </w14:solidFill>
                </w14:textFill>
              </w:rPr>
              <w:t>未</w:t>
            </w:r>
            <w:r>
              <w:rPr>
                <w:rFonts w:hint="default" w:ascii="Times New Roman" w:hAnsi="Times New Roman" w:eastAsia="宋体" w:cs="Times New Roman"/>
                <w:color w:val="000000" w:themeColor="text1"/>
                <w:sz w:val="24"/>
                <w:szCs w:val="24"/>
                <w:highlight w:val="none"/>
                <w14:textFill>
                  <w14:solidFill>
                    <w14:schemeClr w14:val="tx1"/>
                  </w14:solidFill>
                </w14:textFill>
              </w:rPr>
              <w:t>设施工营地，不会改变周围植被的生长及动物的生存环境，施工结束后恢复原有生态功能。</w:t>
            </w:r>
          </w:p>
          <w:p w14:paraId="49E3E967">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施工过程中，由于开挖土方，引起自然地表的破坏，造成土壤疏松，原有的植被和蓄水保土作用遭到破坏，环境失去原有状态，引发水土流失。因此，工程建设过程中严格按照《输变电建设项目环境保护技术要求》</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（HJ1113-2020）</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14:textFill>
                  <w14:solidFill>
                    <w14:schemeClr w14:val="tx1"/>
                  </w14:solidFill>
                </w14:textFill>
              </w:rPr>
              <w:t>相关要求降低对生态的影响。</w:t>
            </w:r>
          </w:p>
          <w:p w14:paraId="14DCE06E">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1）输电线路工程建设项目施工期临时用地永临结合，优先利用荒地、劣地。</w:t>
            </w:r>
          </w:p>
          <w:p w14:paraId="43527A33">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2）输电线路工程建设项目施工占地，做好表土剥离、分类存放和回填利用。</w:t>
            </w:r>
          </w:p>
          <w:p w14:paraId="2BD24C66">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3）施工临时道路尽可能利用机耕路等现有道路，新建道路严格控制道路宽度，以减少临时工程对生态环境的影响。</w:t>
            </w:r>
          </w:p>
          <w:p w14:paraId="39AB95E7">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4）施工现场使用的带油料的机械器具，采取措施防止油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跑、冒、滴、漏，防止对土壤和水体造成污染。</w:t>
            </w:r>
          </w:p>
          <w:p w14:paraId="447A25E3">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5）选择综合素质高、有施工经验的队伍，在施工期间对施工人员加强生态保护的宣传教育；严格按照《110kV-750kV架空输电线路设计规范》（GB50545-2010）中规定的架线高度架设输电线路。</w:t>
            </w:r>
          </w:p>
          <w:p w14:paraId="49300566">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6）线路架设施工时，动土工程避开雨天，避免土壤和水蚀流失，工程建设过程中的开挖土方、容易流失的建筑材料，做好临时的防护措施，集中堆放，并注意堆放坡度，做好施工区内的排水工作。</w:t>
            </w:r>
          </w:p>
          <w:p w14:paraId="26150D2D">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7）施工废水经沉淀池沉淀后回用，严禁排入附近地表水体；工程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开挖土方</w:t>
            </w:r>
            <w:r>
              <w:rPr>
                <w:rFonts w:hint="default" w:ascii="Times New Roman" w:hAnsi="Times New Roman" w:eastAsia="宋体" w:cs="Times New Roman"/>
                <w:color w:val="000000" w:themeColor="text1"/>
                <w:sz w:val="24"/>
                <w:szCs w:val="24"/>
                <w:highlight w:val="none"/>
                <w14:textFill>
                  <w14:solidFill>
                    <w14:schemeClr w14:val="tx1"/>
                  </w14:solidFill>
                </w14:textFill>
              </w:rPr>
              <w:t>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得</w:t>
            </w:r>
            <w:r>
              <w:rPr>
                <w:rFonts w:hint="default" w:ascii="Times New Roman" w:hAnsi="Times New Roman" w:eastAsia="宋体" w:cs="Times New Roman"/>
                <w:color w:val="000000" w:themeColor="text1"/>
                <w:sz w:val="24"/>
                <w:szCs w:val="24"/>
                <w:highlight w:val="none"/>
                <w14:textFill>
                  <w14:solidFill>
                    <w14:schemeClr w14:val="tx1"/>
                  </w14:solidFill>
                </w14:textFill>
              </w:rPr>
              <w:t>随意丢弃河流中或岸边。</w:t>
            </w:r>
          </w:p>
          <w:p w14:paraId="53070937">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8）牵张场地等临时场地选址远离生态红线保护范围、生态功能区、河流等生态敏感区，施工结束后，应及时清理施工现场，因地制宜进行土地功能恢复。</w:t>
            </w:r>
          </w:p>
          <w:p w14:paraId="0486E52F">
            <w:pPr>
              <w:keepNext w:val="0"/>
              <w:keepLines w:val="0"/>
              <w:pageBreakBefore w:val="0"/>
              <w:widowControl/>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sz w:val="24"/>
                <w:highlight w:val="none"/>
                <w14:textFill>
                  <w14:solidFill>
                    <w14:schemeClr w14:val="tx1"/>
                  </w14:solidFill>
                </w14:textFill>
              </w:rPr>
            </w:pP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sz w:val="24"/>
                <w:highlight w:val="none"/>
                <w14:textFill>
                  <w14:solidFill>
                    <w14:schemeClr w14:val="tx1"/>
                  </w14:solidFill>
                </w14:textFill>
              </w:rPr>
              <w:t>对占地影响分析</w:t>
            </w:r>
          </w:p>
          <w:p w14:paraId="4D13CF7F">
            <w:pPr>
              <w:keepNext w:val="0"/>
              <w:keepLines w:val="0"/>
              <w:pageBreakBefore w:val="0"/>
              <w:widowControl/>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sz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highlight w:val="none"/>
                <w14:textFill>
                  <w14:solidFill>
                    <w14:schemeClr w14:val="tx1"/>
                  </w14:solidFill>
                </w14:textFill>
              </w:rPr>
              <w:t>本项目</w:t>
            </w:r>
            <w:r>
              <w:rPr>
                <w:rFonts w:hint="default" w:ascii="Times New Roman" w:hAnsi="Times New Roman" w:eastAsia="宋体" w:cs="Times New Roman"/>
                <w:snapToGrid w:val="0"/>
                <w:color w:val="000000" w:themeColor="text1"/>
                <w:sz w:val="24"/>
                <w:highlight w:val="none"/>
                <w:lang w:eastAsia="zh-CN"/>
                <w14:textFill>
                  <w14:solidFill>
                    <w14:schemeClr w14:val="tx1"/>
                  </w14:solidFill>
                </w14:textFill>
              </w:rPr>
              <w:t>塔基</w:t>
            </w:r>
            <w:r>
              <w:rPr>
                <w:rFonts w:hint="default" w:ascii="Times New Roman" w:hAnsi="Times New Roman" w:eastAsia="宋体" w:cs="Times New Roman"/>
                <w:snapToGrid w:val="0"/>
                <w:color w:val="000000" w:themeColor="text1"/>
                <w:sz w:val="24"/>
                <w:highlight w:val="none"/>
                <w14:textFill>
                  <w14:solidFill>
                    <w14:schemeClr w14:val="tx1"/>
                  </w14:solidFill>
                </w14:textFill>
              </w:rPr>
              <w:t>占地为永久用地</w:t>
            </w:r>
            <w:r>
              <w:rPr>
                <w:rFonts w:hint="default" w:ascii="Times New Roman" w:hAnsi="Times New Roman" w:eastAsia="宋体" w:cs="Times New Roman"/>
                <w:snapToGrid w:val="0"/>
                <w:color w:val="000000" w:themeColor="text1"/>
                <w:sz w:val="24"/>
                <w:highlight w:val="none"/>
                <w:lang w:eastAsia="zh-CN"/>
                <w14:textFill>
                  <w14:solidFill>
                    <w14:schemeClr w14:val="tx1"/>
                  </w14:solidFill>
                </w14:textFill>
              </w:rPr>
              <w:t>，占地面积较小</w:t>
            </w:r>
            <w:r>
              <w:rPr>
                <w:rFonts w:hint="default" w:ascii="Times New Roman" w:hAnsi="Times New Roman" w:eastAsia="宋体" w:cs="Times New Roman"/>
                <w:snapToGrid w:val="0"/>
                <w:color w:val="000000" w:themeColor="text1"/>
                <w:sz w:val="24"/>
                <w:highlight w:val="none"/>
                <w14:textFill>
                  <w14:solidFill>
                    <w14:schemeClr w14:val="tx1"/>
                  </w14:solidFill>
                </w14:textFill>
              </w:rPr>
              <w:t>。施工期工程建设对生态环境的影响主要表现为土地占用、地表植被破坏和施工作业扰动引起的水土流失等方面。本项目在施工过程中严格按规划设计的区域、面积使用，不随便践踏、占用土地；施工道路在现有道路的基础上布置规划，减少对土地的破坏、占用；施工结束后，及时对施工碾压过的土地进行人工恢复，使土壤自然疏松，选择合适的当地植被以减少对区域范围内原有地貌的影响。</w:t>
            </w:r>
          </w:p>
          <w:p w14:paraId="2FD828FE">
            <w:pPr>
              <w:keepNext w:val="0"/>
              <w:keepLines w:val="0"/>
              <w:pageBreakBefore w:val="0"/>
              <w:widowControl/>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sz w:val="24"/>
                <w:highlight w:val="none"/>
                <w14:textFill>
                  <w14:solidFill>
                    <w14:schemeClr w14:val="tx1"/>
                  </w14:solidFill>
                </w14:textFill>
              </w:rPr>
            </w:pP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sz w:val="24"/>
                <w:highlight w:val="none"/>
                <w14:textFill>
                  <w14:solidFill>
                    <w14:schemeClr w14:val="tx1"/>
                  </w14:solidFill>
                </w14:textFill>
              </w:rPr>
              <w:t>对植被影响分析</w:t>
            </w:r>
          </w:p>
          <w:p w14:paraId="6646C05B">
            <w:pPr>
              <w:keepNext w:val="0"/>
              <w:keepLines w:val="0"/>
              <w:pageBreakBefore w:val="0"/>
              <w:widowControl/>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snapToGrid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highlight w:val="none"/>
                <w14:textFill>
                  <w14:solidFill>
                    <w14:schemeClr w14:val="tx1"/>
                  </w14:solidFill>
                </w14:textFill>
              </w:rPr>
              <w:t>项目</w:t>
            </w:r>
            <w:r>
              <w:rPr>
                <w:rFonts w:hint="default" w:ascii="Times New Roman" w:hAnsi="Times New Roman" w:eastAsia="宋体" w:cs="Times New Roman"/>
                <w:snapToGrid w:val="0"/>
                <w:color w:val="000000" w:themeColor="text1"/>
                <w:sz w:val="24"/>
                <w:highlight w:val="none"/>
                <w:lang w:eastAsia="zh-CN"/>
                <w14:textFill>
                  <w14:solidFill>
                    <w14:schemeClr w14:val="tx1"/>
                  </w14:solidFill>
                </w14:textFill>
              </w:rPr>
              <w:t>塔基</w:t>
            </w:r>
            <w:r>
              <w:rPr>
                <w:rFonts w:hint="default" w:ascii="Times New Roman" w:hAnsi="Times New Roman" w:eastAsia="宋体" w:cs="Times New Roman"/>
                <w:snapToGrid w:val="0"/>
                <w:color w:val="000000" w:themeColor="text1"/>
                <w:sz w:val="24"/>
                <w:highlight w:val="none"/>
                <w14:textFill>
                  <w14:solidFill>
                    <w14:schemeClr w14:val="tx1"/>
                  </w14:solidFill>
                </w14:textFill>
              </w:rPr>
              <w:t>建设占地将使占地区域内植被面积减少、生物量降低；项目施工过程中，施工区还会占用和破坏较大面积植被</w:t>
            </w:r>
            <w:r>
              <w:rPr>
                <w:rFonts w:hint="eastAsia" w:ascii="Times New Roman" w:hAnsi="Times New Roman" w:eastAsia="宋体" w:cs="Times New Roman"/>
                <w:snapToGrid w:val="0"/>
                <w:color w:val="000000" w:themeColor="text1"/>
                <w:sz w:val="24"/>
                <w:highlight w:val="none"/>
                <w:lang w:eastAsia="zh-CN"/>
                <w14:textFill>
                  <w14:solidFill>
                    <w14:schemeClr w14:val="tx1"/>
                  </w14:solidFill>
                </w14:textFill>
              </w:rPr>
              <w:t>。</w:t>
            </w:r>
          </w:p>
          <w:p w14:paraId="46091989">
            <w:pPr>
              <w:keepNext w:val="0"/>
              <w:keepLines w:val="0"/>
              <w:pageBreakBefore w:val="0"/>
              <w:widowControl/>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本项目线路沿线树木主要为杨树、松树、柳树等，项目施工期间线路走廊内的树林、果树及三排以上的路旁树等按跨越考虑，其他零星杂树按砍伐考虑。</w:t>
            </w:r>
          </w:p>
          <w:p w14:paraId="055B1C89">
            <w:pPr>
              <w:keepNext w:val="0"/>
              <w:keepLines w:val="0"/>
              <w:pageBreakBefore w:val="0"/>
              <w:widowControl/>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本项目施工过程中考虑砍伐的树木均为</w:t>
            </w:r>
            <w:r>
              <w:rPr>
                <w:rFonts w:hint="default" w:ascii="Times New Roman" w:hAnsi="Times New Roman" w:eastAsia="宋体" w:cs="Times New Roman"/>
                <w:snapToGrid w:val="0"/>
                <w:color w:val="000000" w:themeColor="text1"/>
                <w:sz w:val="24"/>
                <w:highlight w:val="none"/>
                <w14:textFill>
                  <w14:solidFill>
                    <w14:schemeClr w14:val="tx1"/>
                  </w14:solidFill>
                </w14:textFill>
              </w:rPr>
              <w:t>抗逆性较强的广布种、常见种</w:t>
            </w:r>
            <w:r>
              <w:rPr>
                <w:rFonts w:hint="eastAsia" w:ascii="Times New Roman" w:hAnsi="Times New Roman" w:eastAsia="宋体"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highlight w:val="none"/>
                <w14:textFill>
                  <w14:solidFill>
                    <w14:schemeClr w14:val="tx1"/>
                  </w14:solidFill>
                </w14:textFill>
              </w:rPr>
              <w:t>生长快、扩散能力强，工程完工清理后可以通过人工种植绿化等方式得以恢复</w:t>
            </w:r>
            <w:r>
              <w:rPr>
                <w:rFonts w:hint="eastAsia" w:ascii="Times New Roman" w:hAnsi="Times New Roman" w:eastAsia="宋体"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highlight w:val="none"/>
                <w14:textFill>
                  <w14:solidFill>
                    <w14:schemeClr w14:val="tx1"/>
                  </w14:solidFill>
                </w14:textFill>
              </w:rPr>
              <w:t>施工区占用人工植被可通过土地平整、土地复垦等方式迅速恢复。项目施工所造成的影响在一定的时期内将逐步得以恢复。</w:t>
            </w: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因此</w:t>
            </w:r>
            <w:r>
              <w:rPr>
                <w:rFonts w:hint="default" w:ascii="Times New Roman" w:hAnsi="Times New Roman" w:eastAsia="宋体" w:cs="Times New Roman"/>
                <w:snapToGrid w:val="0"/>
                <w:color w:val="000000" w:themeColor="text1"/>
                <w:sz w:val="24"/>
                <w:highlight w:val="none"/>
                <w14:textFill>
                  <w14:solidFill>
                    <w14:schemeClr w14:val="tx1"/>
                  </w14:solidFill>
                </w14:textFill>
              </w:rPr>
              <w:t>工程建设不会对本地区植物物种多样性产生较大影响。</w:t>
            </w:r>
          </w:p>
          <w:p w14:paraId="6EFB45B4">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对野生动物的影响分析</w:t>
            </w:r>
          </w:p>
          <w:p w14:paraId="2EF4DCC7">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本项目沿线人类活动较多的区域，目前未发现大型野生动物，未发现国家重点保护的或珍稀、濒危野生动物。施工作业中人员活动及机械噪声可能会干扰当地生物的生境，杆塔施工活动会对项目区动物生存环境产生一定影响。施工期受人为活动和机械设备的影响，区域内野兔、鼠、蛇等野生动物将迁往附近同类生境，动物迁徙能力强，同类生境易于在附近找寻，并且施工仅在昼间进行，夜间不施工。因此，对动物活动影响较小，加之施工结束后动物会逐渐适应并回到该区域活动。</w:t>
            </w:r>
          </w:p>
          <w:p w14:paraId="72ED5F6F">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项目区域活动的鸟类主要为麻雀、雉等一般鸟类，项目施工破坏区域现有场地，可能会对麻雀、雉等的觅食造成一定影响。由于同类生境在附近易于找寻，受施工影响的鸟类将暂时迁往附近同类生境，施工结束后仍能返回原地。</w:t>
            </w:r>
          </w:p>
          <w:p w14:paraId="1C161F8B">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综上所述，施工期对野生动物的影响时暂时的，施工结束后这些动物及鸟类仍能返回原地，不会引起其种群和数量上的减少。因此，施工期对项目区域内动物影响较小。</w:t>
            </w:r>
          </w:p>
          <w:p w14:paraId="79673E6E">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水土流失影响分析</w:t>
            </w:r>
          </w:p>
          <w:p w14:paraId="17D2A8CF">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本项目建设过程中，工程占地范围内的地表植被和土壤将遭受不同程度的破坏，若不及时采取有针对性的水土保持措施，项目占地区域及周边影响区可能会发生水土流失现象，对区域生态环境、工程本身等造成不同程度的不利影响。</w:t>
            </w:r>
          </w:p>
          <w:p w14:paraId="522DB55B">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依据项目区的自然条件和水土流失现状，结合项目自身施工特点，项目的实施可能造成的水土流失危害如下。</w:t>
            </w:r>
          </w:p>
          <w:p w14:paraId="73D093AD">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1）对占地区域及周边影响区生态环境的影响</w:t>
            </w:r>
          </w:p>
          <w:p w14:paraId="47445FA3">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由于工程建设截断和破坏了原地貌自然侵蚀状态下的系统，植被受到一定破坏，诱发了水土流失，同时施工裸地面积增加，为土壤侵蚀创造了条件。</w:t>
            </w:r>
          </w:p>
          <w:p w14:paraId="485BABB5">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2）破坏土壤结构</w:t>
            </w:r>
          </w:p>
          <w:p w14:paraId="18E537E9">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工程建设期，因施工活动，地表土壤疏松，表土层剥离及地表机械车辆碾压，道路硬化，将使土地下渗和容蓄水分能力下降，如不采取有效的防治措施，将因水土流失造成施工难度增大。</w:t>
            </w:r>
          </w:p>
          <w:p w14:paraId="4C795895">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因此，必须采取水土流失防治措施，完善防治体系，有效控制因项目建设而引起的水土流失，并在建设后期对地表进行硬化和绿化，将项目建设对水土资源产生的负面影响降到最低限度。项目投入使用后，工程防护及相应的水土保持措施发挥作用，将有效地控制项目用地范围内的水土流失，同时随着植被的逐渐恢复，造成的水土流失将逐渐减弱、稳定，达到轻度以下的水平，实现局部治理和改善水土流失状况的目的。</w:t>
            </w:r>
          </w:p>
          <w:p w14:paraId="41E64D6F">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对土壤影响分析</w:t>
            </w:r>
          </w:p>
          <w:p w14:paraId="25E98905">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由于机械的碾压及施工人员的踩踏，在施工作业区周围的土壤将被严重压实，部分施工区域的表土将被铲去，另一些区域的表土将可能被填埋，从而使施工完成后的土壤表土层缺乏原有土壤的肥力，不利于植物的生长和植被恢复。施工过程中采用分层堆放和分层覆盖的措施，施工结束后将土层按照原有的分层方式堆放，不会对土壤性质、养分造成明显不利影响。</w:t>
            </w:r>
          </w:p>
          <w:p w14:paraId="3ECE8B1F">
            <w:pPr>
              <w:keepNext w:val="0"/>
              <w:keepLines w:val="0"/>
              <w:pageBreakBefore w:val="0"/>
              <w:kinsoku/>
              <w:wordWrap/>
              <w:overflowPunct/>
              <w:topLinePunct w:val="0"/>
              <w:bidi w:val="0"/>
              <w:snapToGrid/>
              <w:spacing w:line="440" w:lineRule="exact"/>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eastAsia" w:cs="Times New Roman"/>
                <w:color w:val="000000" w:themeColor="text1"/>
                <w:sz w:val="24"/>
                <w:szCs w:val="24"/>
                <w:highlight w:val="none"/>
                <w:lang w:val="en-US" w:eastAsia="zh-CN"/>
                <w14:textFill>
                  <w14:solidFill>
                    <w14:schemeClr w14:val="tx1"/>
                  </w14:solidFill>
                </w14:textFill>
              </w:rPr>
              <w:t>对</w:t>
            </w:r>
            <w:r>
              <w:rPr>
                <w:rFonts w:hint="eastAsia"/>
                <w:color w:val="000000" w:themeColor="text1"/>
                <w:sz w:val="24"/>
                <w:szCs w:val="24"/>
                <w:highlight w:val="none"/>
                <w:lang w:val="en-US" w:eastAsia="zh-CN"/>
                <w14:textFill>
                  <w14:solidFill>
                    <w14:schemeClr w14:val="tx1"/>
                  </w14:solidFill>
                </w14:textFill>
              </w:rPr>
              <w:t>沙化土地影响分析</w:t>
            </w:r>
          </w:p>
          <w:p w14:paraId="295E4DCA">
            <w:pPr>
              <w:keepNext w:val="0"/>
              <w:keepLines w:val="0"/>
              <w:pageBreakBefore w:val="0"/>
              <w:kinsoku/>
              <w:wordWrap/>
              <w:overflowPunct/>
              <w:topLinePunct w:val="0"/>
              <w:bidi w:val="0"/>
              <w:snapToGrid/>
              <w:spacing w:line="440" w:lineRule="exact"/>
              <w:ind w:firstLine="480" w:firstLineChars="200"/>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本项目部分塔基占用沙化土地，施工期间塔基基础的开挖会对地表产生扰动，可能造成原生地表植被损坏，使土地裸露，地表疏松，造成土地沙化。</w:t>
            </w:r>
          </w:p>
          <w:p w14:paraId="4A5772DA">
            <w:pPr>
              <w:pStyle w:val="69"/>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highlight w:val="none"/>
                <w14:textFill>
                  <w14:solidFill>
                    <w14:schemeClr w14:val="tx1"/>
                  </w14:solidFill>
                </w14:textFill>
              </w:rPr>
              <w:t>生态系统变化分析</w:t>
            </w:r>
          </w:p>
          <w:p w14:paraId="4BAF7E51">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在工程影响范围内，受工程影响的植被主要为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杨树、松树、柳树等树木及</w:t>
            </w:r>
            <w:r>
              <w:rPr>
                <w:rFonts w:hint="eastAsia" w:cs="Times New Roman"/>
                <w:color w:val="000000" w:themeColor="text1"/>
                <w:sz w:val="24"/>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草地</w:t>
            </w:r>
            <w:r>
              <w:rPr>
                <w:rFonts w:hint="default" w:ascii="Times New Roman" w:hAnsi="Times New Roman" w:eastAsia="宋体" w:cs="Times New Roman"/>
                <w:color w:val="000000" w:themeColor="text1"/>
                <w:sz w:val="24"/>
                <w:highlight w:val="none"/>
                <w14:textFill>
                  <w14:solidFill>
                    <w14:schemeClr w14:val="tx1"/>
                  </w14:solidFill>
                </w14:textFill>
              </w:rPr>
              <w:t>，施工期地表植被的损失将对现有生态系统产生一定的影响，但由于损失的面积相对较小，而后期的植被恢复也将弥补部分损失的生物量，因而，该项目不会影响工程影响区生态系统的稳定性和完整性。项目建设前、建设中、建设后区域内生态系统组成基本没有变化。因此，项目的建设对当地的生态系统结构影响极小，不会冲击当地的生态系统组成，基本保持原有结构。</w:t>
            </w:r>
          </w:p>
          <w:p w14:paraId="76549F90">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本项目目前已对临时占地区域进行了土地平整，并采用原生表土和乡土物种进行了植被恢复。项目塔基周边现状恢复情况见下图。</w:t>
            </w:r>
          </w:p>
          <w:tbl>
            <w:tblPr>
              <w:tblStyle w:val="35"/>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3"/>
              <w:gridCol w:w="3972"/>
            </w:tblGrid>
            <w:tr w14:paraId="63F7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4013" w:type="dxa"/>
                  <w:vAlign w:val="center"/>
                </w:tcPr>
                <w:p w14:paraId="467DA229">
                  <w:pPr>
                    <w:pStyle w:val="30"/>
                    <w:keepNext w:val="0"/>
                    <w:keepLines w:val="0"/>
                    <w:widowControl/>
                    <w:suppressLineNumbers w:val="0"/>
                    <w:jc w:val="both"/>
                    <w:rPr>
                      <w:rFonts w:hint="eastAsia"/>
                      <w:b w:val="0"/>
                      <w:bCs w:val="0"/>
                      <w:color w:val="000000" w:themeColor="text1"/>
                      <w:sz w:val="24"/>
                      <w:highlight w:val="none"/>
                      <w:vertAlign w:val="baseline"/>
                      <w:lang w:val="en-US" w:eastAsia="zh-CN"/>
                      <w14:textFill>
                        <w14:solidFill>
                          <w14:schemeClr w14:val="tx1"/>
                        </w14:solidFill>
                      </w14:textFill>
                    </w:rPr>
                  </w:pPr>
                  <w:r>
                    <w:rPr>
                      <w:rFonts w:hint="eastAsia"/>
                      <w:b w:val="0"/>
                      <w:bCs w:val="0"/>
                      <w:color w:val="000000" w:themeColor="text1"/>
                      <w:sz w:val="24"/>
                      <w:highlight w:val="none"/>
                      <w:vertAlign w:val="baseline"/>
                      <w:lang w:val="en-US" w:eastAsia="zh-CN"/>
                      <w14:textFill>
                        <w14:solidFill>
                          <w14:schemeClr w14:val="tx1"/>
                        </w14:solidFill>
                      </w14:textFill>
                    </w:rPr>
                    <w:drawing>
                      <wp:inline distT="0" distB="0" distL="114300" distR="114300">
                        <wp:extent cx="2493010" cy="1510665"/>
                        <wp:effectExtent l="0" t="0" r="2540" b="13335"/>
                        <wp:docPr id="15" name="图片 15" descr="174012210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0122106419"/>
                                <pic:cNvPicPr>
                                  <a:picLocks noChangeAspect="1"/>
                                </pic:cNvPicPr>
                              </pic:nvPicPr>
                              <pic:blipFill>
                                <a:blip r:embed="rId22"/>
                                <a:stretch>
                                  <a:fillRect/>
                                </a:stretch>
                              </pic:blipFill>
                              <pic:spPr>
                                <a:xfrm>
                                  <a:off x="0" y="0"/>
                                  <a:ext cx="2493010" cy="1510665"/>
                                </a:xfrm>
                                <a:prstGeom prst="rect">
                                  <a:avLst/>
                                </a:prstGeom>
                              </pic:spPr>
                            </pic:pic>
                          </a:graphicData>
                        </a:graphic>
                      </wp:inline>
                    </w:drawing>
                  </w:r>
                </w:p>
              </w:tc>
              <w:tc>
                <w:tcPr>
                  <w:tcW w:w="3972" w:type="dxa"/>
                  <w:vAlign w:val="center"/>
                </w:tcPr>
                <w:p w14:paraId="5D6CCADE">
                  <w:pPr>
                    <w:keepNext w:val="0"/>
                    <w:keepLines w:val="0"/>
                    <w:pageBreakBefore w:val="0"/>
                    <w:widowControl w:val="0"/>
                    <w:kinsoku/>
                    <w:wordWrap/>
                    <w:overflowPunct/>
                    <w:topLinePunct w:val="0"/>
                    <w:autoSpaceDE/>
                    <w:autoSpaceDN/>
                    <w:bidi w:val="0"/>
                    <w:spacing w:line="240" w:lineRule="auto"/>
                    <w:jc w:val="center"/>
                    <w:textAlignment w:val="auto"/>
                    <w:rPr>
                      <w:rFonts w:hint="eastAsia"/>
                      <w:b w:val="0"/>
                      <w:bCs w:val="0"/>
                      <w:color w:val="000000" w:themeColor="text1"/>
                      <w:sz w:val="24"/>
                      <w:highlight w:val="none"/>
                      <w:vertAlign w:val="baseline"/>
                      <w:lang w:val="en-US" w:eastAsia="zh-CN"/>
                      <w14:textFill>
                        <w14:solidFill>
                          <w14:schemeClr w14:val="tx1"/>
                        </w14:solidFill>
                      </w14:textFill>
                    </w:rPr>
                  </w:pPr>
                  <w:r>
                    <w:rPr>
                      <w:rFonts w:hint="eastAsia"/>
                      <w:b w:val="0"/>
                      <w:bCs w:val="0"/>
                      <w:color w:val="000000" w:themeColor="text1"/>
                      <w:sz w:val="24"/>
                      <w:highlight w:val="none"/>
                      <w:vertAlign w:val="baseline"/>
                      <w:lang w:val="en-US" w:eastAsia="zh-CN"/>
                      <w14:textFill>
                        <w14:solidFill>
                          <w14:schemeClr w14:val="tx1"/>
                        </w14:solidFill>
                      </w14:textFill>
                    </w:rPr>
                    <w:drawing>
                      <wp:inline distT="0" distB="0" distL="114300" distR="114300">
                        <wp:extent cx="2437765" cy="1535430"/>
                        <wp:effectExtent l="0" t="0" r="635" b="7620"/>
                        <wp:docPr id="17" name="图片 17" descr="174012222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40122224691"/>
                                <pic:cNvPicPr>
                                  <a:picLocks noChangeAspect="1"/>
                                </pic:cNvPicPr>
                              </pic:nvPicPr>
                              <pic:blipFill>
                                <a:blip r:embed="rId23"/>
                                <a:stretch>
                                  <a:fillRect/>
                                </a:stretch>
                              </pic:blipFill>
                              <pic:spPr>
                                <a:xfrm>
                                  <a:off x="0" y="0"/>
                                  <a:ext cx="2437765" cy="1535430"/>
                                </a:xfrm>
                                <a:prstGeom prst="rect">
                                  <a:avLst/>
                                </a:prstGeom>
                              </pic:spPr>
                            </pic:pic>
                          </a:graphicData>
                        </a:graphic>
                      </wp:inline>
                    </w:drawing>
                  </w:r>
                </w:p>
              </w:tc>
            </w:tr>
            <w:tr w14:paraId="1512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4013" w:type="dxa"/>
                  <w:vAlign w:val="center"/>
                </w:tcPr>
                <w:p w14:paraId="702349BB">
                  <w:pPr>
                    <w:pStyle w:val="30"/>
                    <w:keepNext w:val="0"/>
                    <w:keepLines w:val="0"/>
                    <w:widowControl/>
                    <w:suppressLineNumbers w:val="0"/>
                    <w:jc w:val="both"/>
                    <w:rPr>
                      <w:rFonts w:hint="eastAsia"/>
                      <w:b w:val="0"/>
                      <w:bCs w:val="0"/>
                      <w:color w:val="000000" w:themeColor="text1"/>
                      <w:sz w:val="24"/>
                      <w:highlight w:val="none"/>
                      <w:vertAlign w:val="baseline"/>
                      <w:lang w:val="en-US" w:eastAsia="zh-CN"/>
                      <w14:textFill>
                        <w14:solidFill>
                          <w14:schemeClr w14:val="tx1"/>
                        </w14:solidFill>
                      </w14:textFill>
                    </w:rPr>
                  </w:pPr>
                  <w:r>
                    <w:rPr>
                      <w:rFonts w:hint="eastAsia"/>
                      <w:b w:val="0"/>
                      <w:bCs w:val="0"/>
                      <w:color w:val="000000" w:themeColor="text1"/>
                      <w:sz w:val="24"/>
                      <w:highlight w:val="none"/>
                      <w:vertAlign w:val="baseline"/>
                      <w:lang w:val="en-US" w:eastAsia="zh-CN"/>
                      <w14:textFill>
                        <w14:solidFill>
                          <w14:schemeClr w14:val="tx1"/>
                        </w14:solidFill>
                      </w14:textFill>
                    </w:rPr>
                    <w:drawing>
                      <wp:inline distT="0" distB="0" distL="114300" distR="114300">
                        <wp:extent cx="2376805" cy="1712595"/>
                        <wp:effectExtent l="0" t="0" r="4445" b="1905"/>
                        <wp:docPr id="19" name="图片 19" descr="174356036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3560367043"/>
                                <pic:cNvPicPr>
                                  <a:picLocks noChangeAspect="1"/>
                                </pic:cNvPicPr>
                              </pic:nvPicPr>
                              <pic:blipFill>
                                <a:blip r:embed="rId24"/>
                                <a:stretch>
                                  <a:fillRect/>
                                </a:stretch>
                              </pic:blipFill>
                              <pic:spPr>
                                <a:xfrm>
                                  <a:off x="0" y="0"/>
                                  <a:ext cx="2376805" cy="1712595"/>
                                </a:xfrm>
                                <a:prstGeom prst="rect">
                                  <a:avLst/>
                                </a:prstGeom>
                              </pic:spPr>
                            </pic:pic>
                          </a:graphicData>
                        </a:graphic>
                      </wp:inline>
                    </w:drawing>
                  </w:r>
                </w:p>
              </w:tc>
              <w:tc>
                <w:tcPr>
                  <w:tcW w:w="3972" w:type="dxa"/>
                  <w:vAlign w:val="center"/>
                </w:tcPr>
                <w:p w14:paraId="20A5C74C">
                  <w:pPr>
                    <w:keepNext w:val="0"/>
                    <w:keepLines w:val="0"/>
                    <w:pageBreakBefore w:val="0"/>
                    <w:widowControl w:val="0"/>
                    <w:kinsoku/>
                    <w:wordWrap/>
                    <w:overflowPunct/>
                    <w:topLinePunct w:val="0"/>
                    <w:autoSpaceDE/>
                    <w:autoSpaceDN/>
                    <w:bidi w:val="0"/>
                    <w:spacing w:line="240" w:lineRule="auto"/>
                    <w:jc w:val="center"/>
                    <w:textAlignment w:val="auto"/>
                    <w:rPr>
                      <w:rFonts w:hint="eastAsia"/>
                      <w:b w:val="0"/>
                      <w:bCs w:val="0"/>
                      <w:color w:val="000000" w:themeColor="text1"/>
                      <w:sz w:val="24"/>
                      <w:highlight w:val="none"/>
                      <w:vertAlign w:val="baseline"/>
                      <w:lang w:val="en-US" w:eastAsia="zh-CN"/>
                      <w14:textFill>
                        <w14:solidFill>
                          <w14:schemeClr w14:val="tx1"/>
                        </w14:solidFill>
                      </w14:textFill>
                    </w:rPr>
                  </w:pPr>
                  <w:r>
                    <w:rPr>
                      <w:rFonts w:hint="eastAsia"/>
                      <w:b w:val="0"/>
                      <w:bCs w:val="0"/>
                      <w:color w:val="000000" w:themeColor="text1"/>
                      <w:sz w:val="24"/>
                      <w:highlight w:val="none"/>
                      <w:vertAlign w:val="baseline"/>
                      <w:lang w:val="en-US" w:eastAsia="zh-CN"/>
                      <w14:textFill>
                        <w14:solidFill>
                          <w14:schemeClr w14:val="tx1"/>
                        </w14:solidFill>
                      </w14:textFill>
                    </w:rPr>
                    <w:drawing>
                      <wp:inline distT="0" distB="0" distL="114300" distR="114300">
                        <wp:extent cx="2466975" cy="1606550"/>
                        <wp:effectExtent l="0" t="0" r="9525" b="12700"/>
                        <wp:docPr id="21" name="图片 21" descr="174356042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3560421775"/>
                                <pic:cNvPicPr>
                                  <a:picLocks noChangeAspect="1"/>
                                </pic:cNvPicPr>
                              </pic:nvPicPr>
                              <pic:blipFill>
                                <a:blip r:embed="rId25"/>
                                <a:stretch>
                                  <a:fillRect/>
                                </a:stretch>
                              </pic:blipFill>
                              <pic:spPr>
                                <a:xfrm>
                                  <a:off x="0" y="0"/>
                                  <a:ext cx="2466975" cy="1606550"/>
                                </a:xfrm>
                                <a:prstGeom prst="rect">
                                  <a:avLst/>
                                </a:prstGeom>
                              </pic:spPr>
                            </pic:pic>
                          </a:graphicData>
                        </a:graphic>
                      </wp:inline>
                    </w:drawing>
                  </w:r>
                </w:p>
              </w:tc>
            </w:tr>
          </w:tbl>
          <w:p w14:paraId="700B8C4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图4-1  项目塔基周边现状恢复情况图</w:t>
            </w:r>
          </w:p>
          <w:p w14:paraId="59C50189">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对生态保护红线影响分析</w:t>
            </w:r>
          </w:p>
          <w:p w14:paraId="2A2A3D25">
            <w:pPr>
              <w:keepNext w:val="0"/>
              <w:keepLines w:val="0"/>
              <w:pageBreakBefore w:val="0"/>
              <w:widowControl w:val="0"/>
              <w:kinsoku/>
              <w:wordWrap/>
              <w:overflowPunct/>
              <w:topLinePunct w:val="0"/>
              <w:autoSpaceDE/>
              <w:autoSpaceDN/>
              <w:bidi w:val="0"/>
              <w:spacing w:after="0" w:line="440" w:lineRule="exact"/>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本项目输电线路长度较长，穿越范围较广，具有区域分布连续与不可分割性，且沿线</w:t>
            </w:r>
            <w:r>
              <w:rPr>
                <w:rFonts w:hint="eastAsia" w:cs="Times New Roman"/>
                <w:color w:val="000000" w:themeColor="text1"/>
                <w:kern w:val="2"/>
                <w:sz w:val="24"/>
                <w:szCs w:val="24"/>
                <w:highlight w:val="none"/>
                <w:lang w:val="en-US" w:eastAsia="zh-CN" w:bidi="ar-SA"/>
                <w14:textFill>
                  <w14:solidFill>
                    <w14:schemeClr w14:val="tx1"/>
                  </w14:solidFill>
                </w14:textFill>
              </w:rPr>
              <w:t>部分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区域生态保护红线占比相对较高、分布较集中</w:t>
            </w:r>
            <w:r>
              <w:rPr>
                <w:rFonts w:hint="eastAsia" w:cs="Times New Roman"/>
                <w:color w:val="000000" w:themeColor="text1"/>
                <w:kern w:val="2"/>
                <w:sz w:val="24"/>
                <w:szCs w:val="24"/>
                <w:highlight w:val="none"/>
                <w:lang w:val="en-US" w:eastAsia="zh-CN" w:bidi="ar-SA"/>
                <w14:textFill>
                  <w14:solidFill>
                    <w14:schemeClr w14:val="tx1"/>
                  </w14:solidFill>
                </w14:textFill>
              </w:rPr>
              <w:t>。本项目塔基不占用生态保护红线，A37、A38号塔基距离燕山水源涵养-生物多样性维护</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生态保护红线</w:t>
            </w:r>
            <w:r>
              <w:rPr>
                <w:rFonts w:hint="eastAsia" w:cs="Times New Roman"/>
                <w:color w:val="000000" w:themeColor="text1"/>
                <w:kern w:val="2"/>
                <w:sz w:val="24"/>
                <w:szCs w:val="24"/>
                <w:highlight w:val="none"/>
                <w:lang w:val="en-US" w:eastAsia="zh-CN" w:bidi="ar-SA"/>
                <w14:textFill>
                  <w14:solidFill>
                    <w14:schemeClr w14:val="tx1"/>
                  </w14:solidFill>
                </w14:textFill>
              </w:rPr>
              <w:t>较近</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06FAD09D">
            <w:pPr>
              <w:pStyle w:val="4"/>
              <w:keepNext w:val="0"/>
              <w:keepLines w:val="0"/>
              <w:pageBreakBefore w:val="0"/>
              <w:kinsoku/>
              <w:wordWrap/>
              <w:overflowPunct/>
              <w:topLinePunct w:val="0"/>
              <w:bidi w:val="0"/>
              <w:snapToGrid/>
              <w:spacing w:after="0" w:line="440" w:lineRule="exact"/>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本项目塔基占地面积较小，</w:t>
            </w:r>
            <w:r>
              <w:rPr>
                <w:rFonts w:hint="eastAsia" w:hAnsi="Times New Roman" w:cs="Times New Roman"/>
                <w:b w:val="0"/>
                <w:bCs/>
                <w:color w:val="000000" w:themeColor="text1"/>
                <w:sz w:val="24"/>
                <w:szCs w:val="24"/>
                <w:highlight w:val="none"/>
                <w:lang w:val="en-US" w:eastAsia="zh-CN"/>
                <w14:textFill>
                  <w14:solidFill>
                    <w14:schemeClr w14:val="tx1"/>
                  </w14:solidFill>
                </w14:textFill>
              </w:rPr>
              <w:t>施工临时设施远离生态保护红线布置，</w:t>
            </w:r>
            <w:r>
              <w:rPr>
                <w:rFonts w:hint="eastAsia" w:cs="Times New Roman"/>
                <w:b w:val="0"/>
                <w:bCs w:val="0"/>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施工期废气达标排放，无废水排放，固废均得到妥善处置，施工过程中采取严格划定施工范围，施工结束后及时进行植被恢复、迹地清理等措施，本项目的施工</w:t>
            </w:r>
            <w:r>
              <w:rPr>
                <w:rFonts w:hint="eastAsia" w:hAnsi="Times New Roman" w:cs="Times New Roman"/>
                <w:b w:val="0"/>
                <w:bCs/>
                <w:color w:val="000000" w:themeColor="text1"/>
                <w:sz w:val="24"/>
                <w:szCs w:val="24"/>
                <w:highlight w:val="none"/>
                <w:lang w:val="en-US" w:eastAsia="zh-CN"/>
                <w14:textFill>
                  <w14:solidFill>
                    <w14:schemeClr w14:val="tx1"/>
                  </w14:solidFill>
                </w14:textFill>
              </w:rPr>
              <w:t>不会</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对周边生态保护红线产生明显不良影响。</w:t>
            </w:r>
          </w:p>
          <w:p w14:paraId="1DC76307">
            <w:pPr>
              <w:keepNext w:val="0"/>
              <w:keepLines w:val="0"/>
              <w:pageBreakBefore w:val="0"/>
              <w:kinsoku/>
              <w:wordWrap/>
              <w:overflowPunct/>
              <w:topLinePunct w:val="0"/>
              <w:bidi w:val="0"/>
              <w:snapToGrid/>
              <w:spacing w:line="440" w:lineRule="exact"/>
              <w:ind w:firstLine="482"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大气环境影响分析</w:t>
            </w:r>
          </w:p>
          <w:p w14:paraId="0881E50E">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（1）施工扬尘</w:t>
            </w:r>
          </w:p>
          <w:p w14:paraId="42B33598">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本项目塔基基础施工、组塔施工、架线施工等均会产生扬尘</w:t>
            </w:r>
            <w:r>
              <w:rPr>
                <w:rFonts w:hint="default" w:ascii="Times New Roman" w:hAnsi="Times New Roman" w:eastAsia="宋体" w:cs="Times New Roman"/>
                <w:color w:val="000000" w:themeColor="text1"/>
                <w:sz w:val="24"/>
                <w:szCs w:val="24"/>
                <w:highlight w:val="none"/>
                <w14:textFill>
                  <w14:solidFill>
                    <w14:schemeClr w14:val="tx1"/>
                  </w14:solidFill>
                </w14:textFill>
              </w:rPr>
              <w:t>。因此，项目施工过程中，严格按照《河北省扬尘污染防治办法》《河北省建筑施工扬尘防治标准》《河北省建筑施工扬尘防治强化措施十八条》《关于印发&lt;202</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建筑施工扬尘污染防治工作方案》的通知&gt;（冀建质安函〔2024〕115号）等要求采取洒水、苫盖、围挡等扬尘治理措施，减少扬尘污染，确保施工场地颗粒物浓度满足《施工场地扬尘排放标准》（DB13/2934-2019）中扬尘（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）排放浓度限值的要求。</w:t>
            </w:r>
          </w:p>
          <w:p w14:paraId="2235C376">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本项目采取措施后可有效抑制扬尘的产生，满足《施工场地扬尘排放标准》（DB13/2934-2019）要求，对周围村庄大气环境产生影响较小。因此，施工扬尘对周围环境的影响较小。</w:t>
            </w:r>
          </w:p>
          <w:p w14:paraId="41ECF13A">
            <w:pPr>
              <w:spacing w:line="440" w:lineRule="exact"/>
              <w:ind w:firstLine="480" w:firstLineChars="200"/>
              <w:rPr>
                <w:rFonts w:hint="eastAsia"/>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施工机械</w:t>
            </w:r>
            <w:r>
              <w:rPr>
                <w:rFonts w:hint="eastAsia"/>
                <w:b w:val="0"/>
                <w:bCs w:val="0"/>
                <w:color w:val="000000" w:themeColor="text1"/>
                <w:sz w:val="24"/>
                <w:highlight w:val="none"/>
                <w:lang w:val="en-US" w:eastAsia="zh-CN"/>
                <w14:textFill>
                  <w14:solidFill>
                    <w14:schemeClr w14:val="tx1"/>
                  </w14:solidFill>
                </w14:textFill>
              </w:rPr>
              <w:t>及</w:t>
            </w:r>
            <w:r>
              <w:rPr>
                <w:rFonts w:hint="eastAsia"/>
                <w:b w:val="0"/>
                <w:bCs w:val="0"/>
                <w:color w:val="000000" w:themeColor="text1"/>
                <w:sz w:val="24"/>
                <w:highlight w:val="none"/>
                <w14:textFill>
                  <w14:solidFill>
                    <w14:schemeClr w14:val="tx1"/>
                  </w14:solidFill>
                </w14:textFill>
              </w:rPr>
              <w:t>运输车辆的尾气排放</w:t>
            </w:r>
          </w:p>
          <w:p w14:paraId="3B53977F">
            <w:pPr>
              <w:spacing w:line="440" w:lineRule="exact"/>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施工机械</w:t>
            </w:r>
            <w:r>
              <w:rPr>
                <w:rFonts w:hint="default" w:ascii="Times New Roman" w:hAnsi="Times New Roman" w:cs="Times New Roman"/>
                <w:color w:val="000000" w:themeColor="text1"/>
                <w:sz w:val="24"/>
                <w:highlight w:val="none"/>
                <w:lang w:val="en-US" w:eastAsia="zh-CN"/>
                <w14:textFill>
                  <w14:solidFill>
                    <w14:schemeClr w14:val="tx1"/>
                  </w14:solidFill>
                </w14:textFill>
              </w:rPr>
              <w:t>及</w:t>
            </w:r>
            <w:r>
              <w:rPr>
                <w:rFonts w:hint="default" w:ascii="Times New Roman" w:hAnsi="Times New Roman" w:cs="Times New Roman"/>
                <w:color w:val="000000" w:themeColor="text1"/>
                <w:sz w:val="24"/>
                <w:highlight w:val="none"/>
                <w14:textFill>
                  <w14:solidFill>
                    <w14:schemeClr w14:val="tx1"/>
                  </w14:solidFill>
                </w14:textFill>
              </w:rPr>
              <w:t>运输车辆</w:t>
            </w:r>
            <w:r>
              <w:rPr>
                <w:rFonts w:hint="default" w:ascii="Times New Roman" w:hAnsi="Times New Roman" w:cs="Times New Roman"/>
                <w:color w:val="000000" w:themeColor="text1"/>
                <w:sz w:val="24"/>
                <w:highlight w:val="none"/>
                <w:lang w:val="en-US" w:eastAsia="zh-CN"/>
                <w14:textFill>
                  <w14:solidFill>
                    <w14:schemeClr w14:val="tx1"/>
                  </w14:solidFill>
                </w14:textFill>
              </w:rPr>
              <w:t>均</w:t>
            </w:r>
            <w:r>
              <w:rPr>
                <w:rFonts w:hint="default" w:ascii="Times New Roman" w:hAnsi="Times New Roman" w:cs="Times New Roman"/>
                <w:color w:val="000000" w:themeColor="text1"/>
                <w:sz w:val="24"/>
                <w:highlight w:val="none"/>
                <w14:textFill>
                  <w14:solidFill>
                    <w14:schemeClr w14:val="tx1"/>
                  </w14:solidFill>
                </w14:textFill>
              </w:rPr>
              <w:t>以燃油为主，燃烧尾气中含有CO、TOC、NO</w:t>
            </w:r>
            <w:r>
              <w:rPr>
                <w:rFonts w:hint="default" w:ascii="Times New Roman" w:hAnsi="Times New Roman" w:cs="Times New Roman"/>
                <w:color w:val="000000" w:themeColor="text1"/>
                <w:sz w:val="24"/>
                <w:highlight w:val="none"/>
                <w:vertAlign w:val="subscript"/>
                <w14:textFill>
                  <w14:solidFill>
                    <w14:schemeClr w14:val="tx1"/>
                  </w14:solidFill>
                </w14:textFill>
              </w:rPr>
              <w:t>X</w:t>
            </w:r>
            <w:r>
              <w:rPr>
                <w:rFonts w:hint="default" w:ascii="Times New Roman" w:hAnsi="Times New Roman" w:cs="Times New Roman"/>
                <w:color w:val="000000" w:themeColor="text1"/>
                <w:sz w:val="24"/>
                <w:highlight w:val="none"/>
                <w14:textFill>
                  <w14:solidFill>
                    <w14:schemeClr w14:val="tx1"/>
                  </w14:solidFill>
                </w14:textFill>
              </w:rPr>
              <w:t>等大气污染物及一些有毒有害气体，影响施工区大气环境质量。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但本项目在空旷地带施工，有利于污染物扩散，因此施工机械及运输车辆尾气对周围环境影响不大。</w:t>
            </w:r>
          </w:p>
          <w:p w14:paraId="1B969820">
            <w:pPr>
              <w:keepNext w:val="0"/>
              <w:keepLines w:val="0"/>
              <w:pageBreakBefore w:val="0"/>
              <w:kinsoku/>
              <w:wordWrap/>
              <w:overflowPunct/>
              <w:topLinePunct w:val="0"/>
              <w:bidi w:val="0"/>
              <w:snapToGrid/>
              <w:spacing w:line="440" w:lineRule="exact"/>
              <w:ind w:firstLine="482"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、水环境影响分析</w:t>
            </w:r>
          </w:p>
          <w:p w14:paraId="0C95D854">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本项目施工期产生的施工设备清洗和水泥养护排水，水量较小，主要污染物为泥沙</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对环境影响较小。施工场地应设简易沉淀池，将施工废水收集沉淀后，用于场地泼洒降尘。建设期间，施工现场</w:t>
            </w:r>
            <w:r>
              <w:rPr>
                <w:rFonts w:hint="eastAsia" w:cs="Times New Roman"/>
                <w:color w:val="000000" w:themeColor="text1"/>
                <w:sz w:val="24"/>
                <w:highlight w:val="none"/>
                <w:lang w:val="en-US" w:eastAsia="zh-CN"/>
                <w14:textFill>
                  <w14:solidFill>
                    <w14:schemeClr w14:val="tx1"/>
                  </w14:solidFill>
                </w14:textFill>
              </w:rPr>
              <w:t>施工人员</w:t>
            </w:r>
            <w:r>
              <w:rPr>
                <w:rFonts w:hint="default" w:ascii="Times New Roman" w:hAnsi="Times New Roman" w:eastAsia="宋体" w:cs="Times New Roman"/>
                <w:color w:val="000000" w:themeColor="text1"/>
                <w:sz w:val="24"/>
                <w:highlight w:val="none"/>
                <w14:textFill>
                  <w14:solidFill>
                    <w14:schemeClr w14:val="tx1"/>
                  </w14:solidFill>
                </w14:textFill>
              </w:rPr>
              <w:t>生活污水为职工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盥洗</w:t>
            </w:r>
            <w:r>
              <w:rPr>
                <w:rFonts w:hint="default" w:ascii="Times New Roman" w:hAnsi="Times New Roman" w:eastAsia="宋体" w:cs="Times New Roman"/>
                <w:color w:val="000000" w:themeColor="text1"/>
                <w:sz w:val="24"/>
                <w:highlight w:val="none"/>
                <w14:textFill>
                  <w14:solidFill>
                    <w14:schemeClr w14:val="tx1"/>
                  </w14:solidFill>
                </w14:textFill>
              </w:rPr>
              <w:t>废水，水量较小，用于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场地</w:t>
            </w:r>
            <w:r>
              <w:rPr>
                <w:rFonts w:hint="default" w:ascii="Times New Roman" w:hAnsi="Times New Roman" w:eastAsia="宋体" w:cs="Times New Roman"/>
                <w:color w:val="000000" w:themeColor="text1"/>
                <w:sz w:val="24"/>
                <w:highlight w:val="none"/>
                <w14:textFill>
                  <w14:solidFill>
                    <w14:schemeClr w14:val="tx1"/>
                  </w14:solidFill>
                </w14:textFill>
              </w:rPr>
              <w:t>泼洒抑尘，同时</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施工营地</w:t>
            </w:r>
            <w:r>
              <w:rPr>
                <w:rFonts w:hint="default" w:ascii="Times New Roman" w:hAnsi="Times New Roman" w:eastAsia="宋体" w:cs="Times New Roman"/>
                <w:color w:val="000000" w:themeColor="text1"/>
                <w:sz w:val="24"/>
                <w:highlight w:val="none"/>
                <w14:textFill>
                  <w14:solidFill>
                    <w14:schemeClr w14:val="tx1"/>
                  </w14:solidFill>
                </w14:textFill>
              </w:rPr>
              <w:t>设置防渗旱厕，清掏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4"/>
                <w:highlight w:val="none"/>
                <w14:textFill>
                  <w14:solidFill>
                    <w14:schemeClr w14:val="tx1"/>
                  </w14:solidFill>
                </w14:textFill>
              </w:rPr>
              <w:t>用作农肥，不外排。</w:t>
            </w:r>
          </w:p>
          <w:p w14:paraId="6FEEEC5E">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综上，本项目施工期间无废水外排，</w:t>
            </w:r>
            <w:r>
              <w:rPr>
                <w:rFonts w:hint="eastAsia" w:cs="Times New Roman"/>
                <w:color w:val="000000" w:themeColor="text1"/>
                <w:sz w:val="24"/>
                <w:highlight w:val="none"/>
                <w:lang w:val="en-US" w:eastAsia="zh-CN"/>
                <w14:textFill>
                  <w14:solidFill>
                    <w14:schemeClr w14:val="tx1"/>
                  </w14:solidFill>
                </w14:textFill>
              </w:rPr>
              <w:t>不会对</w:t>
            </w:r>
            <w:r>
              <w:rPr>
                <w:rFonts w:hint="default" w:ascii="Times New Roman" w:hAnsi="Times New Roman" w:eastAsia="宋体" w:cs="Times New Roman"/>
                <w:color w:val="000000" w:themeColor="text1"/>
                <w:sz w:val="24"/>
                <w:highlight w:val="none"/>
                <w14:textFill>
                  <w14:solidFill>
                    <w14:schemeClr w14:val="tx1"/>
                  </w14:solidFill>
                </w14:textFill>
              </w:rPr>
              <w:t>项目区水环境</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w:t>
            </w:r>
            <w:r>
              <w:rPr>
                <w:rFonts w:hint="default" w:ascii="Times New Roman" w:hAnsi="Times New Roman" w:eastAsia="宋体" w:cs="Times New Roman"/>
                <w:color w:val="000000" w:themeColor="text1"/>
                <w:sz w:val="24"/>
                <w:highlight w:val="none"/>
                <w14:textFill>
                  <w14:solidFill>
                    <w14:schemeClr w14:val="tx1"/>
                  </w14:solidFill>
                </w14:textFill>
              </w:rPr>
              <w:t>影响。</w:t>
            </w:r>
          </w:p>
          <w:p w14:paraId="5B3A3ADD">
            <w:pPr>
              <w:keepNext w:val="0"/>
              <w:keepLines w:val="0"/>
              <w:pageBreakBefore w:val="0"/>
              <w:kinsoku/>
              <w:wordWrap/>
              <w:overflowPunct/>
              <w:topLinePunct w:val="0"/>
              <w:bidi w:val="0"/>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、声环境影响分析</w:t>
            </w:r>
          </w:p>
          <w:p w14:paraId="7229A28B">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噪声主要为施工机械和运输车辆运行过程中产生的噪声，该类噪声虽然是暂时的，但是施工过程中采用的机械设备大部分具有噪声高、无规则等特点，且施工过程中往往是多种机械同时工作，各种噪声源相互叠加，噪声级将更高，影响范围也更大，所以施工过程中必须采取有效措施，减少其对环境的影响。</w:t>
            </w:r>
          </w:p>
          <w:p w14:paraId="17288DA8">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w:t>
            </w:r>
            <w:r>
              <w:rPr>
                <w:rFonts w:hint="eastAsia" w:cs="Times New Roman"/>
                <w:color w:val="000000" w:themeColor="text1"/>
                <w:sz w:val="24"/>
                <w:szCs w:val="24"/>
                <w:highlight w:val="none"/>
                <w:lang w:val="en-US" w:eastAsia="zh-CN"/>
                <w14:textFill>
                  <w14:solidFill>
                    <w14:schemeClr w14:val="tx1"/>
                  </w14:solidFill>
                </w14:textFill>
              </w:rPr>
              <w:t>在施工期间</w:t>
            </w:r>
            <w:r>
              <w:rPr>
                <w:rFonts w:hint="default" w:ascii="Times New Roman" w:hAnsi="Times New Roman" w:eastAsia="宋体" w:cs="Times New Roman"/>
                <w:color w:val="000000" w:themeColor="text1"/>
                <w:sz w:val="24"/>
                <w:szCs w:val="24"/>
                <w:highlight w:val="none"/>
                <w14:textFill>
                  <w14:solidFill>
                    <w14:schemeClr w14:val="tx1"/>
                  </w14:solidFill>
                </w14:textFill>
              </w:rPr>
              <w:t>采取以下措施：（1）采用低噪音、振动小的设备，并注意对设备的维护和保养，合理操作，保证施工机械在最佳状态。（2）合理布置施工现场，避免在施工现场的同一地点安排大量的高噪声设备，造成局部声级过高。</w:t>
            </w:r>
          </w:p>
          <w:p w14:paraId="330BDAD4">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通过采取以上措施后，施工噪声可得到较好地控制。本工程施工期产生的噪声影响是小范围的和暂时的，随着施工期的结束，对环境的影响也将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随之</w:t>
            </w:r>
            <w:r>
              <w:rPr>
                <w:rFonts w:hint="default" w:ascii="Times New Roman" w:hAnsi="Times New Roman" w:eastAsia="宋体" w:cs="Times New Roman"/>
                <w:color w:val="000000" w:themeColor="text1"/>
                <w:sz w:val="24"/>
                <w:szCs w:val="24"/>
                <w:highlight w:val="none"/>
                <w14:textFill>
                  <w14:solidFill>
                    <w14:schemeClr w14:val="tx1"/>
                  </w14:solidFill>
                </w14:textFill>
              </w:rPr>
              <w:t>消失。</w:t>
            </w:r>
          </w:p>
          <w:p w14:paraId="0513959E">
            <w:pPr>
              <w:keepNext w:val="0"/>
              <w:keepLines w:val="0"/>
              <w:pageBreakBefore w:val="0"/>
              <w:kinsoku/>
              <w:wordWrap/>
              <w:overflowPunct/>
              <w:topLinePunct w:val="0"/>
              <w:bidi w:val="0"/>
              <w:snapToGrid/>
              <w:spacing w:line="440" w:lineRule="exact"/>
              <w:ind w:firstLine="482"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、固体废物影响分析</w:t>
            </w:r>
          </w:p>
          <w:p w14:paraId="64E4726E">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snapToGrid w:val="0"/>
                <w:color w:val="000000" w:themeColor="text1"/>
                <w:sz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highlight w:val="none"/>
                <w14:textFill>
                  <w14:solidFill>
                    <w14:schemeClr w14:val="tx1"/>
                  </w14:solidFill>
                </w14:textFill>
              </w:rPr>
              <w:t>本项目总土石方调配平衡，无需借方，无弃方，</w:t>
            </w:r>
            <w:r>
              <w:rPr>
                <w:rFonts w:hint="eastAsia" w:cs="Times New Roman"/>
                <w:snapToGrid w:val="0"/>
                <w:color w:val="000000" w:themeColor="text1"/>
                <w:sz w:val="24"/>
                <w:highlight w:val="none"/>
                <w:lang w:val="en-US" w:eastAsia="zh-CN"/>
                <w14:textFill>
                  <w14:solidFill>
                    <w14:schemeClr w14:val="tx1"/>
                  </w14:solidFill>
                </w14:textFill>
              </w:rPr>
              <w:t>未</w:t>
            </w:r>
            <w:r>
              <w:rPr>
                <w:rFonts w:hint="default" w:ascii="Times New Roman" w:hAnsi="Times New Roman" w:eastAsia="宋体" w:cs="Times New Roman"/>
                <w:snapToGrid w:val="0"/>
                <w:color w:val="000000" w:themeColor="text1"/>
                <w:sz w:val="24"/>
                <w:highlight w:val="none"/>
                <w14:textFill>
                  <w14:solidFill>
                    <w14:schemeClr w14:val="tx1"/>
                  </w14:solidFill>
                </w14:textFill>
              </w:rPr>
              <w:t>设置取土场、弃渣场。</w:t>
            </w:r>
          </w:p>
          <w:p w14:paraId="44AC795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施工期固体废物主要</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highlight w:val="none"/>
                <w14:textFill>
                  <w14:solidFill>
                    <w14:schemeClr w14:val="tx1"/>
                  </w14:solidFill>
                </w14:textFill>
              </w:rPr>
              <w:t>施工过程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highlight w:val="none"/>
                <w14:textFill>
                  <w14:solidFill>
                    <w14:schemeClr w14:val="tx1"/>
                  </w14:solidFill>
                </w14:textFill>
              </w:rPr>
              <w:t>产生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highlight w:val="none"/>
                <w14:textFill>
                  <w14:solidFill>
                    <w14:schemeClr w14:val="tx1"/>
                  </w14:solidFill>
                </w14:textFill>
              </w:rPr>
              <w:t>建筑垃圾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及施工人员生活垃圾</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snapToGrid w:val="0"/>
                <w:color w:val="000000" w:themeColor="text1"/>
                <w:sz w:val="24"/>
                <w:highlight w:val="none"/>
                <w14:textFill>
                  <w14:solidFill>
                    <w14:schemeClr w14:val="tx1"/>
                  </w14:solidFill>
                </w14:textFill>
              </w:rPr>
              <w:t>建筑垃圾送市政部门指定的地点堆存；生活垃圾收集后，交由环卫部门统一处理。</w:t>
            </w:r>
            <w:r>
              <w:rPr>
                <w:rFonts w:hint="default" w:ascii="Times New Roman" w:hAnsi="Times New Roman" w:eastAsia="宋体" w:cs="Times New Roman"/>
                <w:snapToGrid w:val="0"/>
                <w:color w:val="000000" w:themeColor="text1"/>
                <w:sz w:val="24"/>
                <w:highlight w:val="none"/>
                <w:lang w:val="en-US" w:eastAsia="zh-CN"/>
                <w14:textFill>
                  <w14:solidFill>
                    <w14:schemeClr w14:val="tx1"/>
                  </w14:solidFill>
                </w14:textFill>
              </w:rPr>
              <w:t>施工期固废均得到妥善处置，</w:t>
            </w:r>
            <w:r>
              <w:rPr>
                <w:rFonts w:hint="eastAsia" w:cs="Times New Roman"/>
                <w:color w:val="000000" w:themeColor="text1"/>
                <w:sz w:val="24"/>
                <w:highlight w:val="none"/>
                <w:lang w:val="en-US" w:eastAsia="zh-CN"/>
                <w14:textFill>
                  <w14:solidFill>
                    <w14:schemeClr w14:val="tx1"/>
                  </w14:solidFill>
                </w14:textFill>
              </w:rPr>
              <w:t>未</w:t>
            </w:r>
            <w:r>
              <w:rPr>
                <w:rFonts w:hint="default" w:ascii="Times New Roman" w:hAnsi="Times New Roman" w:eastAsia="宋体" w:cs="Times New Roman"/>
                <w:color w:val="000000" w:themeColor="text1"/>
                <w:sz w:val="24"/>
                <w:highlight w:val="none"/>
                <w14:textFill>
                  <w14:solidFill>
                    <w14:schemeClr w14:val="tx1"/>
                  </w14:solidFill>
                </w14:textFill>
              </w:rPr>
              <w:t>对周围环境产生明显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不良</w:t>
            </w:r>
            <w:r>
              <w:rPr>
                <w:rFonts w:hint="default" w:ascii="Times New Roman" w:hAnsi="Times New Roman" w:eastAsia="宋体" w:cs="Times New Roman"/>
                <w:color w:val="000000" w:themeColor="text1"/>
                <w:sz w:val="24"/>
                <w:highlight w:val="none"/>
                <w14:textFill>
                  <w14:solidFill>
                    <w14:schemeClr w14:val="tx1"/>
                  </w14:solidFill>
                </w14:textFill>
              </w:rPr>
              <w:t>影响。</w:t>
            </w:r>
          </w:p>
          <w:p w14:paraId="3D1F5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eastAsia="宋体"/>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经调查，</w:t>
            </w:r>
            <w:r>
              <w:rPr>
                <w:rFonts w:hint="eastAsia" w:cs="Times New Roman"/>
                <w:b w:val="0"/>
                <w:bCs w:val="0"/>
                <w:color w:val="000000" w:themeColor="text1"/>
                <w:spacing w:val="-1"/>
                <w:sz w:val="24"/>
                <w:szCs w:val="24"/>
                <w:highlight w:val="none"/>
                <w:lang w:val="en-US" w:eastAsia="zh-CN"/>
                <w14:textFill>
                  <w14:solidFill>
                    <w14:schemeClr w14:val="tx1"/>
                  </w14:solidFill>
                </w14:textFill>
              </w:rPr>
              <w:t>本项目</w:t>
            </w:r>
            <w:r>
              <w:rPr>
                <w:rFonts w:hint="eastAsia" w:cs="Times New Roman"/>
                <w:b w:val="0"/>
                <w:bCs w:val="0"/>
                <w:color w:val="000000" w:themeColor="text1"/>
                <w:kern w:val="0"/>
                <w:sz w:val="24"/>
                <w:highlight w:val="none"/>
                <w:lang w:val="en-US" w:eastAsia="zh-CN"/>
                <w14:textFill>
                  <w14:solidFill>
                    <w14:schemeClr w14:val="tx1"/>
                  </w14:solidFill>
                </w14:textFill>
              </w:rPr>
              <w:t>施工期废气、噪声均达标排放，固废均得到妥善处置，施工期已对临时占地区域进行了土地平整</w:t>
            </w:r>
            <w:r>
              <w:rPr>
                <w:rFonts w:hint="eastAsia"/>
                <w:b w:val="0"/>
                <w:bCs w:val="0"/>
                <w:color w:val="000000" w:themeColor="text1"/>
                <w:sz w:val="24"/>
                <w:highlight w:val="none"/>
                <w:lang w:val="en-US" w:eastAsia="zh-CN"/>
                <w14:textFill>
                  <w14:solidFill>
                    <w14:schemeClr w14:val="tx1"/>
                  </w14:solidFill>
                </w14:textFill>
              </w:rPr>
              <w:t>，并采用原生表土和乡土物种进行了植被恢复。</w:t>
            </w:r>
            <w:r>
              <w:rPr>
                <w:rFonts w:hint="eastAsia" w:cs="Times New Roman"/>
                <w:b w:val="0"/>
                <w:bCs w:val="0"/>
                <w:color w:val="000000" w:themeColor="text1"/>
                <w:kern w:val="0"/>
                <w:sz w:val="24"/>
                <w:highlight w:val="none"/>
                <w:lang w:val="en-US" w:eastAsia="zh-CN"/>
                <w14:textFill>
                  <w14:solidFill>
                    <w14:schemeClr w14:val="tx1"/>
                  </w14:solidFill>
                </w14:textFill>
              </w:rPr>
              <w:t>项目施工未对周边环境造成明显不利影响，未对周边生态环境造成明显破坏，且施工期未收到投诉。</w:t>
            </w:r>
          </w:p>
        </w:tc>
      </w:tr>
      <w:tr w14:paraId="44F96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79" w:type="pct"/>
            <w:noWrap w:val="0"/>
            <w:tcMar>
              <w:left w:w="28" w:type="dxa"/>
              <w:right w:w="28" w:type="dxa"/>
            </w:tcMar>
            <w:vAlign w:val="center"/>
          </w:tcPr>
          <w:p w14:paraId="14F794B6">
            <w:pPr>
              <w:pStyle w:val="30"/>
              <w:adjustRightInd w:val="0"/>
              <w:snapToGrid w:val="0"/>
              <w:spacing w:before="0" w:beforeAutospacing="0" w:after="0" w:afterAutospacing="0"/>
              <w:jc w:val="center"/>
              <w:rPr>
                <w:rFonts w:cs="宋体"/>
                <w:b/>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b/>
                <w:bCs/>
                <w:color w:val="000000" w:themeColor="text1"/>
                <w:spacing w:val="-2"/>
                <w:kern w:val="2"/>
                <w:szCs w:val="24"/>
                <w:highlight w:val="none"/>
                <w:lang w:val="en-US" w:eastAsia="zh-CN"/>
                <w14:textFill>
                  <w14:solidFill>
                    <w14:schemeClr w14:val="tx1"/>
                  </w14:solidFill>
                </w14:textFill>
              </w:rPr>
              <w:t>运营期生态环境影响分析</w:t>
            </w:r>
          </w:p>
        </w:tc>
        <w:tc>
          <w:tcPr>
            <w:tcW w:w="4720" w:type="pct"/>
            <w:noWrap w:val="0"/>
            <w:vAlign w:val="top"/>
          </w:tcPr>
          <w:p w14:paraId="60883399">
            <w:pPr>
              <w:pStyle w:val="82"/>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风力发电项目配套送出线路工程</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运营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线路巡检</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风电场区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工作人员，不新增劳动定员，不新增</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固废和废水，不涉及废气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，因此本报告表针对线路运营期产生的电磁、噪声和生态影响进行重点分析。</w:t>
            </w:r>
          </w:p>
          <w:p w14:paraId="6CF61F6D">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1、电磁环境影响预测及评价</w:t>
            </w:r>
          </w:p>
          <w:p w14:paraId="63CDE45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电磁环境影响专题评价，采用模式预测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方式</w:t>
            </w:r>
            <w:r>
              <w:rPr>
                <w:rFonts w:hint="default" w:ascii="Times New Roman" w:hAnsi="Times New Roman" w:eastAsia="宋体" w:cs="Times New Roman"/>
                <w:color w:val="000000" w:themeColor="text1"/>
                <w:sz w:val="24"/>
                <w:szCs w:val="24"/>
                <w:highlight w:val="none"/>
                <w14:textFill>
                  <w14:solidFill>
                    <w14:schemeClr w14:val="tx1"/>
                  </w14:solidFill>
                </w14:textFill>
              </w:rPr>
              <w:t>预测本项目架空线路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投入运行</w:t>
            </w:r>
            <w:r>
              <w:rPr>
                <w:rFonts w:hint="default" w:ascii="Times New Roman" w:hAnsi="Times New Roman" w:eastAsia="宋体" w:cs="Times New Roman"/>
                <w:color w:val="000000" w:themeColor="text1"/>
                <w:sz w:val="24"/>
                <w:szCs w:val="24"/>
                <w:highlight w:val="none"/>
                <w14:textFill>
                  <w14:solidFill>
                    <w14:schemeClr w14:val="tx1"/>
                  </w14:solidFill>
                </w14:textFill>
              </w:rPr>
              <w:t>后产生的工频电磁场对周围环境的影响范围及程度。</w:t>
            </w:r>
          </w:p>
          <w:p w14:paraId="4E5D5D15">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经模式预测，本项目架空线路投入运行后，线路沿线及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电磁环境敏感</w:t>
            </w:r>
            <w:r>
              <w:rPr>
                <w:rFonts w:hint="default" w:ascii="Times New Roman" w:hAnsi="Times New Roman" w:eastAsia="宋体" w:cs="Times New Roman"/>
                <w:color w:val="000000" w:themeColor="text1"/>
                <w:sz w:val="24"/>
                <w:szCs w:val="24"/>
                <w:highlight w:val="none"/>
                <w14:textFill>
                  <w14:solidFill>
                    <w14:schemeClr w14:val="tx1"/>
                  </w14:solidFill>
                </w14:textFill>
              </w:rPr>
              <w:t>目标处工频电场强度、工频磁感应强度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满足《电磁环境控制限值》（GB8702-2014）中规定的4kV/m和100μT公众曝露控制限值要求，其中架空输电线路线下的耕地、园地、道路等场所，其频率50Hz的电场强度控制限值为10kV/m。</w:t>
            </w:r>
          </w:p>
          <w:p w14:paraId="4D355CA6">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本项目投入运行后产生的电磁辐射对外环境影响较小，详见电磁环境影响专篇。</w:t>
            </w:r>
          </w:p>
          <w:p w14:paraId="32DC63D0">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2、声环境影响预测与评价</w:t>
            </w:r>
          </w:p>
          <w:p w14:paraId="1CA72A1D">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投入使用后，架空线路的主要噪声源为高压线电晕放电而引起的无规则噪声以及输电线路的电荷运动产生的交流声，同时因高空风速较大，线路振动产生风鸣声，但噪声级很小，一般情况下</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11</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0kV输电线路走廊下方的噪声值与背景值接近。</w:t>
            </w:r>
          </w:p>
          <w:p w14:paraId="57ED6B3D">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为预测本项目新建</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11</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0kV架空线路声环境影响，</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采用相同</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电压等级、</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相同</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架设方式的</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11</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0kV单回架空线路进行类比。</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类比</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已经建成运行的“黄骅市正骅新能源有限公司90MW渔光互补光伏平价上网项目110kV外送线路工程”中110kV南桥线</w:t>
            </w:r>
            <w:r>
              <w:rPr>
                <w:rFonts w:hint="eastAsia" w:cs="Times New Roman"/>
                <w:bCs/>
                <w:snapToGrid w:val="0"/>
                <w:color w:val="000000" w:themeColor="text1"/>
                <w:spacing w:val="0"/>
                <w:kern w:val="0"/>
                <w:sz w:val="24"/>
                <w:szCs w:val="24"/>
                <w:highlight w:val="none"/>
                <w:lang w:val="en-US" w:eastAsia="zh-CN"/>
                <w14:textFill>
                  <w14:solidFill>
                    <w14:schemeClr w14:val="tx1"/>
                  </w14:solidFill>
                </w14:textFill>
              </w:rPr>
              <w:t>单回架空段</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w:t>
            </w:r>
          </w:p>
          <w:p w14:paraId="7DF986D8">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本项目线路工程与</w:t>
            </w:r>
            <w:r>
              <w:rPr>
                <w:rFonts w:hint="eastAsia" w:cs="Times New Roman"/>
                <w:bCs/>
                <w:snapToGrid w:val="0"/>
                <w:color w:val="000000" w:themeColor="text1"/>
                <w:spacing w:val="0"/>
                <w:kern w:val="0"/>
                <w:sz w:val="24"/>
                <w:szCs w:val="24"/>
                <w:highlight w:val="none"/>
                <w:lang w:val="en-US" w:eastAsia="zh-CN"/>
                <w14:textFill>
                  <w14:solidFill>
                    <w14:schemeClr w14:val="tx1"/>
                  </w14:solidFill>
                </w14:textFill>
              </w:rPr>
              <w:t>类比工程</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的可比性</w:t>
            </w:r>
            <w:r>
              <w:rPr>
                <w:rFonts w:hint="eastAsia" w:cs="Times New Roman"/>
                <w:bCs/>
                <w:snapToGrid w:val="0"/>
                <w:color w:val="000000" w:themeColor="text1"/>
                <w:spacing w:val="0"/>
                <w:kern w:val="0"/>
                <w:sz w:val="24"/>
                <w:szCs w:val="24"/>
                <w:highlight w:val="none"/>
                <w:lang w:val="en-US" w:eastAsia="zh-CN"/>
                <w14:textFill>
                  <w14:solidFill>
                    <w14:schemeClr w14:val="tx1"/>
                  </w14:solidFill>
                </w14:textFill>
              </w:rPr>
              <w:t>分析</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如下表所示。</w:t>
            </w:r>
          </w:p>
          <w:p w14:paraId="56EBCDAE">
            <w:pPr>
              <w:keepNext w:val="0"/>
              <w:keepLines w:val="0"/>
              <w:pageBreakBefore w:val="0"/>
              <w:widowControl w:val="0"/>
              <w:kinsoku/>
              <w:wordWrap/>
              <w:overflowPunct/>
              <w:topLinePunct w:val="0"/>
              <w:autoSpaceDE w:val="0"/>
              <w:autoSpaceDN w:val="0"/>
              <w:bidi w:val="0"/>
              <w:adjustRightInd/>
              <w:snapToGrid/>
              <w:spacing w:line="440" w:lineRule="exact"/>
              <w:ind w:firstLine="422" w:firstLineChars="20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本项目与</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类比</w:t>
            </w:r>
            <w:r>
              <w:rPr>
                <w:rFonts w:hint="eastAsia" w:cs="Times New Roman"/>
                <w:b/>
                <w:bCs/>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0kV架空线路基本情况对比表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2717"/>
              <w:gridCol w:w="2402"/>
              <w:gridCol w:w="1209"/>
            </w:tblGrid>
            <w:tr w14:paraId="2374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1" w:type="pct"/>
                  <w:noWrap w:val="0"/>
                  <w:tcMar>
                    <w:top w:w="0" w:type="dxa"/>
                    <w:left w:w="51" w:type="dxa"/>
                    <w:bottom w:w="0" w:type="dxa"/>
                    <w:right w:w="51" w:type="dxa"/>
                  </w:tcMar>
                  <w:vAlign w:val="center"/>
                </w:tcPr>
                <w:p w14:paraId="2306FB84">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w:t>
                  </w:r>
                </w:p>
              </w:tc>
              <w:tc>
                <w:tcPr>
                  <w:tcW w:w="1652" w:type="pct"/>
                  <w:noWrap w:val="0"/>
                  <w:tcMar>
                    <w:top w:w="0" w:type="dxa"/>
                    <w:left w:w="51" w:type="dxa"/>
                    <w:bottom w:w="0" w:type="dxa"/>
                    <w:right w:w="51" w:type="dxa"/>
                  </w:tcMar>
                  <w:vAlign w:val="center"/>
                </w:tcPr>
                <w:p w14:paraId="1D8C17CC">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0kV</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架空</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线路</w:t>
                  </w:r>
                </w:p>
              </w:tc>
              <w:tc>
                <w:tcPr>
                  <w:tcW w:w="1461" w:type="pct"/>
                  <w:noWrap w:val="0"/>
                  <w:tcMar>
                    <w:top w:w="0" w:type="dxa"/>
                    <w:left w:w="51" w:type="dxa"/>
                    <w:bottom w:w="0" w:type="dxa"/>
                    <w:right w:w="51" w:type="dxa"/>
                  </w:tcMar>
                  <w:vAlign w:val="center"/>
                </w:tcPr>
                <w:p w14:paraId="33E0281E">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110kV南桥线</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架空线路</w:t>
                  </w:r>
                </w:p>
              </w:tc>
              <w:tc>
                <w:tcPr>
                  <w:tcW w:w="735" w:type="pct"/>
                  <w:noWrap w:val="0"/>
                  <w:tcMar>
                    <w:top w:w="0" w:type="dxa"/>
                    <w:left w:w="51" w:type="dxa"/>
                    <w:bottom w:w="0" w:type="dxa"/>
                    <w:right w:w="51" w:type="dxa"/>
                  </w:tcMar>
                  <w:vAlign w:val="center"/>
                </w:tcPr>
                <w:p w14:paraId="643B9833">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可比性分析</w:t>
                  </w:r>
                </w:p>
              </w:tc>
            </w:tr>
            <w:tr w14:paraId="1B70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1" w:type="pct"/>
                  <w:noWrap w:val="0"/>
                  <w:tcMar>
                    <w:top w:w="0" w:type="dxa"/>
                    <w:left w:w="51" w:type="dxa"/>
                    <w:bottom w:w="0" w:type="dxa"/>
                    <w:right w:w="51" w:type="dxa"/>
                  </w:tcMar>
                  <w:vAlign w:val="center"/>
                </w:tcPr>
                <w:p w14:paraId="1E570603">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架设方式</w:t>
                  </w:r>
                </w:p>
              </w:tc>
              <w:tc>
                <w:tcPr>
                  <w:tcW w:w="1652" w:type="pct"/>
                  <w:noWrap w:val="0"/>
                  <w:tcMar>
                    <w:top w:w="0" w:type="dxa"/>
                    <w:left w:w="51" w:type="dxa"/>
                    <w:bottom w:w="0" w:type="dxa"/>
                    <w:right w:w="51" w:type="dxa"/>
                  </w:tcMar>
                  <w:vAlign w:val="center"/>
                </w:tcPr>
                <w:p w14:paraId="6901631B">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单回路</w:t>
                  </w:r>
                </w:p>
              </w:tc>
              <w:tc>
                <w:tcPr>
                  <w:tcW w:w="1461" w:type="pct"/>
                  <w:noWrap w:val="0"/>
                  <w:tcMar>
                    <w:top w:w="0" w:type="dxa"/>
                    <w:left w:w="51" w:type="dxa"/>
                    <w:bottom w:w="0" w:type="dxa"/>
                    <w:right w:w="51" w:type="dxa"/>
                  </w:tcMar>
                  <w:vAlign w:val="center"/>
                </w:tcPr>
                <w:p w14:paraId="3E427CF0">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单回路</w:t>
                  </w:r>
                </w:p>
              </w:tc>
              <w:tc>
                <w:tcPr>
                  <w:tcW w:w="735" w:type="pct"/>
                  <w:noWrap w:val="0"/>
                  <w:tcMar>
                    <w:top w:w="0" w:type="dxa"/>
                    <w:left w:w="51" w:type="dxa"/>
                    <w:bottom w:w="0" w:type="dxa"/>
                    <w:right w:w="51" w:type="dxa"/>
                  </w:tcMar>
                  <w:vAlign w:val="center"/>
                </w:tcPr>
                <w:p w14:paraId="7F17246D">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相同</w:t>
                  </w:r>
                </w:p>
              </w:tc>
            </w:tr>
            <w:tr w14:paraId="01A5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1" w:type="pct"/>
                  <w:noWrap w:val="0"/>
                  <w:tcMar>
                    <w:top w:w="0" w:type="dxa"/>
                    <w:left w:w="51" w:type="dxa"/>
                    <w:bottom w:w="0" w:type="dxa"/>
                    <w:right w:w="51" w:type="dxa"/>
                  </w:tcMar>
                  <w:vAlign w:val="center"/>
                </w:tcPr>
                <w:p w14:paraId="3184E4CE">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电压等级</w:t>
                  </w:r>
                </w:p>
              </w:tc>
              <w:tc>
                <w:tcPr>
                  <w:tcW w:w="1652" w:type="pct"/>
                  <w:noWrap w:val="0"/>
                  <w:tcMar>
                    <w:top w:w="0" w:type="dxa"/>
                    <w:left w:w="51" w:type="dxa"/>
                    <w:bottom w:w="0" w:type="dxa"/>
                    <w:right w:w="51" w:type="dxa"/>
                  </w:tcMar>
                  <w:vAlign w:val="center"/>
                </w:tcPr>
                <w:p w14:paraId="432BA215">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0kV</w:t>
                  </w:r>
                </w:p>
              </w:tc>
              <w:tc>
                <w:tcPr>
                  <w:tcW w:w="1461" w:type="pct"/>
                  <w:noWrap w:val="0"/>
                  <w:tcMar>
                    <w:top w:w="0" w:type="dxa"/>
                    <w:left w:w="51" w:type="dxa"/>
                    <w:bottom w:w="0" w:type="dxa"/>
                    <w:right w:w="51" w:type="dxa"/>
                  </w:tcMar>
                  <w:vAlign w:val="center"/>
                </w:tcPr>
                <w:p w14:paraId="40352260">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0kV</w:t>
                  </w:r>
                </w:p>
              </w:tc>
              <w:tc>
                <w:tcPr>
                  <w:tcW w:w="735" w:type="pct"/>
                  <w:noWrap w:val="0"/>
                  <w:tcMar>
                    <w:top w:w="0" w:type="dxa"/>
                    <w:left w:w="51" w:type="dxa"/>
                    <w:bottom w:w="0" w:type="dxa"/>
                    <w:right w:w="51" w:type="dxa"/>
                  </w:tcMar>
                  <w:vAlign w:val="center"/>
                </w:tcPr>
                <w:p w14:paraId="55031064">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相同</w:t>
                  </w:r>
                </w:p>
              </w:tc>
            </w:tr>
            <w:tr w14:paraId="2E05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1" w:type="pct"/>
                  <w:shd w:val="clear" w:color="auto" w:fill="auto"/>
                  <w:noWrap w:val="0"/>
                  <w:tcMar>
                    <w:top w:w="0" w:type="dxa"/>
                    <w:left w:w="51" w:type="dxa"/>
                    <w:bottom w:w="0" w:type="dxa"/>
                    <w:right w:w="51" w:type="dxa"/>
                  </w:tcMar>
                  <w:vAlign w:val="center"/>
                </w:tcPr>
                <w:p w14:paraId="708CB15C">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导线分裂</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方式</w:t>
                  </w:r>
                </w:p>
              </w:tc>
              <w:tc>
                <w:tcPr>
                  <w:tcW w:w="1652" w:type="pct"/>
                  <w:shd w:val="clear" w:color="auto" w:fill="auto"/>
                  <w:noWrap w:val="0"/>
                  <w:tcMar>
                    <w:top w:w="0" w:type="dxa"/>
                    <w:left w:w="51" w:type="dxa"/>
                    <w:bottom w:w="0" w:type="dxa"/>
                    <w:right w:w="51" w:type="dxa"/>
                  </w:tcMar>
                  <w:vAlign w:val="center"/>
                </w:tcPr>
                <w:p w14:paraId="0EA88B3A">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不分裂</w:t>
                  </w:r>
                </w:p>
              </w:tc>
              <w:tc>
                <w:tcPr>
                  <w:tcW w:w="1461" w:type="pct"/>
                  <w:shd w:val="clear" w:color="auto" w:fill="auto"/>
                  <w:noWrap w:val="0"/>
                  <w:tcMar>
                    <w:top w:w="0" w:type="dxa"/>
                    <w:left w:w="51" w:type="dxa"/>
                    <w:bottom w:w="0" w:type="dxa"/>
                    <w:right w:w="51" w:type="dxa"/>
                  </w:tcMar>
                  <w:vAlign w:val="center"/>
                </w:tcPr>
                <w:p w14:paraId="4A9D8D6F">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不分裂</w:t>
                  </w:r>
                </w:p>
              </w:tc>
              <w:tc>
                <w:tcPr>
                  <w:tcW w:w="735" w:type="pct"/>
                  <w:shd w:val="clear" w:color="auto" w:fill="auto"/>
                  <w:noWrap w:val="0"/>
                  <w:tcMar>
                    <w:top w:w="0" w:type="dxa"/>
                    <w:left w:w="51" w:type="dxa"/>
                    <w:bottom w:w="0" w:type="dxa"/>
                    <w:right w:w="51" w:type="dxa"/>
                  </w:tcMar>
                  <w:vAlign w:val="center"/>
                </w:tcPr>
                <w:p w14:paraId="5D0CA983">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相同</w:t>
                  </w:r>
                </w:p>
              </w:tc>
            </w:tr>
            <w:tr w14:paraId="1BD7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1" w:type="pct"/>
                  <w:shd w:val="clear" w:color="auto" w:fill="auto"/>
                  <w:noWrap w:val="0"/>
                  <w:tcMar>
                    <w:top w:w="0" w:type="dxa"/>
                    <w:left w:w="51" w:type="dxa"/>
                    <w:bottom w:w="0" w:type="dxa"/>
                    <w:right w:w="51" w:type="dxa"/>
                  </w:tcMar>
                  <w:vAlign w:val="center"/>
                </w:tcPr>
                <w:p w14:paraId="5711A8B1">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导线最大弧垂处对地距离</w:t>
                  </w:r>
                </w:p>
              </w:tc>
              <w:tc>
                <w:tcPr>
                  <w:tcW w:w="1652" w:type="pct"/>
                  <w:shd w:val="clear" w:color="auto" w:fill="auto"/>
                  <w:noWrap w:val="0"/>
                  <w:tcMar>
                    <w:top w:w="0" w:type="dxa"/>
                    <w:left w:w="51" w:type="dxa"/>
                    <w:bottom w:w="0" w:type="dxa"/>
                    <w:right w:w="51" w:type="dxa"/>
                  </w:tcMar>
                  <w:vAlign w:val="center"/>
                </w:tcPr>
                <w:p w14:paraId="6049F18D">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7m</w:t>
                  </w:r>
                </w:p>
              </w:tc>
              <w:tc>
                <w:tcPr>
                  <w:tcW w:w="1461" w:type="pct"/>
                  <w:shd w:val="clear" w:color="auto" w:fill="auto"/>
                  <w:noWrap w:val="0"/>
                  <w:tcMar>
                    <w:top w:w="0" w:type="dxa"/>
                    <w:left w:w="51" w:type="dxa"/>
                    <w:bottom w:w="0" w:type="dxa"/>
                    <w:right w:w="51" w:type="dxa"/>
                  </w:tcMar>
                  <w:vAlign w:val="center"/>
                </w:tcPr>
                <w:p w14:paraId="6782A67D">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6m</w:t>
                  </w:r>
                </w:p>
              </w:tc>
              <w:tc>
                <w:tcPr>
                  <w:tcW w:w="735" w:type="pct"/>
                  <w:shd w:val="clear" w:color="auto" w:fill="auto"/>
                  <w:noWrap w:val="0"/>
                  <w:tcMar>
                    <w:top w:w="0" w:type="dxa"/>
                    <w:left w:w="51" w:type="dxa"/>
                    <w:bottom w:w="0" w:type="dxa"/>
                    <w:right w:w="51" w:type="dxa"/>
                  </w:tcMar>
                  <w:vAlign w:val="center"/>
                </w:tcPr>
                <w:p w14:paraId="27A1882B">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大于类比线路</w:t>
                  </w:r>
                </w:p>
              </w:tc>
            </w:tr>
            <w:tr w14:paraId="0637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1" w:type="pct"/>
                  <w:noWrap w:val="0"/>
                  <w:tcMar>
                    <w:top w:w="0" w:type="dxa"/>
                    <w:left w:w="51" w:type="dxa"/>
                    <w:bottom w:w="0" w:type="dxa"/>
                    <w:right w:w="51" w:type="dxa"/>
                  </w:tcMar>
                  <w:vAlign w:val="center"/>
                </w:tcPr>
                <w:p w14:paraId="7DFF8955">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环境条件</w:t>
                  </w:r>
                </w:p>
              </w:tc>
              <w:tc>
                <w:tcPr>
                  <w:tcW w:w="1652" w:type="pct"/>
                  <w:noWrap w:val="0"/>
                  <w:tcMar>
                    <w:top w:w="0" w:type="dxa"/>
                    <w:left w:w="51" w:type="dxa"/>
                    <w:bottom w:w="0" w:type="dxa"/>
                    <w:right w:w="51" w:type="dxa"/>
                  </w:tcMar>
                  <w:vAlign w:val="center"/>
                </w:tcPr>
                <w:p w14:paraId="5A486FBE">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林地、草地</w:t>
                  </w:r>
                </w:p>
              </w:tc>
              <w:tc>
                <w:tcPr>
                  <w:tcW w:w="1461" w:type="pct"/>
                  <w:noWrap w:val="0"/>
                  <w:tcMar>
                    <w:top w:w="0" w:type="dxa"/>
                    <w:left w:w="51" w:type="dxa"/>
                    <w:bottom w:w="0" w:type="dxa"/>
                    <w:right w:w="51" w:type="dxa"/>
                  </w:tcMar>
                  <w:vAlign w:val="center"/>
                </w:tcPr>
                <w:p w14:paraId="437D5DE5">
                  <w:pPr>
                    <w:keepNext w:val="0"/>
                    <w:keepLines w:val="0"/>
                    <w:pageBreakBefore w:val="0"/>
                    <w:widowControl w:val="0"/>
                    <w:kinsoku/>
                    <w:wordWrap/>
                    <w:overflowPunct/>
                    <w:topLinePunct w:val="0"/>
                    <w:autoSpaceDE/>
                    <w:autoSpaceDN/>
                    <w:bidi w:val="0"/>
                    <w:spacing w:beforeLines="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农田</w:t>
                  </w:r>
                </w:p>
              </w:tc>
              <w:tc>
                <w:tcPr>
                  <w:tcW w:w="735" w:type="pct"/>
                  <w:noWrap w:val="0"/>
                  <w:tcMar>
                    <w:top w:w="0" w:type="dxa"/>
                    <w:left w:w="51" w:type="dxa"/>
                    <w:bottom w:w="0" w:type="dxa"/>
                    <w:right w:w="51" w:type="dxa"/>
                  </w:tcMar>
                  <w:vAlign w:val="center"/>
                </w:tcPr>
                <w:p w14:paraId="30E763D1">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类似</w:t>
                  </w:r>
                </w:p>
              </w:tc>
            </w:tr>
            <w:tr w14:paraId="24F6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1" w:type="pct"/>
                  <w:noWrap w:val="0"/>
                  <w:tcMar>
                    <w:top w:w="0" w:type="dxa"/>
                    <w:left w:w="51" w:type="dxa"/>
                    <w:bottom w:w="0" w:type="dxa"/>
                    <w:right w:w="51" w:type="dxa"/>
                  </w:tcMar>
                  <w:vAlign w:val="center"/>
                </w:tcPr>
                <w:p w14:paraId="7349C04F">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运行工况</w:t>
                  </w:r>
                </w:p>
              </w:tc>
              <w:tc>
                <w:tcPr>
                  <w:tcW w:w="1652" w:type="pct"/>
                  <w:noWrap w:val="0"/>
                  <w:tcMar>
                    <w:top w:w="0" w:type="dxa"/>
                    <w:left w:w="51" w:type="dxa"/>
                    <w:bottom w:w="0" w:type="dxa"/>
                    <w:right w:w="51" w:type="dxa"/>
                  </w:tcMar>
                  <w:vAlign w:val="center"/>
                </w:tcPr>
                <w:p w14:paraId="7B2ACE18">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461" w:type="pct"/>
                  <w:noWrap w:val="0"/>
                  <w:tcMar>
                    <w:top w:w="0" w:type="dxa"/>
                    <w:left w:w="51" w:type="dxa"/>
                    <w:bottom w:w="0" w:type="dxa"/>
                    <w:right w:w="51" w:type="dxa"/>
                  </w:tcMar>
                  <w:vAlign w:val="center"/>
                </w:tcPr>
                <w:p w14:paraId="677EEC86">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正常</w:t>
                  </w:r>
                </w:p>
              </w:tc>
              <w:tc>
                <w:tcPr>
                  <w:tcW w:w="735" w:type="pct"/>
                  <w:noWrap w:val="0"/>
                  <w:tcMar>
                    <w:top w:w="0" w:type="dxa"/>
                    <w:left w:w="51" w:type="dxa"/>
                    <w:bottom w:w="0" w:type="dxa"/>
                    <w:right w:w="51" w:type="dxa"/>
                  </w:tcMar>
                  <w:vAlign w:val="center"/>
                </w:tcPr>
                <w:p w14:paraId="7008F370">
                  <w:pPr>
                    <w:pStyle w:val="56"/>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exact"/>
                    <w:ind w:righ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bl>
          <w:p w14:paraId="01B35AA9">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（1）监测单位及编号：承德市东岭环境监测有限公司（DLHJ字(2022)第248号）。</w:t>
            </w:r>
          </w:p>
          <w:p w14:paraId="577C7D1F">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（2）监测时间：2022.7.31~8.2。</w:t>
            </w:r>
          </w:p>
          <w:p w14:paraId="2CE6E830">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（3）监测因子及监测频次</w:t>
            </w:r>
          </w:p>
          <w:p w14:paraId="61F8ABDE">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监测因子：等效连续A声级（dB（A））。</w:t>
            </w:r>
          </w:p>
          <w:p w14:paraId="0E2AA4CB">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监测频次：各监测点位昼、夜间各监测一次。</w:t>
            </w:r>
          </w:p>
          <w:p w14:paraId="1F9588C6">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（4）监测方法及监测布点</w:t>
            </w:r>
          </w:p>
          <w:p w14:paraId="6B13447E">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监测方法：执行《声环境质量标准》（GB3096-2008）中的相关要求。</w:t>
            </w:r>
          </w:p>
          <w:p w14:paraId="7D054320">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监测布点：110kV南桥线039-040号塔基北侧各设置一个监测断面，每5m布设1个监测点位，顺序测至50m处为止。</w:t>
            </w:r>
          </w:p>
          <w:p w14:paraId="71ABE1B8">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（5）监测工况</w:t>
            </w:r>
          </w:p>
          <w:p w14:paraId="6167CBD0">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表4-</w:t>
            </w:r>
            <w:r>
              <w:rPr>
                <w:rFonts w:hint="eastAsia" w:cs="Times New Roman"/>
                <w:b/>
                <w:bCs w:val="0"/>
                <w:color w:val="000000" w:themeColor="text1"/>
                <w:spacing w:val="0"/>
                <w:sz w:val="21"/>
                <w:szCs w:val="21"/>
                <w:highlight w:val="none"/>
                <w:lang w:val="en-US" w:eastAsia="zh-CN"/>
                <w14:textFill>
                  <w14:solidFill>
                    <w14:schemeClr w14:val="tx1"/>
                  </w14:solidFill>
                </w14:textFill>
              </w:rPr>
              <w:t>2</w:t>
            </w:r>
            <w:r>
              <w:rPr>
                <w:rFonts w:hint="eastAsia"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 xml:space="preserve">  类比</w:t>
            </w:r>
            <w:r>
              <w:rPr>
                <w:rFonts w:hint="eastAsia" w:cs="Times New Roman"/>
                <w:b/>
                <w:bCs w:val="0"/>
                <w:color w:val="000000" w:themeColor="text1"/>
                <w:spacing w:val="0"/>
                <w:sz w:val="21"/>
                <w:szCs w:val="21"/>
                <w:highlight w:val="none"/>
                <w:lang w:val="en-US" w:eastAsia="zh-CN"/>
                <w14:textFill>
                  <w14:solidFill>
                    <w14:schemeClr w14:val="tx1"/>
                  </w14:solidFill>
                </w14:textFill>
              </w:rPr>
              <w:t>11</w:t>
            </w:r>
            <w:r>
              <w:rPr>
                <w:rFonts w:hint="eastAsia"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0kV架空线路监测期间运行工况</w:t>
            </w:r>
          </w:p>
          <w:tbl>
            <w:tblPr>
              <w:tblStyle w:val="35"/>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987"/>
              <w:gridCol w:w="838"/>
              <w:gridCol w:w="812"/>
              <w:gridCol w:w="762"/>
              <w:gridCol w:w="844"/>
              <w:gridCol w:w="810"/>
              <w:gridCol w:w="814"/>
              <w:gridCol w:w="827"/>
              <w:gridCol w:w="757"/>
            </w:tblGrid>
            <w:tr w14:paraId="5F93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9" w:type="pct"/>
                  <w:vMerge w:val="restart"/>
                  <w:tcMar>
                    <w:top w:w="0" w:type="dxa"/>
                    <w:left w:w="0" w:type="dxa"/>
                    <w:bottom w:w="0" w:type="dxa"/>
                    <w:right w:w="0" w:type="dxa"/>
                  </w:tcMar>
                  <w:vAlign w:val="center"/>
                </w:tcPr>
                <w:p w14:paraId="772520E8">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设备名称</w:t>
                  </w:r>
                </w:p>
              </w:tc>
              <w:tc>
                <w:tcPr>
                  <w:tcW w:w="608" w:type="pct"/>
                  <w:vMerge w:val="restart"/>
                  <w:tcMar>
                    <w:top w:w="0" w:type="dxa"/>
                    <w:left w:w="0" w:type="dxa"/>
                    <w:bottom w:w="0" w:type="dxa"/>
                    <w:right w:w="0" w:type="dxa"/>
                  </w:tcMar>
                  <w:vAlign w:val="center"/>
                </w:tcPr>
                <w:p w14:paraId="23D83B5F">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监测时间</w:t>
                  </w:r>
                </w:p>
              </w:tc>
              <w:tc>
                <w:tcPr>
                  <w:tcW w:w="1016" w:type="pct"/>
                  <w:gridSpan w:val="2"/>
                  <w:tcMar>
                    <w:top w:w="0" w:type="dxa"/>
                    <w:left w:w="0" w:type="dxa"/>
                    <w:bottom w:w="0" w:type="dxa"/>
                    <w:right w:w="0" w:type="dxa"/>
                  </w:tcMar>
                  <w:vAlign w:val="center"/>
                </w:tcPr>
                <w:p w14:paraId="7D654984">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电压（kV）</w:t>
                  </w:r>
                </w:p>
              </w:tc>
              <w:tc>
                <w:tcPr>
                  <w:tcW w:w="989" w:type="pct"/>
                  <w:gridSpan w:val="2"/>
                  <w:tcMar>
                    <w:top w:w="0" w:type="dxa"/>
                    <w:left w:w="0" w:type="dxa"/>
                    <w:bottom w:w="0" w:type="dxa"/>
                    <w:right w:w="0" w:type="dxa"/>
                  </w:tcMar>
                  <w:vAlign w:val="center"/>
                </w:tcPr>
                <w:p w14:paraId="0C247071">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电流（A）</w:t>
                  </w:r>
                </w:p>
              </w:tc>
              <w:tc>
                <w:tcPr>
                  <w:tcW w:w="1000" w:type="pct"/>
                  <w:gridSpan w:val="2"/>
                  <w:tcMar>
                    <w:top w:w="0" w:type="dxa"/>
                    <w:left w:w="0" w:type="dxa"/>
                    <w:bottom w:w="0" w:type="dxa"/>
                    <w:right w:w="0" w:type="dxa"/>
                  </w:tcMar>
                  <w:vAlign w:val="center"/>
                </w:tcPr>
                <w:p w14:paraId="23A9C9A4">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有功功率（MW）</w:t>
                  </w:r>
                </w:p>
              </w:tc>
              <w:tc>
                <w:tcPr>
                  <w:tcW w:w="975" w:type="pct"/>
                  <w:gridSpan w:val="2"/>
                  <w:tcMar>
                    <w:top w:w="0" w:type="dxa"/>
                    <w:left w:w="0" w:type="dxa"/>
                    <w:bottom w:w="0" w:type="dxa"/>
                    <w:right w:w="0" w:type="dxa"/>
                  </w:tcMar>
                  <w:vAlign w:val="center"/>
                </w:tcPr>
                <w:p w14:paraId="0E4A5BA6">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无功功率（MVar）</w:t>
                  </w:r>
                </w:p>
              </w:tc>
            </w:tr>
            <w:tr w14:paraId="2A5E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9" w:type="pct"/>
                  <w:vMerge w:val="continue"/>
                  <w:tcMar>
                    <w:top w:w="0" w:type="dxa"/>
                    <w:left w:w="0" w:type="dxa"/>
                    <w:bottom w:w="0" w:type="dxa"/>
                    <w:right w:w="0" w:type="dxa"/>
                  </w:tcMar>
                  <w:vAlign w:val="center"/>
                </w:tcPr>
                <w:p w14:paraId="54E24F8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p>
              </w:tc>
              <w:tc>
                <w:tcPr>
                  <w:tcW w:w="608" w:type="pct"/>
                  <w:vMerge w:val="continue"/>
                  <w:tcMar>
                    <w:top w:w="0" w:type="dxa"/>
                    <w:left w:w="0" w:type="dxa"/>
                    <w:bottom w:w="0" w:type="dxa"/>
                    <w:right w:w="0" w:type="dxa"/>
                  </w:tcMar>
                  <w:vAlign w:val="center"/>
                </w:tcPr>
                <w:p w14:paraId="593EB8D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p>
              </w:tc>
              <w:tc>
                <w:tcPr>
                  <w:tcW w:w="516" w:type="pct"/>
                  <w:tcMar>
                    <w:top w:w="0" w:type="dxa"/>
                    <w:left w:w="0" w:type="dxa"/>
                    <w:bottom w:w="0" w:type="dxa"/>
                    <w:right w:w="0" w:type="dxa"/>
                  </w:tcMar>
                  <w:vAlign w:val="center"/>
                </w:tcPr>
                <w:p w14:paraId="6CB3901A">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Max</w:t>
                  </w:r>
                </w:p>
              </w:tc>
              <w:tc>
                <w:tcPr>
                  <w:tcW w:w="500" w:type="pct"/>
                  <w:tcMar>
                    <w:top w:w="0" w:type="dxa"/>
                    <w:left w:w="0" w:type="dxa"/>
                    <w:bottom w:w="0" w:type="dxa"/>
                    <w:right w:w="0" w:type="dxa"/>
                  </w:tcMar>
                  <w:vAlign w:val="center"/>
                </w:tcPr>
                <w:p w14:paraId="26BF0BA0">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Min</w:t>
                  </w:r>
                </w:p>
              </w:tc>
              <w:tc>
                <w:tcPr>
                  <w:tcW w:w="469" w:type="pct"/>
                  <w:tcMar>
                    <w:top w:w="0" w:type="dxa"/>
                    <w:left w:w="0" w:type="dxa"/>
                    <w:bottom w:w="0" w:type="dxa"/>
                    <w:right w:w="0" w:type="dxa"/>
                  </w:tcMar>
                  <w:vAlign w:val="center"/>
                </w:tcPr>
                <w:p w14:paraId="232E44DD">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ind w:left="0" w:leftChars="0" w:firstLine="0" w:firstLineChars="0"/>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Max</w:t>
                  </w:r>
                </w:p>
              </w:tc>
              <w:tc>
                <w:tcPr>
                  <w:tcW w:w="520" w:type="pct"/>
                  <w:tcMar>
                    <w:top w:w="0" w:type="dxa"/>
                    <w:left w:w="0" w:type="dxa"/>
                    <w:bottom w:w="0" w:type="dxa"/>
                    <w:right w:w="0" w:type="dxa"/>
                  </w:tcMar>
                  <w:vAlign w:val="center"/>
                </w:tcPr>
                <w:p w14:paraId="7857B954">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ind w:left="0" w:leftChars="0" w:firstLine="0" w:firstLineChars="0"/>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Min</w:t>
                  </w:r>
                </w:p>
              </w:tc>
              <w:tc>
                <w:tcPr>
                  <w:tcW w:w="499" w:type="pct"/>
                  <w:tcMar>
                    <w:top w:w="0" w:type="dxa"/>
                    <w:left w:w="0" w:type="dxa"/>
                    <w:bottom w:w="0" w:type="dxa"/>
                    <w:right w:w="0" w:type="dxa"/>
                  </w:tcMar>
                  <w:vAlign w:val="center"/>
                </w:tcPr>
                <w:p w14:paraId="67B2B2E9">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ind w:left="0" w:leftChars="0" w:firstLine="0" w:firstLineChars="0"/>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Max</w:t>
                  </w:r>
                </w:p>
              </w:tc>
              <w:tc>
                <w:tcPr>
                  <w:tcW w:w="501" w:type="pct"/>
                  <w:tcMar>
                    <w:top w:w="0" w:type="dxa"/>
                    <w:left w:w="0" w:type="dxa"/>
                    <w:bottom w:w="0" w:type="dxa"/>
                    <w:right w:w="0" w:type="dxa"/>
                  </w:tcMar>
                  <w:vAlign w:val="center"/>
                </w:tcPr>
                <w:p w14:paraId="2480373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ind w:left="0" w:leftChars="0" w:firstLine="0" w:firstLineChars="0"/>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Min</w:t>
                  </w:r>
                </w:p>
              </w:tc>
              <w:tc>
                <w:tcPr>
                  <w:tcW w:w="509" w:type="pct"/>
                  <w:tcMar>
                    <w:top w:w="0" w:type="dxa"/>
                    <w:left w:w="0" w:type="dxa"/>
                    <w:bottom w:w="0" w:type="dxa"/>
                    <w:right w:w="0" w:type="dxa"/>
                  </w:tcMar>
                  <w:vAlign w:val="center"/>
                </w:tcPr>
                <w:p w14:paraId="210E898A">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ind w:left="0" w:leftChars="0" w:firstLine="0" w:firstLineChars="0"/>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Max</w:t>
                  </w:r>
                </w:p>
              </w:tc>
              <w:tc>
                <w:tcPr>
                  <w:tcW w:w="466" w:type="pct"/>
                  <w:tcMar>
                    <w:top w:w="0" w:type="dxa"/>
                    <w:left w:w="0" w:type="dxa"/>
                    <w:bottom w:w="0" w:type="dxa"/>
                    <w:right w:w="0" w:type="dxa"/>
                  </w:tcMar>
                  <w:vAlign w:val="center"/>
                </w:tcPr>
                <w:p w14:paraId="5FBC49C2">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ind w:left="0" w:leftChars="0" w:firstLine="0" w:firstLineChars="0"/>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Min</w:t>
                  </w:r>
                </w:p>
              </w:tc>
            </w:tr>
            <w:tr w14:paraId="7DAB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9" w:type="pct"/>
                  <w:vMerge w:val="restart"/>
                  <w:tcMar>
                    <w:top w:w="0" w:type="dxa"/>
                    <w:left w:w="0" w:type="dxa"/>
                    <w:bottom w:w="0" w:type="dxa"/>
                    <w:right w:w="0" w:type="dxa"/>
                  </w:tcMar>
                  <w:vAlign w:val="center"/>
                </w:tcPr>
                <w:p w14:paraId="60C8B3C6">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110kV南桥线</w:t>
                  </w:r>
                </w:p>
              </w:tc>
              <w:tc>
                <w:tcPr>
                  <w:tcW w:w="608" w:type="pct"/>
                  <w:tcMar>
                    <w:top w:w="0" w:type="dxa"/>
                    <w:left w:w="0" w:type="dxa"/>
                    <w:bottom w:w="0" w:type="dxa"/>
                    <w:right w:w="0" w:type="dxa"/>
                  </w:tcMar>
                  <w:vAlign w:val="center"/>
                </w:tcPr>
                <w:p w14:paraId="24D31B70">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2022.7.31</w:t>
                  </w:r>
                </w:p>
              </w:tc>
              <w:tc>
                <w:tcPr>
                  <w:tcW w:w="516" w:type="pct"/>
                  <w:tcMar>
                    <w:top w:w="0" w:type="dxa"/>
                    <w:left w:w="0" w:type="dxa"/>
                    <w:bottom w:w="0" w:type="dxa"/>
                    <w:right w:w="0" w:type="dxa"/>
                  </w:tcMar>
                  <w:vAlign w:val="center"/>
                </w:tcPr>
                <w:p w14:paraId="0052EF5F">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115.81</w:t>
                  </w:r>
                </w:p>
              </w:tc>
              <w:tc>
                <w:tcPr>
                  <w:tcW w:w="500" w:type="pct"/>
                  <w:tcMar>
                    <w:top w:w="0" w:type="dxa"/>
                    <w:left w:w="0" w:type="dxa"/>
                    <w:bottom w:w="0" w:type="dxa"/>
                    <w:right w:w="0" w:type="dxa"/>
                  </w:tcMar>
                  <w:vAlign w:val="center"/>
                </w:tcPr>
                <w:p w14:paraId="6844E561">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112.72</w:t>
                  </w:r>
                </w:p>
              </w:tc>
              <w:tc>
                <w:tcPr>
                  <w:tcW w:w="469" w:type="pct"/>
                  <w:tcMar>
                    <w:top w:w="0" w:type="dxa"/>
                    <w:left w:w="0" w:type="dxa"/>
                    <w:bottom w:w="0" w:type="dxa"/>
                    <w:right w:w="0" w:type="dxa"/>
                  </w:tcMar>
                  <w:vAlign w:val="center"/>
                </w:tcPr>
                <w:p w14:paraId="2B6E4622">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88.77</w:t>
                  </w:r>
                </w:p>
              </w:tc>
              <w:tc>
                <w:tcPr>
                  <w:tcW w:w="520" w:type="pct"/>
                  <w:tcMar>
                    <w:top w:w="0" w:type="dxa"/>
                    <w:left w:w="0" w:type="dxa"/>
                    <w:bottom w:w="0" w:type="dxa"/>
                    <w:right w:w="0" w:type="dxa"/>
                  </w:tcMar>
                  <w:vAlign w:val="center"/>
                </w:tcPr>
                <w:p w14:paraId="6CCAB283">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13.71</w:t>
                  </w:r>
                </w:p>
              </w:tc>
              <w:tc>
                <w:tcPr>
                  <w:tcW w:w="499" w:type="pct"/>
                  <w:tcMar>
                    <w:top w:w="0" w:type="dxa"/>
                    <w:left w:w="0" w:type="dxa"/>
                    <w:bottom w:w="0" w:type="dxa"/>
                    <w:right w:w="0" w:type="dxa"/>
                  </w:tcMar>
                  <w:vAlign w:val="center"/>
                </w:tcPr>
                <w:p w14:paraId="52E4E205">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17.04</w:t>
                  </w:r>
                </w:p>
              </w:tc>
              <w:tc>
                <w:tcPr>
                  <w:tcW w:w="501" w:type="pct"/>
                  <w:tcMar>
                    <w:top w:w="0" w:type="dxa"/>
                    <w:left w:w="0" w:type="dxa"/>
                    <w:bottom w:w="0" w:type="dxa"/>
                    <w:right w:w="0" w:type="dxa"/>
                  </w:tcMar>
                  <w:vAlign w:val="center"/>
                </w:tcPr>
                <w:p w14:paraId="5258BAEB">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1.43</w:t>
                  </w:r>
                </w:p>
              </w:tc>
              <w:tc>
                <w:tcPr>
                  <w:tcW w:w="509" w:type="pct"/>
                  <w:tcMar>
                    <w:top w:w="0" w:type="dxa"/>
                    <w:left w:w="0" w:type="dxa"/>
                    <w:bottom w:w="0" w:type="dxa"/>
                    <w:right w:w="0" w:type="dxa"/>
                  </w:tcMar>
                  <w:vAlign w:val="center"/>
                </w:tcPr>
                <w:p w14:paraId="28022E48">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3.95</w:t>
                  </w:r>
                </w:p>
              </w:tc>
              <w:tc>
                <w:tcPr>
                  <w:tcW w:w="466" w:type="pct"/>
                  <w:tcMar>
                    <w:top w:w="0" w:type="dxa"/>
                    <w:left w:w="0" w:type="dxa"/>
                    <w:bottom w:w="0" w:type="dxa"/>
                    <w:right w:w="0" w:type="dxa"/>
                  </w:tcMar>
                  <w:vAlign w:val="center"/>
                </w:tcPr>
                <w:p w14:paraId="7D4AD87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0.23</w:t>
                  </w:r>
                </w:p>
              </w:tc>
            </w:tr>
            <w:tr w14:paraId="0B2C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9" w:type="pct"/>
                  <w:vMerge w:val="continue"/>
                  <w:tcMar>
                    <w:top w:w="0" w:type="dxa"/>
                    <w:left w:w="0" w:type="dxa"/>
                    <w:bottom w:w="0" w:type="dxa"/>
                    <w:right w:w="0" w:type="dxa"/>
                  </w:tcMar>
                  <w:vAlign w:val="center"/>
                </w:tcPr>
                <w:p w14:paraId="668AB8A1">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p>
              </w:tc>
              <w:tc>
                <w:tcPr>
                  <w:tcW w:w="608" w:type="pct"/>
                  <w:tcMar>
                    <w:top w:w="0" w:type="dxa"/>
                    <w:left w:w="0" w:type="dxa"/>
                    <w:bottom w:w="0" w:type="dxa"/>
                    <w:right w:w="0" w:type="dxa"/>
                  </w:tcMar>
                  <w:vAlign w:val="center"/>
                </w:tcPr>
                <w:p w14:paraId="6E1F3CB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2022.8.1</w:t>
                  </w:r>
                </w:p>
              </w:tc>
              <w:tc>
                <w:tcPr>
                  <w:tcW w:w="516" w:type="pct"/>
                  <w:tcMar>
                    <w:top w:w="0" w:type="dxa"/>
                    <w:left w:w="0" w:type="dxa"/>
                    <w:bottom w:w="0" w:type="dxa"/>
                    <w:right w:w="0" w:type="dxa"/>
                  </w:tcMar>
                  <w:vAlign w:val="center"/>
                </w:tcPr>
                <w:p w14:paraId="5684903A">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115.65</w:t>
                  </w:r>
                </w:p>
              </w:tc>
              <w:tc>
                <w:tcPr>
                  <w:tcW w:w="500" w:type="pct"/>
                  <w:tcMar>
                    <w:top w:w="0" w:type="dxa"/>
                    <w:left w:w="0" w:type="dxa"/>
                    <w:bottom w:w="0" w:type="dxa"/>
                    <w:right w:w="0" w:type="dxa"/>
                  </w:tcMar>
                  <w:vAlign w:val="center"/>
                </w:tcPr>
                <w:p w14:paraId="1631CE27">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112.55</w:t>
                  </w:r>
                </w:p>
              </w:tc>
              <w:tc>
                <w:tcPr>
                  <w:tcW w:w="469" w:type="pct"/>
                  <w:tcMar>
                    <w:top w:w="0" w:type="dxa"/>
                    <w:left w:w="0" w:type="dxa"/>
                    <w:bottom w:w="0" w:type="dxa"/>
                    <w:right w:w="0" w:type="dxa"/>
                  </w:tcMar>
                  <w:vAlign w:val="center"/>
                </w:tcPr>
                <w:p w14:paraId="18D17650">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96.68</w:t>
                  </w:r>
                </w:p>
              </w:tc>
              <w:tc>
                <w:tcPr>
                  <w:tcW w:w="520" w:type="pct"/>
                  <w:tcMar>
                    <w:top w:w="0" w:type="dxa"/>
                    <w:left w:w="0" w:type="dxa"/>
                    <w:bottom w:w="0" w:type="dxa"/>
                    <w:right w:w="0" w:type="dxa"/>
                  </w:tcMar>
                  <w:vAlign w:val="center"/>
                </w:tcPr>
                <w:p w14:paraId="7EDCDC60">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1.05</w:t>
                  </w:r>
                </w:p>
              </w:tc>
              <w:tc>
                <w:tcPr>
                  <w:tcW w:w="499" w:type="pct"/>
                  <w:tcMar>
                    <w:top w:w="0" w:type="dxa"/>
                    <w:left w:w="0" w:type="dxa"/>
                    <w:bottom w:w="0" w:type="dxa"/>
                    <w:right w:w="0" w:type="dxa"/>
                  </w:tcMar>
                  <w:vAlign w:val="center"/>
                </w:tcPr>
                <w:p w14:paraId="44CCA01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18.85</w:t>
                  </w:r>
                </w:p>
              </w:tc>
              <w:tc>
                <w:tcPr>
                  <w:tcW w:w="501" w:type="pct"/>
                  <w:tcMar>
                    <w:top w:w="0" w:type="dxa"/>
                    <w:left w:w="0" w:type="dxa"/>
                    <w:bottom w:w="0" w:type="dxa"/>
                    <w:right w:w="0" w:type="dxa"/>
                  </w:tcMar>
                  <w:vAlign w:val="center"/>
                </w:tcPr>
                <w:p w14:paraId="6221A389">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0.39</w:t>
                  </w:r>
                </w:p>
              </w:tc>
              <w:tc>
                <w:tcPr>
                  <w:tcW w:w="509" w:type="pct"/>
                  <w:tcMar>
                    <w:top w:w="0" w:type="dxa"/>
                    <w:left w:w="0" w:type="dxa"/>
                    <w:bottom w:w="0" w:type="dxa"/>
                    <w:right w:w="0" w:type="dxa"/>
                  </w:tcMar>
                  <w:vAlign w:val="center"/>
                </w:tcPr>
                <w:p w14:paraId="1C334816">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3.98</w:t>
                  </w:r>
                </w:p>
              </w:tc>
              <w:tc>
                <w:tcPr>
                  <w:tcW w:w="466" w:type="pct"/>
                  <w:tcMar>
                    <w:top w:w="0" w:type="dxa"/>
                    <w:left w:w="0" w:type="dxa"/>
                    <w:bottom w:w="0" w:type="dxa"/>
                    <w:right w:w="0" w:type="dxa"/>
                  </w:tcMar>
                  <w:vAlign w:val="center"/>
                </w:tcPr>
                <w:p w14:paraId="6F87FEEE">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0</w:t>
                  </w:r>
                </w:p>
              </w:tc>
            </w:tr>
            <w:tr w14:paraId="14FF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9" w:type="pct"/>
                  <w:vMerge w:val="continue"/>
                  <w:tcMar>
                    <w:top w:w="0" w:type="dxa"/>
                    <w:left w:w="0" w:type="dxa"/>
                    <w:bottom w:w="0" w:type="dxa"/>
                    <w:right w:w="0" w:type="dxa"/>
                  </w:tcMar>
                  <w:vAlign w:val="center"/>
                </w:tcPr>
                <w:p w14:paraId="38A2E736">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p>
              </w:tc>
              <w:tc>
                <w:tcPr>
                  <w:tcW w:w="608" w:type="pct"/>
                  <w:tcMar>
                    <w:top w:w="0" w:type="dxa"/>
                    <w:left w:w="0" w:type="dxa"/>
                    <w:bottom w:w="0" w:type="dxa"/>
                    <w:right w:w="0" w:type="dxa"/>
                  </w:tcMar>
                  <w:vAlign w:val="center"/>
                </w:tcPr>
                <w:p w14:paraId="21924CAA">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2022.8.2</w:t>
                  </w:r>
                </w:p>
              </w:tc>
              <w:tc>
                <w:tcPr>
                  <w:tcW w:w="516" w:type="pct"/>
                  <w:tcMar>
                    <w:top w:w="0" w:type="dxa"/>
                    <w:left w:w="0" w:type="dxa"/>
                    <w:bottom w:w="0" w:type="dxa"/>
                    <w:right w:w="0" w:type="dxa"/>
                  </w:tcMar>
                  <w:vAlign w:val="center"/>
                </w:tcPr>
                <w:p w14:paraId="70243F6D">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115.68</w:t>
                  </w:r>
                </w:p>
              </w:tc>
              <w:tc>
                <w:tcPr>
                  <w:tcW w:w="500" w:type="pct"/>
                  <w:tcMar>
                    <w:top w:w="0" w:type="dxa"/>
                    <w:left w:w="0" w:type="dxa"/>
                    <w:bottom w:w="0" w:type="dxa"/>
                    <w:right w:w="0" w:type="dxa"/>
                  </w:tcMar>
                  <w:vAlign w:val="center"/>
                </w:tcPr>
                <w:p w14:paraId="55DFFF3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112.46</w:t>
                  </w:r>
                </w:p>
              </w:tc>
              <w:tc>
                <w:tcPr>
                  <w:tcW w:w="469" w:type="pct"/>
                  <w:tcMar>
                    <w:top w:w="0" w:type="dxa"/>
                    <w:left w:w="0" w:type="dxa"/>
                    <w:bottom w:w="0" w:type="dxa"/>
                    <w:right w:w="0" w:type="dxa"/>
                  </w:tcMar>
                  <w:vAlign w:val="center"/>
                </w:tcPr>
                <w:p w14:paraId="2CDBE2BE">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109.34</w:t>
                  </w:r>
                </w:p>
              </w:tc>
              <w:tc>
                <w:tcPr>
                  <w:tcW w:w="520" w:type="pct"/>
                  <w:tcMar>
                    <w:top w:w="0" w:type="dxa"/>
                    <w:left w:w="0" w:type="dxa"/>
                    <w:bottom w:w="0" w:type="dxa"/>
                    <w:right w:w="0" w:type="dxa"/>
                  </w:tcMar>
                  <w:vAlign w:val="center"/>
                </w:tcPr>
                <w:p w14:paraId="1C50E56C">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6.5</w:t>
                  </w:r>
                </w:p>
              </w:tc>
              <w:tc>
                <w:tcPr>
                  <w:tcW w:w="499" w:type="pct"/>
                  <w:tcMar>
                    <w:top w:w="0" w:type="dxa"/>
                    <w:left w:w="0" w:type="dxa"/>
                    <w:bottom w:w="0" w:type="dxa"/>
                    <w:right w:w="0" w:type="dxa"/>
                  </w:tcMar>
                  <w:vAlign w:val="center"/>
                </w:tcPr>
                <w:p w14:paraId="643A2CFD">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20.96</w:t>
                  </w:r>
                </w:p>
              </w:tc>
              <w:tc>
                <w:tcPr>
                  <w:tcW w:w="501" w:type="pct"/>
                  <w:tcMar>
                    <w:top w:w="0" w:type="dxa"/>
                    <w:left w:w="0" w:type="dxa"/>
                    <w:bottom w:w="0" w:type="dxa"/>
                    <w:right w:w="0" w:type="dxa"/>
                  </w:tcMar>
                  <w:vAlign w:val="center"/>
                </w:tcPr>
                <w:p w14:paraId="7F6D36EE">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1</w:t>
                  </w:r>
                </w:p>
              </w:tc>
              <w:tc>
                <w:tcPr>
                  <w:tcW w:w="509" w:type="pct"/>
                  <w:tcMar>
                    <w:top w:w="0" w:type="dxa"/>
                    <w:left w:w="0" w:type="dxa"/>
                    <w:bottom w:w="0" w:type="dxa"/>
                    <w:right w:w="0" w:type="dxa"/>
                  </w:tcMar>
                  <w:vAlign w:val="center"/>
                </w:tcPr>
                <w:p w14:paraId="1F0FA655">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3.95</w:t>
                  </w:r>
                </w:p>
              </w:tc>
              <w:tc>
                <w:tcPr>
                  <w:tcW w:w="466" w:type="pct"/>
                  <w:tcMar>
                    <w:top w:w="0" w:type="dxa"/>
                    <w:left w:w="0" w:type="dxa"/>
                    <w:bottom w:w="0" w:type="dxa"/>
                    <w:right w:w="0" w:type="dxa"/>
                  </w:tcMar>
                  <w:vAlign w:val="center"/>
                </w:tcPr>
                <w:p w14:paraId="1BC4C154">
                  <w:pPr>
                    <w:keepNext w:val="0"/>
                    <w:keepLines w:val="0"/>
                    <w:pageBreakBefore w:val="0"/>
                    <w:widowControl w:val="0"/>
                    <w:numPr>
                      <w:ilvl w:val="0"/>
                      <w:numId w:val="0"/>
                    </w:numPr>
                    <w:kinsoku/>
                    <w:wordWrap/>
                    <w:overflowPunct/>
                    <w:topLinePunct w:val="0"/>
                    <w:autoSpaceDE w:val="0"/>
                    <w:autoSpaceDN w:val="0"/>
                    <w:bidi w:val="0"/>
                    <w:adjustRightInd/>
                    <w:snapToGrid/>
                    <w:spacing w:line="280" w:lineRule="exact"/>
                    <w:jc w:val="center"/>
                    <w:textAlignment w:val="auto"/>
                    <w:rPr>
                      <w:rFonts w:hint="default"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1"/>
                      <w:szCs w:val="21"/>
                      <w:highlight w:val="none"/>
                      <w:vertAlign w:val="baseline"/>
                      <w:lang w:val="en-US" w:eastAsia="zh-CN"/>
                      <w14:textFill>
                        <w14:solidFill>
                          <w14:schemeClr w14:val="tx1"/>
                        </w14:solidFill>
                      </w14:textFill>
                    </w:rPr>
                    <w:t>0</w:t>
                  </w:r>
                </w:p>
              </w:tc>
            </w:tr>
          </w:tbl>
          <w:p w14:paraId="7ABF721A">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监测结果分析</w:t>
            </w:r>
          </w:p>
          <w:p w14:paraId="7FDA370A">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p>
          <w:p w14:paraId="6440FF9C">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p>
          <w:p w14:paraId="1AC7679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p>
          <w:p w14:paraId="10FD25F2">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表4-</w:t>
            </w:r>
            <w:r>
              <w:rPr>
                <w:rFonts w:hint="eastAsia" w:cs="Times New Roman"/>
                <w:b/>
                <w:bCs/>
                <w:color w:val="000000" w:themeColor="text1"/>
                <w:spacing w:val="0"/>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 xml:space="preserve">  噪声监测结果一览表</w:t>
            </w:r>
          </w:p>
          <w:tbl>
            <w:tblPr>
              <w:tblStyle w:val="8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3"/>
              <w:gridCol w:w="2435"/>
              <w:gridCol w:w="2178"/>
              <w:gridCol w:w="2152"/>
            </w:tblGrid>
            <w:tr w14:paraId="2EA40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tcBorders>
                    <w:tl2br w:val="nil"/>
                    <w:tr2bl w:val="nil"/>
                  </w:tcBorders>
                  <w:noWrap w:val="0"/>
                  <w:vAlign w:val="center"/>
                </w:tcPr>
                <w:p w14:paraId="2530D67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t>监测点位</w:t>
                  </w:r>
                </w:p>
              </w:tc>
              <w:tc>
                <w:tcPr>
                  <w:tcW w:w="1479" w:type="pct"/>
                  <w:tcBorders>
                    <w:tl2br w:val="nil"/>
                    <w:tr2bl w:val="nil"/>
                  </w:tcBorders>
                  <w:noWrap w:val="0"/>
                  <w:vAlign w:val="center"/>
                </w:tcPr>
                <w:p w14:paraId="10B2111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至中心线地面投影</w:t>
                  </w:r>
                </w:p>
              </w:tc>
              <w:tc>
                <w:tcPr>
                  <w:tcW w:w="1323" w:type="pct"/>
                  <w:tcBorders>
                    <w:tl2br w:val="nil"/>
                    <w:tr2bl w:val="nil"/>
                  </w:tcBorders>
                  <w:noWrap w:val="0"/>
                  <w:vAlign w:val="center"/>
                </w:tcPr>
                <w:p w14:paraId="0C2B8EA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t>昼间(dB(A))</w:t>
                  </w:r>
                </w:p>
              </w:tc>
              <w:tc>
                <w:tcPr>
                  <w:tcW w:w="1307" w:type="pct"/>
                  <w:tcBorders>
                    <w:tl2br w:val="nil"/>
                    <w:tr2bl w:val="nil"/>
                  </w:tcBorders>
                  <w:noWrap w:val="0"/>
                  <w:vAlign w:val="center"/>
                </w:tcPr>
                <w:p w14:paraId="0E18B57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t>夜间(dB(A))</w:t>
                  </w:r>
                </w:p>
              </w:tc>
            </w:tr>
            <w:tr w14:paraId="74F9A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restart"/>
                  <w:tcBorders>
                    <w:tl2br w:val="nil"/>
                    <w:tr2bl w:val="nil"/>
                  </w:tcBorders>
                  <w:noWrap w:val="0"/>
                  <w:vAlign w:val="center"/>
                </w:tcPr>
                <w:p w14:paraId="6E68C62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110kV南桥线039-040号塔基北侧监测断面</w:t>
                  </w:r>
                  <w:r>
                    <w:rPr>
                      <w:rFonts w:hint="eastAsia" w:cs="Times New Roman"/>
                      <w:color w:val="000000" w:themeColor="text1"/>
                      <w:spacing w:val="0"/>
                      <w:sz w:val="21"/>
                      <w:szCs w:val="21"/>
                      <w:highlight w:val="none"/>
                      <w:lang w:val="en-US" w:eastAsia="zh-CN"/>
                      <w14:textFill>
                        <w14:solidFill>
                          <w14:schemeClr w14:val="tx1"/>
                        </w14:solidFill>
                      </w14:textFill>
                    </w:rPr>
                    <w:t>（单回路段）</w:t>
                  </w:r>
                </w:p>
              </w:tc>
              <w:tc>
                <w:tcPr>
                  <w:tcW w:w="1479" w:type="pct"/>
                  <w:tcBorders>
                    <w:tl2br w:val="nil"/>
                    <w:tr2bl w:val="nil"/>
                  </w:tcBorders>
                  <w:noWrap w:val="0"/>
                  <w:vAlign w:val="center"/>
                </w:tcPr>
                <w:p w14:paraId="6719D58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0m</w:t>
                  </w:r>
                </w:p>
              </w:tc>
              <w:tc>
                <w:tcPr>
                  <w:tcW w:w="1323" w:type="pct"/>
                  <w:tcBorders>
                    <w:tl2br w:val="nil"/>
                    <w:tr2bl w:val="nil"/>
                  </w:tcBorders>
                  <w:shd w:val="clear" w:color="auto" w:fill="auto"/>
                  <w:noWrap w:val="0"/>
                  <w:vAlign w:val="center"/>
                </w:tcPr>
                <w:p w14:paraId="680A2CF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44</w:t>
                  </w:r>
                </w:p>
              </w:tc>
              <w:tc>
                <w:tcPr>
                  <w:tcW w:w="1307" w:type="pct"/>
                  <w:tcBorders>
                    <w:tl2br w:val="nil"/>
                    <w:tr2bl w:val="nil"/>
                  </w:tcBorders>
                  <w:shd w:val="clear" w:color="auto" w:fill="auto"/>
                  <w:noWrap w:val="0"/>
                  <w:vAlign w:val="center"/>
                </w:tcPr>
                <w:p w14:paraId="4B25AE2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38</w:t>
                  </w:r>
                </w:p>
              </w:tc>
            </w:tr>
            <w:tr w14:paraId="67C5C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08226CC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479" w:type="pct"/>
                  <w:tcBorders>
                    <w:tl2br w:val="nil"/>
                    <w:tr2bl w:val="nil"/>
                  </w:tcBorders>
                  <w:noWrap w:val="0"/>
                  <w:vAlign w:val="center"/>
                </w:tcPr>
                <w:p w14:paraId="0EF7A4B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5m</w:t>
                  </w:r>
                </w:p>
              </w:tc>
              <w:tc>
                <w:tcPr>
                  <w:tcW w:w="1323" w:type="pct"/>
                  <w:tcBorders>
                    <w:tl2br w:val="nil"/>
                    <w:tr2bl w:val="nil"/>
                  </w:tcBorders>
                  <w:shd w:val="clear" w:color="auto" w:fill="auto"/>
                  <w:noWrap w:val="0"/>
                  <w:vAlign w:val="center"/>
                </w:tcPr>
                <w:p w14:paraId="0F47B0A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45</w:t>
                  </w:r>
                </w:p>
              </w:tc>
              <w:tc>
                <w:tcPr>
                  <w:tcW w:w="1307" w:type="pct"/>
                  <w:tcBorders>
                    <w:tl2br w:val="nil"/>
                    <w:tr2bl w:val="nil"/>
                  </w:tcBorders>
                  <w:shd w:val="clear" w:color="auto" w:fill="auto"/>
                  <w:noWrap w:val="0"/>
                  <w:vAlign w:val="center"/>
                </w:tcPr>
                <w:p w14:paraId="1D224B7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39</w:t>
                  </w:r>
                </w:p>
              </w:tc>
            </w:tr>
            <w:tr w14:paraId="54E62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00A384D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07614D2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10m</w:t>
                  </w:r>
                </w:p>
              </w:tc>
              <w:tc>
                <w:tcPr>
                  <w:tcW w:w="1323" w:type="pct"/>
                  <w:tcBorders>
                    <w:tl2br w:val="nil"/>
                    <w:tr2bl w:val="nil"/>
                  </w:tcBorders>
                  <w:shd w:val="clear" w:color="auto" w:fill="auto"/>
                  <w:noWrap w:val="0"/>
                  <w:vAlign w:val="center"/>
                </w:tcPr>
                <w:p w14:paraId="0C42C33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44</w:t>
                  </w:r>
                </w:p>
              </w:tc>
              <w:tc>
                <w:tcPr>
                  <w:tcW w:w="1307" w:type="pct"/>
                  <w:tcBorders>
                    <w:tl2br w:val="nil"/>
                    <w:tr2bl w:val="nil"/>
                  </w:tcBorders>
                  <w:shd w:val="clear" w:color="auto" w:fill="auto"/>
                  <w:noWrap w:val="0"/>
                  <w:vAlign w:val="center"/>
                </w:tcPr>
                <w:p w14:paraId="7237E78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40</w:t>
                  </w:r>
                </w:p>
              </w:tc>
            </w:tr>
            <w:tr w14:paraId="33C29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160FB8E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4795067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15m</w:t>
                  </w:r>
                </w:p>
              </w:tc>
              <w:tc>
                <w:tcPr>
                  <w:tcW w:w="1323" w:type="pct"/>
                  <w:tcBorders>
                    <w:tl2br w:val="nil"/>
                    <w:tr2bl w:val="nil"/>
                  </w:tcBorders>
                  <w:shd w:val="clear" w:color="auto" w:fill="auto"/>
                  <w:noWrap w:val="0"/>
                  <w:vAlign w:val="center"/>
                </w:tcPr>
                <w:p w14:paraId="427238A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43</w:t>
                  </w:r>
                </w:p>
              </w:tc>
              <w:tc>
                <w:tcPr>
                  <w:tcW w:w="1307" w:type="pct"/>
                  <w:tcBorders>
                    <w:tl2br w:val="nil"/>
                    <w:tr2bl w:val="nil"/>
                  </w:tcBorders>
                  <w:shd w:val="clear" w:color="auto" w:fill="auto"/>
                  <w:noWrap w:val="0"/>
                  <w:vAlign w:val="center"/>
                </w:tcPr>
                <w:p w14:paraId="76207A4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40</w:t>
                  </w:r>
                </w:p>
              </w:tc>
            </w:tr>
            <w:tr w14:paraId="09579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173C877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1F7F232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20m</w:t>
                  </w:r>
                </w:p>
              </w:tc>
              <w:tc>
                <w:tcPr>
                  <w:tcW w:w="1323" w:type="pct"/>
                  <w:tcBorders>
                    <w:tl2br w:val="nil"/>
                    <w:tr2bl w:val="nil"/>
                  </w:tcBorders>
                  <w:shd w:val="clear" w:color="auto" w:fill="auto"/>
                  <w:noWrap w:val="0"/>
                  <w:vAlign w:val="center"/>
                </w:tcPr>
                <w:p w14:paraId="34BC58B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44</w:t>
                  </w:r>
                </w:p>
              </w:tc>
              <w:tc>
                <w:tcPr>
                  <w:tcW w:w="1307" w:type="pct"/>
                  <w:tcBorders>
                    <w:tl2br w:val="nil"/>
                    <w:tr2bl w:val="nil"/>
                  </w:tcBorders>
                  <w:shd w:val="clear" w:color="auto" w:fill="auto"/>
                  <w:noWrap w:val="0"/>
                  <w:vAlign w:val="center"/>
                </w:tcPr>
                <w:p w14:paraId="1B19901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41</w:t>
                  </w:r>
                </w:p>
              </w:tc>
            </w:tr>
            <w:tr w14:paraId="3DD34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65E52DA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0C02A7B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25m</w:t>
                  </w:r>
                </w:p>
              </w:tc>
              <w:tc>
                <w:tcPr>
                  <w:tcW w:w="1323" w:type="pct"/>
                  <w:tcBorders>
                    <w:tl2br w:val="nil"/>
                    <w:tr2bl w:val="nil"/>
                  </w:tcBorders>
                  <w:shd w:val="clear" w:color="auto" w:fill="auto"/>
                  <w:noWrap w:val="0"/>
                  <w:vAlign w:val="center"/>
                </w:tcPr>
                <w:p w14:paraId="74D42E2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44</w:t>
                  </w:r>
                </w:p>
              </w:tc>
              <w:tc>
                <w:tcPr>
                  <w:tcW w:w="1307" w:type="pct"/>
                  <w:tcBorders>
                    <w:tl2br w:val="nil"/>
                    <w:tr2bl w:val="nil"/>
                  </w:tcBorders>
                  <w:shd w:val="clear" w:color="auto" w:fill="auto"/>
                  <w:noWrap w:val="0"/>
                  <w:vAlign w:val="center"/>
                </w:tcPr>
                <w:p w14:paraId="070532A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39</w:t>
                  </w:r>
                </w:p>
              </w:tc>
            </w:tr>
            <w:tr w14:paraId="437FA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01FDEE8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6CC871F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30m</w:t>
                  </w:r>
                </w:p>
              </w:tc>
              <w:tc>
                <w:tcPr>
                  <w:tcW w:w="1323" w:type="pct"/>
                  <w:tcBorders>
                    <w:tl2br w:val="nil"/>
                    <w:tr2bl w:val="nil"/>
                  </w:tcBorders>
                  <w:shd w:val="clear" w:color="auto" w:fill="auto"/>
                  <w:noWrap w:val="0"/>
                  <w:vAlign w:val="center"/>
                </w:tcPr>
                <w:p w14:paraId="67F1FFA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43</w:t>
                  </w:r>
                </w:p>
              </w:tc>
              <w:tc>
                <w:tcPr>
                  <w:tcW w:w="1307" w:type="pct"/>
                  <w:tcBorders>
                    <w:tl2br w:val="nil"/>
                    <w:tr2bl w:val="nil"/>
                  </w:tcBorders>
                  <w:shd w:val="clear" w:color="auto" w:fill="auto"/>
                  <w:noWrap w:val="0"/>
                  <w:vAlign w:val="center"/>
                </w:tcPr>
                <w:p w14:paraId="293F314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40</w:t>
                  </w:r>
                </w:p>
              </w:tc>
            </w:tr>
            <w:tr w14:paraId="21B8C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213A13A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3582749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35m</w:t>
                  </w:r>
                </w:p>
              </w:tc>
              <w:tc>
                <w:tcPr>
                  <w:tcW w:w="1323" w:type="pct"/>
                  <w:tcBorders>
                    <w:tl2br w:val="nil"/>
                    <w:tr2bl w:val="nil"/>
                  </w:tcBorders>
                  <w:shd w:val="clear" w:color="auto" w:fill="auto"/>
                  <w:noWrap w:val="0"/>
                  <w:vAlign w:val="center"/>
                </w:tcPr>
                <w:p w14:paraId="36D575A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44</w:t>
                  </w:r>
                </w:p>
              </w:tc>
              <w:tc>
                <w:tcPr>
                  <w:tcW w:w="1307" w:type="pct"/>
                  <w:tcBorders>
                    <w:tl2br w:val="nil"/>
                    <w:tr2bl w:val="nil"/>
                  </w:tcBorders>
                  <w:shd w:val="clear" w:color="auto" w:fill="auto"/>
                  <w:noWrap w:val="0"/>
                  <w:vAlign w:val="center"/>
                </w:tcPr>
                <w:p w14:paraId="2FEA584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40</w:t>
                  </w:r>
                </w:p>
              </w:tc>
            </w:tr>
            <w:tr w14:paraId="28214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6938F1C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7616BCE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40m</w:t>
                  </w:r>
                </w:p>
              </w:tc>
              <w:tc>
                <w:tcPr>
                  <w:tcW w:w="1323" w:type="pct"/>
                  <w:tcBorders>
                    <w:tl2br w:val="nil"/>
                    <w:tr2bl w:val="nil"/>
                  </w:tcBorders>
                  <w:shd w:val="clear" w:color="auto" w:fill="auto"/>
                  <w:noWrap w:val="0"/>
                  <w:vAlign w:val="center"/>
                </w:tcPr>
                <w:p w14:paraId="4E7A822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45</w:t>
                  </w:r>
                </w:p>
              </w:tc>
              <w:tc>
                <w:tcPr>
                  <w:tcW w:w="1307" w:type="pct"/>
                  <w:tcBorders>
                    <w:tl2br w:val="nil"/>
                    <w:tr2bl w:val="nil"/>
                  </w:tcBorders>
                  <w:shd w:val="clear" w:color="auto" w:fill="auto"/>
                  <w:noWrap w:val="0"/>
                  <w:vAlign w:val="center"/>
                </w:tcPr>
                <w:p w14:paraId="00F894C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40</w:t>
                  </w:r>
                </w:p>
              </w:tc>
            </w:tr>
            <w:tr w14:paraId="26FB7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0610040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2033E7F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45m</w:t>
                  </w:r>
                </w:p>
              </w:tc>
              <w:tc>
                <w:tcPr>
                  <w:tcW w:w="1323" w:type="pct"/>
                  <w:tcBorders>
                    <w:tl2br w:val="nil"/>
                    <w:tr2bl w:val="nil"/>
                  </w:tcBorders>
                  <w:shd w:val="clear" w:color="auto" w:fill="auto"/>
                  <w:noWrap w:val="0"/>
                  <w:vAlign w:val="center"/>
                </w:tcPr>
                <w:p w14:paraId="2B5FF9D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46</w:t>
                  </w:r>
                </w:p>
              </w:tc>
              <w:tc>
                <w:tcPr>
                  <w:tcW w:w="1307" w:type="pct"/>
                  <w:tcBorders>
                    <w:tl2br w:val="nil"/>
                    <w:tr2bl w:val="nil"/>
                  </w:tcBorders>
                  <w:shd w:val="clear" w:color="auto" w:fill="auto"/>
                  <w:noWrap w:val="0"/>
                  <w:vAlign w:val="center"/>
                </w:tcPr>
                <w:p w14:paraId="2E513AB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39</w:t>
                  </w:r>
                </w:p>
              </w:tc>
            </w:tr>
            <w:tr w14:paraId="34B46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89" w:type="pct"/>
                  <w:vMerge w:val="continue"/>
                  <w:tcBorders>
                    <w:tl2br w:val="nil"/>
                    <w:tr2bl w:val="nil"/>
                  </w:tcBorders>
                  <w:noWrap w:val="0"/>
                  <w:vAlign w:val="center"/>
                </w:tcPr>
                <w:p w14:paraId="067D457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479" w:type="pct"/>
                  <w:tcBorders>
                    <w:tl2br w:val="nil"/>
                    <w:tr2bl w:val="nil"/>
                  </w:tcBorders>
                  <w:noWrap w:val="0"/>
                  <w:vAlign w:val="center"/>
                </w:tcPr>
                <w:p w14:paraId="457FF7D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50m</w:t>
                  </w:r>
                </w:p>
              </w:tc>
              <w:tc>
                <w:tcPr>
                  <w:tcW w:w="1323" w:type="pct"/>
                  <w:tcBorders>
                    <w:tl2br w:val="nil"/>
                    <w:tr2bl w:val="nil"/>
                  </w:tcBorders>
                  <w:shd w:val="clear" w:color="auto" w:fill="auto"/>
                  <w:noWrap w:val="0"/>
                  <w:vAlign w:val="center"/>
                </w:tcPr>
                <w:p w14:paraId="700CCFC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45</w:t>
                  </w:r>
                </w:p>
              </w:tc>
              <w:tc>
                <w:tcPr>
                  <w:tcW w:w="1307" w:type="pct"/>
                  <w:tcBorders>
                    <w:tl2br w:val="nil"/>
                    <w:tr2bl w:val="nil"/>
                  </w:tcBorders>
                  <w:noWrap w:val="0"/>
                  <w:vAlign w:val="center"/>
                </w:tcPr>
                <w:p w14:paraId="269D477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bidi="ar-SA"/>
                      <w14:textFill>
                        <w14:solidFill>
                          <w14:schemeClr w14:val="tx1"/>
                        </w14:solidFill>
                      </w14:textFill>
                    </w:rPr>
                    <w:t>40</w:t>
                  </w:r>
                </w:p>
              </w:tc>
            </w:tr>
          </w:tbl>
          <w:p w14:paraId="57834C0A">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由以上监测结果可知，</w:t>
            </w:r>
            <w:r>
              <w:rPr>
                <w:rFonts w:hint="eastAsia" w:cs="Times New Roman"/>
                <w:bCs/>
                <w:color w:val="000000" w:themeColor="text1"/>
                <w:spacing w:val="0"/>
                <w:sz w:val="24"/>
                <w:szCs w:val="24"/>
                <w:highlight w:val="none"/>
                <w:lang w:val="en-US" w:eastAsia="zh-CN"/>
                <w14:textFill>
                  <w14:solidFill>
                    <w14:schemeClr w14:val="tx1"/>
                  </w14:solidFill>
                </w14:textFill>
              </w:rPr>
              <w:t>类比工程</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“黄骅市正骅新能源有限公司90MW渔光互补光伏平价上网项目110kV外送线路工程”中110kV南桥线</w:t>
            </w:r>
            <w:r>
              <w:rPr>
                <w:rFonts w:hint="eastAsia" w:cs="Times New Roman"/>
                <w:bCs/>
                <w:snapToGrid w:val="0"/>
                <w:color w:val="000000" w:themeColor="text1"/>
                <w:spacing w:val="0"/>
                <w:kern w:val="0"/>
                <w:sz w:val="24"/>
                <w:szCs w:val="24"/>
                <w:highlight w:val="none"/>
                <w:lang w:val="en-US" w:eastAsia="zh-CN"/>
                <w14:textFill>
                  <w14:solidFill>
                    <w14:schemeClr w14:val="tx1"/>
                  </w14:solidFill>
                </w14:textFill>
              </w:rPr>
              <w:t>单回架空段</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声环境监测断面的昼间噪声监测值为</w:t>
            </w:r>
            <w:r>
              <w:rPr>
                <w:rFonts w:hint="eastAsia" w:cs="Times New Roman"/>
                <w:bCs/>
                <w:color w:val="000000" w:themeColor="text1"/>
                <w:spacing w:val="0"/>
                <w:sz w:val="24"/>
                <w:szCs w:val="24"/>
                <w:highlight w:val="none"/>
                <w:lang w:val="en-US" w:eastAsia="zh-CN"/>
                <w14:textFill>
                  <w14:solidFill>
                    <w14:schemeClr w14:val="tx1"/>
                  </w14:solidFill>
                </w14:textFill>
              </w:rPr>
              <w:t>43</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dB（A）~</w:t>
            </w:r>
            <w:r>
              <w:rPr>
                <w:rFonts w:hint="eastAsia" w:cs="Times New Roman"/>
                <w:bCs/>
                <w:color w:val="000000" w:themeColor="text1"/>
                <w:spacing w:val="0"/>
                <w:sz w:val="24"/>
                <w:szCs w:val="24"/>
                <w:highlight w:val="none"/>
                <w:lang w:val="en-US" w:eastAsia="zh-CN"/>
                <w14:textFill>
                  <w14:solidFill>
                    <w14:schemeClr w14:val="tx1"/>
                  </w14:solidFill>
                </w14:textFill>
              </w:rPr>
              <w:t>46</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dB（A），夜间噪声监测值为</w:t>
            </w:r>
            <w:r>
              <w:rPr>
                <w:rFonts w:hint="eastAsia" w:cs="Times New Roman"/>
                <w:bCs/>
                <w:color w:val="000000" w:themeColor="text1"/>
                <w:spacing w:val="0"/>
                <w:sz w:val="24"/>
                <w:szCs w:val="24"/>
                <w:highlight w:val="none"/>
                <w:lang w:val="en-US" w:eastAsia="zh-CN"/>
                <w14:textFill>
                  <w14:solidFill>
                    <w14:schemeClr w14:val="tx1"/>
                  </w14:solidFill>
                </w14:textFill>
              </w:rPr>
              <w:t>38</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dB（A）~4</w:t>
            </w: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dB（A），满足《声环境质量标准》（GB3096-2008）</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1类</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声环境功能区标准限值要求。</w:t>
            </w:r>
          </w:p>
          <w:p w14:paraId="10622A66">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类比分析结论</w:t>
            </w:r>
          </w:p>
          <w:p w14:paraId="6CBDED47">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“黄骅市正骅新能源有限公司90MW渔光互补光伏平价上网项目110kV外送线路工程”中110kV南桥线</w:t>
            </w:r>
            <w:r>
              <w:rPr>
                <w:rFonts w:hint="eastAsia" w:cs="Times New Roman"/>
                <w:bCs/>
                <w:snapToGrid w:val="0"/>
                <w:color w:val="000000" w:themeColor="text1"/>
                <w:spacing w:val="0"/>
                <w:kern w:val="0"/>
                <w:sz w:val="24"/>
                <w:szCs w:val="24"/>
                <w:highlight w:val="none"/>
                <w:lang w:val="en-US" w:eastAsia="zh-CN"/>
                <w14:textFill>
                  <w14:solidFill>
                    <w14:schemeClr w14:val="tx1"/>
                  </w14:solidFill>
                </w14:textFill>
              </w:rPr>
              <w:t>单回架空段</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声环境监测断面</w:t>
            </w:r>
            <w:r>
              <w:rPr>
                <w:rFonts w:hint="eastAsia" w:cs="Times New Roman"/>
                <w:bCs/>
                <w:color w:val="000000" w:themeColor="text1"/>
                <w:spacing w:val="0"/>
                <w:sz w:val="24"/>
                <w:szCs w:val="24"/>
                <w:highlight w:val="none"/>
                <w:lang w:val="en-US" w:eastAsia="zh-CN"/>
                <w14:textFill>
                  <w14:solidFill>
                    <w14:schemeClr w14:val="tx1"/>
                  </w14:solidFill>
                </w14:textFill>
              </w:rPr>
              <w:t>监测范围覆盖了本项目声环境影响评价范围，</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根据实测结果可知，本项目投入运营</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后线路周边声环境质量均</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符合《声环境质量标准》（GB3096</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2008）</w:t>
            </w:r>
            <w:r>
              <w:rPr>
                <w:rFonts w:hint="eastAsia" w:cs="Times New Roman"/>
                <w:bCs/>
                <w:color w:val="000000" w:themeColor="text1"/>
                <w:spacing w:val="0"/>
                <w:sz w:val="24"/>
                <w:szCs w:val="24"/>
                <w:highlight w:val="none"/>
                <w:lang w:val="en-US" w:eastAsia="zh-CN"/>
                <w14:textFill>
                  <w14:solidFill>
                    <w14:schemeClr w14:val="tx1"/>
                  </w14:solidFill>
                </w14:textFill>
              </w:rPr>
              <w:t>中</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相应声环境功能区标准要求。</w:t>
            </w:r>
          </w:p>
          <w:p w14:paraId="7E82BBEF">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firstLine="480" w:firstLineChars="200"/>
              <w:textAlignment w:val="auto"/>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声环境</w:t>
            </w:r>
            <w:r>
              <w:rPr>
                <w:rFonts w:hint="eastAsia" w:cs="Times New Roman"/>
                <w:bCs/>
                <w:color w:val="000000" w:themeColor="text1"/>
                <w:spacing w:val="0"/>
                <w:sz w:val="24"/>
                <w:szCs w:val="24"/>
                <w:highlight w:val="none"/>
                <w:lang w:val="en-US" w:eastAsia="zh-CN"/>
                <w14:textFill>
                  <w14:solidFill>
                    <w14:schemeClr w14:val="tx1"/>
                  </w14:solidFill>
                </w14:textFill>
              </w:rPr>
              <w:t>保护</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目标为A02号塔位西北侧四把伙村、A48~A49号塔之间线路东侧下常乐店，距离</w:t>
            </w:r>
            <w:r>
              <w:rPr>
                <w:rFonts w:hint="eastAsia" w:cs="Times New Roman"/>
                <w:bCs/>
                <w:color w:val="000000" w:themeColor="text1"/>
                <w:spacing w:val="0"/>
                <w:sz w:val="24"/>
                <w:szCs w:val="24"/>
                <w:highlight w:val="none"/>
                <w:lang w:val="en-US" w:eastAsia="zh-CN"/>
                <w14:textFill>
                  <w14:solidFill>
                    <w14:schemeClr w14:val="tx1"/>
                  </w14:solidFill>
                </w14:textFill>
              </w:rPr>
              <w:t>线路</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边导线</w:t>
            </w:r>
            <w:r>
              <w:rPr>
                <w:rFonts w:hint="eastAsia" w:cs="Times New Roman"/>
                <w:bCs/>
                <w:color w:val="000000" w:themeColor="text1"/>
                <w:spacing w:val="0"/>
                <w:sz w:val="24"/>
                <w:szCs w:val="24"/>
                <w:highlight w:val="none"/>
                <w:lang w:val="en-US" w:eastAsia="zh-CN"/>
                <w14:textFill>
                  <w14:solidFill>
                    <w14:schemeClr w14:val="tx1"/>
                  </w14:solidFill>
                </w14:textFill>
              </w:rPr>
              <w:t>均为</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1</w:t>
            </w:r>
            <w:r>
              <w:rPr>
                <w:rFonts w:hint="eastAsia" w:cs="Times New Roman"/>
                <w:bCs/>
                <w:color w:val="000000" w:themeColor="text1"/>
                <w:spacing w:val="0"/>
                <w:sz w:val="24"/>
                <w:szCs w:val="24"/>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m，根据类比工程声环境监测断面实测结果可知，项目声环境</w:t>
            </w:r>
            <w:r>
              <w:rPr>
                <w:rFonts w:hint="eastAsia" w:cs="Times New Roman"/>
                <w:bCs/>
                <w:color w:val="000000" w:themeColor="text1"/>
                <w:spacing w:val="0"/>
                <w:sz w:val="24"/>
                <w:szCs w:val="24"/>
                <w:highlight w:val="none"/>
                <w:lang w:val="en-US" w:eastAsia="zh-CN"/>
                <w14:textFill>
                  <w14:solidFill>
                    <w14:schemeClr w14:val="tx1"/>
                  </w14:solidFill>
                </w14:textFill>
              </w:rPr>
              <w:t>保护</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目标处均</w:t>
            </w:r>
            <w:r>
              <w:rPr>
                <w:rFonts w:hint="eastAsia" w:cs="Times New Roman"/>
                <w:bCs/>
                <w:color w:val="000000" w:themeColor="text1"/>
                <w:spacing w:val="0"/>
                <w:sz w:val="24"/>
                <w:szCs w:val="24"/>
                <w:highlight w:val="none"/>
                <w:lang w:val="en-US" w:eastAsia="zh-CN"/>
                <w14:textFill>
                  <w14:solidFill>
                    <w14:schemeClr w14:val="tx1"/>
                  </w14:solidFill>
                </w14:textFill>
              </w:rPr>
              <w:t>满足</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《声环境质量标准》（GB3096-2008）</w:t>
            </w:r>
            <w:r>
              <w:rPr>
                <w:rFonts w:hint="eastAsia" w:cs="Times New Roman"/>
                <w:bCs/>
                <w:color w:val="000000" w:themeColor="text1"/>
                <w:spacing w:val="0"/>
                <w:sz w:val="24"/>
                <w:szCs w:val="24"/>
                <w:highlight w:val="none"/>
                <w:lang w:val="en-US" w:eastAsia="zh-CN"/>
                <w14:textFill>
                  <w14:solidFill>
                    <w14:schemeClr w14:val="tx1"/>
                  </w14:solidFill>
                </w14:textFill>
              </w:rPr>
              <w:t>中</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1类声环境功能区标准要求。因此，本项目</w:t>
            </w:r>
            <w:r>
              <w:rPr>
                <w:rFonts w:hint="eastAsia" w:cs="Times New Roman"/>
                <w:bCs/>
                <w:color w:val="000000" w:themeColor="text1"/>
                <w:spacing w:val="0"/>
                <w:sz w:val="24"/>
                <w:szCs w:val="24"/>
                <w:highlight w:val="none"/>
                <w:lang w:val="en-US" w:eastAsia="zh-CN"/>
                <w14:textFill>
                  <w14:solidFill>
                    <w14:schemeClr w14:val="tx1"/>
                  </w14:solidFill>
                </w14:textFill>
              </w:rPr>
              <w:t>11</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0kV架空线路建成后，对区域</w:t>
            </w:r>
            <w:r>
              <w:rPr>
                <w:rFonts w:hint="eastAsia" w:cs="Times New Roman"/>
                <w:bCs/>
                <w:color w:val="000000" w:themeColor="text1"/>
                <w:spacing w:val="0"/>
                <w:sz w:val="24"/>
                <w:szCs w:val="24"/>
                <w:highlight w:val="none"/>
                <w:lang w:val="en-US" w:eastAsia="zh-CN"/>
                <w14:textFill>
                  <w14:solidFill>
                    <w14:schemeClr w14:val="tx1"/>
                  </w14:solidFill>
                </w14:textFill>
              </w:rPr>
              <w:t>及声环境敏感目标处</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声环境质量影响轻微。</w:t>
            </w:r>
          </w:p>
          <w:p w14:paraId="4844AEC9">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、生态</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环境</w:t>
            </w:r>
            <w:r>
              <w:rPr>
                <w:rFonts w:hint="default" w:ascii="Times New Roman" w:hAnsi="Times New Roman" w:eastAsia="宋体" w:cs="Times New Roman"/>
                <w:b/>
                <w:color w:val="000000" w:themeColor="text1"/>
                <w:sz w:val="24"/>
                <w:szCs w:val="24"/>
                <w:highlight w:val="none"/>
                <w14:textFill>
                  <w14:solidFill>
                    <w14:schemeClr w14:val="tx1"/>
                  </w14:solidFill>
                </w14:textFill>
              </w:rPr>
              <w:t>影响分析</w:t>
            </w:r>
          </w:p>
          <w:p w14:paraId="1611C87E">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项目运营期对生态环境影响主要表现在</w:t>
            </w:r>
            <w:r>
              <w:rPr>
                <w:rFonts w:hint="eastAsia" w:ascii="Times New Roman" w:hAnsi="Times New Roman" w:eastAsia="宋体" w:cs="Times New Roman"/>
                <w:color w:val="000000" w:themeColor="text1"/>
                <w:kern w:val="0"/>
                <w:sz w:val="24"/>
                <w:szCs w:val="20"/>
                <w:highlight w:val="none"/>
                <w:lang w:eastAsia="zh-CN"/>
                <w14:textFill>
                  <w14:solidFill>
                    <w14:schemeClr w14:val="tx1"/>
                  </w14:solidFill>
                </w14:textFill>
              </w:rPr>
              <w:t>塔基</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占地区域内植被覆盖度下降对生态环境会产生一定不利影响。</w:t>
            </w:r>
            <w:r>
              <w:rPr>
                <w:rFonts w:hint="eastAsia" w:cs="Times New Roman"/>
                <w:color w:val="000000" w:themeColor="text1"/>
                <w:sz w:val="24"/>
                <w:szCs w:val="24"/>
                <w:highlight w:val="none"/>
                <w:lang w:val="en-US" w:eastAsia="zh-CN"/>
                <w14:textFill>
                  <w14:solidFill>
                    <w14:schemeClr w14:val="tx1"/>
                  </w14:solidFill>
                </w14:textFill>
              </w:rPr>
              <w:t>另外，输电线路会对鸟类的飞行和活动产生影响，鸟类撞击铁塔或导线可能会导致受伤或死亡，也会在一定程度上影响线路的安全稳定运行。</w:t>
            </w:r>
          </w:p>
          <w:p w14:paraId="57085A7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通过采取</w:t>
            </w:r>
            <w:r>
              <w:rPr>
                <w:rFonts w:hint="default" w:ascii="Times New Roman" w:hAnsi="Times New Roman" w:eastAsia="宋体" w:cs="Times New Roman"/>
                <w:color w:val="000000" w:themeColor="text1"/>
                <w:sz w:val="24"/>
                <w:szCs w:val="24"/>
                <w:highlight w:val="none"/>
                <w14:textFill>
                  <w14:solidFill>
                    <w14:schemeClr w14:val="tx1"/>
                  </w14:solidFill>
                </w14:textFill>
              </w:rPr>
              <w:t>施工结束后及时对临时占地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default" w:ascii="Times New Roman" w:hAnsi="Times New Roman" w:eastAsia="宋体" w:cs="Times New Roman"/>
                <w:color w:val="000000" w:themeColor="text1"/>
                <w:sz w:val="24"/>
                <w:szCs w:val="24"/>
                <w:highlight w:val="none"/>
                <w14:textFill>
                  <w14:solidFill>
                    <w14:schemeClr w14:val="tx1"/>
                  </w14:solidFill>
                </w14:textFill>
              </w:rPr>
              <w:t>恢复</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优先使用原生表土和选用乡土物种进行生态恢复，防止外来生物入侵，构建与周边生态环境相协调的植物群落，最终形成可自我维持的生态系统</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投入运行后对恢复植被进行定期养护，确保成活率和生物量</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铁塔安装驱鸟器等措施</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szCs w:val="24"/>
                <w:highlight w:val="none"/>
                <w14:textFill>
                  <w14:solidFill>
                    <w14:schemeClr w14:val="tx1"/>
                  </w14:solidFill>
                </w14:textFill>
              </w:rPr>
              <w:t>对周围生态环境影响较小</w:t>
            </w:r>
            <w:r>
              <w:rPr>
                <w:rFonts w:hint="eastAsia" w:cs="Times New Roman"/>
                <w:color w:val="000000" w:themeColor="text1"/>
                <w:sz w:val="24"/>
                <w:szCs w:val="24"/>
                <w:highlight w:val="none"/>
                <w:lang w:eastAsia="zh-CN"/>
                <w14:textFill>
                  <w14:solidFill>
                    <w14:schemeClr w14:val="tx1"/>
                  </w14:solidFill>
                </w14:textFill>
              </w:rPr>
              <w:t>。</w:t>
            </w:r>
          </w:p>
          <w:p w14:paraId="52F50C16">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大气环境、水环境、</w:t>
            </w:r>
            <w:r>
              <w:rPr>
                <w:rFonts w:hint="default" w:ascii="Times New Roman" w:hAnsi="Times New Roman" w:eastAsia="宋体" w:cs="Times New Roman"/>
                <w:b/>
                <w:color w:val="000000" w:themeColor="text1"/>
                <w:sz w:val="24"/>
                <w:szCs w:val="24"/>
                <w:highlight w:val="none"/>
                <w14:textFill>
                  <w14:solidFill>
                    <w14:schemeClr w14:val="tx1"/>
                  </w14:solidFill>
                </w14:textFill>
              </w:rPr>
              <w:t>固体废物</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、环境风险</w:t>
            </w:r>
            <w:r>
              <w:rPr>
                <w:rFonts w:hint="default" w:ascii="Times New Roman" w:hAnsi="Times New Roman" w:eastAsia="宋体" w:cs="Times New Roman"/>
                <w:b/>
                <w:color w:val="000000" w:themeColor="text1"/>
                <w:sz w:val="24"/>
                <w:szCs w:val="24"/>
                <w:highlight w:val="none"/>
                <w14:textFill>
                  <w14:solidFill>
                    <w14:schemeClr w14:val="tx1"/>
                  </w14:solidFill>
                </w14:textFill>
              </w:rPr>
              <w:t>影响分析</w:t>
            </w:r>
          </w:p>
          <w:p w14:paraId="28070B9F">
            <w:pPr>
              <w:pStyle w:val="82"/>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0kV</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输电</w:t>
            </w:r>
            <w:r>
              <w:rPr>
                <w:rFonts w:hint="default" w:ascii="Times New Roman" w:hAnsi="Times New Roman" w:eastAsia="宋体" w:cs="Times New Roman"/>
                <w:color w:val="000000" w:themeColor="text1"/>
                <w:sz w:val="24"/>
                <w:szCs w:val="24"/>
                <w:highlight w:val="none"/>
                <w14:textFill>
                  <w14:solidFill>
                    <w14:schemeClr w14:val="tx1"/>
                  </w14:solidFill>
                </w14:textFill>
              </w:rPr>
              <w:t>线路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投入</w:t>
            </w:r>
            <w:r>
              <w:rPr>
                <w:rFonts w:hint="default" w:ascii="Times New Roman" w:hAnsi="Times New Roman" w:eastAsia="宋体" w:cs="Times New Roman"/>
                <w:color w:val="000000" w:themeColor="text1"/>
                <w:sz w:val="24"/>
                <w:szCs w:val="24"/>
                <w:highlight w:val="none"/>
                <w14:textFill>
                  <w14:solidFill>
                    <w14:schemeClr w14:val="tx1"/>
                  </w14:solidFill>
                </w14:textFill>
              </w:rPr>
              <w:t>运行后，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不新增劳动定员，</w:t>
            </w:r>
            <w:r>
              <w:rPr>
                <w:rFonts w:hint="eastAsia" w:cs="Times New Roman"/>
                <w:color w:val="000000" w:themeColor="text1"/>
                <w:sz w:val="24"/>
                <w:szCs w:val="24"/>
                <w:highlight w:val="none"/>
                <w:lang w:val="en-US" w:eastAsia="zh-CN"/>
                <w14:textFill>
                  <w14:solidFill>
                    <w14:schemeClr w14:val="tx1"/>
                  </w14:solidFill>
                </w14:textFill>
              </w:rPr>
              <w:t>不新增固废和废水，不涉及废气</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不涉及环境风险物质，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因此不会对周边环境产生影响</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r>
      <w:tr w14:paraId="4697C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79" w:type="pct"/>
            <w:noWrap w:val="0"/>
            <w:tcMar>
              <w:left w:w="28" w:type="dxa"/>
              <w:right w:w="28" w:type="dxa"/>
            </w:tcMar>
            <w:vAlign w:val="center"/>
          </w:tcPr>
          <w:p w14:paraId="3DE8379B">
            <w:pPr>
              <w:pStyle w:val="30"/>
              <w:adjustRightInd w:val="0"/>
              <w:snapToGrid w:val="0"/>
              <w:spacing w:before="0" w:beforeAutospacing="0" w:after="0" w:afterAutospacing="0"/>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b/>
                <w:bCs/>
                <w:color w:val="000000" w:themeColor="text1"/>
                <w:spacing w:val="-2"/>
                <w:kern w:val="2"/>
                <w:szCs w:val="24"/>
                <w:highlight w:val="none"/>
                <w:lang w:val="en-US" w:eastAsia="zh-CN"/>
                <w14:textFill>
                  <w14:solidFill>
                    <w14:schemeClr w14:val="tx1"/>
                  </w14:solidFill>
                </w14:textFill>
              </w:rPr>
              <w:t>选址选线环境合理性分析</w:t>
            </w:r>
          </w:p>
        </w:tc>
        <w:tc>
          <w:tcPr>
            <w:tcW w:w="4720" w:type="pct"/>
            <w:noWrap w:val="0"/>
            <w:vAlign w:val="center"/>
          </w:tcPr>
          <w:p w14:paraId="2AA038D3">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bCs/>
                <w:iCs/>
                <w:color w:val="000000" w:themeColor="text1"/>
                <w:kern w:val="13"/>
                <w:sz w:val="24"/>
                <w:highlight w:val="none"/>
                <w:lang w:val="en-US" w:eastAsia="zh-CN"/>
                <w14:textFill>
                  <w14:solidFill>
                    <w14:schemeClr w14:val="tx1"/>
                  </w14:solidFill>
                </w14:textFill>
              </w:rPr>
            </w:pPr>
            <w:r>
              <w:rPr>
                <w:rFonts w:hint="eastAsia" w:ascii="Times New Roman" w:hAnsi="Times New Roman" w:eastAsia="宋体" w:cs="Times New Roman"/>
                <w:b/>
                <w:bCs/>
                <w:iCs/>
                <w:color w:val="000000" w:themeColor="text1"/>
                <w:kern w:val="13"/>
                <w:sz w:val="24"/>
                <w:highlight w:val="none"/>
                <w:lang w:val="en-US" w:eastAsia="zh-CN"/>
                <w14:textFill>
                  <w14:solidFill>
                    <w14:schemeClr w14:val="tx1"/>
                  </w14:solidFill>
                </w14:textFill>
              </w:rPr>
              <w:t>1、环境制约因素</w:t>
            </w:r>
          </w:p>
          <w:p w14:paraId="76E372CB">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pP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本项目输电线路位于</w:t>
            </w:r>
            <w:r>
              <w:rPr>
                <w:rFonts w:hint="eastAsia" w:cs="Times New Roman"/>
                <w:b w:val="0"/>
                <w:bCs w:val="0"/>
                <w:iCs/>
                <w:color w:val="000000" w:themeColor="text1"/>
                <w:kern w:val="13"/>
                <w:sz w:val="24"/>
                <w:highlight w:val="none"/>
                <w:lang w:val="en-US" w:eastAsia="zh-CN"/>
                <w14:textFill>
                  <w14:solidFill>
                    <w14:schemeClr w14:val="tx1"/>
                  </w14:solidFill>
                </w14:textFill>
              </w:rPr>
              <w:t>承德市围场县克勒沟镇、银窝沟乡、杨家湾乡、朝阳湾镇境内</w:t>
            </w: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。根据《输变电建设项目环境保护技术要求》（HJ1113-2020），对本项目环境制约因素进行分析如下：</w:t>
            </w:r>
          </w:p>
          <w:p w14:paraId="5F5D985C">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pP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（1）本项目不涉及自然保护区、饮用水水源保护区等环境敏感区，</w:t>
            </w:r>
            <w:r>
              <w:rPr>
                <w:rFonts w:hint="eastAsia" w:cs="Times New Roman"/>
                <w:b w:val="0"/>
                <w:bCs w:val="0"/>
                <w:iCs/>
                <w:color w:val="000000" w:themeColor="text1"/>
                <w:kern w:val="13"/>
                <w:sz w:val="24"/>
                <w:highlight w:val="none"/>
                <w:lang w:val="en-US" w:eastAsia="zh-CN"/>
                <w14:textFill>
                  <w14:solidFill>
                    <w14:schemeClr w14:val="tx1"/>
                  </w14:solidFill>
                </w14:textFill>
              </w:rPr>
              <w:t>不占用</w:t>
            </w: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生态保护红线</w:t>
            </w:r>
            <w:r>
              <w:rPr>
                <w:rFonts w:hint="eastAsia" w:cs="Times New Roman"/>
                <w:b w:val="0"/>
                <w:bCs w:val="0"/>
                <w:iCs/>
                <w:color w:val="000000" w:themeColor="text1"/>
                <w:kern w:val="13"/>
                <w:sz w:val="24"/>
                <w:highlight w:val="none"/>
                <w:lang w:val="en-US" w:eastAsia="zh-CN"/>
                <w14:textFill>
                  <w14:solidFill>
                    <w14:schemeClr w14:val="tx1"/>
                  </w14:solidFill>
                </w14:textFill>
              </w:rPr>
              <w:t>，</w:t>
            </w: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项目</w:t>
            </w:r>
            <w:r>
              <w:rPr>
                <w:rFonts w:hint="eastAsia" w:cs="Times New Roman"/>
                <w:b w:val="0"/>
                <w:bCs w:val="0"/>
                <w:iCs/>
                <w:color w:val="000000" w:themeColor="text1"/>
                <w:kern w:val="13"/>
                <w:sz w:val="24"/>
                <w:highlight w:val="none"/>
                <w:lang w:val="en-US" w:eastAsia="zh-CN"/>
                <w14:textFill>
                  <w14:solidFill>
                    <w14:schemeClr w14:val="tx1"/>
                  </w14:solidFill>
                </w14:textFill>
              </w:rPr>
              <w:t>选线符合</w:t>
            </w: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要求。</w:t>
            </w:r>
          </w:p>
          <w:p w14:paraId="0D5FC7FC">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pP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（2）本项目选线避让居住、医疗卫生、文化教育、科研、行政办公等为主要功能的区域。采取高架方式，减少电磁和声环境影响。</w:t>
            </w:r>
          </w:p>
          <w:p w14:paraId="6699BB00">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pP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（3）本项目所在区域不涉及0类声环境功能区。</w:t>
            </w:r>
          </w:p>
          <w:p w14:paraId="745825DC">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pP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（4）本项目不占用集中林区，尽量减少林木砍伐。</w:t>
            </w:r>
          </w:p>
          <w:p w14:paraId="55BD47DC">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 w:val="0"/>
                <w:bCs w:val="0"/>
                <w:iCs/>
                <w:color w:val="000000" w:themeColor="text1"/>
                <w:kern w:val="13"/>
                <w:sz w:val="24"/>
                <w:highlight w:val="none"/>
                <w:lang w:val="en-US"/>
                <w14:textFill>
                  <w14:solidFill>
                    <w14:schemeClr w14:val="tx1"/>
                  </w14:solidFill>
                </w14:textFill>
              </w:rPr>
            </w:pP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综上，项目选线符合《输变电建设项目环境保护技术要求》（HJ1113-2020）相关要求。</w:t>
            </w:r>
          </w:p>
          <w:p w14:paraId="3F7F9440">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、环境影响程度分析</w:t>
            </w:r>
          </w:p>
          <w:p w14:paraId="5DC1DE3C">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施工期加强对施工现场的管理，在采取有效的防护措施后，可最大限度地降低施工期间对周围环境的影响。</w:t>
            </w:r>
          </w:p>
          <w:p w14:paraId="2664C224">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经模式预测，</w:t>
            </w:r>
            <w:r>
              <w:rPr>
                <w:rFonts w:hint="eastAsia" w:cs="Times New Roman"/>
                <w:color w:val="000000" w:themeColor="text1"/>
                <w:sz w:val="24"/>
                <w:szCs w:val="24"/>
                <w:highlight w:val="none"/>
                <w:lang w:val="en-US" w:eastAsia="zh-CN"/>
                <w14:textFill>
                  <w14:solidFill>
                    <w14:schemeClr w14:val="tx1"/>
                  </w14:solidFill>
                </w14:textFill>
              </w:rPr>
              <w:t>本项目架空线路投入运行后，</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线路沿线及电磁环境敏感目标处</w:t>
            </w:r>
            <w:r>
              <w:rPr>
                <w:rFonts w:hint="default" w:ascii="Times New Roman" w:hAnsi="Times New Roman" w:eastAsia="宋体" w:cs="Times New Roman"/>
                <w:color w:val="000000" w:themeColor="text1"/>
                <w:sz w:val="24"/>
                <w:szCs w:val="24"/>
                <w:highlight w:val="none"/>
                <w14:textFill>
                  <w14:solidFill>
                    <w14:schemeClr w14:val="tx1"/>
                  </w14:solidFill>
                </w14:textFill>
              </w:rPr>
              <w:t>工频电场强度、工频磁感应强度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满足《电磁环境控制限值》（GB8702-2014）规定的工频电场强度公众曝露控制限值4kV/m</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其中架空输电线路线下的耕地、园地、道路等场所，其频率50Hz的电场强度控制限值为10kV/m</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、工频磁感应强度公众曝露控制限值100μT的要求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经类比分析，</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线路沿线声环境</w:t>
            </w:r>
            <w:r>
              <w:rPr>
                <w:rFonts w:hint="eastAsia" w:cs="Times New Roman"/>
                <w:color w:val="000000" w:themeColor="text1"/>
                <w:sz w:val="24"/>
                <w:szCs w:val="24"/>
                <w:highlight w:val="none"/>
                <w:lang w:val="en-US" w:eastAsia="zh-CN"/>
                <w14:textFill>
                  <w14:solidFill>
                    <w14:schemeClr w14:val="tx1"/>
                  </w14:solidFill>
                </w14:textFill>
              </w:rPr>
              <w:t>质量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声环境质量</w:t>
            </w:r>
            <w:r>
              <w:rPr>
                <w:rFonts w:hint="default" w:ascii="Times New Roman" w:hAnsi="Times New Roman" w:eastAsia="宋体" w:cs="Times New Roman"/>
                <w:color w:val="000000" w:themeColor="text1"/>
                <w:sz w:val="24"/>
                <w:szCs w:val="24"/>
                <w:highlight w:val="none"/>
                <w14:textFill>
                  <w14:solidFill>
                    <w14:schemeClr w14:val="tx1"/>
                  </w14:solidFill>
                </w14:textFill>
              </w:rPr>
              <w:t>标准》（GB</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3096</w:t>
            </w:r>
            <w:r>
              <w:rPr>
                <w:rFonts w:hint="default" w:ascii="Times New Roman" w:hAnsi="Times New Roman" w:eastAsia="宋体" w:cs="Times New Roman"/>
                <w:color w:val="000000" w:themeColor="text1"/>
                <w:sz w:val="24"/>
                <w:szCs w:val="24"/>
                <w:highlight w:val="none"/>
                <w14:textFill>
                  <w14:solidFill>
                    <w14:schemeClr w14:val="tx1"/>
                  </w14:solidFill>
                </w14:textFill>
              </w:rPr>
              <w:t>-2008）</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相应声环境功能区</w:t>
            </w:r>
            <w:r>
              <w:rPr>
                <w:rFonts w:hint="default" w:ascii="Times New Roman" w:hAnsi="Times New Roman" w:eastAsia="宋体" w:cs="Times New Roman"/>
                <w:color w:val="000000" w:themeColor="text1"/>
                <w:sz w:val="24"/>
                <w:szCs w:val="24"/>
                <w:highlight w:val="none"/>
                <w14:textFill>
                  <w14:solidFill>
                    <w14:schemeClr w14:val="tx1"/>
                  </w14:solidFill>
                </w14:textFill>
              </w:rPr>
              <w:t>标准</w:t>
            </w:r>
            <w:r>
              <w:rPr>
                <w:rFonts w:hint="eastAsia" w:cs="Times New Roman"/>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运营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期主要为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电力输送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szCs w:val="24"/>
                <w:highlight w:val="none"/>
                <w14:textFill>
                  <w14:solidFill>
                    <w14:schemeClr w14:val="tx1"/>
                  </w14:solidFill>
                </w14:textFill>
              </w:rPr>
              <w:t>对周围生态环境影响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较</w:t>
            </w:r>
            <w:r>
              <w:rPr>
                <w:rFonts w:hint="default" w:ascii="Times New Roman" w:hAnsi="Times New Roman" w:eastAsia="宋体" w:cs="Times New Roman"/>
                <w:color w:val="000000" w:themeColor="text1"/>
                <w:sz w:val="24"/>
                <w:szCs w:val="24"/>
                <w:highlight w:val="none"/>
                <w14:textFill>
                  <w14:solidFill>
                    <w14:schemeClr w14:val="tx1"/>
                  </w14:solidFill>
                </w14:textFill>
              </w:rPr>
              <w:t>小。</w:t>
            </w:r>
          </w:p>
          <w:p w14:paraId="3AC02433">
            <w:pPr>
              <w:keepNext w:val="0"/>
              <w:keepLines w:val="0"/>
              <w:pageBreakBefore w:val="0"/>
              <w:widowControl w:val="0"/>
              <w:tabs>
                <w:tab w:val="left" w:pos="2445"/>
              </w:tabs>
              <w:kinsoku/>
              <w:wordWrap/>
              <w:overflowPunct/>
              <w:topLinePunct w:val="0"/>
              <w:autoSpaceDE w:val="0"/>
              <w:autoSpaceDN w:val="0"/>
              <w:bidi w:val="0"/>
              <w:adjustRightInd/>
              <w:snapToGrid/>
              <w:spacing w:line="440" w:lineRule="exact"/>
              <w:ind w:firstLine="482" w:firstLineChars="200"/>
              <w:textAlignment w:val="auto"/>
              <w:rPr>
                <w:rFonts w:hint="default" w:ascii="Times New Roman" w:hAnsi="Times New Roman" w:eastAsia="宋体" w:cs="Times New Roman"/>
                <w:b/>
                <w:bCs/>
                <w:iCs/>
                <w:color w:val="000000" w:themeColor="text1"/>
                <w:kern w:val="13"/>
                <w:sz w:val="24"/>
                <w:highlight w:val="none"/>
                <w:lang w:val="en-US" w:eastAsia="zh-CN"/>
                <w14:textFill>
                  <w14:solidFill>
                    <w14:schemeClr w14:val="tx1"/>
                  </w14:solidFill>
                </w14:textFill>
              </w:rPr>
            </w:pPr>
            <w:r>
              <w:rPr>
                <w:rFonts w:hint="eastAsia" w:ascii="Times New Roman" w:hAnsi="Times New Roman" w:eastAsia="宋体" w:cs="Times New Roman"/>
                <w:b/>
                <w:bCs/>
                <w:iCs/>
                <w:color w:val="000000" w:themeColor="text1"/>
                <w:kern w:val="13"/>
                <w:sz w:val="24"/>
                <w:highlight w:val="none"/>
                <w:lang w:val="en-US" w:eastAsia="zh-CN"/>
                <w14:textFill>
                  <w14:solidFill>
                    <w14:schemeClr w14:val="tx1"/>
                  </w14:solidFill>
                </w14:textFill>
              </w:rPr>
              <w:t>3、选线</w:t>
            </w:r>
            <w:r>
              <w:rPr>
                <w:rFonts w:hint="eastAsia" w:cs="Times New Roman"/>
                <w:b/>
                <w:bCs/>
                <w:iCs/>
                <w:color w:val="000000" w:themeColor="text1"/>
                <w:kern w:val="13"/>
                <w:sz w:val="24"/>
                <w:highlight w:val="none"/>
                <w:lang w:val="en-US" w:eastAsia="zh-CN"/>
                <w14:textFill>
                  <w14:solidFill>
                    <w14:schemeClr w14:val="tx1"/>
                  </w14:solidFill>
                </w14:textFill>
              </w:rPr>
              <w:t>合理性</w:t>
            </w:r>
          </w:p>
          <w:p w14:paraId="4FDE87B9">
            <w:pPr>
              <w:spacing w:line="440" w:lineRule="exact"/>
              <w:ind w:firstLine="480" w:firstLineChars="200"/>
              <w:jc w:val="left"/>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（1）根据围场满族蒙古族自治县自然资源和规划局2024年3月25日出具的项目用地是否涉及生态保护红线的情况说明，本项目塔基范围不占生态保护红线。</w:t>
            </w:r>
          </w:p>
          <w:p w14:paraId="234C0EF8">
            <w:pPr>
              <w:spacing w:line="440" w:lineRule="exact"/>
              <w:ind w:firstLine="480" w:firstLineChars="200"/>
              <w:jc w:val="left"/>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（2）根据围场满族蒙古族自治县自然资源和规划局2024年3月25日出具的用地情况说明，本项目塔基坐标范围内不占用永久基本农田。</w:t>
            </w:r>
          </w:p>
          <w:p w14:paraId="479D2810">
            <w:pPr>
              <w:spacing w:line="440" w:lineRule="exact"/>
              <w:ind w:firstLine="480" w:firstLineChars="20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根据围场满族蒙古族自治县林业和草原局2024年3月4日出具的选址意见，本项目选址范围涉及使用林地、草地，不涉及使用各类自然保护区、风景名胜区、森林公园、湿地公园等各类自然保护地，不涉及使用基本草原，不涉及使用林地保护等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为Ⅰ级的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保护林地。</w:t>
            </w:r>
          </w:p>
          <w:p w14:paraId="2392465C">
            <w:pPr>
              <w:spacing w:line="440" w:lineRule="exact"/>
              <w:ind w:firstLine="480" w:firstLineChars="200"/>
              <w:jc w:val="left"/>
              <w:rPr>
                <w:rFonts w:hint="eastAsia"/>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eastAsia"/>
                <w:color w:val="000000" w:themeColor="text1"/>
                <w:sz w:val="24"/>
                <w:szCs w:val="24"/>
                <w:highlight w:val="none"/>
                <w:lang w:val="en-US" w:eastAsia="zh-CN"/>
                <w14:textFill>
                  <w14:solidFill>
                    <w14:schemeClr w14:val="tx1"/>
                  </w14:solidFill>
                </w14:textFill>
              </w:rPr>
              <w:t>围场满族蒙古族自治县旅游和文化广电局2024年5月6日出具的选址意见，本项目用地范围内未发现具有重要历史文化价值的文化遗迹。</w:t>
            </w:r>
          </w:p>
          <w:p w14:paraId="7E81E792">
            <w:pPr>
              <w:spacing w:line="440" w:lineRule="exact"/>
              <w:ind w:firstLine="480" w:firstLineChars="200"/>
              <w:jc w:val="left"/>
              <w:rPr>
                <w:rFonts w:hint="default"/>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w:t>
            </w:r>
            <w:r>
              <w:rPr>
                <w:rFonts w:hint="eastAsia" w:ascii="Times New Roman" w:hAnsi="Times New Roman" w:eastAsia="宋体" w:cs="Times New Roman"/>
                <w:b w:val="0"/>
                <w:bCs w:val="0"/>
                <w:iCs/>
                <w:color w:val="000000" w:themeColor="text1"/>
                <w:kern w:val="13"/>
                <w:sz w:val="24"/>
                <w:highlight w:val="none"/>
                <w:lang w:val="en-US" w:eastAsia="zh-CN"/>
                <w14:textFill>
                  <w14:solidFill>
                    <w14:schemeClr w14:val="tx1"/>
                  </w14:solidFill>
                </w14:textFill>
              </w:rPr>
              <w:t>本项目选线符合当地相关部门要求</w:t>
            </w:r>
            <w:r>
              <w:rPr>
                <w:rFonts w:hint="eastAsia" w:cs="Times New Roman"/>
                <w:b w:val="0"/>
                <w:bCs w:val="0"/>
                <w:iCs/>
                <w:color w:val="000000" w:themeColor="text1"/>
                <w:kern w:val="13"/>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在采取一系列措施后对生态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w:t>
            </w:r>
            <w:r>
              <w:rPr>
                <w:rFonts w:hint="default" w:ascii="Times New Roman" w:hAnsi="Times New Roman" w:eastAsia="宋体" w:cs="Times New Roman"/>
                <w:color w:val="000000" w:themeColor="text1"/>
                <w:sz w:val="24"/>
                <w:szCs w:val="24"/>
                <w:highlight w:val="none"/>
                <w14:textFill>
                  <w14:solidFill>
                    <w14:schemeClr w14:val="tx1"/>
                  </w14:solidFill>
                </w14:textFill>
              </w:rPr>
              <w:t>的影响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较小</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能达标排放</w:t>
            </w:r>
            <w:r>
              <w:rPr>
                <w:rFonts w:hint="default" w:ascii="Times New Roman" w:hAnsi="Times New Roman" w:eastAsia="宋体" w:cs="Times New Roman"/>
                <w:color w:val="000000" w:themeColor="text1"/>
                <w:sz w:val="24"/>
                <w:szCs w:val="24"/>
                <w:highlight w:val="none"/>
                <w14:textFill>
                  <w14:solidFill>
                    <w14:schemeClr w14:val="tx1"/>
                  </w14:solidFill>
                </w14:textFill>
              </w:rPr>
              <w:t>，从环保角度分析，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项目选线</w:t>
            </w:r>
            <w:r>
              <w:rPr>
                <w:rFonts w:hint="default" w:ascii="Times New Roman" w:hAnsi="Times New Roman" w:eastAsia="宋体" w:cs="Times New Roman"/>
                <w:color w:val="000000" w:themeColor="text1"/>
                <w:sz w:val="24"/>
                <w:szCs w:val="24"/>
                <w:highlight w:val="none"/>
                <w14:textFill>
                  <w14:solidFill>
                    <w14:schemeClr w14:val="tx1"/>
                  </w14:solidFill>
                </w14:textFill>
              </w:rPr>
              <w:t>合理。</w:t>
            </w:r>
          </w:p>
          <w:p w14:paraId="20208BF7">
            <w:pPr>
              <w:spacing w:line="440" w:lineRule="exact"/>
              <w:ind w:firstLine="480" w:firstLineChars="200"/>
              <w:jc w:val="left"/>
              <w:rPr>
                <w:rFonts w:hint="default"/>
                <w:color w:val="000000" w:themeColor="text1"/>
                <w:sz w:val="24"/>
                <w:szCs w:val="24"/>
                <w:highlight w:val="none"/>
                <w:lang w:val="en-US" w:eastAsia="zh-CN"/>
                <w14:textFill>
                  <w14:solidFill>
                    <w14:schemeClr w14:val="tx1"/>
                  </w14:solidFill>
                </w14:textFill>
              </w:rPr>
            </w:pPr>
          </w:p>
          <w:p w14:paraId="171CD893">
            <w:pPr>
              <w:spacing w:line="440" w:lineRule="exact"/>
              <w:ind w:firstLine="420" w:firstLineChars="200"/>
              <w:jc w:val="left"/>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r>
    </w:tbl>
    <w:p w14:paraId="1CBE8E02">
      <w:pPr>
        <w:pStyle w:val="30"/>
        <w:jc w:val="center"/>
        <w:rPr>
          <w:rFonts w:ascii="黑体" w:hAnsi="黑体" w:eastAsia="黑体"/>
          <w:snapToGrid w:val="0"/>
          <w:color w:val="000000" w:themeColor="text1"/>
          <w:sz w:val="36"/>
          <w:szCs w:val="36"/>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58146342">
      <w:pPr>
        <w:pStyle w:val="30"/>
        <w:adjustRightInd w:val="0"/>
        <w:snapToGrid w:val="0"/>
        <w:spacing w:before="0" w:beforeAutospacing="0" w:after="0" w:afterAutospacing="0" w:line="14" w:lineRule="auto"/>
        <w:jc w:val="center"/>
        <w:rPr>
          <w:rFonts w:hint="eastAsia" w:ascii="黑体" w:hAnsi="黑体" w:eastAsia="黑体"/>
          <w:snapToGrid w:val="0"/>
          <w:color w:val="000000" w:themeColor="text1"/>
          <w:sz w:val="30"/>
          <w:szCs w:val="30"/>
          <w:highlight w:val="none"/>
          <w14:textFill>
            <w14:solidFill>
              <w14:schemeClr w14:val="tx1"/>
            </w14:solidFill>
          </w14:textFill>
        </w:rPr>
      </w:pPr>
    </w:p>
    <w:p w14:paraId="769C1317">
      <w:pPr>
        <w:pStyle w:val="2"/>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center"/>
        <w:textAlignment w:val="auto"/>
        <w:rPr>
          <w:color w:val="000000" w:themeColor="text1"/>
          <w:highlight w:val="none"/>
          <w14:textFill>
            <w14:solidFill>
              <w14:schemeClr w14:val="tx1"/>
            </w14:solidFill>
          </w14:textFill>
        </w:rPr>
      </w:pPr>
      <w:bookmarkStart w:id="21" w:name="_Toc29018"/>
      <w:bookmarkStart w:id="22" w:name="_Toc26269"/>
      <w:bookmarkStart w:id="23" w:name="_Toc9945"/>
      <w:r>
        <w:rPr>
          <w:rFonts w:hint="eastAsia"/>
          <w:b w:val="0"/>
          <w:bCs w:val="0"/>
          <w:color w:val="000000" w:themeColor="text1"/>
          <w:highlight w:val="none"/>
          <w14:textFill>
            <w14:solidFill>
              <w14:schemeClr w14:val="tx1"/>
            </w14:solidFill>
          </w14:textFill>
        </w:rPr>
        <w:t>五、主要生态环境保护措施</w:t>
      </w:r>
      <w:bookmarkEnd w:id="21"/>
      <w:bookmarkEnd w:id="22"/>
      <w:bookmarkEnd w:id="23"/>
    </w:p>
    <w:tbl>
      <w:tblPr>
        <w:tblStyle w:val="34"/>
        <w:tblW w:w="50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3"/>
        <w:gridCol w:w="7993"/>
      </w:tblGrid>
      <w:tr w14:paraId="4A7EA3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noWrap w:val="0"/>
            <w:tcMar>
              <w:left w:w="28" w:type="dxa"/>
              <w:right w:w="28" w:type="dxa"/>
            </w:tcMar>
            <w:vAlign w:val="center"/>
          </w:tcPr>
          <w:p w14:paraId="536626C9">
            <w:pPr>
              <w:adjustRightInd w:val="0"/>
              <w:snapToGrid w:val="0"/>
              <w:jc w:val="center"/>
              <w:rPr>
                <w:b/>
                <w:bCs/>
                <w:color w:val="000000" w:themeColor="text1"/>
                <w:szCs w:val="21"/>
                <w:highlight w:val="none"/>
                <w14:textFill>
                  <w14:solidFill>
                    <w14:schemeClr w14:val="tx1"/>
                  </w14:solidFill>
                </w14:textFill>
              </w:rPr>
            </w:pPr>
            <w:r>
              <w:rPr>
                <w:b/>
                <w:bCs/>
                <w:color w:val="000000" w:themeColor="text1"/>
                <w:sz w:val="24"/>
                <w:highlight w:val="none"/>
                <w14:textFill>
                  <w14:solidFill>
                    <w14:schemeClr w14:val="tx1"/>
                  </w14:solidFill>
                </w14:textFill>
              </w:rPr>
              <w:t>施工期生态环境保护措施</w:t>
            </w:r>
          </w:p>
        </w:tc>
        <w:tc>
          <w:tcPr>
            <w:tcW w:w="4648" w:type="pct"/>
            <w:noWrap w:val="0"/>
            <w:vAlign w:val="top"/>
          </w:tcPr>
          <w:p w14:paraId="69D6933E">
            <w:pPr>
              <w:pageBreakBefore w:val="0"/>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输电线路铁塔部分已建设，架空线路部分已敷设，但处于建设阶段，无污染物产生，且目前已主动停止建设，项目施工期采取了以下生态环境保护措施。本次评价对输电线路施工期生态环境保护措施进行回顾性分析。</w:t>
            </w:r>
          </w:p>
          <w:p w14:paraId="6A9FC62C">
            <w:pPr>
              <w:pageBreakBefore w:val="0"/>
              <w:kinsoku/>
              <w:wordWrap/>
              <w:overflowPunct/>
              <w:topLinePunct w:val="0"/>
              <w:autoSpaceDE w:val="0"/>
              <w:autoSpaceDN w:val="0"/>
              <w:bidi w:val="0"/>
              <w:snapToGrid/>
              <w:spacing w:line="440" w:lineRule="exact"/>
              <w:ind w:leftChars="0" w:firstLine="482"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1、生态</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环境保护措施</w:t>
            </w:r>
          </w:p>
          <w:p w14:paraId="628C7407">
            <w:pPr>
              <w:pageBreakBefore w:val="0"/>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主要为塔基施工</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，均在</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范围内开展</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对周围区域生态环境影响</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可接受</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230020BB">
            <w:pPr>
              <w:pageBreakBefore w:val="0"/>
              <w:widowControl/>
              <w:kinsoku/>
              <w:wordWrap/>
              <w:overflowPunct/>
              <w:topLinePunct w:val="0"/>
              <w:autoSpaceDE w:val="0"/>
              <w:autoSpaceDN w:val="0"/>
              <w:bidi w:val="0"/>
              <w:snapToGrid/>
              <w:spacing w:line="440" w:lineRule="exact"/>
              <w:ind w:leftChars="0" w:firstLine="480" w:firstLineChars="200"/>
              <w:jc w:val="both"/>
              <w:textAlignment w:val="auto"/>
              <w:outlineLvl w:val="2"/>
              <w:rPr>
                <w:rFonts w:hint="default" w:ascii="Times New Roman" w:hAnsi="Times New Roman" w:eastAsia="宋体" w:cs="Times New Roman"/>
                <w:b w:val="0"/>
                <w:bCs/>
                <w:snapToGrid w:val="0"/>
                <w:color w:val="000000" w:themeColor="text1"/>
                <w:kern w:val="0"/>
                <w:sz w:val="24"/>
                <w:szCs w:val="22"/>
                <w:highlight w:val="none"/>
                <w14:textFill>
                  <w14:solidFill>
                    <w14:schemeClr w14:val="tx1"/>
                  </w14:solidFill>
                </w14:textFill>
              </w:rPr>
            </w:pPr>
            <w:bookmarkStart w:id="24" w:name="_Toc31455"/>
            <w:bookmarkStart w:id="25" w:name="_Toc25323"/>
            <w:r>
              <w:rPr>
                <w:rFonts w:hint="default" w:ascii="Times New Roman" w:hAnsi="Times New Roman" w:eastAsia="宋体" w:cs="Times New Roman"/>
                <w:b w:val="0"/>
                <w:bCs/>
                <w:snapToGrid w:val="0"/>
                <w:color w:val="000000" w:themeColor="text1"/>
                <w:kern w:val="0"/>
                <w:sz w:val="24"/>
                <w:szCs w:val="22"/>
                <w:highlight w:val="none"/>
                <w14:textFill>
                  <w14:solidFill>
                    <w14:schemeClr w14:val="tx1"/>
                  </w14:solidFill>
                </w14:textFill>
              </w:rPr>
              <w:t>（1）工程占地保护措施</w:t>
            </w:r>
            <w:bookmarkEnd w:id="24"/>
            <w:bookmarkEnd w:id="25"/>
          </w:p>
          <w:p w14:paraId="2BDFC849">
            <w:pPr>
              <w:pageBreakBefore w:val="0"/>
              <w:widowControl/>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项目临时占地对生态环境的主要影响表现在地表植被破坏、增加水土流失和影响景观。临时用地选在植被稀疏的地方，对于破坏植被的地段，在施工期或服务期满后及时在场地内种植本地区常见植物，对植被进行恢复。</w:t>
            </w:r>
            <w:r>
              <w:rPr>
                <w:rFonts w:hint="eastAsia" w:cs="Times New Roman"/>
                <w:b w:val="0"/>
                <w:bCs/>
                <w:color w:val="000000" w:themeColor="text1"/>
                <w:kern w:val="0"/>
                <w:sz w:val="24"/>
                <w:szCs w:val="22"/>
                <w:highlight w:val="none"/>
                <w:lang w:val="en-US" w:eastAsia="zh-CN"/>
                <w14:textFill>
                  <w14:solidFill>
                    <w14:schemeClr w14:val="tx1"/>
                  </w14:solidFill>
                </w14:textFill>
              </w:rPr>
              <w:t>项目施工期</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对施工人员</w:t>
            </w:r>
            <w:r>
              <w:rPr>
                <w:rFonts w:hint="eastAsia" w:cs="Times New Roman"/>
                <w:b w:val="0"/>
                <w:bCs/>
                <w:color w:val="000000" w:themeColor="text1"/>
                <w:kern w:val="0"/>
                <w:sz w:val="24"/>
                <w:szCs w:val="22"/>
                <w:highlight w:val="none"/>
                <w:lang w:val="en-US" w:eastAsia="zh-CN"/>
                <w14:textFill>
                  <w14:solidFill>
                    <w14:schemeClr w14:val="tx1"/>
                  </w14:solidFill>
                </w14:textFill>
              </w:rPr>
              <w:t>进行了</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环境保护意识教育，要求文明施工，不得开展滥采滥挖滥伐等植被破坏活动，根据项目施工位点，划定施工范围，禁止随意扩展施工范围。</w:t>
            </w:r>
          </w:p>
          <w:p w14:paraId="3BF3D1CB">
            <w:pPr>
              <w:pageBreakBefore w:val="0"/>
              <w:widowControl/>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项目永久占地使该区域内植被覆盖度下降，对生态环境会产生一定不利影响。项目建成后，及时对施工运输机械碾压过的土地进行</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恢复，并对</w:t>
            </w:r>
            <w:r>
              <w:rPr>
                <w:rFonts w:hint="eastAsia" w:ascii="Times New Roman" w:hAnsi="Times New Roman" w:eastAsia="宋体" w:cs="Times New Roman"/>
                <w:b w:val="0"/>
                <w:bCs/>
                <w:color w:val="000000" w:themeColor="text1"/>
                <w:kern w:val="0"/>
                <w:sz w:val="24"/>
                <w:szCs w:val="22"/>
                <w:highlight w:val="none"/>
                <w:lang w:eastAsia="zh-CN"/>
                <w14:textFill>
                  <w14:solidFill>
                    <w14:schemeClr w14:val="tx1"/>
                  </w14:solidFill>
                </w14:textFill>
              </w:rPr>
              <w:t>塔基下方播撒草籽</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，提高土壤保水性等生态功能</w:t>
            </w:r>
            <w:r>
              <w:rPr>
                <w:rFonts w:hint="default" w:ascii="Times New Roman" w:hAnsi="Times New Roman" w:eastAsia="宋体" w:cs="Times New Roman"/>
                <w:b w:val="0"/>
                <w:bCs/>
                <w:color w:val="000000" w:themeColor="text1"/>
                <w:kern w:val="0"/>
                <w:sz w:val="24"/>
                <w:szCs w:val="22"/>
                <w:highlight w:val="none"/>
                <w:lang w:eastAsia="zh-CN"/>
                <w14:textFill>
                  <w14:solidFill>
                    <w14:schemeClr w14:val="tx1"/>
                  </w14:solidFill>
                </w14:textFill>
              </w:rPr>
              <w:t>。</w:t>
            </w:r>
          </w:p>
          <w:p w14:paraId="6A69CF2B">
            <w:pPr>
              <w:pageBreakBefore w:val="0"/>
              <w:widowControl/>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（2）植被保护措施</w:t>
            </w:r>
          </w:p>
          <w:p w14:paraId="6F7E5FB0">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①项目选址</w:t>
            </w:r>
            <w:r>
              <w:rPr>
                <w:rFonts w:hint="eastAsia" w:cs="Times New Roman"/>
                <w:b w:val="0"/>
                <w:bCs/>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尽量避开有树木、植被的地方，减少</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植被生态环境破坏；对无法避让的林木采取</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异地种植，减少</w:t>
            </w:r>
            <w:r>
              <w:rPr>
                <w:rFonts w:hint="eastAsia" w:cs="Times New Roman"/>
                <w:b w:val="0"/>
                <w:bCs/>
                <w:color w:val="000000" w:themeColor="text1"/>
                <w:kern w:val="0"/>
                <w:sz w:val="24"/>
                <w:szCs w:val="22"/>
                <w:highlight w:val="none"/>
                <w:lang w:val="en-US" w:eastAsia="zh-CN"/>
                <w14:textFill>
                  <w14:solidFill>
                    <w14:schemeClr w14:val="tx1"/>
                  </w14:solidFill>
                </w14:textFill>
              </w:rPr>
              <w:t>了林木损失</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w:t>
            </w:r>
          </w:p>
          <w:p w14:paraId="17D76B70">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②</w:t>
            </w:r>
            <w:r>
              <w:rPr>
                <w:rFonts w:hint="eastAsia" w:cs="Times New Roman"/>
                <w:b w:val="0"/>
                <w:bCs/>
                <w:color w:val="000000" w:themeColor="text1"/>
                <w:kern w:val="0"/>
                <w:sz w:val="24"/>
                <w:szCs w:val="22"/>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严格按照设计文件征占土地范围合理安排施工，减少</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施工开挖面积和临时占地面积，减少</w:t>
            </w:r>
            <w:r>
              <w:rPr>
                <w:rFonts w:hint="eastAsia" w:cs="Times New Roman"/>
                <w:b w:val="0"/>
                <w:bCs/>
                <w:color w:val="000000" w:themeColor="text1"/>
                <w:kern w:val="0"/>
                <w:sz w:val="24"/>
                <w:szCs w:val="22"/>
                <w:highlight w:val="none"/>
                <w:lang w:val="en-US" w:eastAsia="zh-CN"/>
                <w14:textFill>
                  <w14:solidFill>
                    <w14:schemeClr w14:val="tx1"/>
                  </w14:solidFill>
                </w14:textFill>
              </w:rPr>
              <w:t>了对</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植被的破坏。</w:t>
            </w:r>
          </w:p>
          <w:p w14:paraId="7FDF7B83">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③施工结束后对</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施工</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扰动区域林地采取</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栽植乔木</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、灌木</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的方式进行植被恢复。</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对</w:t>
            </w:r>
            <w:r>
              <w:rPr>
                <w:rFonts w:hint="default" w:ascii="Times New Roman" w:hAnsi="Times New Roman" w:eastAsia="宋体" w:cs="Times New Roman"/>
                <w:b w:val="0"/>
                <w:bCs/>
                <w:color w:val="000000" w:themeColor="text1"/>
                <w:kern w:val="0"/>
                <w:sz w:val="24"/>
                <w:szCs w:val="22"/>
                <w:highlight w:val="none"/>
                <w:lang w:eastAsia="zh-CN"/>
                <w14:textFill>
                  <w14:solidFill>
                    <w14:schemeClr w14:val="tx1"/>
                  </w14:solidFill>
                </w14:textFill>
              </w:rPr>
              <w:t>扰动</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草地</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采取撒播草籽的方式进行</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植被恢复</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w:t>
            </w:r>
          </w:p>
          <w:p w14:paraId="79E6B49C">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④塔基</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基础开挖时，表层土</w:t>
            </w:r>
            <w:r>
              <w:rPr>
                <w:rFonts w:hint="eastAsia" w:cs="Times New Roman"/>
                <w:b w:val="0"/>
                <w:bCs/>
                <w:color w:val="000000" w:themeColor="text1"/>
                <w:kern w:val="0"/>
                <w:sz w:val="24"/>
                <w:szCs w:val="22"/>
                <w:highlight w:val="none"/>
                <w:lang w:val="en-US" w:eastAsia="zh-CN"/>
                <w14:textFill>
                  <w14:solidFill>
                    <w14:schemeClr w14:val="tx1"/>
                  </w14:solidFill>
                </w14:textFill>
              </w:rPr>
              <w:t>进行了</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剥离</w:t>
            </w:r>
            <w:r>
              <w:rPr>
                <w:rFonts w:hint="eastAsia" w:cs="Times New Roman"/>
                <w:b w:val="0"/>
                <w:bCs/>
                <w:color w:val="000000" w:themeColor="text1"/>
                <w:kern w:val="0"/>
                <w:sz w:val="24"/>
                <w:szCs w:val="22"/>
                <w:highlight w:val="none"/>
                <w:lang w:val="en-US" w:eastAsia="zh-CN"/>
                <w14:textFill>
                  <w14:solidFill>
                    <w14:schemeClr w14:val="tx1"/>
                  </w14:solidFill>
                </w14:textFill>
              </w:rPr>
              <w:t>并</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单独收集，暂时堆放用于植被恢复覆土，以恢复土壤理性；临时表土堆场采取</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临时防护措施：设土袋挡护、拍实、表层覆盖草垫或苫盖纤维布等其它覆盖物。施工结束后，及时清理</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地表，</w:t>
            </w:r>
            <w:r>
              <w:rPr>
                <w:rFonts w:hint="eastAsia" w:cs="Times New Roman"/>
                <w:b w:val="0"/>
                <w:bCs/>
                <w:color w:val="000000" w:themeColor="text1"/>
                <w:kern w:val="0"/>
                <w:sz w:val="24"/>
                <w:szCs w:val="22"/>
                <w:highlight w:val="none"/>
                <w:lang w:val="en-US" w:eastAsia="zh-CN"/>
                <w14:textFill>
                  <w14:solidFill>
                    <w14:schemeClr w14:val="tx1"/>
                  </w14:solidFill>
                </w14:textFill>
              </w:rPr>
              <w:t>并</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对施工场地进行表土回填、土地平整</w:t>
            </w:r>
            <w:r>
              <w:rPr>
                <w:rFonts w:hint="eastAsia" w:cs="Times New Roman"/>
                <w:b w:val="0"/>
                <w:bCs/>
                <w:color w:val="000000" w:themeColor="text1"/>
                <w:kern w:val="0"/>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植被恢复。</w:t>
            </w:r>
          </w:p>
          <w:p w14:paraId="02AC4365">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当被破坏的植被完全得到恢复时，拟建工程对植被的影响</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即</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可消除。</w:t>
            </w:r>
          </w:p>
          <w:p w14:paraId="172598B9">
            <w:pPr>
              <w:keepNext w:val="0"/>
              <w:keepLines w:val="0"/>
              <w:pageBreakBefore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野生动物保护措施</w:t>
            </w:r>
          </w:p>
          <w:p w14:paraId="61B29F93">
            <w:pPr>
              <w:keepNext w:val="0"/>
              <w:keepLines w:val="0"/>
              <w:pageBreakBefore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①</w:t>
            </w:r>
            <w:r>
              <w:rPr>
                <w:rFonts w:hint="eastAsia" w:cs="Times New Roman"/>
                <w:b w:val="0"/>
                <w:bCs/>
                <w:color w:val="000000" w:themeColor="text1"/>
                <w:kern w:val="0"/>
                <w:sz w:val="24"/>
                <w:szCs w:val="24"/>
                <w:highlight w:val="none"/>
                <w:lang w:val="en-US" w:eastAsia="zh-CN"/>
                <w14:textFill>
                  <w14:solidFill>
                    <w14:schemeClr w14:val="tx1"/>
                  </w14:solidFill>
                </w14:textFill>
              </w:rPr>
              <w:t>项目施工期</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严格划定</w:t>
            </w:r>
            <w:r>
              <w:rPr>
                <w:rFonts w:hint="eastAsia" w:cs="Times New Roman"/>
                <w:b w:val="0"/>
                <w:bCs/>
                <w:color w:val="000000" w:themeColor="text1"/>
                <w:kern w:val="0"/>
                <w:sz w:val="24"/>
                <w:szCs w:val="22"/>
                <w:highlight w:val="none"/>
                <w:lang w:val="en-US" w:eastAsia="zh-CN"/>
                <w14:textFill>
                  <w14:solidFill>
                    <w14:schemeClr w14:val="tx1"/>
                  </w14:solidFill>
                </w14:textFill>
              </w:rPr>
              <w:t>了</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施工人员活动区域，严格控制施工动土范围。</w:t>
            </w:r>
          </w:p>
          <w:p w14:paraId="7664A657">
            <w:pPr>
              <w:keepNext w:val="0"/>
              <w:keepLines w:val="0"/>
              <w:pageBreakBefore w:val="0"/>
              <w:kinsoku/>
              <w:wordWrap/>
              <w:overflowPunct/>
              <w:topLinePunct w:val="0"/>
              <w:autoSpaceDE/>
              <w:autoSpaceDN/>
              <w:bidi w:val="0"/>
              <w:adjustRightInd/>
              <w:snapToGrid/>
              <w:spacing w:line="440" w:lineRule="exact"/>
              <w:ind w:leftChars="0" w:firstLine="480" w:firstLineChars="200"/>
              <w:jc w:val="left"/>
              <w:textAlignment w:val="auto"/>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②</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加强</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施工管理，加强</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施工人员的环保教育。开工前，在工地及周边设立</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保护野生动物的宣传牌。</w:t>
            </w:r>
          </w:p>
          <w:p w14:paraId="553CB32D">
            <w:pPr>
              <w:keepNext w:val="0"/>
              <w:keepLines w:val="0"/>
              <w:pageBreakBefore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pPr>
            <w:r>
              <w:rPr>
                <w:rFonts w:hint="eastAsia" w:cs="Times New Roman"/>
                <w:b w:val="0"/>
                <w:bCs/>
                <w:color w:val="000000" w:themeColor="text1"/>
                <w:kern w:val="0"/>
                <w:sz w:val="24"/>
                <w:szCs w:val="24"/>
                <w:highlight w:val="none"/>
                <w:lang w:val="en-US" w:eastAsia="zh-CN"/>
                <w14:textFill>
                  <w14:solidFill>
                    <w14:schemeClr w14:val="tx1"/>
                  </w14:solidFill>
                </w14:textFill>
              </w:rPr>
              <w:t>③</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施工工期</w:t>
            </w:r>
            <w:r>
              <w:rPr>
                <w:rFonts w:hint="eastAsia" w:cs="Times New Roman"/>
                <w:b w:val="0"/>
                <w:bCs/>
                <w:color w:val="000000" w:themeColor="text1"/>
                <w:kern w:val="0"/>
                <w:sz w:val="24"/>
                <w:szCs w:val="24"/>
                <w:highlight w:val="none"/>
                <w:lang w:val="en-US" w:eastAsia="zh-CN"/>
                <w14:textFill>
                  <w14:solidFill>
                    <w14:schemeClr w14:val="tx1"/>
                  </w14:solidFill>
                </w14:textFill>
              </w:rPr>
              <w:t>已</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避开野生动物繁殖期。</w:t>
            </w:r>
          </w:p>
          <w:p w14:paraId="188D7390">
            <w:pPr>
              <w:keepNext w:val="0"/>
              <w:keepLines w:val="0"/>
              <w:pageBreakBefore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通过采取以上措施，本项目施工</w:t>
            </w:r>
            <w:r>
              <w:rPr>
                <w:rFonts w:hint="eastAsia" w:cs="Times New Roman"/>
                <w:b w:val="0"/>
                <w:bCs/>
                <w:color w:val="000000" w:themeColor="text1"/>
                <w:kern w:val="0"/>
                <w:sz w:val="24"/>
                <w:szCs w:val="24"/>
                <w:highlight w:val="none"/>
                <w:lang w:val="en-US" w:eastAsia="zh-CN"/>
                <w14:textFill>
                  <w14:solidFill>
                    <w14:schemeClr w14:val="tx1"/>
                  </w14:solidFill>
                </w14:textFill>
              </w:rPr>
              <w:t>未</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对项目所在区域野生动物产生明显不良影响。</w:t>
            </w:r>
          </w:p>
          <w:p w14:paraId="19D9D6A2">
            <w:pPr>
              <w:keepNext w:val="0"/>
              <w:keepLines w:val="0"/>
              <w:pageBreakBefore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4</w:t>
            </w:r>
            <w:r>
              <w:rPr>
                <w:rFonts w:hint="eastAsia"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t>水土</w:t>
            </w:r>
            <w:r>
              <w:rPr>
                <w:rFonts w:hint="eastAsia" w:cs="Times New Roman"/>
                <w:b w:val="0"/>
                <w:bCs/>
                <w:color w:val="000000" w:themeColor="text1"/>
                <w:kern w:val="0"/>
                <w:sz w:val="24"/>
                <w:szCs w:val="24"/>
                <w:highlight w:val="none"/>
                <w:lang w:val="en-US" w:eastAsia="zh-CN"/>
                <w14:textFill>
                  <w14:solidFill>
                    <w14:schemeClr w14:val="tx1"/>
                  </w14:solidFill>
                </w14:textFill>
              </w:rPr>
              <w:t>流失防治</w:t>
            </w:r>
            <w:r>
              <w:rPr>
                <w:rFonts w:hint="default" w:ascii="Times New Roman" w:hAnsi="Times New Roman" w:eastAsia="宋体" w:cs="Times New Roman"/>
                <w:b w:val="0"/>
                <w:bCs/>
                <w:color w:val="000000" w:themeColor="text1"/>
                <w:kern w:val="0"/>
                <w:sz w:val="24"/>
                <w:szCs w:val="24"/>
                <w:highlight w:val="none"/>
                <w14:textFill>
                  <w14:solidFill>
                    <w14:schemeClr w14:val="tx1"/>
                  </w14:solidFill>
                </w14:textFill>
              </w:rPr>
              <w:t>措施</w:t>
            </w:r>
          </w:p>
          <w:p w14:paraId="13B03DFE">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本次评价引用本项目水土保持方案中水土保持措施内容。</w:t>
            </w:r>
          </w:p>
          <w:p w14:paraId="6418993B">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结合项目建设特点、水土流失预测结果、防治目标、水土流失防治分区等内容，在分析主体工程建设中具有水土保持功能设施的基础上，借鉴同类工程的水土保持经验，针对本项目建设活动引发的水土流失因害设防，采用工程措施、植物措施、临时措施和管理措施相结合的水土流失综合防治措施体系，力求使本项目造成的水土流失得以集中和全面治理。在发挥工程措施、临时措施控制性和速效性特点的同时，充分发挥植物措施的长效性和美化效果，形成工程措施、植物措施、临时措施和管理措施结合互补的综合防治体系，在时间和空间上形成完整的水土保持防治体系。</w:t>
            </w:r>
          </w:p>
          <w:p w14:paraId="58225771">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平地段送出线路区</w:t>
            </w:r>
          </w:p>
          <w:p w14:paraId="4D891D50">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①</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塔基基础区</w:t>
            </w:r>
          </w:p>
          <w:p w14:paraId="4C14706D">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塔基基础施工前进行清表，剥离表土与一般土石方分别堆放在各个铁塔施工场地边角且不影响施工处；塔基基础完工后回铺表土、在塔基基础周边设置挡水土埂、对塔基基础区进行植被恢复。</w:t>
            </w:r>
          </w:p>
          <w:p w14:paraId="23014C87">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②</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塔基施工区</w:t>
            </w:r>
          </w:p>
          <w:p w14:paraId="6BF41B59">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塔基基础施工前对塔基施工区可剥离表土区域进行清表，塔基基础剥离表土、塔基基础开挖土石方、塔基施工场地剥离表土分别堆放在各个铁塔施工场地边角且不影响施工处，并采取草袋装土拦挡、防尘网苫盖等临时防护措施；为保护场区内地表植被，减少地表扰动，在塔基施工区设置了彩条布铺垫措施；铁塔安装施工结束对临时占用林草地区域进行植被恢复。</w:t>
            </w:r>
          </w:p>
          <w:p w14:paraId="760C914C">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山地段送出线路区</w:t>
            </w:r>
          </w:p>
          <w:p w14:paraId="3B4F1006">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①</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塔基基础区</w:t>
            </w:r>
          </w:p>
          <w:p w14:paraId="7DC49C96">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为保证边坡的稳定性及排泄塔基基础上游汇水，主体设计在山地段塔基基础陡峭边坡处设置浆砌石挡墙、在塔基基础汇水处布设浆砌石排水沟。方案设计塔基基础施工前进行清表，剥离表土与一般土石方分别堆放在各个铁塔施工场地边角且不影响施工处；塔基基础完工后回铺表土、在塔基基础周边设置挡水土埂、对塔基基础区进行植被恢复。</w:t>
            </w:r>
          </w:p>
          <w:p w14:paraId="0885892B">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②</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塔基施工区</w:t>
            </w:r>
          </w:p>
          <w:p w14:paraId="489B14CA">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塔基基础施工前对塔基施工区可剥离表土区域进行清表，塔基基础剥离表土、塔基基础开挖土石方、塔基施工场地剥离表土分别堆放在各个铁塔施工场地边角且不影响施工处，并采取草袋装土拦挡、防尘网苫盖等临时防护措施；为保护场区内地表植被，减少地表扰动，方案在塔基施工区设置了彩条布铺垫措施；铁塔安装施工结束对临时占用林草地区域进行植被恢复。</w:t>
            </w:r>
          </w:p>
          <w:p w14:paraId="4942C562">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牵张场区</w:t>
            </w:r>
          </w:p>
          <w:p w14:paraId="4ADF946B">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为保护牵张场区内地表植被，减少地表扰动，方案在牵张场区设置了彩条布铺垫措施；铁塔架线施工结束后对牵张场区临时占用耕地区域进行复耕、对临时占用草地区域进行植被恢复。</w:t>
            </w:r>
          </w:p>
          <w:p w14:paraId="3CFB2DC8">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eastAsia" w:cs="Times New Roman"/>
                <w:b w:val="0"/>
                <w:bCs/>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施工便道区</w:t>
            </w:r>
          </w:p>
          <w:p w14:paraId="4B7FC280">
            <w:pPr>
              <w:keepNext w:val="0"/>
              <w:keepLines w:val="0"/>
              <w:pageBreakBefore w:val="0"/>
              <w:widowControl/>
              <w:suppressLineNumbers w:val="0"/>
              <w:kinsoku/>
              <w:wordWrap/>
              <w:overflowPunct/>
              <w:topLinePunct w:val="0"/>
              <w:autoSpaceDE/>
              <w:autoSpaceDN/>
              <w:bidi w:val="0"/>
              <w:adjustRightInd/>
              <w:snapToGrid/>
              <w:spacing w:line="440" w:lineRule="exact"/>
              <w:ind w:leftChars="0"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施工便道施工前进行表土剥离，剥离表土临时堆放在便道一侧并采取防尘网苫盖等临时防护措施；铁塔架线施工结束对施工便道区回铺表土并恢复植被。</w:t>
            </w:r>
          </w:p>
          <w:p w14:paraId="1AC25C95">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eastAsia" w:cs="Times New Roman"/>
                <w:b w:val="0"/>
                <w:bCs/>
                <w:color w:val="000000" w:themeColor="text1"/>
                <w:kern w:val="0"/>
                <w:sz w:val="24"/>
                <w:szCs w:val="22"/>
                <w:highlight w:val="none"/>
                <w:lang w:val="en-US" w:eastAsia="zh-CN"/>
                <w14:textFill>
                  <w14:solidFill>
                    <w14:schemeClr w14:val="tx1"/>
                  </w14:solidFill>
                </w14:textFill>
              </w:rPr>
              <w:t>通过采取以上措施，可有效防治水土流失。</w:t>
            </w:r>
          </w:p>
          <w:p w14:paraId="52E4C96F">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防风固沙措施</w:t>
            </w:r>
          </w:p>
          <w:p w14:paraId="0CEF362B">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①分</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段、分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区域施工，基础施工及土</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石</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方开挖时及时苫盖。</w:t>
            </w:r>
          </w:p>
          <w:p w14:paraId="17C1C8B5">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②施工结束后及时进行植被恢复以避免大面积土地裸露。在已经发生沙化的区域，可以</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种植</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适应沙漠环境的植物，如沙棘、蒿草等，逐渐恢复沙化地区的植被覆盖率，减少土壤的风蚀和水蚀。</w:t>
            </w:r>
          </w:p>
          <w:p w14:paraId="6FC53029">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通过采取以上措施，可有效防止土壤沙化。</w:t>
            </w:r>
          </w:p>
          <w:p w14:paraId="0AA7D800">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pP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kern w:val="0"/>
                <w:sz w:val="24"/>
                <w:szCs w:val="22"/>
                <w:highlight w:val="none"/>
                <w14:textFill>
                  <w14:solidFill>
                    <w14:schemeClr w14:val="tx1"/>
                  </w14:solidFill>
                </w14:textFill>
              </w:rPr>
              <w:t>预期效果</w:t>
            </w:r>
          </w:p>
          <w:p w14:paraId="41DECDB8">
            <w:pPr>
              <w:pageBreakBefore w:val="0"/>
              <w:widowControl w:val="0"/>
              <w:kinsoku/>
              <w:wordWrap/>
              <w:overflowPunct/>
              <w:topLinePunct w:val="0"/>
              <w:autoSpaceDE/>
              <w:autoSpaceDN/>
              <w:bidi w:val="0"/>
              <w:snapToGrid/>
              <w:spacing w:after="0" w:line="440" w:lineRule="exact"/>
              <w:ind w:leftChars="0" w:firstLine="480" w:firstLineChars="200"/>
              <w:jc w:val="both"/>
              <w:textAlignment w:val="auto"/>
              <w:rPr>
                <w:rFonts w:hint="default"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2"/>
                <w:highlight w:val="none"/>
                <w:lang w:val="en-US" w:eastAsia="en-US" w:bidi="ar-SA"/>
                <w14:textFill>
                  <w14:solidFill>
                    <w14:schemeClr w14:val="tx1"/>
                  </w14:solidFill>
                </w14:textFill>
              </w:rPr>
              <w:t>项目在采取以上生态保护措</w:t>
            </w:r>
            <w:r>
              <w:rPr>
                <w:rFonts w:hint="default" w:ascii="Times New Roman" w:hAnsi="Times New Roman" w:eastAsia="宋体" w:cs="Times New Roman"/>
                <w:bCs/>
                <w:color w:val="000000" w:themeColor="text1"/>
                <w:kern w:val="0"/>
                <w:sz w:val="24"/>
                <w:szCs w:val="22"/>
                <w:highlight w:val="none"/>
                <w:lang w:val="en-US" w:eastAsia="en-US" w:bidi="ar-SA"/>
                <w14:textFill>
                  <w14:solidFill>
                    <w14:schemeClr w14:val="tx1"/>
                  </w14:solidFill>
                </w14:textFill>
              </w:rPr>
              <w:t>施后，</w:t>
            </w:r>
            <w:r>
              <w:rPr>
                <w:rFonts w:hint="eastAsia" w:cs="Times New Roman"/>
                <w:bCs/>
                <w:color w:val="000000" w:themeColor="text1"/>
                <w:kern w:val="0"/>
                <w:sz w:val="24"/>
                <w:szCs w:val="22"/>
                <w:highlight w:val="none"/>
                <w:lang w:val="en-US" w:eastAsia="zh-CN" w:bidi="ar-SA"/>
                <w14:textFill>
                  <w14:solidFill>
                    <w14:schemeClr w14:val="tx1"/>
                  </w14:solidFill>
                </w14:textFill>
              </w:rPr>
              <w:t>已</w:t>
            </w:r>
            <w:r>
              <w:rPr>
                <w:rFonts w:hint="default" w:ascii="Times New Roman" w:hAnsi="Times New Roman" w:eastAsia="宋体" w:cs="Times New Roman"/>
                <w:bCs/>
                <w:color w:val="000000" w:themeColor="text1"/>
                <w:kern w:val="0"/>
                <w:sz w:val="24"/>
                <w:szCs w:val="22"/>
                <w:highlight w:val="none"/>
                <w:lang w:val="en-US" w:eastAsia="en-US" w:bidi="ar-SA"/>
                <w14:textFill>
                  <w14:solidFill>
                    <w14:schemeClr w14:val="tx1"/>
                  </w14:solidFill>
                </w14:textFill>
              </w:rPr>
              <w:t>有效减轻工程施工对评价区的生态影响，</w:t>
            </w:r>
            <w:r>
              <w:rPr>
                <w:rFonts w:hint="default"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t>减少</w:t>
            </w:r>
            <w:r>
              <w:rPr>
                <w:rFonts w:hint="default" w:ascii="Times New Roman" w:hAnsi="Times New Roman" w:eastAsia="宋体" w:cs="Times New Roman"/>
                <w:bCs/>
                <w:color w:val="000000" w:themeColor="text1"/>
                <w:kern w:val="0"/>
                <w:sz w:val="24"/>
                <w:szCs w:val="22"/>
                <w:highlight w:val="none"/>
                <w:lang w:val="en-US" w:eastAsia="en-US" w:bidi="ar-SA"/>
                <w14:textFill>
                  <w14:solidFill>
                    <w14:schemeClr w14:val="tx1"/>
                  </w14:solidFill>
                </w14:textFill>
              </w:rPr>
              <w:t>施工造成的土壤侵蚀，使本项目的建设对生态环境的影响减少到最小。施工期结束后，经过1-3年的生态恢复，植被能够基本恢复原貌</w:t>
            </w:r>
            <w:r>
              <w:rPr>
                <w:rFonts w:hint="default" w:ascii="Times New Roman" w:hAnsi="Times New Roman" w:eastAsia="宋体" w:cs="Times New Roman"/>
                <w:bCs/>
                <w:color w:val="000000" w:themeColor="text1"/>
                <w:kern w:val="0"/>
                <w:sz w:val="24"/>
                <w:szCs w:val="22"/>
                <w:highlight w:val="none"/>
                <w:lang w:val="en-US" w:eastAsia="zh-CN" w:bidi="ar-SA"/>
                <w14:textFill>
                  <w14:solidFill>
                    <w14:schemeClr w14:val="tx1"/>
                  </w14:solidFill>
                </w14:textFill>
              </w:rPr>
              <w:t>。</w:t>
            </w:r>
          </w:p>
          <w:p w14:paraId="4D8B6734">
            <w:pPr>
              <w:keepNext/>
              <w:keepLines/>
              <w:pageBreakBefore w:val="0"/>
              <w:widowControl w:val="0"/>
              <w:kinsoku/>
              <w:wordWrap/>
              <w:overflowPunct/>
              <w:topLinePunct w:val="0"/>
              <w:autoSpaceDE w:val="0"/>
              <w:autoSpaceDN w:val="0"/>
              <w:bidi w:val="0"/>
              <w:snapToGrid/>
              <w:spacing w:before="0" w:after="0" w:line="440" w:lineRule="exact"/>
              <w:ind w:leftChars="0" w:firstLine="482" w:firstLineChars="200"/>
              <w:jc w:val="both"/>
              <w:textAlignment w:val="auto"/>
              <w:outlineLvl w:val="3"/>
              <w:rPr>
                <w:rFonts w:hint="default" w:ascii="Times New Roman" w:hAnsi="Times New Roman" w:eastAsia="宋体" w:cs="Times New Roman"/>
                <w:b/>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生态保护红线区域保护措施</w:t>
            </w:r>
          </w:p>
          <w:p w14:paraId="1CB1C97F">
            <w:pPr>
              <w:keepNext/>
              <w:keepLines/>
              <w:pageBreakBefore w:val="0"/>
              <w:widowControl w:val="0"/>
              <w:kinsoku/>
              <w:wordWrap/>
              <w:overflowPunct/>
              <w:topLinePunct w:val="0"/>
              <w:autoSpaceDE w:val="0"/>
              <w:autoSpaceDN w:val="0"/>
              <w:bidi w:val="0"/>
              <w:snapToGrid/>
              <w:spacing w:before="0" w:after="0" w:line="440" w:lineRule="exact"/>
              <w:ind w:leftChars="0" w:firstLine="480" w:firstLineChars="200"/>
              <w:jc w:val="both"/>
              <w:textAlignment w:val="auto"/>
              <w:outlineLvl w:val="3"/>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（1）</w:t>
            </w:r>
            <w:r>
              <w:rPr>
                <w:rFonts w:hint="eastAsia" w:cs="Times New Roman"/>
                <w:b w:val="0"/>
                <w:bCs/>
                <w:color w:val="000000" w:themeColor="text1"/>
                <w:sz w:val="24"/>
                <w:szCs w:val="24"/>
                <w:highlight w:val="none"/>
                <w:lang w:val="en-US" w:eastAsia="zh-CN" w:bidi="ar-SA"/>
                <w14:textFill>
                  <w14:solidFill>
                    <w14:schemeClr w14:val="tx1"/>
                  </w14:solidFill>
                </w14:textFill>
              </w:rPr>
              <w:t>施工临时设施远离生态保护红线布置。</w:t>
            </w:r>
          </w:p>
          <w:p w14:paraId="220D251E">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（2）项目永久及</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临时占地</w:t>
            </w:r>
            <w:r>
              <w:rPr>
                <w:rFonts w:hint="eastAsia" w:cs="Times New Roman"/>
                <w:b w:val="0"/>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占用</w:t>
            </w:r>
            <w:r>
              <w:rPr>
                <w:rFonts w:hint="eastAsia" w:cs="Times New Roman"/>
                <w:b w:val="0"/>
                <w:bCs/>
                <w:color w:val="000000" w:themeColor="text1"/>
                <w:kern w:val="0"/>
                <w:sz w:val="24"/>
                <w:szCs w:val="22"/>
                <w:highlight w:val="none"/>
                <w:lang w:val="en-US" w:eastAsia="zh-CN"/>
                <w14:textFill>
                  <w14:solidFill>
                    <w14:schemeClr w14:val="tx1"/>
                  </w14:solidFill>
                </w14:textFill>
              </w:rPr>
              <w:t>生态保护红线</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施工期采取</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严格控制施工范围必须限定在用地范围内，严禁施工人员进入</w:t>
            </w:r>
            <w:r>
              <w:rPr>
                <w:rFonts w:hint="eastAsia" w:cs="Times New Roman"/>
                <w:b w:val="0"/>
                <w:bCs/>
                <w:color w:val="000000" w:themeColor="text1"/>
                <w:kern w:val="0"/>
                <w:sz w:val="24"/>
                <w:szCs w:val="22"/>
                <w:highlight w:val="none"/>
                <w:lang w:val="en-US" w:eastAsia="zh-CN"/>
                <w14:textFill>
                  <w14:solidFill>
                    <w14:schemeClr w14:val="tx1"/>
                  </w14:solidFill>
                </w14:textFill>
              </w:rPr>
              <w:t>生态保护红线范围</w:t>
            </w:r>
            <w:r>
              <w:rPr>
                <w:rFonts w:hint="eastAsia"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t>等保护措施。</w:t>
            </w:r>
          </w:p>
          <w:p w14:paraId="0429869F">
            <w:pPr>
              <w:keepNext/>
              <w:keepLines/>
              <w:pageBreakBefore w:val="0"/>
              <w:widowControl w:val="0"/>
              <w:kinsoku/>
              <w:wordWrap/>
              <w:overflowPunct/>
              <w:topLinePunct w:val="0"/>
              <w:autoSpaceDE w:val="0"/>
              <w:autoSpaceDN w:val="0"/>
              <w:bidi w:val="0"/>
              <w:snapToGrid/>
              <w:spacing w:before="0" w:after="0" w:line="440" w:lineRule="exact"/>
              <w:ind w:leftChars="0" w:firstLine="480" w:firstLineChars="200"/>
              <w:jc w:val="both"/>
              <w:textAlignment w:val="auto"/>
              <w:outlineLvl w:val="3"/>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（3）施工结束后及时进行</w:t>
            </w:r>
            <w:r>
              <w:rPr>
                <w:rFonts w:hint="eastAsia" w:cs="Times New Roman"/>
                <w:b w:val="0"/>
                <w:bCs/>
                <w:color w:val="000000" w:themeColor="text1"/>
                <w:sz w:val="24"/>
                <w:szCs w:val="24"/>
                <w:highlight w:val="none"/>
                <w:lang w:val="en-US" w:eastAsia="zh-CN" w:bidi="ar-SA"/>
                <w14:textFill>
                  <w14:solidFill>
                    <w14:schemeClr w14:val="tx1"/>
                  </w14:solidFill>
                </w14:textFill>
              </w:rPr>
              <w:t>了</w:t>
            </w: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植被恢复、迹地清理。</w:t>
            </w:r>
          </w:p>
          <w:p w14:paraId="03F96FB6">
            <w:pPr>
              <w:keepNext/>
              <w:keepLines/>
              <w:pageBreakBefore w:val="0"/>
              <w:widowControl w:val="0"/>
              <w:kinsoku/>
              <w:wordWrap/>
              <w:overflowPunct/>
              <w:topLinePunct w:val="0"/>
              <w:autoSpaceDE w:val="0"/>
              <w:autoSpaceDN w:val="0"/>
              <w:bidi w:val="0"/>
              <w:snapToGrid/>
              <w:spacing w:before="0" w:after="0" w:line="440" w:lineRule="exact"/>
              <w:ind w:leftChars="0" w:firstLine="480" w:firstLineChars="200"/>
              <w:jc w:val="both"/>
              <w:textAlignment w:val="auto"/>
              <w:outlineLvl w:val="3"/>
              <w:rPr>
                <w:rFonts w:hint="default" w:ascii="Times New Roman" w:hAnsi="Times New Roman" w:eastAsia="宋体" w:cs="Times New Roman"/>
                <w:b/>
                <w:bCs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（4）施工过程中</w:t>
            </w:r>
            <w:r>
              <w:rPr>
                <w:rFonts w:hint="eastAsia" w:cs="Times New Roman"/>
                <w:b w:val="0"/>
                <w:bCs/>
                <w:color w:val="000000" w:themeColor="text1"/>
                <w:sz w:val="24"/>
                <w:szCs w:val="24"/>
                <w:highlight w:val="none"/>
                <w:lang w:val="en-US" w:eastAsia="zh-CN" w:bidi="ar-SA"/>
                <w14:textFill>
                  <w14:solidFill>
                    <w14:schemeClr w14:val="tx1"/>
                  </w14:solidFill>
                </w14:textFill>
              </w:rPr>
              <w:t>未</w:t>
            </w: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向生态保护红线区域内排放废水、固体废物等污染物。</w:t>
            </w:r>
          </w:p>
          <w:p w14:paraId="4933C6FC">
            <w:pPr>
              <w:keepNext/>
              <w:keepLines/>
              <w:pageBreakBefore w:val="0"/>
              <w:widowControl w:val="0"/>
              <w:kinsoku/>
              <w:wordWrap/>
              <w:overflowPunct/>
              <w:topLinePunct w:val="0"/>
              <w:autoSpaceDE w:val="0"/>
              <w:autoSpaceDN w:val="0"/>
              <w:bidi w:val="0"/>
              <w:snapToGrid/>
              <w:spacing w:before="0" w:after="0" w:line="440" w:lineRule="exact"/>
              <w:ind w:leftChars="0" w:firstLine="480" w:firstLineChars="200"/>
              <w:jc w:val="both"/>
              <w:textAlignment w:val="auto"/>
              <w:outlineLvl w:val="3"/>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（5）加强</w:t>
            </w:r>
            <w:r>
              <w:rPr>
                <w:rFonts w:hint="eastAsia" w:cs="Times New Roman"/>
                <w:b w:val="0"/>
                <w:bCs/>
                <w:color w:val="000000" w:themeColor="text1"/>
                <w:sz w:val="24"/>
                <w:szCs w:val="24"/>
                <w:highlight w:val="none"/>
                <w:lang w:val="en-US" w:eastAsia="zh-CN" w:bidi="ar-SA"/>
                <w14:textFill>
                  <w14:solidFill>
                    <w14:schemeClr w14:val="tx1"/>
                  </w14:solidFill>
                </w14:textFill>
              </w:rPr>
              <w:t>了</w:t>
            </w: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施工人员环保教育。</w:t>
            </w:r>
          </w:p>
          <w:p w14:paraId="44734D3C">
            <w:pPr>
              <w:pageBreakBefore w:val="0"/>
              <w:widowControl/>
              <w:numPr>
                <w:ilvl w:val="0"/>
                <w:numId w:val="0"/>
              </w:numPr>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b w:val="0"/>
                <w:bCs/>
                <w:color w:val="000000" w:themeColor="text1"/>
                <w:kern w:val="0"/>
                <w:sz w:val="24"/>
                <w:szCs w:val="22"/>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通过采取以上措施，本项目施工</w:t>
            </w:r>
            <w:r>
              <w:rPr>
                <w:rFonts w:hint="eastAsia" w:cs="Times New Roman"/>
                <w:b w:val="0"/>
                <w:bCs/>
                <w:color w:val="000000" w:themeColor="text1"/>
                <w:kern w:val="0"/>
                <w:sz w:val="24"/>
                <w:szCs w:val="24"/>
                <w:highlight w:val="none"/>
                <w:lang w:val="en-US" w:eastAsia="zh-CN"/>
                <w14:textFill>
                  <w14:solidFill>
                    <w14:schemeClr w14:val="tx1"/>
                  </w14:solidFill>
                </w14:textFill>
              </w:rPr>
              <w:t>未</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对</w:t>
            </w:r>
            <w:r>
              <w:rPr>
                <w:rFonts w:hint="eastAsia" w:cs="Times New Roman"/>
                <w:b w:val="0"/>
                <w:bCs/>
                <w:color w:val="000000" w:themeColor="text1"/>
                <w:kern w:val="0"/>
                <w:sz w:val="24"/>
                <w:szCs w:val="24"/>
                <w:highlight w:val="none"/>
                <w:lang w:val="en-US" w:eastAsia="zh-CN"/>
                <w14:textFill>
                  <w14:solidFill>
                    <w14:schemeClr w14:val="tx1"/>
                  </w14:solidFill>
                </w14:textFill>
              </w:rPr>
              <w:t>周边</w:t>
            </w:r>
            <w:r>
              <w:rPr>
                <w:rFonts w:hint="eastAsia"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生态保护红线产生明显不良影响。</w:t>
            </w:r>
          </w:p>
          <w:p w14:paraId="523ED37B">
            <w:pPr>
              <w:keepNext w:val="0"/>
              <w:keepLines w:val="0"/>
              <w:pageBreakBefore w:val="0"/>
              <w:widowControl w:val="0"/>
              <w:kinsoku/>
              <w:wordWrap/>
              <w:overflowPunct/>
              <w:topLinePunct w:val="0"/>
              <w:autoSpaceDE/>
              <w:autoSpaceDN/>
              <w:bidi w:val="0"/>
              <w:adjustRightInd/>
              <w:snapToGrid/>
              <w:spacing w:after="0" w:line="440" w:lineRule="exact"/>
              <w:ind w:leftChars="0" w:firstLine="482" w:firstLineChars="200"/>
              <w:jc w:val="both"/>
              <w:textAlignment w:val="auto"/>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大气环境保护措施</w:t>
            </w:r>
          </w:p>
          <w:p w14:paraId="2F36EC93">
            <w:pPr>
              <w:keepNext w:val="0"/>
              <w:keepLines w:val="0"/>
              <w:pageBreakBefore w:val="0"/>
              <w:widowControl w:val="0"/>
              <w:kinsoku/>
              <w:wordWrap/>
              <w:overflowPunct/>
              <w:topLinePunct w:val="0"/>
              <w:autoSpaceDE w:val="0"/>
              <w:autoSpaceDN w:val="0"/>
              <w:bidi w:val="0"/>
              <w:adjustRightInd/>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（1）扬尘治理措施</w:t>
            </w:r>
          </w:p>
          <w:p w14:paraId="5A2FC0DD">
            <w:pPr>
              <w:keepNext w:val="0"/>
              <w:keepLines w:val="0"/>
              <w:pageBreakBefore w:val="0"/>
              <w:widowControl w:val="0"/>
              <w:kinsoku/>
              <w:wordWrap/>
              <w:overflowPunct/>
              <w:topLinePunct w:val="0"/>
              <w:autoSpaceDE w:val="0"/>
              <w:autoSpaceDN w:val="0"/>
              <w:bidi w:val="0"/>
              <w:adjustRightInd/>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结合《河北省扬尘污染防治办法》、《河北省建筑施工扬尘防治标准》，本项目施工期严格执行如下扬尘治理措施：</w:t>
            </w:r>
          </w:p>
          <w:p w14:paraId="77D497BE">
            <w:pPr>
              <w:keepNext w:val="0"/>
              <w:keepLines w:val="0"/>
              <w:pageBreakBefore w:val="0"/>
              <w:widowControl w:val="0"/>
              <w:kinsoku/>
              <w:wordWrap/>
              <w:overflowPunct/>
              <w:topLinePunct w:val="0"/>
              <w:autoSpaceDE w:val="0"/>
              <w:autoSpaceDN w:val="0"/>
              <w:bidi w:val="0"/>
              <w:adjustRightInd/>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①施工单位在施工现场出入口明显位置设置</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扬尘防治公示牌，内容包括建设、施工、监理及监管等单位名称、扬尘防治负责人的名称、联系电话、举报电话等。</w:t>
            </w:r>
          </w:p>
          <w:p w14:paraId="62556214">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②施工现场设置</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硬质围挡，围挡坚固、美观，本项目围挡高度应不低于1.8m。</w:t>
            </w:r>
          </w:p>
          <w:p w14:paraId="4284709B">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③施工现场出入口和场内施工道路、材料加工堆放区采用混凝土硬化或</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采</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用硬质砌块铺设，并实现硬化率达100%，硬化后的地面</w:t>
            </w:r>
            <w:r>
              <w:rPr>
                <w:rFonts w:hint="eastAsia" w:cs="Times New Roman"/>
                <w:bCs/>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清扫整洁无浮土、积土。</w:t>
            </w:r>
          </w:p>
          <w:p w14:paraId="073C310F">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④施工现场出入口配备</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车辆冲洗设施，设置排水、泥浆沉淀池等设施，建立</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冲洗制度并设专人管理，车辆</w:t>
            </w:r>
            <w:r>
              <w:rPr>
                <w:rFonts w:hint="eastAsia" w:cs="Times New Roman"/>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带泥上路。</w:t>
            </w:r>
          </w:p>
          <w:p w14:paraId="6E490188">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⑤施工现场集中堆放的土方和裸露场地采取</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覆盖、固化或绿化等防尘措施。</w:t>
            </w:r>
          </w:p>
          <w:p w14:paraId="6DF08A25">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⑥施工现场易飞扬的细颗粒建筑材料密闭存放或严密覆盖，</w:t>
            </w:r>
            <w:r>
              <w:rPr>
                <w:rFonts w:hint="eastAsia" w:cs="Times New Roman"/>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露天放置；余料</w:t>
            </w:r>
            <w:r>
              <w:rPr>
                <w:rFonts w:hint="eastAsia" w:cs="Times New Roman"/>
                <w:bCs/>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及时回收。</w:t>
            </w:r>
          </w:p>
          <w:p w14:paraId="55BB8B6A">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⑦部分施工区域距离村庄较近，为减少施工期对居民的影响，临近区域施工前</w:t>
            </w:r>
            <w:r>
              <w:rPr>
                <w:rFonts w:hint="eastAsia" w:cs="Times New Roman"/>
                <w:bCs/>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及时通知影响范围内居民，适当增加</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临近居民侧围挡高度，增加</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临近居民处洒水抑尘次数，施工机械和车辆避让居民居住区行驶，以减少施工废气对居民的影响。</w:t>
            </w:r>
          </w:p>
          <w:p w14:paraId="1AA5F26E">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⑧生活垃圾</w:t>
            </w:r>
            <w:r>
              <w:rPr>
                <w:rFonts w:hint="eastAsia" w:cs="Times New Roman"/>
                <w:bCs/>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用封闭式容器存放，日产日清，</w:t>
            </w:r>
            <w:r>
              <w:rPr>
                <w:rFonts w:hint="eastAsia" w:cs="Times New Roman"/>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随意丢弃。</w:t>
            </w:r>
          </w:p>
          <w:p w14:paraId="39BD5F9D">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⑨施工现场建立</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洒水清扫抑尘制度，配备洒水设备。非冰冻期每天洒水不少于2次，并有专人负责。重污染天气时相增加</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洒水频次。遇有4级以上大风或重污染天气预警时，采取</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扬尘防治应急措施，</w:t>
            </w:r>
            <w:r>
              <w:rPr>
                <w:rFonts w:hint="eastAsia" w:cs="Times New Roman"/>
                <w:bCs/>
                <w:color w:val="000000" w:themeColor="text1"/>
                <w:kern w:val="0"/>
                <w:sz w:val="24"/>
                <w:szCs w:val="22"/>
                <w:highlight w:val="none"/>
                <w:lang w:val="en-US" w:eastAsia="zh-CN"/>
                <w14:textFill>
                  <w14:solidFill>
                    <w14:schemeClr w14:val="tx1"/>
                  </w14:solidFill>
                </w14:textFill>
              </w:rPr>
              <w:t>未进行</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土方开挖、土方回填或其他有可能产生扬尘的作业。</w:t>
            </w:r>
          </w:p>
          <w:p w14:paraId="712FEF0E">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采取以上措施后，施工扬尘排放满足《施工场地扬尘排放标准》（DB13/2934-2019）表1扬尘排放浓度限值。随着施工的完成，这些影响也</w:t>
            </w:r>
            <w:r>
              <w:rPr>
                <w:rFonts w:hint="eastAsia" w:cs="Times New Roman"/>
                <w:bCs/>
                <w:color w:val="000000" w:themeColor="text1"/>
                <w:kern w:val="0"/>
                <w:sz w:val="24"/>
                <w:szCs w:val="22"/>
                <w:highlight w:val="none"/>
                <w:lang w:val="en-US" w:eastAsia="zh-CN"/>
                <w14:textFill>
                  <w14:solidFill>
                    <w14:schemeClr w14:val="tx1"/>
                  </w14:solidFill>
                </w14:textFill>
              </w:rPr>
              <w:t>已经</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消失，</w:t>
            </w:r>
            <w:r>
              <w:rPr>
                <w:rFonts w:hint="eastAsia" w:cs="Times New Roman"/>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对周围环境产生较大的不利影响。</w:t>
            </w:r>
          </w:p>
          <w:p w14:paraId="0DFB5A0E">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（2）施工机械和运输车辆的尾气治理措施</w:t>
            </w:r>
          </w:p>
          <w:p w14:paraId="700A37B2">
            <w:pPr>
              <w:pageBreakBefore w:val="0"/>
              <w:widowControl w:val="0"/>
              <w:kinsoku/>
              <w:wordWrap/>
              <w:overflowPunct/>
              <w:topLinePunct w:val="0"/>
              <w:autoSpaceDE/>
              <w:autoSpaceDN/>
              <w:bidi w:val="0"/>
              <w:snapToGrid/>
              <w:spacing w:after="0" w:line="440" w:lineRule="exact"/>
              <w:ind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2"/>
                <w:highlight w:val="none"/>
                <w:lang w:val="en-US" w:eastAsia="en-US" w:bidi="ar-SA"/>
                <w14:textFill>
                  <w14:solidFill>
                    <w14:schemeClr w14:val="tx1"/>
                  </w14:solidFill>
                </w14:textFill>
              </w:rPr>
              <w:t>本项目施工机械和运输车辆排放的大气污染物相对较少，对周边影响程度及范围较小，通过采取限制超载、限制超速等措施，可以大大降低运输车辆及施工机械尾气对周围环境敏感点的影响。因此，机械施工和运输车辆所排放的尾气对周围环境影响较小。</w:t>
            </w:r>
          </w:p>
          <w:p w14:paraId="664CFFCE">
            <w:pPr>
              <w:pageBreakBefore w:val="0"/>
              <w:kinsoku/>
              <w:wordWrap/>
              <w:overflowPunct/>
              <w:topLinePunct w:val="0"/>
              <w:autoSpaceDE w:val="0"/>
              <w:autoSpaceDN w:val="0"/>
              <w:bidi w:val="0"/>
              <w:adjustRightInd w:val="0"/>
              <w:snapToGrid/>
              <w:spacing w:line="440" w:lineRule="exact"/>
              <w:ind w:leftChars="0" w:firstLine="482" w:firstLineChars="200"/>
              <w:jc w:val="both"/>
              <w:textAlignment w:val="auto"/>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、水环境保护措施</w:t>
            </w:r>
          </w:p>
          <w:p w14:paraId="0906EC4A">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本项目施工期产生的施工设备清洗和水泥养护排水，水量较小，主要污染物为泥沙</w:t>
            </w:r>
            <w:r>
              <w:rPr>
                <w:rFonts w:hint="default" w:ascii="Times New Roman" w:hAnsi="Times New Roman" w:eastAsia="宋体" w:cs="Times New Roman"/>
                <w:bCs/>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对环境影响较小。施工场地设简易沉淀池，将施工废水收集沉淀后，用于场地泼洒降尘。建设期间，施工现场</w:t>
            </w:r>
            <w:r>
              <w:rPr>
                <w:rFonts w:hint="eastAsia" w:cs="Times New Roman"/>
                <w:bCs/>
                <w:color w:val="000000" w:themeColor="text1"/>
                <w:kern w:val="0"/>
                <w:sz w:val="24"/>
                <w:szCs w:val="22"/>
                <w:highlight w:val="none"/>
                <w:lang w:val="en-US" w:eastAsia="zh-CN"/>
                <w14:textFill>
                  <w14:solidFill>
                    <w14:schemeClr w14:val="tx1"/>
                  </w14:solidFill>
                </w14:textFill>
              </w:rPr>
              <w:t>施工人员</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生活污水为职工盥洗废水，水量较小，用于场区内泼洒抑尘</w:t>
            </w:r>
            <w:r>
              <w:rPr>
                <w:rFonts w:hint="default" w:ascii="Times New Roman" w:hAnsi="Times New Roman" w:eastAsia="宋体" w:cs="Times New Roman"/>
                <w:bCs/>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同时施工区设置防渗旱厕，清掏</w:t>
            </w:r>
            <w:r>
              <w:rPr>
                <w:rFonts w:hint="eastAsia"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后</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用作农肥，不外排。</w:t>
            </w:r>
          </w:p>
          <w:p w14:paraId="663EA56C">
            <w:pPr>
              <w:pageBreakBefore w:val="0"/>
              <w:kinsoku/>
              <w:wordWrap/>
              <w:overflowPunct/>
              <w:topLinePunct w:val="0"/>
              <w:autoSpaceDE w:val="0"/>
              <w:autoSpaceDN w:val="0"/>
              <w:bidi w:val="0"/>
              <w:adjustRightInd w:val="0"/>
              <w:snapToGrid/>
              <w:spacing w:line="440" w:lineRule="exact"/>
              <w:ind w:leftChars="0"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综上，本项目施工期间无废水</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排放</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w:t>
            </w:r>
            <w:r>
              <w:rPr>
                <w:rFonts w:hint="eastAsia" w:cs="Times New Roman"/>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对项目</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所在区域</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水环境造成影响</w:t>
            </w:r>
            <w:r>
              <w:rPr>
                <w:rFonts w:hint="eastAsia" w:cs="Times New Roman"/>
                <w:bCs/>
                <w:color w:val="000000" w:themeColor="text1"/>
                <w:kern w:val="0"/>
                <w:sz w:val="24"/>
                <w:szCs w:val="22"/>
                <w:highlight w:val="none"/>
                <w:lang w:eastAsia="zh-CN"/>
                <w14:textFill>
                  <w14:solidFill>
                    <w14:schemeClr w14:val="tx1"/>
                  </w14:solidFill>
                </w14:textFill>
              </w:rPr>
              <w:t>，</w:t>
            </w:r>
            <w:r>
              <w:rPr>
                <w:rFonts w:hint="eastAsia" w:cs="Times New Roman"/>
                <w:bCs/>
                <w:color w:val="000000" w:themeColor="text1"/>
                <w:kern w:val="0"/>
                <w:sz w:val="24"/>
                <w:szCs w:val="22"/>
                <w:highlight w:val="none"/>
                <w:lang w:val="en-US" w:eastAsia="zh-CN"/>
                <w14:textFill>
                  <w14:solidFill>
                    <w14:schemeClr w14:val="tx1"/>
                  </w14:solidFill>
                </w14:textFill>
              </w:rPr>
              <w:t>水环境保护措施可行。</w:t>
            </w:r>
          </w:p>
          <w:p w14:paraId="4010FDF2">
            <w:pPr>
              <w:keepNext/>
              <w:keepLines/>
              <w:pageBreakBefore w:val="0"/>
              <w:widowControl w:val="0"/>
              <w:kinsoku/>
              <w:wordWrap/>
              <w:overflowPunct/>
              <w:topLinePunct w:val="0"/>
              <w:autoSpaceDE w:val="0"/>
              <w:autoSpaceDN w:val="0"/>
              <w:bidi w:val="0"/>
              <w:snapToGrid/>
              <w:spacing w:before="0" w:after="0" w:line="440" w:lineRule="exact"/>
              <w:ind w:leftChars="0" w:firstLine="482" w:firstLineChars="200"/>
              <w:jc w:val="both"/>
              <w:textAlignment w:val="auto"/>
              <w:outlineLvl w:val="3"/>
              <w:rPr>
                <w:rFonts w:hint="default" w:ascii="Times New Roman" w:hAnsi="Times New Roman" w:eastAsia="宋体" w:cs="Times New Roman"/>
                <w:b/>
                <w:bCs/>
                <w:color w:val="000000" w:themeColor="text1"/>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bCs w:val="0"/>
                <w:color w:val="000000" w:themeColor="text1"/>
                <w:sz w:val="24"/>
                <w:szCs w:val="24"/>
                <w:highlight w:val="none"/>
                <w:lang w:val="en-US" w:eastAsia="zh-CN" w:bidi="ar-SA"/>
                <w14:textFill>
                  <w14:solidFill>
                    <w14:schemeClr w14:val="tx1"/>
                  </w14:solidFill>
                </w14:textFill>
              </w:rPr>
              <w:t>声环境保护措施</w:t>
            </w:r>
          </w:p>
          <w:p w14:paraId="55E1FC19">
            <w:pPr>
              <w:pageBreakBefore w:val="0"/>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对不同施工阶段和施工机械产生的噪声影响，建设单位采取</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切实有效的防噪措施，尽可能的降低施工过程中机械设备和运输车辆产生的噪声对周边环境的影响，具体措施如下：</w:t>
            </w:r>
          </w:p>
          <w:p w14:paraId="608204A5">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（1）施工单位所使用的主要施工机械应选用低噪声机械设备，并及时维修保养，严格按操作规程使用各类机械。</w:t>
            </w:r>
          </w:p>
          <w:p w14:paraId="1CF68FA2">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（2）对施工区外部采用</w:t>
            </w:r>
            <w:r>
              <w:rPr>
                <w:rFonts w:hint="default" w:ascii="Times New Roman" w:hAnsi="Times New Roman" w:eastAsia="宋体" w:cs="Times New Roman"/>
                <w:bCs/>
                <w:color w:val="000000" w:themeColor="text1"/>
                <w:kern w:val="0"/>
                <w:sz w:val="24"/>
                <w:szCs w:val="22"/>
                <w:highlight w:val="none"/>
                <w:lang w:eastAsia="zh-CN"/>
                <w14:textFill>
                  <w14:solidFill>
                    <w14:schemeClr w14:val="tx1"/>
                  </w14:solidFill>
                </w14:textFill>
              </w:rPr>
              <w:t>围挡</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，减轻施工噪声对外环境的影响。</w:t>
            </w:r>
            <w:r>
              <w:rPr>
                <w:rFonts w:hint="eastAsia"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推土机</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、挖掘机等设备运行噪声不可避免，因此基础开挖等作业在短期内完成。</w:t>
            </w:r>
          </w:p>
          <w:p w14:paraId="4DFC0D6B">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（3）为了最大限度地减少施工噪声对外环境的影响，昼间施工限制使用高噪声施工机械施工，夜间（22：00点到6</w:t>
            </w:r>
            <w:r>
              <w:rPr>
                <w:rFonts w:hint="default" w:ascii="Times New Roman" w:hAnsi="Times New Roman" w:eastAsia="宋体" w:cs="Times New Roman"/>
                <w:bCs/>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00点）</w:t>
            </w:r>
            <w:r>
              <w:rPr>
                <w:rFonts w:hint="eastAsia" w:cs="Times New Roman"/>
                <w:bCs/>
                <w:color w:val="000000" w:themeColor="text1"/>
                <w:kern w:val="0"/>
                <w:sz w:val="24"/>
                <w:szCs w:val="22"/>
                <w:highlight w:val="none"/>
                <w:lang w:val="en-US" w:eastAsia="zh-CN"/>
                <w14:textFill>
                  <w14:solidFill>
                    <w14:schemeClr w14:val="tx1"/>
                  </w14:solidFill>
                </w14:textFill>
              </w:rPr>
              <w:t>未进行</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施工。</w:t>
            </w:r>
          </w:p>
          <w:p w14:paraId="0FB25F7D">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（4）为减少对临近居民的影响，</w:t>
            </w:r>
            <w:r>
              <w:rPr>
                <w:rFonts w:hint="eastAsia" w:cs="Times New Roman"/>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在居民区附近设置固定的加工点位</w:t>
            </w:r>
            <w:r>
              <w:rPr>
                <w:rFonts w:hint="default" w:ascii="Times New Roman" w:hAnsi="Times New Roman" w:eastAsia="宋体" w:cs="Times New Roman"/>
                <w:bCs/>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减少</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临近居民区域的非必要车辆行驶，</w:t>
            </w:r>
            <w:r>
              <w:rPr>
                <w:rFonts w:hint="eastAsia" w:cs="Times New Roman"/>
                <w:bCs/>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在夜间和中午进行</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运输</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，减少</w:t>
            </w:r>
            <w:r>
              <w:rPr>
                <w:rFonts w:hint="eastAsia" w:cs="Times New Roman"/>
                <w:b w:val="0"/>
                <w:bCs/>
                <w:color w:val="000000" w:themeColor="text1"/>
                <w:kern w:val="0"/>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车辆运输</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噪声对临近居民的影响。</w:t>
            </w:r>
          </w:p>
          <w:p w14:paraId="3DBDC87C">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严格控制建筑施工过程中场界环境噪声，</w:t>
            </w:r>
            <w:r>
              <w:rPr>
                <w:rFonts w:hint="eastAsia" w:cs="Times New Roman"/>
                <w:bCs/>
                <w:color w:val="000000" w:themeColor="text1"/>
                <w:kern w:val="0"/>
                <w:sz w:val="24"/>
                <w:szCs w:val="22"/>
                <w:highlight w:val="none"/>
                <w:lang w:val="en-US" w:eastAsia="zh-CN"/>
                <w14:textFill>
                  <w14:solidFill>
                    <w14:schemeClr w14:val="tx1"/>
                  </w14:solidFill>
                </w14:textFill>
              </w:rPr>
              <w:t>项目施工噪声未</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超过《建筑施工场界环境噪声排放标准》（GB12532-2011）中的标准要求，即：昼间不得超过70dB（A），夜间不得超过55dB（A）。</w:t>
            </w:r>
          </w:p>
          <w:p w14:paraId="72EA55D6">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2"/>
                <w:highlight w:val="none"/>
                <w14:textFill>
                  <w14:solidFill>
                    <w14:schemeClr w14:val="tx1"/>
                  </w14:solidFill>
                </w14:textFill>
              </w:rPr>
              <w:t>采取本评价提出的各项措施后，项目施工期产生的噪声满足《建筑施工场界环境噪声排放标准》（GB12523-2011）的要求，对区域声环境影响较小</w:t>
            </w:r>
            <w:r>
              <w:rPr>
                <w:rFonts w:hint="eastAsia" w:ascii="Times New Roman" w:hAnsi="Times New Roman" w:eastAsia="宋体" w:cs="Times New Roman"/>
                <w:bCs/>
                <w:snapToGrid w:val="0"/>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4"/>
                <w:szCs w:val="22"/>
                <w:highlight w:val="none"/>
                <w14:textFill>
                  <w14:solidFill>
                    <w14:schemeClr w14:val="tx1"/>
                  </w14:solidFill>
                </w14:textFill>
              </w:rPr>
              <w:t>且随施工期结束</w:t>
            </w:r>
            <w:r>
              <w:rPr>
                <w:rFonts w:hint="eastAsia" w:cs="Times New Roman"/>
                <w:bCs/>
                <w:snapToGrid w:val="0"/>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bCs/>
                <w:snapToGrid w:val="0"/>
                <w:color w:val="000000" w:themeColor="text1"/>
                <w:kern w:val="0"/>
                <w:sz w:val="24"/>
                <w:szCs w:val="22"/>
                <w:highlight w:val="none"/>
                <w14:textFill>
                  <w14:solidFill>
                    <w14:schemeClr w14:val="tx1"/>
                  </w14:solidFill>
                </w14:textFill>
              </w:rPr>
              <w:t>结束。</w:t>
            </w:r>
          </w:p>
          <w:p w14:paraId="7D78C736">
            <w:pPr>
              <w:pageBreakBefore w:val="0"/>
              <w:kinsoku/>
              <w:wordWrap/>
              <w:overflowPunct/>
              <w:topLinePunct w:val="0"/>
              <w:autoSpaceDE w:val="0"/>
              <w:autoSpaceDN w:val="0"/>
              <w:bidi w:val="0"/>
              <w:snapToGrid/>
              <w:spacing w:line="440" w:lineRule="exact"/>
              <w:ind w:leftChars="0" w:firstLine="482" w:firstLineChars="200"/>
              <w:jc w:val="both"/>
              <w:textAlignment w:val="auto"/>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、固体废物保护措施</w:t>
            </w:r>
          </w:p>
          <w:p w14:paraId="551B5013">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本项目土石方开挖和回填总土石方调配平衡，无需借方，无弃方，不设置取土场、弃渣场，所有</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余方</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全部</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就近平整、</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回填利用。</w:t>
            </w:r>
          </w:p>
          <w:p w14:paraId="7B3F1418">
            <w:pPr>
              <w:pageBreakBefore w:val="0"/>
              <w:kinsoku/>
              <w:wordWrap/>
              <w:overflowPunct/>
              <w:topLinePunct w:val="0"/>
              <w:autoSpaceDE w:val="0"/>
              <w:autoSpaceDN w:val="0"/>
              <w:bidi w:val="0"/>
              <w:snapToGrid/>
              <w:spacing w:line="440" w:lineRule="exact"/>
              <w:ind w:leftChars="0" w:firstLine="480" w:firstLineChars="200"/>
              <w:jc w:val="left"/>
              <w:textAlignment w:val="auto"/>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施工期间产生的固废包括</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施工过程中产生的</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建筑</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垃圾及施工人员</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生活垃圾</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等</w:t>
            </w:r>
            <w:r>
              <w:rPr>
                <w:rFonts w:hint="default" w:ascii="Times New Roman" w:hAnsi="Times New Roman" w:eastAsia="宋体" w:cs="Times New Roman"/>
                <w:bCs/>
                <w:color w:val="000000" w:themeColor="text1"/>
                <w:kern w:val="0"/>
                <w:sz w:val="24"/>
                <w:szCs w:val="22"/>
                <w:highlight w:val="none"/>
                <w14:textFill>
                  <w14:solidFill>
                    <w14:schemeClr w14:val="tx1"/>
                  </w14:solidFill>
                </w14:textFill>
              </w:rPr>
              <w:t>。</w:t>
            </w:r>
          </w:p>
          <w:p w14:paraId="3AFF2BDB">
            <w:pPr>
              <w:pageBreakBefore w:val="0"/>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上述固体废物</w:t>
            </w:r>
            <w:r>
              <w:rPr>
                <w:rFonts w:hint="eastAsia" w:cs="Times New Roman"/>
                <w:snapToGrid w:val="0"/>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及时收集，</w:t>
            </w:r>
            <w:r>
              <w:rPr>
                <w:rFonts w:hint="eastAsia" w:cs="Times New Roman"/>
                <w:snapToGrid w:val="0"/>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随意抛弃、转移和扩散，施工过程中产生的建筑垃圾</w:t>
            </w:r>
            <w:r>
              <w:rPr>
                <w:rFonts w:hint="eastAsia" w:cs="Times New Roman"/>
                <w:snapToGrid w:val="0"/>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送市政部门指定的地点堆存；生活垃圾收集后，</w:t>
            </w:r>
            <w:r>
              <w:rPr>
                <w:rFonts w:hint="eastAsia" w:cs="Times New Roman"/>
                <w:snapToGrid w:val="0"/>
                <w:color w:val="000000" w:themeColor="text1"/>
                <w:kern w:val="0"/>
                <w:sz w:val="24"/>
                <w:szCs w:val="22"/>
                <w:highlight w:val="none"/>
                <w:lang w:val="en-US" w:eastAsia="zh-CN"/>
                <w14:textFill>
                  <w14:solidFill>
                    <w14:schemeClr w14:val="tx1"/>
                  </w14:solidFill>
                </w14:textFill>
              </w:rPr>
              <w:t>已</w:t>
            </w: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交由环卫部门统一处理。在采取以上措施后，施工期固废均得到</w:t>
            </w:r>
            <w:r>
              <w:rPr>
                <w:rFonts w:hint="eastAsia" w:cs="Times New Roman"/>
                <w:snapToGrid w:val="0"/>
                <w:color w:val="000000" w:themeColor="text1"/>
                <w:kern w:val="0"/>
                <w:sz w:val="24"/>
                <w:szCs w:val="22"/>
                <w:highlight w:val="none"/>
                <w:lang w:val="en-US"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妥善处置，</w:t>
            </w:r>
            <w:r>
              <w:rPr>
                <w:rFonts w:hint="eastAsia" w:cs="Times New Roman"/>
                <w:snapToGrid w:val="0"/>
                <w:color w:val="000000" w:themeColor="text1"/>
                <w:kern w:val="0"/>
                <w:sz w:val="24"/>
                <w:szCs w:val="22"/>
                <w:highlight w:val="none"/>
                <w:lang w:val="en-US" w:eastAsia="zh-CN"/>
                <w14:textFill>
                  <w14:solidFill>
                    <w14:schemeClr w14:val="tx1"/>
                  </w14:solidFill>
                </w14:textFill>
              </w:rPr>
              <w:t>未</w:t>
            </w: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对周围环境产生明显</w:t>
            </w:r>
            <w:r>
              <w:rPr>
                <w:rFonts w:hint="default" w:ascii="Times New Roman" w:hAnsi="Times New Roman" w:eastAsia="宋体" w:cs="Times New Roman"/>
                <w:snapToGrid w:val="0"/>
                <w:color w:val="000000" w:themeColor="text1"/>
                <w:kern w:val="0"/>
                <w:sz w:val="24"/>
                <w:szCs w:val="22"/>
                <w:highlight w:val="none"/>
                <w:lang w:val="en-US" w:eastAsia="zh-CN"/>
                <w14:textFill>
                  <w14:solidFill>
                    <w14:schemeClr w14:val="tx1"/>
                  </w14:solidFill>
                </w14:textFill>
              </w:rPr>
              <w:t>不良</w:t>
            </w:r>
            <w:r>
              <w:rPr>
                <w:rFonts w:hint="default" w:ascii="Times New Roman" w:hAnsi="Times New Roman" w:eastAsia="宋体" w:cs="Times New Roman"/>
                <w:snapToGrid w:val="0"/>
                <w:color w:val="000000" w:themeColor="text1"/>
                <w:kern w:val="0"/>
                <w:sz w:val="24"/>
                <w:szCs w:val="22"/>
                <w:highlight w:val="none"/>
                <w14:textFill>
                  <w14:solidFill>
                    <w14:schemeClr w14:val="tx1"/>
                  </w14:solidFill>
                </w14:textFill>
              </w:rPr>
              <w:t>影响。</w:t>
            </w:r>
          </w:p>
          <w:p w14:paraId="3DA208FA">
            <w:pPr>
              <w:pageBreakBefore w:val="0"/>
              <w:kinsoku/>
              <w:wordWrap/>
              <w:overflowPunct/>
              <w:topLinePunct w:val="0"/>
              <w:autoSpaceDE w:val="0"/>
              <w:autoSpaceDN w:val="0"/>
              <w:bidi w:val="0"/>
              <w:snapToGrid/>
              <w:spacing w:line="440" w:lineRule="exact"/>
              <w:ind w:leftChars="0" w:firstLine="480" w:firstLineChars="200"/>
              <w:jc w:val="both"/>
              <w:textAlignment w:val="auto"/>
              <w:rPr>
                <w:rFonts w:hint="default" w:ascii="Times New Roman" w:hAnsi="Times New Roman" w:eastAsia="宋体" w:cs="Times New Roman"/>
                <w:snapToGrid w:val="0"/>
                <w:color w:val="000000" w:themeColor="text1"/>
                <w:kern w:val="0"/>
                <w:sz w:val="24"/>
                <w:szCs w:val="22"/>
                <w:highlight w:val="none"/>
                <w:lang w:val="en-US" w:eastAsia="zh-CN"/>
                <w14:textFill>
                  <w14:solidFill>
                    <w14:schemeClr w14:val="tx1"/>
                  </w14:solidFill>
                </w14:textFill>
              </w:rPr>
            </w:pPr>
            <w:r>
              <w:rPr>
                <w:rFonts w:hint="eastAsia" w:cs="Times New Roman"/>
                <w:snapToGrid w:val="0"/>
                <w:color w:val="000000" w:themeColor="text1"/>
                <w:kern w:val="0"/>
                <w:sz w:val="24"/>
                <w:szCs w:val="22"/>
                <w:highlight w:val="none"/>
                <w:lang w:val="en-US" w:eastAsia="zh-CN"/>
                <w14:textFill>
                  <w14:solidFill>
                    <w14:schemeClr w14:val="tx1"/>
                  </w14:solidFill>
                </w14:textFill>
              </w:rPr>
              <w:t>综上所述，通过采取以上措施，本</w:t>
            </w:r>
            <w:r>
              <w:rPr>
                <w:rFonts w:hint="eastAsia" w:cs="Times New Roman"/>
                <w:b w:val="0"/>
                <w:bCs w:val="0"/>
                <w:color w:val="000000" w:themeColor="text1"/>
                <w:kern w:val="0"/>
                <w:sz w:val="24"/>
                <w:highlight w:val="none"/>
                <w:lang w:val="en-US" w:eastAsia="zh-CN"/>
                <w14:textFill>
                  <w14:solidFill>
                    <w14:schemeClr w14:val="tx1"/>
                  </w14:solidFill>
                </w14:textFill>
              </w:rPr>
              <w:t>项目施工未对周边环境造成明显不利影响，未对周边生态环境造成明显破坏，环保措施可行。</w:t>
            </w:r>
          </w:p>
        </w:tc>
      </w:tr>
      <w:tr w14:paraId="1D8F8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351" w:type="pct"/>
            <w:noWrap w:val="0"/>
            <w:tcMar>
              <w:left w:w="28" w:type="dxa"/>
              <w:right w:w="28" w:type="dxa"/>
            </w:tcMar>
            <w:vAlign w:val="center"/>
          </w:tcPr>
          <w:p w14:paraId="3437BA2E">
            <w:pPr>
              <w:adjustRightInd w:val="0"/>
              <w:snapToGrid w:val="0"/>
              <w:jc w:val="center"/>
              <w:rPr>
                <w:b/>
                <w:bCs/>
                <w:color w:val="000000" w:themeColor="text1"/>
                <w:spacing w:val="10"/>
                <w:szCs w:val="21"/>
                <w:highlight w:val="none"/>
                <w14:textFill>
                  <w14:solidFill>
                    <w14:schemeClr w14:val="tx1"/>
                  </w14:solidFill>
                </w14:textFill>
              </w:rPr>
            </w:pPr>
            <w:r>
              <w:rPr>
                <w:b/>
                <w:bCs/>
                <w:color w:val="000000" w:themeColor="text1"/>
                <w:sz w:val="24"/>
                <w:highlight w:val="none"/>
                <w14:textFill>
                  <w14:solidFill>
                    <w14:schemeClr w14:val="tx1"/>
                  </w14:solidFill>
                </w14:textFill>
              </w:rPr>
              <w:t>运营期生态环境保护措施</w:t>
            </w:r>
          </w:p>
        </w:tc>
        <w:tc>
          <w:tcPr>
            <w:tcW w:w="4648" w:type="pct"/>
            <w:noWrap w:val="0"/>
            <w:vAlign w:val="center"/>
          </w:tcPr>
          <w:p w14:paraId="7652D310">
            <w:pPr>
              <w:pageBreakBefore w:val="0"/>
              <w:kinsoku/>
              <w:wordWrap/>
              <w:overflowPunct/>
              <w:topLinePunct w:val="0"/>
              <w:autoSpaceDE/>
              <w:autoSpaceDN/>
              <w:bidi w:val="0"/>
              <w:adjustRightInd w:val="0"/>
              <w:snapToGrid w:val="0"/>
              <w:spacing w:line="440" w:lineRule="exact"/>
              <w:ind w:firstLine="522" w:firstLineChars="200"/>
              <w:jc w:val="both"/>
              <w:textAlignment w:val="auto"/>
              <w:rPr>
                <w:rFonts w:hint="default" w:ascii="Times New Roman" w:hAnsi="Times New Roman" w:eastAsia="宋体" w:cs="Times New Roman"/>
                <w:b/>
                <w:bCs/>
                <w:color w:val="000000" w:themeColor="text1"/>
                <w:spacing w:val="10"/>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4"/>
                <w:szCs w:val="24"/>
                <w:highlight w:val="none"/>
                <w14:textFill>
                  <w14:solidFill>
                    <w14:schemeClr w14:val="tx1"/>
                  </w14:solidFill>
                </w14:textFill>
              </w:rPr>
              <w:t>1、电磁环境保护措施</w:t>
            </w:r>
          </w:p>
          <w:p w14:paraId="743D5B6A">
            <w:pPr>
              <w:pageBreakBefore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b/>
                <w:bCs/>
                <w:color w:val="000000" w:themeColor="text1"/>
                <w:spacing w:val="10"/>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（1）加强运行期运行维护检查，保证正常运行；</w:t>
            </w:r>
          </w:p>
          <w:p w14:paraId="5E620ECA">
            <w:pPr>
              <w:pageBreakBefore w:val="0"/>
              <w:widowControl w:val="0"/>
              <w:kinsoku/>
              <w:wordWrap/>
              <w:overflowPunct/>
              <w:topLinePunct w:val="0"/>
              <w:autoSpaceDE/>
              <w:autoSpaceDN/>
              <w:bidi w:val="0"/>
              <w:spacing w:after="0"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（2）开展运行期电磁环境监测和管理工作，切实减少对周围环境的电磁影响；</w:t>
            </w:r>
          </w:p>
          <w:p w14:paraId="7A0EF4EA">
            <w:pPr>
              <w:pageBreakBefore w:val="0"/>
              <w:widowControl w:val="0"/>
              <w:kinsoku/>
              <w:wordWrap/>
              <w:overflowPunct/>
              <w:topLinePunct w:val="0"/>
              <w:autoSpaceDE/>
              <w:autoSpaceDN/>
              <w:bidi w:val="0"/>
              <w:spacing w:after="0"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（3）建立健全环保管理机构，做好项目的竣工环保验收工作。</w:t>
            </w:r>
          </w:p>
          <w:p w14:paraId="46517EAE">
            <w:pPr>
              <w:pageBreakBefore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b/>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14:textFill>
                  <w14:solidFill>
                    <w14:schemeClr w14:val="tx1"/>
                  </w14:solidFill>
                </w14:textFill>
              </w:rPr>
              <w:t>2、声环境保护措施</w:t>
            </w:r>
          </w:p>
          <w:p w14:paraId="5DB7859D">
            <w:pPr>
              <w:pageBreakBefore w:val="0"/>
              <w:numPr>
                <w:ilvl w:val="0"/>
                <w:numId w:val="0"/>
              </w:numPr>
              <w:kinsoku/>
              <w:wordWrap/>
              <w:overflowPunct/>
              <w:topLinePunct w:val="0"/>
              <w:autoSpaceDE w:val="0"/>
              <w:autoSpaceDN w:val="0"/>
              <w:bidi w:val="0"/>
              <w:spacing w:line="440"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输电线路沿线满足《声环境质量标准》（GB3096-2008）中</w:t>
            </w:r>
            <w:r>
              <w:rPr>
                <w:rFonts w:hint="eastAsia"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相应声环境功能区</w:t>
            </w: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标准</w:t>
            </w:r>
            <w:r>
              <w:rPr>
                <w:rFonts w:hint="eastAsia" w:cs="Times New Roman"/>
                <w:b w:val="0"/>
                <w:bCs w:val="0"/>
                <w:color w:val="000000" w:themeColor="text1"/>
                <w:kern w:val="0"/>
                <w:sz w:val="24"/>
                <w:szCs w:val="22"/>
                <w:highlight w:val="none"/>
                <w:lang w:val="en-US" w:eastAsia="zh-CN"/>
                <w14:textFill>
                  <w14:solidFill>
                    <w14:schemeClr w14:val="tx1"/>
                  </w14:solidFill>
                </w14:textFill>
              </w:rPr>
              <w:t>要求</w:t>
            </w: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w:t>
            </w:r>
          </w:p>
          <w:p w14:paraId="5B4EBA0A">
            <w:pPr>
              <w:pageBreakBefore w:val="0"/>
              <w:numPr>
                <w:ilvl w:val="0"/>
                <w:numId w:val="0"/>
              </w:numPr>
              <w:kinsoku/>
              <w:wordWrap/>
              <w:overflowPunct/>
              <w:topLinePunct w:val="0"/>
              <w:autoSpaceDE w:val="0"/>
              <w:autoSpaceDN w:val="0"/>
              <w:bidi w:val="0"/>
              <w:spacing w:line="440"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拟采取的声源降噪措施有：科学设置导线排列方式、选购光洁度高的导线，加强输电线路运行维护检查，保证正常运行；开展</w:t>
            </w:r>
            <w:r>
              <w:rPr>
                <w:rFonts w:hint="eastAsia"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运营</w:t>
            </w: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期声环境监测和管理工作，切实减少对周围环境的噪声影响；建立健全环保管理机构，做好项目的竣工环保验收工作。保障发挥环境保护作用，定期开展环境监测，确保噪声达标排放并及时解决公众合理的环境保护诉求。</w:t>
            </w:r>
          </w:p>
          <w:p w14:paraId="193AAD57">
            <w:pPr>
              <w:pageBreakBefore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通过采取以上措施，项目</w:t>
            </w:r>
            <w:r>
              <w:rPr>
                <w:rFonts w:hint="eastAsia"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运营期</w:t>
            </w: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噪声不会对周边声环境造成明显影响，声环境保护措施可行。</w:t>
            </w:r>
          </w:p>
          <w:p w14:paraId="50823492">
            <w:pPr>
              <w:keepNext/>
              <w:keepLines/>
              <w:pageBreakBefore w:val="0"/>
              <w:widowControl w:val="0"/>
              <w:kinsoku/>
              <w:wordWrap/>
              <w:overflowPunct/>
              <w:topLinePunct w:val="0"/>
              <w:autoSpaceDE w:val="0"/>
              <w:autoSpaceDN w:val="0"/>
              <w:bidi w:val="0"/>
              <w:spacing w:before="0" w:after="0" w:line="440" w:lineRule="exact"/>
              <w:ind w:firstLine="482" w:firstLineChars="200"/>
              <w:jc w:val="both"/>
              <w:textAlignment w:val="auto"/>
              <w:outlineLvl w:val="3"/>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3、生态保护措施</w:t>
            </w:r>
          </w:p>
          <w:p w14:paraId="65E3F51E">
            <w:pPr>
              <w:pageBreakBefore w:val="0"/>
              <w:widowControl/>
              <w:numPr>
                <w:ilvl w:val="0"/>
                <w:numId w:val="0"/>
              </w:numPr>
              <w:kinsoku/>
              <w:wordWrap/>
              <w:overflowPunct/>
              <w:topLinePunct w:val="0"/>
              <w:autoSpaceDE w:val="0"/>
              <w:autoSpaceDN w:val="0"/>
              <w:bidi w:val="0"/>
              <w:spacing w:line="440" w:lineRule="exact"/>
              <w:ind w:firstLine="480" w:firstLineChars="200"/>
              <w:jc w:val="both"/>
              <w:textAlignment w:val="auto"/>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项目运营期对生态环境影响主要表现在</w:t>
            </w:r>
            <w:r>
              <w:rPr>
                <w:rFonts w:hint="eastAsia" w:ascii="Times New Roman" w:hAnsi="Times New Roman" w:eastAsia="宋体" w:cs="Times New Roman"/>
                <w:color w:val="000000" w:themeColor="text1"/>
                <w:kern w:val="0"/>
                <w:sz w:val="24"/>
                <w:szCs w:val="20"/>
                <w:highlight w:val="none"/>
                <w:lang w:eastAsia="zh-CN"/>
                <w14:textFill>
                  <w14:solidFill>
                    <w14:schemeClr w14:val="tx1"/>
                  </w14:solidFill>
                </w14:textFill>
              </w:rPr>
              <w:t>塔基</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占地区域内植被覆盖度下降对生态环境会产生一定不利影响。</w:t>
            </w:r>
            <w:r>
              <w:rPr>
                <w:rFonts w:hint="eastAsia" w:cs="Times New Roman"/>
                <w:color w:val="000000" w:themeColor="text1"/>
                <w:sz w:val="24"/>
                <w:szCs w:val="24"/>
                <w:highlight w:val="none"/>
                <w:lang w:val="en-US" w:eastAsia="zh-CN"/>
                <w14:textFill>
                  <w14:solidFill>
                    <w14:schemeClr w14:val="tx1"/>
                  </w14:solidFill>
                </w14:textFill>
              </w:rPr>
              <w:t>另外，输电线路会对鸟类的飞行和活动产生影响，鸟类撞击铁塔或导线可能会导致受伤或死亡，也会在一定程度上影响线路的安全稳定运行。</w:t>
            </w:r>
          </w:p>
          <w:p w14:paraId="0C6FE2D4">
            <w:pPr>
              <w:pageBreakBefore w:val="0"/>
              <w:kinsoku/>
              <w:wordWrap/>
              <w:overflowPunct/>
              <w:topLinePunct w:val="0"/>
              <w:autoSpaceDE w:val="0"/>
              <w:autoSpaceDN w:val="0"/>
              <w:bidi w:val="0"/>
              <w:spacing w:line="440" w:lineRule="exact"/>
              <w:ind w:firstLine="480" w:firstLineChars="200"/>
              <w:jc w:val="both"/>
              <w:textAlignment w:val="auto"/>
              <w:rPr>
                <w:rFonts w:hint="eastAsia"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通过采取</w:t>
            </w:r>
            <w:r>
              <w:rPr>
                <w:rFonts w:hint="default" w:ascii="Times New Roman" w:hAnsi="Times New Roman" w:eastAsia="宋体" w:cs="Times New Roman"/>
                <w:color w:val="000000" w:themeColor="text1"/>
                <w:sz w:val="24"/>
                <w:szCs w:val="24"/>
                <w:highlight w:val="none"/>
                <w14:textFill>
                  <w14:solidFill>
                    <w14:schemeClr w14:val="tx1"/>
                  </w14:solidFill>
                </w14:textFill>
              </w:rPr>
              <w:t>施工结束后及时对临时占地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default" w:ascii="Times New Roman" w:hAnsi="Times New Roman" w:eastAsia="宋体" w:cs="Times New Roman"/>
                <w:color w:val="000000" w:themeColor="text1"/>
                <w:sz w:val="24"/>
                <w:szCs w:val="24"/>
                <w:highlight w:val="none"/>
                <w14:textFill>
                  <w14:solidFill>
                    <w14:schemeClr w14:val="tx1"/>
                  </w14:solidFill>
                </w14:textFill>
              </w:rPr>
              <w:t>恢复</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优先使用原生表土和选用乡土物种进行生态恢复，防止外来生物入侵，构建与周边生态环境相协调的植物群落，最终形成可自我维持的生态系统</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投入运行后对恢复植被进行定期养护，确保成活率和生物量</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铁塔安装驱鸟器等措施</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szCs w:val="24"/>
                <w:highlight w:val="none"/>
                <w14:textFill>
                  <w14:solidFill>
                    <w14:schemeClr w14:val="tx1"/>
                  </w14:solidFill>
                </w14:textFill>
              </w:rPr>
              <w:t>对周围生态环境影响较小</w:t>
            </w:r>
            <w:r>
              <w:rPr>
                <w:rFonts w:hint="eastAsia" w:cs="Times New Roman"/>
                <w:color w:val="000000" w:themeColor="text1"/>
                <w:sz w:val="24"/>
                <w:szCs w:val="24"/>
                <w:highlight w:val="none"/>
                <w:lang w:eastAsia="zh-CN"/>
                <w14:textFill>
                  <w14:solidFill>
                    <w14:schemeClr w14:val="tx1"/>
                  </w14:solidFill>
                </w14:textFill>
              </w:rPr>
              <w:t>。</w:t>
            </w:r>
          </w:p>
          <w:p w14:paraId="5B30AE34">
            <w:pPr>
              <w:pageBreakBefore w:val="0"/>
              <w:kinsoku/>
              <w:wordWrap/>
              <w:overflowPunct/>
              <w:topLinePunct w:val="0"/>
              <w:bidi w:val="0"/>
              <w:spacing w:line="440" w:lineRule="exact"/>
              <w:ind w:firstLine="480" w:firstLineChars="200"/>
              <w:jc w:val="both"/>
              <w:textAlignment w:val="auto"/>
              <w:rPr>
                <w:rFonts w:hint="default"/>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项目运营期通过采取以上措施及加强日常管理，可保证区域内生态环境尽快恢复，减少对区域生态环境的影响。因此，项目生态环境保护措施可行。</w:t>
            </w:r>
          </w:p>
        </w:tc>
      </w:tr>
      <w:tr w14:paraId="54235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351" w:type="pct"/>
            <w:noWrap w:val="0"/>
            <w:vAlign w:val="center"/>
          </w:tcPr>
          <w:p w14:paraId="15B992DC">
            <w:pPr>
              <w:adjustRightInd w:val="0"/>
              <w:snapToGrid w:val="0"/>
              <w:jc w:val="center"/>
              <w:rPr>
                <w:b/>
                <w:bCs/>
                <w:color w:val="000000" w:themeColor="text1"/>
                <w:spacing w:val="10"/>
                <w:szCs w:val="21"/>
                <w:highlight w:val="none"/>
                <w14:textFill>
                  <w14:solidFill>
                    <w14:schemeClr w14:val="tx1"/>
                  </w14:solidFill>
                </w14:textFill>
              </w:rPr>
            </w:pPr>
            <w:r>
              <w:rPr>
                <w:b/>
                <w:bCs/>
                <w:color w:val="000000" w:themeColor="text1"/>
                <w:sz w:val="24"/>
                <w:highlight w:val="none"/>
                <w14:textFill>
                  <w14:solidFill>
                    <w14:schemeClr w14:val="tx1"/>
                  </w14:solidFill>
                </w14:textFill>
              </w:rPr>
              <w:t>其他</w:t>
            </w:r>
          </w:p>
        </w:tc>
        <w:tc>
          <w:tcPr>
            <w:tcW w:w="4648" w:type="pct"/>
            <w:noWrap w:val="0"/>
            <w:vAlign w:val="center"/>
          </w:tcPr>
          <w:p w14:paraId="5D2E1F08">
            <w:pPr>
              <w:keepNext w:val="0"/>
              <w:keepLines w:val="0"/>
              <w:pageBreakBefore w:val="0"/>
              <w:widowControl w:val="0"/>
              <w:kinsoku/>
              <w:wordWrap/>
              <w:overflowPunct/>
              <w:topLinePunct w:val="0"/>
              <w:bidi w:val="0"/>
              <w:adjustRightInd w:val="0"/>
              <w:spacing w:line="440" w:lineRule="exact"/>
              <w:ind w:firstLine="482" w:firstLineChars="200"/>
              <w:jc w:val="both"/>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1、环境管理</w:t>
            </w:r>
          </w:p>
          <w:p w14:paraId="637447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从前述分析评价可知，本项目在施工期和运营期都会对周围的生态环境、自然环境带来一定的影响，为了及时有效的减轻或消除不利影响，需要在项目施工建设期和运营期制定必要的环境保护管理制度。其主要目的是准确监测项目给环境带来的真实影响；监督工程的各项环保措施得以实施。</w:t>
            </w:r>
          </w:p>
          <w:p w14:paraId="44F094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（1）施工期生态保护环境管理</w:t>
            </w:r>
          </w:p>
          <w:p w14:paraId="0F59D8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项目施工期的环境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管理</w:t>
            </w:r>
            <w:r>
              <w:rPr>
                <w:rFonts w:hint="default" w:ascii="Times New Roman" w:hAnsi="Times New Roman" w:eastAsia="宋体" w:cs="Times New Roman"/>
                <w:color w:val="000000" w:themeColor="text1"/>
                <w:sz w:val="24"/>
                <w:szCs w:val="24"/>
                <w:highlight w:val="none"/>
                <w14:textFill>
                  <w14:solidFill>
                    <w14:schemeClr w14:val="tx1"/>
                  </w14:solidFill>
                </w14:textFill>
              </w:rPr>
              <w:t>由建设单位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和施工单位相关人员负责</w:t>
            </w:r>
            <w:r>
              <w:rPr>
                <w:rFonts w:hint="default" w:ascii="Times New Roman" w:hAnsi="Times New Roman" w:eastAsia="宋体" w:cs="Times New Roman"/>
                <w:color w:val="000000" w:themeColor="text1"/>
                <w:sz w:val="24"/>
                <w:szCs w:val="24"/>
                <w:highlight w:val="none"/>
                <w14:textFill>
                  <w14:solidFill>
                    <w14:schemeClr w14:val="tx1"/>
                  </w14:solidFill>
                </w14:textFill>
              </w:rPr>
              <w:t>，由环保相关主管部门进行监督。</w:t>
            </w:r>
          </w:p>
          <w:p w14:paraId="71A2F09E">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（2）环境</w:t>
            </w:r>
            <w:r>
              <w:rPr>
                <w:rFonts w:hint="eastAsia" w:cs="Times New Roman"/>
                <w:color w:val="000000" w:themeColor="text1"/>
                <w:sz w:val="24"/>
                <w:szCs w:val="24"/>
                <w:highlight w:val="none"/>
                <w:lang w:val="en-US" w:eastAsia="zh-CN"/>
                <w14:textFill>
                  <w14:solidFill>
                    <w14:schemeClr w14:val="tx1"/>
                  </w14:solidFill>
                </w14:textFill>
              </w:rPr>
              <w:t>管理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内容：</w:t>
            </w:r>
          </w:p>
          <w:p w14:paraId="2A1A55D8">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影响水土流失因子：主要包括地形地貌、土壤性质、植被覆盖率和降水、风等因子。</w:t>
            </w:r>
          </w:p>
          <w:p w14:paraId="57E7F40D">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水土流失动态：包括水土流失类型、面积、强度和流失量变化，对下游及周边地区造成的危害和趋势。</w:t>
            </w:r>
          </w:p>
          <w:p w14:paraId="4CCA00DB">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生态环境：包括地形、地貌和水系变化情况，项目建设占地和扰动地表面积，挖填方数量和占地面积，弃土弃渣量、堆放形态和面积，临时堆土数量、时间、形态和面积，项目区林草覆盖率。</w:t>
            </w:r>
          </w:p>
          <w:p w14:paraId="3957C079">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生态措施成效：各类生态措施的数量和质量，林草成活率、保存率、生长情况和覆盖率，工程措施的稳定性、完好程度和运行情况及效果。</w:t>
            </w:r>
          </w:p>
          <w:p w14:paraId="26FA10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）环保管理与监测机构</w:t>
            </w:r>
          </w:p>
          <w:p w14:paraId="1EAA99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1）本项目应设置专门的环境保护管理机构，主要负责项目施工期的环境保护管理工作，其主要职责为：</w:t>
            </w:r>
          </w:p>
          <w:p w14:paraId="6C34D3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①负责工程的环境管理。</w:t>
            </w:r>
          </w:p>
          <w:p w14:paraId="4979E0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②督促和落实环保工程设计与实施及正常运营。</w:t>
            </w:r>
          </w:p>
          <w:p w14:paraId="6D539E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③在承包合同中落实环保条款，提供施工中环保执行信息。</w:t>
            </w:r>
          </w:p>
          <w:p w14:paraId="60E31A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④负责受影响公众的环保投诉。</w:t>
            </w:r>
          </w:p>
          <w:p w14:paraId="21A030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⑤积极配合、支持地方环保主管部门的工作，并接受其监督与检查。</w:t>
            </w:r>
          </w:p>
          <w:p w14:paraId="1FBFEB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2）项目运营期的环境管理工作建议由本项目的管理部门承担，并设专人管理，主要负责项目一切环保工作。</w:t>
            </w:r>
          </w:p>
          <w:p w14:paraId="0CB784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3）项目施工与运营期的环境监测工作建议委托有关地方环境监测机构承担。</w:t>
            </w:r>
          </w:p>
          <w:p w14:paraId="00328F6A">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2、监测计划</w:t>
            </w:r>
          </w:p>
          <w:p w14:paraId="797DA540">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根据《输变电建设项目环境保护技术要求》（HJ1113-2020），</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输电线路</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周围电磁环境和声环境需要定期监测，及时了解</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线路</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对周围环境的影响，监测记录包括监测位置、监测时间、监测人员和监测结果，并保存监测记录。</w:t>
            </w:r>
          </w:p>
          <w:p w14:paraId="78403B71">
            <w:pPr>
              <w:keepNext w:val="0"/>
              <w:keepLines w:val="0"/>
              <w:pageBreakBefore w:val="0"/>
              <w:widowControl w:val="0"/>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表5-</w:t>
            </w:r>
            <w:r>
              <w:rPr>
                <w:rFonts w:hint="eastAsia"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 xml:space="preserve">  环境监测计划一览表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008"/>
              <w:gridCol w:w="1099"/>
              <w:gridCol w:w="1701"/>
              <w:gridCol w:w="2079"/>
            </w:tblGrid>
            <w:tr w14:paraId="0172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5" w:type="pct"/>
                  <w:noWrap w:val="0"/>
                  <w:tcMar>
                    <w:top w:w="0" w:type="dxa"/>
                    <w:left w:w="51" w:type="dxa"/>
                    <w:bottom w:w="0" w:type="dxa"/>
                    <w:right w:w="51" w:type="dxa"/>
                  </w:tcMar>
                  <w:vAlign w:val="center"/>
                </w:tcPr>
                <w:p w14:paraId="1834AF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w:t>
                  </w:r>
                </w:p>
              </w:tc>
              <w:tc>
                <w:tcPr>
                  <w:tcW w:w="1292" w:type="pct"/>
                  <w:noWrap w:val="0"/>
                  <w:tcMar>
                    <w:top w:w="0" w:type="dxa"/>
                    <w:left w:w="51" w:type="dxa"/>
                    <w:bottom w:w="0" w:type="dxa"/>
                    <w:right w:w="51" w:type="dxa"/>
                  </w:tcMar>
                  <w:vAlign w:val="center"/>
                </w:tcPr>
                <w:p w14:paraId="07A943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监测方法</w:t>
                  </w:r>
                </w:p>
              </w:tc>
              <w:tc>
                <w:tcPr>
                  <w:tcW w:w="707" w:type="pct"/>
                  <w:noWrap w:val="0"/>
                  <w:tcMar>
                    <w:top w:w="0" w:type="dxa"/>
                    <w:left w:w="51" w:type="dxa"/>
                    <w:bottom w:w="0" w:type="dxa"/>
                    <w:right w:w="51" w:type="dxa"/>
                  </w:tcMar>
                  <w:vAlign w:val="center"/>
                </w:tcPr>
                <w:p w14:paraId="4D41F08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监测因子</w:t>
                  </w:r>
                </w:p>
              </w:tc>
              <w:tc>
                <w:tcPr>
                  <w:tcW w:w="1095" w:type="pct"/>
                  <w:noWrap w:val="0"/>
                  <w:tcMar>
                    <w:top w:w="0" w:type="dxa"/>
                    <w:left w:w="51" w:type="dxa"/>
                    <w:bottom w:w="0" w:type="dxa"/>
                    <w:right w:w="51" w:type="dxa"/>
                  </w:tcMar>
                  <w:vAlign w:val="center"/>
                </w:tcPr>
                <w:p w14:paraId="1237B84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监测点位</w:t>
                  </w:r>
                </w:p>
              </w:tc>
              <w:tc>
                <w:tcPr>
                  <w:tcW w:w="1338" w:type="pct"/>
                  <w:noWrap w:val="0"/>
                  <w:tcMar>
                    <w:top w:w="0" w:type="dxa"/>
                    <w:left w:w="51" w:type="dxa"/>
                    <w:bottom w:w="0" w:type="dxa"/>
                    <w:right w:w="51" w:type="dxa"/>
                  </w:tcMar>
                  <w:vAlign w:val="center"/>
                </w:tcPr>
                <w:p w14:paraId="7BA0AC5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监测周期</w:t>
                  </w:r>
                </w:p>
              </w:tc>
            </w:tr>
            <w:tr w14:paraId="0DFB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5" w:type="pct"/>
                  <w:noWrap w:val="0"/>
                  <w:tcMar>
                    <w:top w:w="0" w:type="dxa"/>
                    <w:left w:w="51" w:type="dxa"/>
                    <w:bottom w:w="0" w:type="dxa"/>
                    <w:right w:w="51" w:type="dxa"/>
                  </w:tcMar>
                  <w:vAlign w:val="center"/>
                </w:tcPr>
                <w:p w14:paraId="1A3EB65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电磁环境</w:t>
                  </w:r>
                </w:p>
              </w:tc>
              <w:tc>
                <w:tcPr>
                  <w:tcW w:w="1292" w:type="pct"/>
                  <w:noWrap w:val="0"/>
                  <w:tcMar>
                    <w:top w:w="0" w:type="dxa"/>
                    <w:left w:w="51" w:type="dxa"/>
                    <w:bottom w:w="0" w:type="dxa"/>
                    <w:right w:w="51" w:type="dxa"/>
                  </w:tcMar>
                  <w:vAlign w:val="center"/>
                </w:tcPr>
                <w:p w14:paraId="549E8BB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《交流输变电工程电磁环境监测方法（试行）》（HJ681-2013）</w:t>
                  </w:r>
                </w:p>
              </w:tc>
              <w:tc>
                <w:tcPr>
                  <w:tcW w:w="707" w:type="pct"/>
                  <w:noWrap w:val="0"/>
                  <w:tcMar>
                    <w:top w:w="0" w:type="dxa"/>
                    <w:left w:w="51" w:type="dxa"/>
                    <w:bottom w:w="0" w:type="dxa"/>
                    <w:right w:w="51" w:type="dxa"/>
                  </w:tcMar>
                  <w:vAlign w:val="center"/>
                </w:tcPr>
                <w:p w14:paraId="040864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工频电场、工频磁场</w:t>
                  </w:r>
                </w:p>
              </w:tc>
              <w:tc>
                <w:tcPr>
                  <w:tcW w:w="1095" w:type="pct"/>
                  <w:noWrap w:val="0"/>
                  <w:tcMar>
                    <w:top w:w="0" w:type="dxa"/>
                    <w:left w:w="51" w:type="dxa"/>
                    <w:bottom w:w="0" w:type="dxa"/>
                    <w:right w:w="51" w:type="dxa"/>
                  </w:tcMar>
                  <w:vAlign w:val="center"/>
                </w:tcPr>
                <w:p w14:paraId="710624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架空线路</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沿线及电磁环境敏感目标处</w:t>
                  </w:r>
                </w:p>
              </w:tc>
              <w:tc>
                <w:tcPr>
                  <w:tcW w:w="1338" w:type="pct"/>
                  <w:noWrap w:val="0"/>
                  <w:tcMar>
                    <w:top w:w="0" w:type="dxa"/>
                    <w:left w:w="51" w:type="dxa"/>
                    <w:bottom w:w="0" w:type="dxa"/>
                    <w:right w:w="51" w:type="dxa"/>
                  </w:tcMar>
                  <w:vAlign w:val="center"/>
                </w:tcPr>
                <w:p w14:paraId="5410F6C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验收监测一次，</w:t>
                  </w:r>
                  <w:r>
                    <w:rPr>
                      <w:rFonts w:eastAsia="宋体" w:cs="Times New Roman"/>
                      <w:color w:val="000000" w:themeColor="text1"/>
                      <w:sz w:val="21"/>
                      <w:szCs w:val="21"/>
                      <w:highlight w:val="none"/>
                      <w14:textFill>
                        <w14:solidFill>
                          <w14:schemeClr w14:val="tx1"/>
                        </w14:solidFill>
                      </w14:textFill>
                    </w:rPr>
                    <w:t>运行后按有关部门要求定期进行监测</w:t>
                  </w:r>
                </w:p>
              </w:tc>
            </w:tr>
            <w:tr w14:paraId="5C00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5" w:type="pct"/>
                  <w:noWrap w:val="0"/>
                  <w:tcMar>
                    <w:top w:w="0" w:type="dxa"/>
                    <w:left w:w="51" w:type="dxa"/>
                    <w:bottom w:w="0" w:type="dxa"/>
                    <w:right w:w="51" w:type="dxa"/>
                  </w:tcMar>
                  <w:vAlign w:val="center"/>
                </w:tcPr>
                <w:p w14:paraId="64537E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声环境</w:t>
                  </w:r>
                </w:p>
              </w:tc>
              <w:tc>
                <w:tcPr>
                  <w:tcW w:w="1292" w:type="pct"/>
                  <w:noWrap w:val="0"/>
                  <w:tcMar>
                    <w:top w:w="0" w:type="dxa"/>
                    <w:left w:w="51" w:type="dxa"/>
                    <w:bottom w:w="0" w:type="dxa"/>
                    <w:right w:w="51" w:type="dxa"/>
                  </w:tcMar>
                  <w:vAlign w:val="center"/>
                </w:tcPr>
                <w:p w14:paraId="1D7CDA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《声环境质量标准》（GB3096-2008）</w:t>
                  </w:r>
                </w:p>
              </w:tc>
              <w:tc>
                <w:tcPr>
                  <w:tcW w:w="707" w:type="pct"/>
                  <w:noWrap w:val="0"/>
                  <w:tcMar>
                    <w:top w:w="0" w:type="dxa"/>
                    <w:left w:w="51" w:type="dxa"/>
                    <w:bottom w:w="0" w:type="dxa"/>
                    <w:right w:w="51" w:type="dxa"/>
                  </w:tcMar>
                  <w:vAlign w:val="center"/>
                </w:tcPr>
                <w:p w14:paraId="44E87DD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等效连续A声级</w:t>
                  </w:r>
                </w:p>
              </w:tc>
              <w:tc>
                <w:tcPr>
                  <w:tcW w:w="1095" w:type="pct"/>
                  <w:noWrap w:val="0"/>
                  <w:tcMar>
                    <w:top w:w="0" w:type="dxa"/>
                    <w:left w:w="51" w:type="dxa"/>
                    <w:bottom w:w="0" w:type="dxa"/>
                    <w:right w:w="51" w:type="dxa"/>
                  </w:tcMar>
                  <w:vAlign w:val="center"/>
                </w:tcPr>
                <w:p w14:paraId="480C488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架空线路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沿线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及声环境保护目标处</w:t>
                  </w:r>
                </w:p>
              </w:tc>
              <w:tc>
                <w:tcPr>
                  <w:tcW w:w="1338" w:type="pct"/>
                  <w:noWrap w:val="0"/>
                  <w:tcMar>
                    <w:top w:w="0" w:type="dxa"/>
                    <w:left w:w="51" w:type="dxa"/>
                    <w:bottom w:w="0" w:type="dxa"/>
                    <w:right w:w="51" w:type="dxa"/>
                  </w:tcMar>
                  <w:vAlign w:val="center"/>
                </w:tcPr>
                <w:p w14:paraId="1F4D9D70">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验收监测一次，</w:t>
                  </w:r>
                  <w:r>
                    <w:rPr>
                      <w:rFonts w:eastAsia="宋体" w:cs="Times New Roman"/>
                      <w:color w:val="000000" w:themeColor="text1"/>
                      <w:sz w:val="21"/>
                      <w:szCs w:val="21"/>
                      <w:highlight w:val="none"/>
                      <w14:textFill>
                        <w14:solidFill>
                          <w14:schemeClr w14:val="tx1"/>
                        </w14:solidFill>
                      </w14:textFill>
                    </w:rPr>
                    <w:t>运行后按有关部门要求定期进行监测</w:t>
                  </w:r>
                </w:p>
              </w:tc>
            </w:tr>
          </w:tbl>
          <w:p w14:paraId="06720884">
            <w:pPr>
              <w:keepNext w:val="0"/>
              <w:keepLines w:val="0"/>
              <w:pageBreakBefore w:val="0"/>
              <w:widowControl w:val="0"/>
              <w:kinsoku/>
              <w:wordWrap/>
              <w:overflowPunct/>
              <w:topLinePunct w:val="0"/>
              <w:autoSpaceDE/>
              <w:autoSpaceDN/>
              <w:bidi w:val="0"/>
              <w:adjustRightInd w:val="0"/>
              <w:snapToGrid w:val="0"/>
              <w:spacing w:line="440" w:lineRule="exact"/>
              <w:ind w:firstLine="460" w:firstLineChars="200"/>
              <w:jc w:val="left"/>
              <w:textAlignment w:val="auto"/>
              <w:rPr>
                <w:rFonts w:hint="eastAsia" w:eastAsia="宋体"/>
                <w:bCs/>
                <w:color w:val="000000" w:themeColor="text1"/>
                <w:spacing w:val="10"/>
                <w:szCs w:val="21"/>
                <w:highlight w:val="none"/>
                <w:lang w:eastAsia="zh-CN"/>
                <w14:textFill>
                  <w14:solidFill>
                    <w14:schemeClr w14:val="tx1"/>
                  </w14:solidFill>
                </w14:textFill>
              </w:rPr>
            </w:pPr>
          </w:p>
        </w:tc>
      </w:tr>
      <w:tr w14:paraId="55B83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351" w:type="pct"/>
            <w:noWrap w:val="0"/>
            <w:vAlign w:val="center"/>
          </w:tcPr>
          <w:p w14:paraId="17EF3A73">
            <w:pPr>
              <w:adjustRightInd w:val="0"/>
              <w:snapToGrid w:val="0"/>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w:t>
            </w:r>
          </w:p>
        </w:tc>
        <w:tc>
          <w:tcPr>
            <w:tcW w:w="4648" w:type="pct"/>
            <w:noWrap w:val="0"/>
            <w:vAlign w:val="center"/>
          </w:tcPr>
          <w:p w14:paraId="422642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bCs/>
                <w:color w:val="000000" w:themeColor="text1"/>
                <w:spacing w:val="0"/>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14:textFill>
                  <w14:solidFill>
                    <w14:schemeClr w14:val="tx1"/>
                  </w14:solidFill>
                </w14:textFill>
              </w:rPr>
              <w:t>针对本项目施工期、</w:t>
            </w:r>
            <w:r>
              <w:rPr>
                <w:rFonts w:hint="eastAsia" w:ascii="Times New Roman" w:hAnsi="Times New Roman" w:eastAsia="宋体" w:cs="Times New Roman"/>
                <w:bCs/>
                <w:color w:val="000000" w:themeColor="text1"/>
                <w:spacing w:val="0"/>
                <w:kern w:val="2"/>
                <w:sz w:val="24"/>
                <w:szCs w:val="24"/>
                <w:highlight w:val="none"/>
                <w:lang w:val="en-US" w:eastAsia="zh-CN"/>
                <w14:textFill>
                  <w14:solidFill>
                    <w14:schemeClr w14:val="tx1"/>
                  </w14:solidFill>
                </w14:textFill>
              </w:rPr>
              <w:t>运营</w:t>
            </w:r>
            <w:r>
              <w:rPr>
                <w:rFonts w:hint="default" w:ascii="Times New Roman" w:hAnsi="Times New Roman" w:eastAsia="宋体" w:cs="Times New Roman"/>
                <w:bCs/>
                <w:color w:val="000000" w:themeColor="text1"/>
                <w:spacing w:val="0"/>
                <w:kern w:val="2"/>
                <w:sz w:val="24"/>
                <w:szCs w:val="24"/>
                <w:highlight w:val="none"/>
                <w14:textFill>
                  <w14:solidFill>
                    <w14:schemeClr w14:val="tx1"/>
                  </w14:solidFill>
                </w14:textFill>
              </w:rPr>
              <w:t>期可能产生的环境问题，估算环保投资为</w:t>
            </w:r>
            <w:r>
              <w:rPr>
                <w:rFonts w:hint="eastAsia" w:cs="Times New Roman"/>
                <w:bCs/>
                <w:color w:val="000000" w:themeColor="text1"/>
                <w:spacing w:val="0"/>
                <w:kern w:val="2"/>
                <w:sz w:val="24"/>
                <w:szCs w:val="24"/>
                <w:highlight w:val="none"/>
                <w:lang w:val="en-US" w:eastAsia="zh-CN"/>
                <w14:textFill>
                  <w14:solidFill>
                    <w14:schemeClr w14:val="tx1"/>
                  </w14:solidFill>
                </w14:textFill>
              </w:rPr>
              <w:t>138</w:t>
            </w:r>
            <w:r>
              <w:rPr>
                <w:rFonts w:hint="default" w:ascii="Times New Roman" w:hAnsi="Times New Roman" w:eastAsia="宋体" w:cs="Times New Roman"/>
                <w:bCs/>
                <w:color w:val="000000" w:themeColor="text1"/>
                <w:spacing w:val="0"/>
                <w:kern w:val="2"/>
                <w:sz w:val="24"/>
                <w:szCs w:val="24"/>
                <w:highlight w:val="none"/>
                <w14:textFill>
                  <w14:solidFill>
                    <w14:schemeClr w14:val="tx1"/>
                  </w14:solidFill>
                </w14:textFill>
              </w:rPr>
              <w:t>万元，具体明细见下表。</w:t>
            </w:r>
          </w:p>
          <w:p w14:paraId="12898CB3">
            <w:pPr>
              <w:keepNext w:val="0"/>
              <w:keepLines w:val="0"/>
              <w:pageBreakBefore w:val="0"/>
              <w:widowControl w:val="0"/>
              <w:kinsoku/>
              <w:wordWrap/>
              <w:overflowPunct/>
              <w:topLinePunct w:val="0"/>
              <w:bidi w:val="0"/>
              <w:spacing w:line="440" w:lineRule="exact"/>
              <w:ind w:firstLine="422" w:firstLineChars="20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表5-</w:t>
            </w: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 xml:space="preserve">  项目环保投资一览表</w:t>
            </w:r>
          </w:p>
          <w:tbl>
            <w:tblPr>
              <w:tblStyle w:val="34"/>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368"/>
              <w:gridCol w:w="727"/>
              <w:gridCol w:w="1782"/>
              <w:gridCol w:w="3940"/>
              <w:gridCol w:w="947"/>
            </w:tblGrid>
            <w:tr w14:paraId="137739B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852" w:type="pct"/>
                  <w:gridSpan w:val="3"/>
                  <w:tcBorders>
                    <w:bottom w:val="single" w:color="000000" w:sz="4" w:space="0"/>
                    <w:right w:val="single" w:color="000000" w:sz="4" w:space="0"/>
                  </w:tcBorders>
                  <w:tcMar>
                    <w:top w:w="0" w:type="dxa"/>
                    <w:left w:w="28" w:type="dxa"/>
                    <w:bottom w:w="0" w:type="dxa"/>
                    <w:right w:w="28" w:type="dxa"/>
                  </w:tcMar>
                  <w:vAlign w:val="center"/>
                </w:tcPr>
                <w:p w14:paraId="1E727E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2537" w:type="pct"/>
                  <w:tcBorders>
                    <w:left w:val="single" w:color="000000" w:sz="4" w:space="0"/>
                    <w:bottom w:val="single" w:color="000000" w:sz="4" w:space="0"/>
                    <w:right w:val="single" w:color="000000" w:sz="4" w:space="0"/>
                  </w:tcBorders>
                  <w:tcMar>
                    <w:top w:w="0" w:type="dxa"/>
                    <w:left w:w="28" w:type="dxa"/>
                    <w:bottom w:w="0" w:type="dxa"/>
                    <w:right w:w="28" w:type="dxa"/>
                  </w:tcMar>
                  <w:vAlign w:val="center"/>
                </w:tcPr>
                <w:p w14:paraId="48D81E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环保措施</w:t>
                  </w:r>
                </w:p>
              </w:tc>
              <w:tc>
                <w:tcPr>
                  <w:tcW w:w="610" w:type="pct"/>
                  <w:tcBorders>
                    <w:left w:val="single" w:color="000000" w:sz="4" w:space="0"/>
                    <w:bottom w:val="single" w:color="auto" w:sz="4" w:space="0"/>
                  </w:tcBorders>
                  <w:tcMar>
                    <w:top w:w="0" w:type="dxa"/>
                    <w:left w:w="28" w:type="dxa"/>
                    <w:bottom w:w="0" w:type="dxa"/>
                    <w:right w:w="28" w:type="dxa"/>
                  </w:tcMar>
                  <w:vAlign w:val="center"/>
                </w:tcPr>
                <w:p w14:paraId="36A9E9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投资</w:t>
                  </w:r>
                </w:p>
                <w:p w14:paraId="412D17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（万元）</w:t>
                  </w:r>
                </w:p>
              </w:tc>
            </w:tr>
            <w:tr w14:paraId="4F339E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237" w:type="pct"/>
                  <w:vMerge w:val="restart"/>
                  <w:tcBorders>
                    <w:top w:val="single" w:color="000000" w:sz="4" w:space="0"/>
                    <w:right w:val="single" w:color="000000" w:sz="4" w:space="0"/>
                  </w:tcBorders>
                  <w:tcMar>
                    <w:top w:w="0" w:type="dxa"/>
                    <w:left w:w="28" w:type="dxa"/>
                    <w:bottom w:w="0" w:type="dxa"/>
                    <w:right w:w="28" w:type="dxa"/>
                  </w:tcMar>
                  <w:vAlign w:val="center"/>
                </w:tcPr>
                <w:p w14:paraId="1EFD78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施工期</w:t>
                  </w:r>
                </w:p>
              </w:tc>
              <w:tc>
                <w:tcPr>
                  <w:tcW w:w="468" w:type="pct"/>
                  <w:tcBorders>
                    <w:top w:val="single" w:color="000000" w:sz="4" w:space="0"/>
                    <w:right w:val="single" w:color="000000" w:sz="4" w:space="0"/>
                  </w:tcBorders>
                  <w:tcMar>
                    <w:top w:w="0" w:type="dxa"/>
                    <w:left w:w="28" w:type="dxa"/>
                    <w:bottom w:w="0" w:type="dxa"/>
                    <w:right w:w="28" w:type="dxa"/>
                  </w:tcMar>
                  <w:vAlign w:val="center"/>
                </w:tcPr>
                <w:p w14:paraId="1A824B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1146"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0987EC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施工扬尘</w:t>
                  </w:r>
                </w:p>
              </w:tc>
              <w:tc>
                <w:tcPr>
                  <w:tcW w:w="2537" w:type="pct"/>
                  <w:tcBorders>
                    <w:top w:val="single" w:color="000000" w:sz="4" w:space="0"/>
                    <w:left w:val="single" w:color="000000" w:sz="4" w:space="0"/>
                    <w:bottom w:val="single" w:color="000000" w:sz="4" w:space="0"/>
                    <w:right w:val="single" w:color="auto" w:sz="4" w:space="0"/>
                  </w:tcBorders>
                  <w:tcMar>
                    <w:top w:w="0" w:type="dxa"/>
                    <w:left w:w="28" w:type="dxa"/>
                    <w:bottom w:w="0" w:type="dxa"/>
                    <w:right w:w="28" w:type="dxa"/>
                  </w:tcMar>
                  <w:vAlign w:val="center"/>
                </w:tcPr>
                <w:p w14:paraId="40ED0B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设置硬质围挡、出入车辆清洗、加强遮盖、及时清扫；洒水抑尘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p>
              </w:tc>
              <w:tc>
                <w:tcPr>
                  <w:tcW w:w="610" w:type="pct"/>
                  <w:tcBorders>
                    <w:top w:val="single" w:color="auto" w:sz="4" w:space="0"/>
                    <w:left w:val="single" w:color="auto" w:sz="4" w:space="0"/>
                    <w:bottom w:val="single" w:color="auto" w:sz="4" w:space="0"/>
                  </w:tcBorders>
                  <w:tcMar>
                    <w:top w:w="0" w:type="dxa"/>
                    <w:left w:w="28" w:type="dxa"/>
                    <w:bottom w:w="0" w:type="dxa"/>
                    <w:right w:w="28" w:type="dxa"/>
                  </w:tcMar>
                  <w:vAlign w:val="center"/>
                </w:tcPr>
                <w:p w14:paraId="08FF2A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r w14:paraId="64EFC94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237" w:type="pct"/>
                  <w:vMerge w:val="continue"/>
                  <w:tcBorders>
                    <w:right w:val="single" w:color="000000" w:sz="4" w:space="0"/>
                  </w:tcBorders>
                  <w:tcMar>
                    <w:top w:w="0" w:type="dxa"/>
                    <w:left w:w="28" w:type="dxa"/>
                    <w:bottom w:w="0" w:type="dxa"/>
                    <w:right w:w="28" w:type="dxa"/>
                  </w:tcMar>
                  <w:vAlign w:val="center"/>
                </w:tcPr>
                <w:p w14:paraId="22CA75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8" w:type="pct"/>
                  <w:tcBorders>
                    <w:top w:val="single" w:color="000000" w:sz="4" w:space="0"/>
                    <w:right w:val="single" w:color="000000" w:sz="4" w:space="0"/>
                  </w:tcBorders>
                  <w:tcMar>
                    <w:top w:w="0" w:type="dxa"/>
                    <w:left w:w="28" w:type="dxa"/>
                    <w:bottom w:w="0" w:type="dxa"/>
                    <w:right w:w="28" w:type="dxa"/>
                  </w:tcMar>
                  <w:vAlign w:val="center"/>
                </w:tcPr>
                <w:p w14:paraId="0C7253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1146"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0A12AD4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生活污水、生产废水</w:t>
                  </w:r>
                </w:p>
              </w:tc>
              <w:tc>
                <w:tcPr>
                  <w:tcW w:w="2537" w:type="pct"/>
                  <w:tcBorders>
                    <w:top w:val="single" w:color="000000" w:sz="4" w:space="0"/>
                    <w:left w:val="single" w:color="000000" w:sz="4" w:space="0"/>
                    <w:bottom w:val="single" w:color="000000" w:sz="4" w:space="0"/>
                    <w:right w:val="single" w:color="auto" w:sz="4" w:space="0"/>
                  </w:tcBorders>
                  <w:tcMar>
                    <w:top w:w="0" w:type="dxa"/>
                    <w:left w:w="28" w:type="dxa"/>
                    <w:bottom w:w="0" w:type="dxa"/>
                    <w:right w:w="28" w:type="dxa"/>
                  </w:tcMar>
                  <w:vAlign w:val="center"/>
                </w:tcPr>
                <w:p w14:paraId="77BC13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临时旱厕、沉淀池</w:t>
                  </w:r>
                </w:p>
              </w:tc>
              <w:tc>
                <w:tcPr>
                  <w:tcW w:w="610" w:type="pct"/>
                  <w:tcBorders>
                    <w:top w:val="single" w:color="auto" w:sz="4" w:space="0"/>
                    <w:left w:val="single" w:color="auto" w:sz="4" w:space="0"/>
                    <w:bottom w:val="single" w:color="auto" w:sz="4" w:space="0"/>
                  </w:tcBorders>
                  <w:tcMar>
                    <w:top w:w="0" w:type="dxa"/>
                    <w:left w:w="28" w:type="dxa"/>
                    <w:bottom w:w="0" w:type="dxa"/>
                    <w:right w:w="28" w:type="dxa"/>
                  </w:tcMar>
                  <w:vAlign w:val="center"/>
                </w:tcPr>
                <w:p w14:paraId="11CA03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r>
            <w:tr w14:paraId="6445B7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237" w:type="pct"/>
                  <w:vMerge w:val="continue"/>
                  <w:tcBorders>
                    <w:right w:val="single" w:color="000000" w:sz="4" w:space="0"/>
                  </w:tcBorders>
                  <w:tcMar>
                    <w:top w:w="0" w:type="dxa"/>
                    <w:left w:w="28" w:type="dxa"/>
                    <w:bottom w:w="0" w:type="dxa"/>
                    <w:right w:w="28" w:type="dxa"/>
                  </w:tcMar>
                  <w:vAlign w:val="center"/>
                </w:tcPr>
                <w:p w14:paraId="7F8BF5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8" w:type="pct"/>
                  <w:tcBorders>
                    <w:top w:val="single" w:color="000000" w:sz="4" w:space="0"/>
                    <w:right w:val="single" w:color="000000" w:sz="4" w:space="0"/>
                  </w:tcBorders>
                  <w:tcMar>
                    <w:top w:w="0" w:type="dxa"/>
                    <w:left w:w="28" w:type="dxa"/>
                    <w:bottom w:w="0" w:type="dxa"/>
                    <w:right w:w="28" w:type="dxa"/>
                  </w:tcMar>
                  <w:vAlign w:val="center"/>
                </w:tcPr>
                <w:p w14:paraId="2C64EB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p>
              </w:tc>
              <w:tc>
                <w:tcPr>
                  <w:tcW w:w="1146"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148D1E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建筑垃圾、生活垃圾</w:t>
                  </w:r>
                </w:p>
              </w:tc>
              <w:tc>
                <w:tcPr>
                  <w:tcW w:w="2537" w:type="pct"/>
                  <w:tcBorders>
                    <w:top w:val="single" w:color="000000" w:sz="4" w:space="0"/>
                    <w:left w:val="single" w:color="000000" w:sz="4" w:space="0"/>
                    <w:bottom w:val="single" w:color="000000" w:sz="4" w:space="0"/>
                    <w:right w:val="single" w:color="auto" w:sz="4" w:space="0"/>
                  </w:tcBorders>
                  <w:tcMar>
                    <w:top w:w="0" w:type="dxa"/>
                    <w:left w:w="28" w:type="dxa"/>
                    <w:bottom w:w="0" w:type="dxa"/>
                    <w:right w:w="28" w:type="dxa"/>
                  </w:tcMar>
                  <w:vAlign w:val="center"/>
                </w:tcPr>
                <w:p w14:paraId="0DCEAB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建筑垃圾送市政部门指定的地点堆存；生活垃圾收集后，交由环卫部门统一处理。</w:t>
                  </w:r>
                </w:p>
              </w:tc>
              <w:tc>
                <w:tcPr>
                  <w:tcW w:w="610" w:type="pct"/>
                  <w:tcBorders>
                    <w:top w:val="single" w:color="auto" w:sz="4" w:space="0"/>
                    <w:left w:val="single" w:color="auto" w:sz="4" w:space="0"/>
                    <w:bottom w:val="single" w:color="auto" w:sz="4" w:space="0"/>
                  </w:tcBorders>
                  <w:tcMar>
                    <w:top w:w="0" w:type="dxa"/>
                    <w:left w:w="28" w:type="dxa"/>
                    <w:bottom w:w="0" w:type="dxa"/>
                    <w:right w:w="28" w:type="dxa"/>
                  </w:tcMar>
                  <w:vAlign w:val="center"/>
                </w:tcPr>
                <w:p w14:paraId="2BF13F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r>
            <w:tr w14:paraId="704AF96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237" w:type="pct"/>
                  <w:vMerge w:val="continue"/>
                  <w:tcBorders>
                    <w:right w:val="single" w:color="000000" w:sz="4" w:space="0"/>
                  </w:tcBorders>
                  <w:tcMar>
                    <w:top w:w="0" w:type="dxa"/>
                    <w:left w:w="28" w:type="dxa"/>
                    <w:bottom w:w="0" w:type="dxa"/>
                    <w:right w:w="28" w:type="dxa"/>
                  </w:tcMar>
                  <w:vAlign w:val="center"/>
                </w:tcPr>
                <w:p w14:paraId="51540B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8" w:type="pct"/>
                  <w:vMerge w:val="restart"/>
                  <w:tcBorders>
                    <w:top w:val="single" w:color="000000" w:sz="4" w:space="0"/>
                    <w:right w:val="single" w:color="000000" w:sz="4" w:space="0"/>
                  </w:tcBorders>
                  <w:tcMar>
                    <w:top w:w="0" w:type="dxa"/>
                    <w:left w:w="28" w:type="dxa"/>
                    <w:bottom w:w="0" w:type="dxa"/>
                    <w:right w:w="28" w:type="dxa"/>
                  </w:tcMar>
                  <w:vAlign w:val="center"/>
                </w:tcPr>
                <w:p w14:paraId="27FC79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生态治理</w:t>
                  </w:r>
                </w:p>
              </w:tc>
              <w:tc>
                <w:tcPr>
                  <w:tcW w:w="1146" w:type="pct"/>
                  <w:vMerge w:val="restart"/>
                  <w:tcBorders>
                    <w:top w:val="single" w:color="000000" w:sz="4" w:space="0"/>
                    <w:left w:val="single" w:color="000000" w:sz="4" w:space="0"/>
                    <w:right w:val="single" w:color="000000" w:sz="4" w:space="0"/>
                  </w:tcBorders>
                  <w:tcMar>
                    <w:top w:w="0" w:type="dxa"/>
                    <w:left w:w="28" w:type="dxa"/>
                    <w:bottom w:w="0" w:type="dxa"/>
                    <w:right w:w="28" w:type="dxa"/>
                  </w:tcMar>
                  <w:vAlign w:val="center"/>
                </w:tcPr>
                <w:p w14:paraId="16BC38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水土保持、植被恢复</w:t>
                  </w:r>
                </w:p>
              </w:tc>
              <w:tc>
                <w:tcPr>
                  <w:tcW w:w="2537" w:type="pct"/>
                  <w:tcBorders>
                    <w:top w:val="single" w:color="000000" w:sz="4" w:space="0"/>
                    <w:left w:val="single" w:color="000000" w:sz="4" w:space="0"/>
                    <w:bottom w:val="single" w:color="000000" w:sz="4" w:space="0"/>
                    <w:right w:val="single" w:color="auto" w:sz="4" w:space="0"/>
                  </w:tcBorders>
                  <w:tcMar>
                    <w:top w:w="0" w:type="dxa"/>
                    <w:left w:w="28" w:type="dxa"/>
                    <w:bottom w:w="0" w:type="dxa"/>
                    <w:right w:w="28" w:type="dxa"/>
                  </w:tcMar>
                  <w:vAlign w:val="center"/>
                </w:tcPr>
                <w:p w14:paraId="7831E1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工程措施、植被措施、临时措施</w:t>
                  </w:r>
                </w:p>
              </w:tc>
              <w:tc>
                <w:tcPr>
                  <w:tcW w:w="610" w:type="pct"/>
                  <w:vMerge w:val="restart"/>
                  <w:tcBorders>
                    <w:top w:val="single" w:color="auto" w:sz="4" w:space="0"/>
                    <w:left w:val="single" w:color="auto" w:sz="4" w:space="0"/>
                  </w:tcBorders>
                  <w:tcMar>
                    <w:top w:w="0" w:type="dxa"/>
                    <w:left w:w="28" w:type="dxa"/>
                    <w:bottom w:w="0" w:type="dxa"/>
                    <w:right w:w="28" w:type="dxa"/>
                  </w:tcMar>
                  <w:vAlign w:val="center"/>
                </w:tcPr>
                <w:p w14:paraId="4E43C2E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98</w:t>
                  </w:r>
                </w:p>
              </w:tc>
            </w:tr>
            <w:tr w14:paraId="1ACD731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237" w:type="pct"/>
                  <w:vMerge w:val="continue"/>
                  <w:tcBorders>
                    <w:right w:val="single" w:color="000000" w:sz="4" w:space="0"/>
                  </w:tcBorders>
                  <w:tcMar>
                    <w:top w:w="0" w:type="dxa"/>
                    <w:left w:w="28" w:type="dxa"/>
                    <w:bottom w:w="0" w:type="dxa"/>
                    <w:right w:w="28" w:type="dxa"/>
                  </w:tcMar>
                  <w:vAlign w:val="center"/>
                </w:tcPr>
                <w:p w14:paraId="0AEB70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8" w:type="pct"/>
                  <w:vMerge w:val="continue"/>
                  <w:tcBorders>
                    <w:right w:val="single" w:color="000000" w:sz="4" w:space="0"/>
                  </w:tcBorders>
                  <w:tcMar>
                    <w:top w:w="0" w:type="dxa"/>
                    <w:left w:w="28" w:type="dxa"/>
                    <w:bottom w:w="0" w:type="dxa"/>
                    <w:right w:w="28" w:type="dxa"/>
                  </w:tcMar>
                  <w:vAlign w:val="center"/>
                </w:tcPr>
                <w:p w14:paraId="7A11F46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46" w:type="pct"/>
                  <w:vMerge w:val="continue"/>
                  <w:tcBorders>
                    <w:left w:val="single" w:color="000000" w:sz="4" w:space="0"/>
                    <w:bottom w:val="single" w:color="000000" w:sz="4" w:space="0"/>
                    <w:right w:val="single" w:color="000000" w:sz="4" w:space="0"/>
                  </w:tcBorders>
                  <w:tcMar>
                    <w:top w:w="0" w:type="dxa"/>
                    <w:left w:w="28" w:type="dxa"/>
                    <w:bottom w:w="0" w:type="dxa"/>
                    <w:right w:w="28" w:type="dxa"/>
                  </w:tcMar>
                  <w:vAlign w:val="center"/>
                </w:tcPr>
                <w:p w14:paraId="1307830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37" w:type="pct"/>
                  <w:tcBorders>
                    <w:top w:val="single" w:color="000000" w:sz="4" w:space="0"/>
                    <w:left w:val="single" w:color="000000" w:sz="4" w:space="0"/>
                    <w:bottom w:val="single" w:color="000000" w:sz="4" w:space="0"/>
                    <w:right w:val="single" w:color="auto" w:sz="4" w:space="0"/>
                  </w:tcBorders>
                  <w:tcMar>
                    <w:top w:w="0" w:type="dxa"/>
                    <w:left w:w="28" w:type="dxa"/>
                    <w:bottom w:w="0" w:type="dxa"/>
                    <w:right w:w="28" w:type="dxa"/>
                  </w:tcMar>
                  <w:vAlign w:val="center"/>
                </w:tcPr>
                <w:p w14:paraId="57712A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塔基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、牵张场</w:t>
                  </w:r>
                  <w:r>
                    <w:rPr>
                      <w:rFonts w:hint="eastAsia" w:cs="Times New Roman"/>
                      <w:color w:val="000000" w:themeColor="text1"/>
                      <w:sz w:val="21"/>
                      <w:szCs w:val="21"/>
                      <w:highlight w:val="none"/>
                      <w:lang w:val="en-US" w:eastAsia="zh-CN"/>
                      <w14:textFill>
                        <w14:solidFill>
                          <w14:schemeClr w14:val="tx1"/>
                        </w14:solidFill>
                      </w14:textFill>
                    </w:rPr>
                    <w:t>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w:t>
                  </w:r>
                  <w:r>
                    <w:rPr>
                      <w:rFonts w:hint="eastAsia" w:cs="Times New Roman"/>
                      <w:color w:val="000000" w:themeColor="text1"/>
                      <w:sz w:val="21"/>
                      <w:szCs w:val="21"/>
                      <w:highlight w:val="none"/>
                      <w:lang w:val="en-US" w:eastAsia="zh-CN"/>
                      <w14:textFill>
                        <w14:solidFill>
                          <w14:schemeClr w14:val="tx1"/>
                        </w14:solidFill>
                      </w14:textFill>
                    </w:rPr>
                    <w:t>便道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等的植被恢复</w:t>
                  </w:r>
                </w:p>
              </w:tc>
              <w:tc>
                <w:tcPr>
                  <w:tcW w:w="610" w:type="pct"/>
                  <w:vMerge w:val="continue"/>
                  <w:tcBorders>
                    <w:left w:val="single" w:color="auto" w:sz="4" w:space="0"/>
                    <w:bottom w:val="single" w:color="auto" w:sz="4" w:space="0"/>
                  </w:tcBorders>
                  <w:tcMar>
                    <w:top w:w="0" w:type="dxa"/>
                    <w:left w:w="28" w:type="dxa"/>
                    <w:bottom w:w="0" w:type="dxa"/>
                    <w:right w:w="28" w:type="dxa"/>
                  </w:tcMar>
                  <w:vAlign w:val="center"/>
                </w:tcPr>
                <w:p w14:paraId="7E3775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59E3F6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237" w:type="pct"/>
                  <w:tcBorders>
                    <w:top w:val="single" w:color="000000" w:sz="4" w:space="0"/>
                    <w:right w:val="single" w:color="000000" w:sz="4" w:space="0"/>
                  </w:tcBorders>
                  <w:tcMar>
                    <w:top w:w="0" w:type="dxa"/>
                    <w:left w:w="28" w:type="dxa"/>
                    <w:bottom w:w="0" w:type="dxa"/>
                    <w:right w:w="28" w:type="dxa"/>
                  </w:tcMar>
                  <w:vAlign w:val="center"/>
                </w:tcPr>
                <w:p w14:paraId="45C1DC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tc>
              <w:tc>
                <w:tcPr>
                  <w:tcW w:w="468" w:type="pct"/>
                  <w:tcBorders>
                    <w:top w:val="single" w:color="000000" w:sz="4" w:space="0"/>
                    <w:right w:val="single" w:color="000000" w:sz="4" w:space="0"/>
                  </w:tcBorders>
                  <w:tcMar>
                    <w:top w:w="0" w:type="dxa"/>
                    <w:left w:w="28" w:type="dxa"/>
                    <w:bottom w:w="0" w:type="dxa"/>
                    <w:right w:w="28" w:type="dxa"/>
                  </w:tcMar>
                  <w:vAlign w:val="center"/>
                </w:tcPr>
                <w:p w14:paraId="0184F8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电磁环境、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1146"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28C0B1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工频电场、工频磁场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等效连续A声级</w:t>
                  </w:r>
                </w:p>
              </w:tc>
              <w:tc>
                <w:tcPr>
                  <w:tcW w:w="2537" w:type="pct"/>
                  <w:tcBorders>
                    <w:top w:val="single" w:color="000000" w:sz="4" w:space="0"/>
                    <w:left w:val="single" w:color="000000" w:sz="4" w:space="0"/>
                    <w:bottom w:val="single" w:color="000000" w:sz="4" w:space="0"/>
                    <w:right w:val="single" w:color="auto" w:sz="4" w:space="0"/>
                  </w:tcBorders>
                  <w:tcMar>
                    <w:top w:w="0" w:type="dxa"/>
                    <w:left w:w="28" w:type="dxa"/>
                    <w:bottom w:w="0" w:type="dxa"/>
                    <w:right w:w="28" w:type="dxa"/>
                  </w:tcMar>
                  <w:vAlign w:val="center"/>
                </w:tcPr>
                <w:p w14:paraId="4846B3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验收监测一次，</w:t>
                  </w:r>
                  <w:r>
                    <w:rPr>
                      <w:rFonts w:eastAsia="宋体" w:cs="Times New Roman"/>
                      <w:color w:val="000000" w:themeColor="text1"/>
                      <w:sz w:val="21"/>
                      <w:szCs w:val="21"/>
                      <w:highlight w:val="none"/>
                      <w14:textFill>
                        <w14:solidFill>
                          <w14:schemeClr w14:val="tx1"/>
                        </w14:solidFill>
                      </w14:textFill>
                    </w:rPr>
                    <w:t>运行后按有关部门要求定期进行监测</w:t>
                  </w:r>
                </w:p>
              </w:tc>
              <w:tc>
                <w:tcPr>
                  <w:tcW w:w="610" w:type="pct"/>
                  <w:tcBorders>
                    <w:top w:val="single" w:color="auto" w:sz="4" w:space="0"/>
                    <w:left w:val="single" w:color="auto" w:sz="4" w:space="0"/>
                    <w:bottom w:val="single" w:color="auto" w:sz="4" w:space="0"/>
                  </w:tcBorders>
                  <w:tcMar>
                    <w:top w:w="0" w:type="dxa"/>
                    <w:left w:w="28" w:type="dxa"/>
                    <w:bottom w:w="0" w:type="dxa"/>
                    <w:right w:w="28" w:type="dxa"/>
                  </w:tcMar>
                  <w:vAlign w:val="center"/>
                </w:tcPr>
                <w:p w14:paraId="65FDF7E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r>
            <w:tr w14:paraId="0B8A47B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4389" w:type="pct"/>
                  <w:gridSpan w:val="4"/>
                  <w:tcBorders>
                    <w:top w:val="single" w:color="000000" w:sz="4" w:space="0"/>
                    <w:right w:val="single" w:color="000000" w:sz="4" w:space="0"/>
                  </w:tcBorders>
                  <w:tcMar>
                    <w:top w:w="0" w:type="dxa"/>
                    <w:left w:w="28" w:type="dxa"/>
                    <w:bottom w:w="0" w:type="dxa"/>
                    <w:right w:w="28" w:type="dxa"/>
                  </w:tcMar>
                  <w:vAlign w:val="center"/>
                </w:tcPr>
                <w:p w14:paraId="6911D5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610" w:type="pct"/>
                  <w:tcBorders>
                    <w:top w:val="single" w:color="000000" w:sz="4" w:space="0"/>
                    <w:left w:val="single" w:color="000000" w:sz="4" w:space="0"/>
                  </w:tcBorders>
                  <w:tcMar>
                    <w:top w:w="0" w:type="dxa"/>
                    <w:left w:w="28" w:type="dxa"/>
                    <w:bottom w:w="0" w:type="dxa"/>
                    <w:right w:w="28" w:type="dxa"/>
                  </w:tcMar>
                  <w:vAlign w:val="center"/>
                </w:tcPr>
                <w:p w14:paraId="6294BC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138</w:t>
                  </w:r>
                </w:p>
              </w:tc>
            </w:tr>
          </w:tbl>
          <w:p w14:paraId="19BD365E">
            <w:pPr>
              <w:adjustRightInd w:val="0"/>
              <w:jc w:val="both"/>
              <w:rPr>
                <w:rFonts w:hint="default" w:ascii="Times New Roman" w:hAnsi="Times New Roman" w:eastAsia="宋体" w:cs="Times New Roman"/>
                <w:b/>
                <w:color w:val="000000" w:themeColor="text1"/>
                <w:sz w:val="24"/>
                <w:szCs w:val="24"/>
                <w:highlight w:val="none"/>
                <w14:textFill>
                  <w14:solidFill>
                    <w14:schemeClr w14:val="tx1"/>
                  </w14:solidFill>
                </w14:textFill>
              </w:rPr>
            </w:pPr>
          </w:p>
          <w:p w14:paraId="0E6FF55B">
            <w:pPr>
              <w:rPr>
                <w:color w:val="000000" w:themeColor="text1"/>
                <w:highlight w:val="none"/>
                <w14:textFill>
                  <w14:solidFill>
                    <w14:schemeClr w14:val="tx1"/>
                  </w14:solidFill>
                </w14:textFill>
              </w:rPr>
            </w:pPr>
          </w:p>
          <w:p w14:paraId="449A3BAF">
            <w:pPr>
              <w:pStyle w:val="4"/>
              <w:rPr>
                <w:color w:val="000000" w:themeColor="text1"/>
                <w:highlight w:val="none"/>
                <w14:textFill>
                  <w14:solidFill>
                    <w14:schemeClr w14:val="tx1"/>
                  </w14:solidFill>
                </w14:textFill>
              </w:rPr>
            </w:pPr>
          </w:p>
          <w:p w14:paraId="50EDFF90">
            <w:pPr>
              <w:pStyle w:val="5"/>
              <w:rPr>
                <w:color w:val="000000" w:themeColor="text1"/>
                <w:highlight w:val="none"/>
                <w14:textFill>
                  <w14:solidFill>
                    <w14:schemeClr w14:val="tx1"/>
                  </w14:solidFill>
                </w14:textFill>
              </w:rPr>
            </w:pPr>
          </w:p>
          <w:p w14:paraId="0A13DD07">
            <w:pPr>
              <w:keepNext w:val="0"/>
              <w:keepLines w:val="0"/>
              <w:pageBreakBefore w:val="0"/>
              <w:widowControl w:val="0"/>
              <w:kinsoku/>
              <w:wordWrap/>
              <w:overflowPunct/>
              <w:topLinePunct w:val="0"/>
              <w:autoSpaceDE/>
              <w:autoSpaceDN/>
              <w:bidi w:val="0"/>
              <w:adjustRightInd w:val="0"/>
              <w:snapToGrid w:val="0"/>
              <w:spacing w:line="440" w:lineRule="exact"/>
              <w:ind w:firstLine="460" w:firstLineChars="200"/>
              <w:jc w:val="left"/>
              <w:textAlignment w:val="auto"/>
              <w:rPr>
                <w:rFonts w:hint="eastAsia" w:eastAsia="宋体"/>
                <w:bCs/>
                <w:color w:val="000000" w:themeColor="text1"/>
                <w:spacing w:val="10"/>
                <w:szCs w:val="21"/>
                <w:highlight w:val="none"/>
                <w:lang w:eastAsia="zh-CN"/>
                <w14:textFill>
                  <w14:solidFill>
                    <w14:schemeClr w14:val="tx1"/>
                  </w14:solidFill>
                </w14:textFill>
              </w:rPr>
            </w:pPr>
          </w:p>
        </w:tc>
      </w:tr>
    </w:tbl>
    <w:p w14:paraId="2CAE8B3C">
      <w:pPr>
        <w:pStyle w:val="2"/>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center"/>
        <w:textAlignment w:val="auto"/>
        <w:rPr>
          <w:rFonts w:hint="eastAsia"/>
          <w:b w:val="0"/>
          <w:bCs w:val="0"/>
          <w:color w:val="000000" w:themeColor="text1"/>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bookmarkStart w:id="26" w:name="_Toc28537"/>
      <w:bookmarkStart w:id="27" w:name="_Toc20116"/>
      <w:bookmarkStart w:id="28" w:name="_Toc26910"/>
    </w:p>
    <w:p w14:paraId="33CE336C">
      <w:pPr>
        <w:pStyle w:val="2"/>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center"/>
        <w:textAlignment w:val="auto"/>
        <w:rPr>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六、生态环境保护措施监督检查清单</w:t>
      </w:r>
      <w:bookmarkEnd w:id="26"/>
      <w:bookmarkEnd w:id="27"/>
      <w:bookmarkEnd w:id="28"/>
    </w:p>
    <w:tbl>
      <w:tblPr>
        <w:tblStyle w:val="3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4404"/>
        <w:gridCol w:w="1946"/>
        <w:gridCol w:w="3026"/>
        <w:gridCol w:w="2854"/>
      </w:tblGrid>
      <w:tr w14:paraId="71A20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28" w:type="pct"/>
            <w:vMerge w:val="restart"/>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377073A7">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bookmarkStart w:id="29" w:name="_Toc457"/>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 xml:space="preserve">    要素</w:t>
            </w:r>
          </w:p>
          <w:p w14:paraId="6ACE75F5">
            <w:pPr>
              <w:keepNext w:val="0"/>
              <w:keepLines w:val="0"/>
              <w:pageBreakBefore w:val="0"/>
              <w:widowControl/>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内容</w:t>
            </w:r>
            <w:bookmarkEnd w:id="29"/>
          </w:p>
        </w:tc>
        <w:tc>
          <w:tcPr>
            <w:tcW w:w="2299" w:type="pct"/>
            <w:gridSpan w:val="2"/>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165E08C">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bookmarkStart w:id="30" w:name="_Toc9512"/>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施工期</w:t>
            </w:r>
            <w:bookmarkEnd w:id="30"/>
          </w:p>
        </w:tc>
        <w:tc>
          <w:tcPr>
            <w:tcW w:w="2271" w:type="pct"/>
            <w:gridSpan w:val="2"/>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5FF1C997">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bookmarkStart w:id="31" w:name="_Toc28342"/>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运营期</w:t>
            </w:r>
            <w:bookmarkEnd w:id="31"/>
          </w:p>
        </w:tc>
      </w:tr>
      <w:tr w14:paraId="7F279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8" w:type="pct"/>
            <w:vMerge w:val="continue"/>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65B1E3A0">
            <w:pPr>
              <w:keepNext w:val="0"/>
              <w:keepLines w:val="0"/>
              <w:pageBreakBefore w:val="0"/>
              <w:widowControl/>
              <w:kinsoku/>
              <w:wordWrap/>
              <w:overflowPunct/>
              <w:topLinePunct w:val="0"/>
              <w:autoSpaceDE/>
              <w:autoSpaceDN/>
              <w:bidi w:val="0"/>
              <w:spacing w:line="260" w:lineRule="exact"/>
              <w:jc w:val="left"/>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9867AE4">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bookmarkStart w:id="32" w:name="_Toc23993"/>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环境保护措施</w:t>
            </w:r>
            <w:bookmarkEnd w:id="32"/>
          </w:p>
        </w:tc>
        <w:tc>
          <w:tcPr>
            <w:tcW w:w="6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E6A00F8">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bookmarkStart w:id="33" w:name="_Toc601"/>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验收要求</w:t>
            </w:r>
            <w:bookmarkEnd w:id="33"/>
          </w:p>
        </w:tc>
        <w:tc>
          <w:tcPr>
            <w:tcW w:w="1168"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43B91F1">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bookmarkStart w:id="34" w:name="_Toc369"/>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环境保护措施</w:t>
            </w:r>
            <w:bookmarkEnd w:id="34"/>
          </w:p>
        </w:tc>
        <w:tc>
          <w:tcPr>
            <w:tcW w:w="1103" w:type="pct"/>
            <w:tcBorders>
              <w:top w:val="single" w:color="auto" w:sz="4" w:space="0"/>
              <w:left w:val="single" w:color="auto" w:sz="4" w:space="0"/>
              <w:bottom w:val="single" w:color="auto" w:sz="4" w:space="0"/>
              <w:right w:val="single" w:color="auto" w:sz="8" w:space="0"/>
            </w:tcBorders>
            <w:tcMar>
              <w:top w:w="0" w:type="dxa"/>
              <w:left w:w="28" w:type="dxa"/>
              <w:bottom w:w="0" w:type="dxa"/>
              <w:right w:w="28" w:type="dxa"/>
            </w:tcMar>
            <w:vAlign w:val="center"/>
          </w:tcPr>
          <w:p w14:paraId="26D5704F">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bookmarkStart w:id="35" w:name="_Toc14192"/>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验收要求</w:t>
            </w:r>
            <w:bookmarkEnd w:id="35"/>
          </w:p>
        </w:tc>
      </w:tr>
      <w:tr w14:paraId="7C259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0ECBCE8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陆生生态</w:t>
            </w: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5C85C47">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施工过程中采取</w:t>
            </w:r>
            <w:r>
              <w:rPr>
                <w:rFonts w:hint="eastAsia" w:cs="Times New Roman"/>
                <w:color w:val="000000" w:themeColor="text1"/>
                <w:kern w:val="0"/>
                <w:sz w:val="21"/>
                <w:szCs w:val="21"/>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严格的</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水土保持措施</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以及植被恢复措施；现场施工机械和人员活动范围严格限制在</w:t>
            </w:r>
            <w:r>
              <w:rPr>
                <w:rFonts w:hint="eastAsia" w:cs="Times New Roman"/>
                <w:color w:val="000000" w:themeColor="text1"/>
                <w:kern w:val="0"/>
                <w:sz w:val="21"/>
                <w:szCs w:val="21"/>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作业带范围内</w:t>
            </w:r>
            <w:r>
              <w:rPr>
                <w:rFonts w:hint="eastAsia" w:cs="Times New Roman"/>
                <w:color w:val="000000" w:themeColor="text1"/>
                <w:kern w:val="0"/>
                <w:sz w:val="21"/>
                <w:szCs w:val="21"/>
                <w:highlight w:val="none"/>
                <w:lang w:val="en-US" w:eastAsia="zh-CN"/>
                <w14:textFill>
                  <w14:solidFill>
                    <w14:schemeClr w14:val="tx1"/>
                  </w14:solidFill>
                </w14:textFill>
              </w:rPr>
              <w:t>。</w:t>
            </w:r>
          </w:p>
        </w:tc>
        <w:tc>
          <w:tcPr>
            <w:tcW w:w="6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91F9337">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清理施工现场，恢复原有土地使用功能。</w:t>
            </w:r>
          </w:p>
        </w:tc>
        <w:tc>
          <w:tcPr>
            <w:tcW w:w="1168"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84ED6D5">
            <w:pPr>
              <w:keepNext w:val="0"/>
              <w:keepLines w:val="0"/>
              <w:pageBreakBefore w:val="0"/>
              <w:kinsoku/>
              <w:wordWrap/>
              <w:overflowPunct/>
              <w:topLinePunct w:val="0"/>
              <w:autoSpaceDE/>
              <w:autoSpaceDN/>
              <w:bidi w:val="0"/>
              <w:adjustRightInd w:val="0"/>
              <w:snapToGrid w:val="0"/>
              <w:spacing w:line="260" w:lineRule="exact"/>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对恢复植被进行定期养护，确保成活率和生物量</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，安装防护鸟刺</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线路巡检人员巡检期间加强环保意识，严禁随地乱扔垃圾等</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8" w:space="0"/>
            </w:tcBorders>
            <w:tcMar>
              <w:top w:w="0" w:type="dxa"/>
              <w:left w:w="28" w:type="dxa"/>
              <w:bottom w:w="0" w:type="dxa"/>
              <w:right w:w="28" w:type="dxa"/>
            </w:tcMar>
            <w:vAlign w:val="center"/>
          </w:tcPr>
          <w:p w14:paraId="646488D5">
            <w:pPr>
              <w:keepNext w:val="0"/>
              <w:keepLines w:val="0"/>
              <w:pageBreakBefore w:val="0"/>
              <w:kinsoku/>
              <w:wordWrap/>
              <w:overflowPunct/>
              <w:topLinePunct w:val="0"/>
              <w:autoSpaceDE/>
              <w:autoSpaceDN/>
              <w:bidi w:val="0"/>
              <w:adjustRightInd w:val="0"/>
              <w:snapToGrid w:val="0"/>
              <w:spacing w:line="26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植被成活率、恢复措施效果、植被覆盖率、恢复面积、恢复植被种类</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，安装防护鸟刺</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区域生态功能不降低。</w:t>
            </w:r>
          </w:p>
        </w:tc>
      </w:tr>
      <w:tr w14:paraId="71990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4C102DB4">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水生生态</w:t>
            </w: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7BF1D53">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c>
          <w:tcPr>
            <w:tcW w:w="6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311944C">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c>
          <w:tcPr>
            <w:tcW w:w="1168"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3A1D6D0">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8" w:space="0"/>
            </w:tcBorders>
            <w:shd w:val="clear" w:color="auto" w:fill="auto"/>
            <w:tcMar>
              <w:top w:w="0" w:type="dxa"/>
              <w:left w:w="28" w:type="dxa"/>
              <w:bottom w:w="0" w:type="dxa"/>
              <w:right w:w="28" w:type="dxa"/>
            </w:tcMar>
            <w:vAlign w:val="center"/>
          </w:tcPr>
          <w:p w14:paraId="79A76297">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22DFA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05BF44D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地表水环境</w:t>
            </w: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9C64212">
            <w:pPr>
              <w:keepNext w:val="0"/>
              <w:keepLines w:val="0"/>
              <w:pageBreakBefore w:val="0"/>
              <w:kinsoku/>
              <w:wordWrap/>
              <w:overflowPunct/>
              <w:topLinePunct w:val="0"/>
              <w:autoSpaceDE w:val="0"/>
              <w:autoSpaceDN w:val="0"/>
              <w:bidi w:val="0"/>
              <w:adjustRightInd w:val="0"/>
              <w:snapToGrid w:val="0"/>
              <w:spacing w:line="260" w:lineRule="exact"/>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施工场地生产废水：在施工场区设置</w:t>
            </w:r>
            <w:r>
              <w:rPr>
                <w:rFonts w:hint="eastAsia" w:cs="Times New Roman"/>
                <w:color w:val="000000" w:themeColor="text1"/>
                <w:kern w:val="0"/>
                <w:sz w:val="21"/>
                <w:szCs w:val="21"/>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沉淀池，废水经沉淀池沉淀处理后，用于施工机械清洗及道路浇洒。</w:t>
            </w:r>
          </w:p>
          <w:p w14:paraId="6B703FCA">
            <w:pPr>
              <w:keepNext w:val="0"/>
              <w:keepLines w:val="0"/>
              <w:pageBreakBefore w:val="0"/>
              <w:kinsoku/>
              <w:wordWrap/>
              <w:overflowPunct/>
              <w:topLinePunct w:val="0"/>
              <w:autoSpaceDE w:val="0"/>
              <w:autoSpaceDN w:val="0"/>
              <w:bidi w:val="0"/>
              <w:adjustRightInd w:val="0"/>
              <w:snapToGrid w:val="0"/>
              <w:spacing w:line="260" w:lineRule="exact"/>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施工生活污水：盥洗废水全部用于地面抑尘</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施工营地设防渗旱厕，清掏</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用作农肥。</w:t>
            </w:r>
          </w:p>
        </w:tc>
        <w:tc>
          <w:tcPr>
            <w:tcW w:w="6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6CB8B54">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废水不外排</w:t>
            </w:r>
          </w:p>
        </w:tc>
        <w:tc>
          <w:tcPr>
            <w:tcW w:w="1168"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9B36862">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8" w:space="0"/>
            </w:tcBorders>
            <w:tcMar>
              <w:top w:w="0" w:type="dxa"/>
              <w:left w:w="28" w:type="dxa"/>
              <w:bottom w:w="0" w:type="dxa"/>
              <w:right w:w="28" w:type="dxa"/>
            </w:tcMar>
            <w:vAlign w:val="center"/>
          </w:tcPr>
          <w:p w14:paraId="72437E89">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7CFF3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8" w:space="0"/>
              <w:right w:val="single" w:color="auto" w:sz="4" w:space="0"/>
            </w:tcBorders>
            <w:tcMar>
              <w:top w:w="0" w:type="dxa"/>
              <w:left w:w="28" w:type="dxa"/>
              <w:bottom w:w="0" w:type="dxa"/>
              <w:right w:w="28" w:type="dxa"/>
            </w:tcMar>
            <w:vAlign w:val="center"/>
          </w:tcPr>
          <w:p w14:paraId="421FDC2B">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地下水及土壤环境</w:t>
            </w:r>
          </w:p>
        </w:tc>
        <w:tc>
          <w:tcPr>
            <w:tcW w:w="1686" w:type="pct"/>
            <w:tcBorders>
              <w:top w:val="single" w:color="auto" w:sz="4" w:space="0"/>
              <w:left w:val="single" w:color="auto" w:sz="4" w:space="0"/>
              <w:right w:val="single" w:color="auto" w:sz="4" w:space="0"/>
            </w:tcBorders>
            <w:tcMar>
              <w:top w:w="0" w:type="dxa"/>
              <w:left w:w="28" w:type="dxa"/>
              <w:bottom w:w="0" w:type="dxa"/>
              <w:right w:w="28" w:type="dxa"/>
            </w:tcMar>
            <w:vAlign w:val="center"/>
          </w:tcPr>
          <w:p w14:paraId="70C5653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612" w:type="pct"/>
            <w:tcBorders>
              <w:top w:val="single" w:color="auto" w:sz="4" w:space="0"/>
              <w:left w:val="single" w:color="auto" w:sz="4" w:space="0"/>
              <w:right w:val="single" w:color="auto" w:sz="4" w:space="0"/>
            </w:tcBorders>
            <w:tcMar>
              <w:top w:w="0" w:type="dxa"/>
              <w:left w:w="28" w:type="dxa"/>
              <w:bottom w:w="0" w:type="dxa"/>
              <w:right w:w="28" w:type="dxa"/>
            </w:tcMar>
            <w:vAlign w:val="center"/>
          </w:tcPr>
          <w:p w14:paraId="129805B6">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68"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1844E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8" w:space="0"/>
            </w:tcBorders>
            <w:tcMar>
              <w:top w:w="0" w:type="dxa"/>
              <w:left w:w="28" w:type="dxa"/>
              <w:bottom w:w="0" w:type="dxa"/>
              <w:right w:w="28" w:type="dxa"/>
            </w:tcMar>
            <w:vAlign w:val="center"/>
          </w:tcPr>
          <w:p w14:paraId="77D02A3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4D216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62365A9A">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w:t>
            </w: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FA3107E">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采取了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选用低噪声设备，四周设置围挡，控制施工时间等措施，远离居民区设置施工场地。</w:t>
            </w:r>
          </w:p>
        </w:tc>
        <w:tc>
          <w:tcPr>
            <w:tcW w:w="61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EEFDBD0">
            <w:pPr>
              <w:keepNext w:val="0"/>
              <w:keepLines w:val="0"/>
              <w:pageBreakBefore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《建筑施工场界环境噪声排放标准》（GB12532-2011）中的标准要求。</w:t>
            </w:r>
          </w:p>
        </w:tc>
        <w:tc>
          <w:tcPr>
            <w:tcW w:w="1168"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954D79F">
            <w:pPr>
              <w:keepNext w:val="0"/>
              <w:keepLines w:val="0"/>
              <w:pageBreakBefore w:val="0"/>
              <w:widowControl w:val="0"/>
              <w:kinsoku/>
              <w:wordWrap/>
              <w:overflowPunct/>
              <w:topLinePunct w:val="0"/>
              <w:autoSpaceDE/>
              <w:autoSpaceDN/>
              <w:bidi w:val="0"/>
              <w:spacing w:after="0" w:line="260" w:lineRule="exact"/>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运营</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期加强输电线路运行维护检查，保证正常运行；开展运行期环境监测和管理工作，切实减少对周围环境的影响；建立健全环保管理机构，做好项目的竣工环保验收工作；科学设置导线排列方式、选购光洁度高的导线，</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确保噪声达标排放。</w:t>
            </w:r>
          </w:p>
        </w:tc>
        <w:tc>
          <w:tcPr>
            <w:tcW w:w="1103" w:type="pct"/>
            <w:tcBorders>
              <w:top w:val="single" w:color="auto" w:sz="4" w:space="0"/>
              <w:left w:val="single" w:color="auto" w:sz="4" w:space="0"/>
              <w:bottom w:val="single" w:color="auto" w:sz="4" w:space="0"/>
              <w:right w:val="single" w:color="auto" w:sz="8" w:space="0"/>
            </w:tcBorders>
            <w:tcMar>
              <w:top w:w="0" w:type="dxa"/>
              <w:left w:w="28" w:type="dxa"/>
              <w:bottom w:w="0" w:type="dxa"/>
              <w:right w:w="28" w:type="dxa"/>
            </w:tcMar>
            <w:vAlign w:val="center"/>
          </w:tcPr>
          <w:p w14:paraId="43702B8F">
            <w:pPr>
              <w:keepNext w:val="0"/>
              <w:keepLines w:val="0"/>
              <w:pageBreakBefore w:val="0"/>
              <w:kinsoku/>
              <w:wordWrap/>
              <w:overflowPunct/>
              <w:topLinePunct w:val="0"/>
              <w:autoSpaceDE w:val="0"/>
              <w:autoSpaceDN w:val="0"/>
              <w:bidi w:val="0"/>
              <w:adjustRightInd w:val="0"/>
              <w:snapToGrid w:val="0"/>
              <w:spacing w:line="260" w:lineRule="exact"/>
              <w:jc w:val="left"/>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线路周围声环境执行《声环境质量标准》（GB3096-2008）相应声功能区标准</w:t>
            </w:r>
          </w:p>
        </w:tc>
      </w:tr>
      <w:tr w14:paraId="5B51F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58E0950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大气环境</w:t>
            </w: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C088DEB">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设置</w:t>
            </w:r>
            <w:r>
              <w:rPr>
                <w:rFonts w:hint="eastAsia" w:cs="Times New Roman"/>
                <w:color w:val="000000" w:themeColor="text1"/>
                <w:kern w:val="0"/>
                <w:sz w:val="21"/>
                <w:szCs w:val="21"/>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硬质围挡、出入车辆</w:t>
            </w:r>
            <w:r>
              <w:rPr>
                <w:rFonts w:hint="eastAsia" w:cs="Times New Roman"/>
                <w:color w:val="000000" w:themeColor="text1"/>
                <w:kern w:val="0"/>
                <w:sz w:val="21"/>
                <w:szCs w:val="21"/>
                <w:highlight w:val="none"/>
                <w:lang w:val="en-US" w:eastAsia="zh-CN"/>
                <w14:textFill>
                  <w14:solidFill>
                    <w14:schemeClr w14:val="tx1"/>
                  </w14:solidFill>
                </w14:textFill>
              </w:rPr>
              <w:t>进行了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清洗、加强</w:t>
            </w:r>
            <w:r>
              <w:rPr>
                <w:rFonts w:hint="eastAsia" w:cs="Times New Roman"/>
                <w:color w:val="000000" w:themeColor="text1"/>
                <w:kern w:val="0"/>
                <w:sz w:val="21"/>
                <w:szCs w:val="21"/>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遮盖、及时清扫抑尘等措施；离村庄较近区域</w:t>
            </w:r>
            <w:r>
              <w:rPr>
                <w:rFonts w:hint="eastAsia" w:cs="Times New Roman"/>
                <w:color w:val="000000" w:themeColor="text1"/>
                <w:kern w:val="0"/>
                <w:sz w:val="21"/>
                <w:szCs w:val="21"/>
                <w:highlight w:val="none"/>
                <w:lang w:val="en-US" w:eastAsia="zh-CN"/>
                <w14:textFill>
                  <w14:solidFill>
                    <w14:schemeClr w14:val="tx1"/>
                  </w14:solidFill>
                </w14:textFill>
              </w:rPr>
              <w:t>未</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在有风天气施工，适当增加</w:t>
            </w:r>
            <w:r>
              <w:rPr>
                <w:rFonts w:hint="eastAsia" w:cs="Times New Roman"/>
                <w:color w:val="000000" w:themeColor="text1"/>
                <w:kern w:val="0"/>
                <w:sz w:val="21"/>
                <w:szCs w:val="21"/>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临近居民侧围挡高度，增加</w:t>
            </w:r>
            <w:r>
              <w:rPr>
                <w:rFonts w:hint="eastAsia" w:cs="Times New Roman"/>
                <w:color w:val="000000" w:themeColor="text1"/>
                <w:kern w:val="0"/>
                <w:sz w:val="21"/>
                <w:szCs w:val="21"/>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临近居民处洒水抑尘次数，施工机械和车辆</w:t>
            </w:r>
            <w:r>
              <w:rPr>
                <w:rFonts w:hint="eastAsia" w:cs="Times New Roman"/>
                <w:color w:val="000000" w:themeColor="text1"/>
                <w:kern w:val="0"/>
                <w:sz w:val="21"/>
                <w:szCs w:val="21"/>
                <w:highlight w:val="none"/>
                <w:lang w:val="en-US" w:eastAsia="zh-CN"/>
                <w14:textFill>
                  <w14:solidFill>
                    <w14:schemeClr w14:val="tx1"/>
                  </w14:solidFill>
                </w14:textFill>
              </w:rPr>
              <w:t>已</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避让居民居住区行驶</w:t>
            </w:r>
            <w:r>
              <w:rPr>
                <w:rFonts w:hint="default" w:ascii="Times New Roman" w:hAnsi="Times New Roman" w:eastAsia="宋体" w:cs="Times New Roman"/>
                <w:color w:val="000000" w:themeColor="text1"/>
                <w:spacing w:val="-6"/>
                <w:kern w:val="0"/>
                <w:sz w:val="21"/>
                <w:szCs w:val="21"/>
                <w:highlight w:val="none"/>
                <w14:textFill>
                  <w14:solidFill>
                    <w14:schemeClr w14:val="tx1"/>
                  </w14:solidFill>
                </w14:textFill>
              </w:rPr>
              <w:t>。</w:t>
            </w:r>
          </w:p>
        </w:tc>
        <w:tc>
          <w:tcPr>
            <w:tcW w:w="612"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6BDB1C02">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《施工场地扬尘排放标准》（DB13/2934-2019）表1扬尘排放浓度限值。</w:t>
            </w:r>
          </w:p>
        </w:tc>
        <w:tc>
          <w:tcPr>
            <w:tcW w:w="1168"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BF2013D">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8" w:space="0"/>
            </w:tcBorders>
            <w:tcMar>
              <w:top w:w="0" w:type="dxa"/>
              <w:left w:w="28" w:type="dxa"/>
              <w:bottom w:w="0" w:type="dxa"/>
              <w:right w:w="28" w:type="dxa"/>
            </w:tcMar>
            <w:vAlign w:val="center"/>
          </w:tcPr>
          <w:p w14:paraId="6FF176FF">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16341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3EB36F7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固体废物</w:t>
            </w: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2A77570">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建筑垃圾</w:t>
            </w:r>
            <w:r>
              <w:rPr>
                <w:rFonts w:hint="eastAsia" w:cs="Times New Roman"/>
                <w:color w:val="000000" w:themeColor="text1"/>
                <w:kern w:val="0"/>
                <w:sz w:val="21"/>
                <w:szCs w:val="21"/>
                <w:highlight w:val="none"/>
                <w:lang w:val="en-US" w:eastAsia="zh-CN"/>
                <w14:textFill>
                  <w14:solidFill>
                    <w14:schemeClr w14:val="tx1"/>
                  </w14:solidFill>
                </w14:textFill>
              </w:rPr>
              <w:t>已</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送市政部门指定的地点堆存；生活垃圾收集后，</w:t>
            </w:r>
            <w:r>
              <w:rPr>
                <w:rFonts w:hint="eastAsia" w:cs="Times New Roman"/>
                <w:color w:val="000000" w:themeColor="text1"/>
                <w:kern w:val="0"/>
                <w:sz w:val="21"/>
                <w:szCs w:val="21"/>
                <w:highlight w:val="none"/>
                <w:lang w:val="en-US" w:eastAsia="zh-CN"/>
                <w14:textFill>
                  <w14:solidFill>
                    <w14:schemeClr w14:val="tx1"/>
                  </w14:solidFill>
                </w14:textFill>
              </w:rPr>
              <w:t>已</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交由环卫部门统一处理。</w:t>
            </w:r>
          </w:p>
        </w:tc>
        <w:tc>
          <w:tcPr>
            <w:tcW w:w="612"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3CC28437">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妥善处理</w:t>
            </w:r>
          </w:p>
        </w:tc>
        <w:tc>
          <w:tcPr>
            <w:tcW w:w="1168"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D3B8FC9">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8" w:space="0"/>
            </w:tcBorders>
            <w:tcMar>
              <w:top w:w="0" w:type="dxa"/>
              <w:left w:w="28" w:type="dxa"/>
              <w:bottom w:w="0" w:type="dxa"/>
              <w:right w:w="28" w:type="dxa"/>
            </w:tcMar>
            <w:vAlign w:val="center"/>
          </w:tcPr>
          <w:p w14:paraId="64277DD2">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5E1B8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5273DCF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电磁环境</w:t>
            </w:r>
          </w:p>
        </w:tc>
        <w:tc>
          <w:tcPr>
            <w:tcW w:w="168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5AC876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612"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3380ECC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68" w:type="pct"/>
            <w:tcBorders>
              <w:top w:val="single" w:color="auto" w:sz="4" w:space="0"/>
              <w:left w:val="single" w:color="auto" w:sz="4" w:space="0"/>
              <w:bottom w:val="single" w:color="auto" w:sz="4" w:space="0"/>
              <w:right w:val="single" w:color="000000" w:sz="4" w:space="0"/>
            </w:tcBorders>
            <w:tcMar>
              <w:top w:w="0" w:type="dxa"/>
              <w:left w:w="28" w:type="dxa"/>
              <w:bottom w:w="0" w:type="dxa"/>
              <w:right w:w="28" w:type="dxa"/>
            </w:tcMar>
            <w:vAlign w:val="center"/>
          </w:tcPr>
          <w:p w14:paraId="79EB0B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60" w:lineRule="exact"/>
              <w:ind w:left="0" w:leftChars="0" w:right="0" w:right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运行期加强输电线路运行维护检查，保证正常运行；开展运行期环境监测和管理工作，切实减少对周围环境的影响；建立健全环保管理机构，做好项目的竣工环保验收工作</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p>
        </w:tc>
        <w:tc>
          <w:tcPr>
            <w:tcW w:w="1103" w:type="pct"/>
            <w:tcBorders>
              <w:top w:val="single" w:color="auto" w:sz="4" w:space="0"/>
              <w:left w:val="nil"/>
              <w:bottom w:val="single" w:color="auto" w:sz="4" w:space="0"/>
              <w:right w:val="single" w:color="auto" w:sz="8" w:space="0"/>
            </w:tcBorders>
            <w:tcMar>
              <w:top w:w="0" w:type="dxa"/>
              <w:left w:w="28" w:type="dxa"/>
              <w:bottom w:w="0" w:type="dxa"/>
              <w:right w:w="28" w:type="dxa"/>
            </w:tcMar>
            <w:vAlign w:val="center"/>
          </w:tcPr>
          <w:p w14:paraId="458777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60" w:lineRule="exact"/>
              <w:ind w:left="0" w:leftChars="0" w:right="0" w:right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工频电场强度、工频磁场强度执行《电磁环境控制限值》（GB8702-2014）中的4kV/m和100μT的标准限值要求，其中架空输电线路线下的耕地、园地、道路等场所，其频率50Hz的电场强度控制限值为10kV/m，且应给出警示和防护指示标志。</w:t>
            </w:r>
          </w:p>
        </w:tc>
      </w:tr>
      <w:tr w14:paraId="18670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28"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46B551E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环境风险</w:t>
            </w:r>
          </w:p>
        </w:tc>
        <w:tc>
          <w:tcPr>
            <w:tcW w:w="1686" w:type="pct"/>
            <w:tcBorders>
              <w:top w:val="single" w:color="auto" w:sz="4" w:space="0"/>
              <w:left w:val="single" w:color="auto" w:sz="4" w:space="0"/>
              <w:bottom w:val="single" w:color="auto" w:sz="4" w:space="0"/>
              <w:right w:val="single" w:color="000000" w:sz="4" w:space="0"/>
            </w:tcBorders>
            <w:tcMar>
              <w:top w:w="0" w:type="dxa"/>
              <w:left w:w="28" w:type="dxa"/>
              <w:bottom w:w="0" w:type="dxa"/>
              <w:right w:w="28" w:type="dxa"/>
            </w:tcMar>
            <w:vAlign w:val="center"/>
          </w:tcPr>
          <w:p w14:paraId="0F9667E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612" w:type="pc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0B93DB8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68" w:type="pct"/>
            <w:tcBorders>
              <w:top w:val="single" w:color="auto" w:sz="4" w:space="0"/>
              <w:left w:val="single" w:color="auto" w:sz="4" w:space="0"/>
              <w:bottom w:val="single" w:color="auto" w:sz="4" w:space="0"/>
              <w:right w:val="single" w:color="000000" w:sz="4" w:space="0"/>
            </w:tcBorders>
            <w:tcMar>
              <w:top w:w="0" w:type="dxa"/>
              <w:left w:w="28" w:type="dxa"/>
              <w:bottom w:w="0" w:type="dxa"/>
              <w:right w:w="28" w:type="dxa"/>
            </w:tcMar>
            <w:vAlign w:val="center"/>
          </w:tcPr>
          <w:p w14:paraId="37D613E0">
            <w:pPr>
              <w:keepNext w:val="0"/>
              <w:keepLines w:val="0"/>
              <w:pageBreakBefore w:val="0"/>
              <w:widowControl w:val="0"/>
              <w:kinsoku/>
              <w:wordWrap/>
              <w:overflowPunct/>
              <w:topLinePunct w:val="0"/>
              <w:autoSpaceDE/>
              <w:autoSpaceDN/>
              <w:bidi w:val="0"/>
              <w:adjustRightInd w:val="0"/>
              <w:snapToGrid w:val="0"/>
              <w:spacing w:line="26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本项目</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不涉及环境风险物质</w:t>
            </w:r>
          </w:p>
        </w:tc>
        <w:tc>
          <w:tcPr>
            <w:tcW w:w="1103" w:type="pct"/>
            <w:tcBorders>
              <w:top w:val="single" w:color="auto" w:sz="4" w:space="0"/>
              <w:left w:val="nil"/>
              <w:bottom w:val="single" w:color="auto" w:sz="4" w:space="0"/>
              <w:right w:val="single" w:color="auto" w:sz="8" w:space="0"/>
            </w:tcBorders>
            <w:tcMar>
              <w:top w:w="0" w:type="dxa"/>
              <w:left w:w="28" w:type="dxa"/>
              <w:bottom w:w="0" w:type="dxa"/>
              <w:right w:w="28" w:type="dxa"/>
            </w:tcMar>
            <w:vAlign w:val="center"/>
          </w:tcPr>
          <w:p w14:paraId="1AC36A4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14:paraId="5B136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vMerge w:val="restart"/>
            <w:tcBorders>
              <w:top w:val="single" w:color="auto" w:sz="4" w:space="0"/>
              <w:left w:val="single" w:color="auto" w:sz="8" w:space="0"/>
              <w:right w:val="single" w:color="auto" w:sz="4" w:space="0"/>
            </w:tcBorders>
            <w:tcMar>
              <w:top w:w="0" w:type="dxa"/>
              <w:left w:w="28" w:type="dxa"/>
              <w:bottom w:w="0" w:type="dxa"/>
              <w:right w:w="28" w:type="dxa"/>
            </w:tcMar>
            <w:vAlign w:val="center"/>
          </w:tcPr>
          <w:p w14:paraId="361D110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环境监测</w:t>
            </w:r>
          </w:p>
        </w:tc>
        <w:tc>
          <w:tcPr>
            <w:tcW w:w="1686" w:type="pct"/>
            <w:tcBorders>
              <w:top w:val="single" w:color="auto" w:sz="4" w:space="0"/>
              <w:left w:val="single" w:color="auto" w:sz="4" w:space="0"/>
              <w:right w:val="single" w:color="000000" w:sz="4" w:space="0"/>
            </w:tcBorders>
            <w:tcMar>
              <w:top w:w="0" w:type="dxa"/>
              <w:left w:w="28" w:type="dxa"/>
              <w:bottom w:w="0" w:type="dxa"/>
              <w:right w:w="28" w:type="dxa"/>
            </w:tcMar>
            <w:vAlign w:val="center"/>
          </w:tcPr>
          <w:p w14:paraId="692A8E7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环境空气</w:t>
            </w:r>
          </w:p>
        </w:tc>
        <w:tc>
          <w:tcPr>
            <w:tcW w:w="612" w:type="pct"/>
            <w:tcBorders>
              <w:top w:val="single" w:color="auto" w:sz="4" w:space="0"/>
              <w:left w:val="nil"/>
              <w:right w:val="single" w:color="auto" w:sz="4" w:space="0"/>
            </w:tcBorders>
            <w:tcMar>
              <w:top w:w="0" w:type="dxa"/>
              <w:left w:w="28" w:type="dxa"/>
              <w:bottom w:w="0" w:type="dxa"/>
              <w:right w:w="28" w:type="dxa"/>
            </w:tcMar>
            <w:vAlign w:val="center"/>
          </w:tcPr>
          <w:p w14:paraId="48BABBC5">
            <w:pPr>
              <w:keepNext w:val="0"/>
              <w:keepLines w:val="0"/>
              <w:pageBreakBefore w:val="0"/>
              <w:widowControl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符合《施工场地扬尘排放标准》（DB13/2934-2019）表1扬尘排放浓度限值</w:t>
            </w:r>
          </w:p>
        </w:tc>
        <w:tc>
          <w:tcPr>
            <w:tcW w:w="1168" w:type="pct"/>
            <w:tcBorders>
              <w:top w:val="single" w:color="auto" w:sz="4" w:space="0"/>
              <w:left w:val="single" w:color="auto" w:sz="4" w:space="0"/>
              <w:right w:val="single" w:color="000000" w:sz="4" w:space="0"/>
            </w:tcBorders>
            <w:tcMar>
              <w:top w:w="0" w:type="dxa"/>
              <w:left w:w="28" w:type="dxa"/>
              <w:bottom w:w="0" w:type="dxa"/>
              <w:right w:w="28" w:type="dxa"/>
            </w:tcMar>
            <w:vAlign w:val="center"/>
          </w:tcPr>
          <w:p w14:paraId="2151BD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103" w:type="pct"/>
            <w:tcBorders>
              <w:top w:val="single" w:color="auto" w:sz="4" w:space="0"/>
              <w:left w:val="nil"/>
              <w:right w:val="single" w:color="auto" w:sz="8" w:space="0"/>
            </w:tcBorders>
            <w:tcMar>
              <w:top w:w="0" w:type="dxa"/>
              <w:left w:w="28" w:type="dxa"/>
              <w:bottom w:w="0" w:type="dxa"/>
              <w:right w:w="28" w:type="dxa"/>
            </w:tcMar>
            <w:vAlign w:val="center"/>
          </w:tcPr>
          <w:p w14:paraId="52FF87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60" w:lineRule="exact"/>
              <w:ind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7E8E3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vMerge w:val="continue"/>
            <w:tcBorders>
              <w:left w:val="single" w:color="auto" w:sz="8" w:space="0"/>
              <w:right w:val="single" w:color="auto" w:sz="4" w:space="0"/>
            </w:tcBorders>
            <w:tcMar>
              <w:top w:w="0" w:type="dxa"/>
              <w:left w:w="28" w:type="dxa"/>
              <w:bottom w:w="0" w:type="dxa"/>
              <w:right w:w="28" w:type="dxa"/>
            </w:tcMar>
            <w:vAlign w:val="center"/>
          </w:tcPr>
          <w:p w14:paraId="1C9F43E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1686" w:type="pct"/>
            <w:tcBorders>
              <w:top w:val="single" w:color="auto" w:sz="4" w:space="0"/>
              <w:left w:val="single" w:color="auto" w:sz="4" w:space="0"/>
              <w:right w:val="single" w:color="000000" w:sz="4" w:space="0"/>
            </w:tcBorders>
            <w:tcMar>
              <w:top w:w="0" w:type="dxa"/>
              <w:left w:w="28" w:type="dxa"/>
              <w:bottom w:w="0" w:type="dxa"/>
              <w:right w:w="28" w:type="dxa"/>
            </w:tcMar>
            <w:vAlign w:val="center"/>
          </w:tcPr>
          <w:p w14:paraId="5803B9D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电磁环境</w:t>
            </w:r>
          </w:p>
        </w:tc>
        <w:tc>
          <w:tcPr>
            <w:tcW w:w="612" w:type="pct"/>
            <w:tcBorders>
              <w:top w:val="single" w:color="auto" w:sz="4" w:space="0"/>
              <w:left w:val="nil"/>
              <w:right w:val="single" w:color="auto" w:sz="4" w:space="0"/>
            </w:tcBorders>
            <w:tcMar>
              <w:top w:w="0" w:type="dxa"/>
              <w:left w:w="28" w:type="dxa"/>
              <w:bottom w:w="0" w:type="dxa"/>
              <w:right w:w="28" w:type="dxa"/>
            </w:tcMar>
            <w:vAlign w:val="center"/>
          </w:tcPr>
          <w:p w14:paraId="050F922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1168" w:type="pct"/>
            <w:tcBorders>
              <w:top w:val="single" w:color="auto" w:sz="4" w:space="0"/>
              <w:left w:val="single" w:color="auto" w:sz="4" w:space="0"/>
              <w:right w:val="single" w:color="000000" w:sz="4" w:space="0"/>
            </w:tcBorders>
            <w:tcMar>
              <w:top w:w="0" w:type="dxa"/>
              <w:left w:w="28" w:type="dxa"/>
              <w:bottom w:w="0" w:type="dxa"/>
              <w:right w:w="28" w:type="dxa"/>
            </w:tcMar>
            <w:vAlign w:val="center"/>
          </w:tcPr>
          <w:p w14:paraId="2D497E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60" w:lineRule="exact"/>
              <w:ind w:left="0" w:leftChars="0" w:right="0" w:rightChars="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架空线路沿线及电磁环境敏感目标，验收监测一次，</w:t>
            </w:r>
            <w:r>
              <w:rPr>
                <w:rFonts w:eastAsia="宋体" w:cs="Times New Roman"/>
                <w:color w:val="000000" w:themeColor="text1"/>
                <w:sz w:val="21"/>
                <w:szCs w:val="21"/>
                <w:highlight w:val="none"/>
                <w14:textFill>
                  <w14:solidFill>
                    <w14:schemeClr w14:val="tx1"/>
                  </w14:solidFill>
                </w14:textFill>
              </w:rPr>
              <w:t>运行后按有关部门要求定期进行监测</w:t>
            </w:r>
          </w:p>
        </w:tc>
        <w:tc>
          <w:tcPr>
            <w:tcW w:w="1103" w:type="pct"/>
            <w:tcBorders>
              <w:top w:val="single" w:color="auto" w:sz="4" w:space="0"/>
              <w:left w:val="nil"/>
              <w:right w:val="single" w:color="auto" w:sz="8" w:space="0"/>
            </w:tcBorders>
            <w:tcMar>
              <w:top w:w="0" w:type="dxa"/>
              <w:left w:w="28" w:type="dxa"/>
              <w:bottom w:w="0" w:type="dxa"/>
              <w:right w:w="28" w:type="dxa"/>
            </w:tcMar>
            <w:vAlign w:val="center"/>
          </w:tcPr>
          <w:p w14:paraId="5814F7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60" w:lineRule="exact"/>
              <w:ind w:right="0" w:rightChars="0"/>
              <w:jc w:val="both"/>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工频电场强度、工频磁感应强度符合</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《电磁环境控制限值》（GB8702-2014）中规定的4kV/m（</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其中架空输电线路线下的耕地、园地、道路等场所，其频率50Hz的电场强度控制限值为10kV/m</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）和100μT公众曝露控制限值要求。</w:t>
            </w:r>
          </w:p>
        </w:tc>
      </w:tr>
      <w:tr w14:paraId="1E5BA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vMerge w:val="continue"/>
            <w:tcBorders>
              <w:left w:val="single" w:color="auto" w:sz="8" w:space="0"/>
              <w:right w:val="single" w:color="auto" w:sz="4" w:space="0"/>
            </w:tcBorders>
            <w:tcMar>
              <w:top w:w="0" w:type="dxa"/>
              <w:left w:w="28" w:type="dxa"/>
              <w:bottom w:w="0" w:type="dxa"/>
              <w:right w:w="28" w:type="dxa"/>
            </w:tcMar>
            <w:vAlign w:val="center"/>
          </w:tcPr>
          <w:p w14:paraId="2AAD875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1686" w:type="pct"/>
            <w:tcBorders>
              <w:top w:val="single" w:color="auto" w:sz="4" w:space="0"/>
              <w:left w:val="single" w:color="auto" w:sz="4" w:space="0"/>
              <w:right w:val="single" w:color="000000" w:sz="4" w:space="0"/>
            </w:tcBorders>
            <w:tcMar>
              <w:top w:w="0" w:type="dxa"/>
              <w:left w:w="28" w:type="dxa"/>
              <w:bottom w:w="0" w:type="dxa"/>
              <w:right w:w="28" w:type="dxa"/>
            </w:tcMar>
            <w:vAlign w:val="center"/>
          </w:tcPr>
          <w:p w14:paraId="5EFBD5E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噪声</w:t>
            </w:r>
          </w:p>
        </w:tc>
        <w:tc>
          <w:tcPr>
            <w:tcW w:w="612" w:type="pct"/>
            <w:tcBorders>
              <w:left w:val="nil"/>
              <w:right w:val="single" w:color="auto" w:sz="4" w:space="0"/>
            </w:tcBorders>
            <w:tcMar>
              <w:top w:w="0" w:type="dxa"/>
              <w:left w:w="28" w:type="dxa"/>
              <w:bottom w:w="0" w:type="dxa"/>
              <w:right w:w="28" w:type="dxa"/>
            </w:tcMar>
            <w:vAlign w:val="center"/>
          </w:tcPr>
          <w:p w14:paraId="0FE2DCD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施工噪声满足《建筑施工场界环境噪声排放标准》（GB12523-2011）</w:t>
            </w:r>
          </w:p>
        </w:tc>
        <w:tc>
          <w:tcPr>
            <w:tcW w:w="1168" w:type="pct"/>
            <w:tcBorders>
              <w:left w:val="single" w:color="auto" w:sz="4" w:space="0"/>
              <w:bottom w:val="single" w:color="auto" w:sz="4" w:space="0"/>
              <w:right w:val="single" w:color="000000" w:sz="4" w:space="0"/>
            </w:tcBorders>
            <w:tcMar>
              <w:top w:w="0" w:type="dxa"/>
              <w:left w:w="28" w:type="dxa"/>
              <w:bottom w:w="0" w:type="dxa"/>
              <w:right w:w="28" w:type="dxa"/>
            </w:tcMar>
            <w:vAlign w:val="center"/>
          </w:tcPr>
          <w:p w14:paraId="2B5182F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架空线路沿线及声环境保护目标，验收监测一次，</w:t>
            </w:r>
            <w:r>
              <w:rPr>
                <w:rFonts w:eastAsia="宋体" w:cs="Times New Roman"/>
                <w:color w:val="000000" w:themeColor="text1"/>
                <w:sz w:val="21"/>
                <w:szCs w:val="21"/>
                <w:highlight w:val="none"/>
                <w14:textFill>
                  <w14:solidFill>
                    <w14:schemeClr w14:val="tx1"/>
                  </w14:solidFill>
                </w14:textFill>
              </w:rPr>
              <w:t>运行后按有关部门要求定期进行监测</w:t>
            </w:r>
          </w:p>
        </w:tc>
        <w:tc>
          <w:tcPr>
            <w:tcW w:w="1103" w:type="pct"/>
            <w:tcBorders>
              <w:left w:val="nil"/>
              <w:bottom w:val="single" w:color="auto" w:sz="4" w:space="0"/>
              <w:right w:val="single" w:color="auto" w:sz="8" w:space="0"/>
            </w:tcBorders>
            <w:tcMar>
              <w:top w:w="0" w:type="dxa"/>
              <w:left w:w="28" w:type="dxa"/>
              <w:bottom w:w="0" w:type="dxa"/>
              <w:right w:w="28" w:type="dxa"/>
            </w:tcMar>
            <w:vAlign w:val="center"/>
          </w:tcPr>
          <w:p w14:paraId="588D7F4D">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线路周围声环境执行《声环境质量标准》（GB3096-2008）相应声功能区标准</w:t>
            </w: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；声环境保护目标处执行</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《声环境质量标准》（GB3096-2008）</w:t>
            </w: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1类</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声功能区标准</w:t>
            </w:r>
          </w:p>
        </w:tc>
      </w:tr>
      <w:tr w14:paraId="09876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28" w:type="pct"/>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14:paraId="2B468BC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其他</w:t>
            </w:r>
          </w:p>
        </w:tc>
        <w:tc>
          <w:tcPr>
            <w:tcW w:w="1686" w:type="pct"/>
            <w:tcBorders>
              <w:top w:val="single" w:color="auto" w:sz="4" w:space="0"/>
              <w:left w:val="single" w:color="auto" w:sz="4" w:space="0"/>
              <w:bottom w:val="single" w:color="auto" w:sz="8" w:space="0"/>
              <w:right w:val="single" w:color="000000" w:sz="4" w:space="0"/>
            </w:tcBorders>
            <w:tcMar>
              <w:top w:w="0" w:type="dxa"/>
              <w:left w:w="28" w:type="dxa"/>
              <w:bottom w:w="0" w:type="dxa"/>
              <w:right w:w="28" w:type="dxa"/>
            </w:tcMar>
            <w:vAlign w:val="center"/>
          </w:tcPr>
          <w:p w14:paraId="3A740188">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12" w:type="pct"/>
            <w:tcBorders>
              <w:top w:val="single" w:color="auto" w:sz="4" w:space="0"/>
              <w:left w:val="nil"/>
              <w:bottom w:val="single" w:color="auto" w:sz="8" w:space="0"/>
              <w:right w:val="single" w:color="auto" w:sz="4" w:space="0"/>
            </w:tcBorders>
            <w:tcMar>
              <w:top w:w="0" w:type="dxa"/>
              <w:left w:w="28" w:type="dxa"/>
              <w:bottom w:w="0" w:type="dxa"/>
              <w:right w:w="28" w:type="dxa"/>
            </w:tcMar>
            <w:vAlign w:val="center"/>
          </w:tcPr>
          <w:p w14:paraId="3B5D68C5">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168" w:type="pct"/>
            <w:tcBorders>
              <w:top w:val="single" w:color="auto" w:sz="4" w:space="0"/>
              <w:left w:val="single" w:color="auto" w:sz="4" w:space="0"/>
              <w:bottom w:val="single" w:color="auto" w:sz="8" w:space="0"/>
              <w:right w:val="single" w:color="000000" w:sz="4" w:space="0"/>
            </w:tcBorders>
            <w:tcMar>
              <w:top w:w="0" w:type="dxa"/>
              <w:left w:w="28" w:type="dxa"/>
              <w:bottom w:w="0" w:type="dxa"/>
              <w:right w:w="28" w:type="dxa"/>
            </w:tcMar>
            <w:vAlign w:val="center"/>
          </w:tcPr>
          <w:p w14:paraId="5250ABA6">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103" w:type="pct"/>
            <w:tcBorders>
              <w:top w:val="single" w:color="auto" w:sz="4" w:space="0"/>
              <w:left w:val="nil"/>
              <w:bottom w:val="single" w:color="auto" w:sz="8" w:space="0"/>
              <w:right w:val="single" w:color="auto" w:sz="8" w:space="0"/>
            </w:tcBorders>
            <w:tcMar>
              <w:top w:w="0" w:type="dxa"/>
              <w:left w:w="28" w:type="dxa"/>
              <w:bottom w:w="0" w:type="dxa"/>
              <w:right w:w="28" w:type="dxa"/>
            </w:tcMar>
            <w:vAlign w:val="center"/>
          </w:tcPr>
          <w:p w14:paraId="0E5194B7">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r>
    </w:tbl>
    <w:p w14:paraId="4CD0A79F">
      <w:pPr>
        <w:pStyle w:val="30"/>
        <w:spacing w:before="0" w:beforeAutospacing="0" w:line="14" w:lineRule="auto"/>
        <w:jc w:val="center"/>
        <w:rPr>
          <w:rFonts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0"/>
          <w:szCs w:val="30"/>
          <w:highlight w:val="none"/>
          <w14:textFill>
            <w14:solidFill>
              <w14:schemeClr w14:val="tx1"/>
            </w14:solidFill>
          </w14:textFill>
        </w:rPr>
        <w:br w:type="page"/>
      </w:r>
    </w:p>
    <w:p w14:paraId="1A2A63C8">
      <w:pPr>
        <w:bidi w:val="0"/>
        <w:jc w:val="left"/>
        <w:rPr>
          <w:rFonts w:hint="eastAsia"/>
          <w:color w:val="000000" w:themeColor="text1"/>
          <w:highlight w:val="none"/>
          <w14:textFill>
            <w14:solidFill>
              <w14:schemeClr w14:val="tx1"/>
            </w14:solidFill>
          </w14:textFill>
        </w:rPr>
        <w:sectPr>
          <w:pgSz w:w="16838" w:h="11906" w:orient="landscape"/>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42D34A37">
      <w:pPr>
        <w:pStyle w:val="2"/>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center"/>
        <w:textAlignment w:val="auto"/>
        <w:rPr>
          <w:color w:val="000000" w:themeColor="text1"/>
          <w:highlight w:val="none"/>
          <w14:textFill>
            <w14:solidFill>
              <w14:schemeClr w14:val="tx1"/>
            </w14:solidFill>
          </w14:textFill>
        </w:rPr>
      </w:pPr>
      <w:bookmarkStart w:id="36" w:name="_Toc5185"/>
      <w:bookmarkStart w:id="37" w:name="_Toc16137"/>
      <w:bookmarkStart w:id="38" w:name="_Toc18767"/>
      <w:r>
        <w:rPr>
          <w:rFonts w:hint="eastAsia"/>
          <w:b w:val="0"/>
          <w:bCs w:val="0"/>
          <w:color w:val="000000" w:themeColor="text1"/>
          <w:highlight w:val="none"/>
          <w14:textFill>
            <w14:solidFill>
              <w14:schemeClr w14:val="tx1"/>
            </w14:solidFill>
          </w14:textFill>
        </w:rPr>
        <w:t>七、结论</w:t>
      </w:r>
      <w:bookmarkEnd w:id="36"/>
      <w:bookmarkEnd w:id="37"/>
      <w:bookmarkEnd w:id="38"/>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78B0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noWrap w:val="0"/>
            <w:vAlign w:val="top"/>
          </w:tcPr>
          <w:p w14:paraId="2FD749A7">
            <w:pPr>
              <w:spacing w:line="440" w:lineRule="exact"/>
              <w:ind w:firstLine="480" w:firstLineChars="200"/>
              <w:rPr>
                <w:color w:val="000000" w:themeColor="text1"/>
                <w:highlight w:val="none"/>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围场县200MW风电储新能源项目送出线路工程项目</w:t>
            </w:r>
            <w:r>
              <w:rPr>
                <w:color w:val="000000" w:themeColor="text1"/>
                <w:sz w:val="24"/>
                <w:highlight w:val="none"/>
                <w14:textFill>
                  <w14:solidFill>
                    <w14:schemeClr w14:val="tx1"/>
                  </w14:solidFill>
                </w14:textFill>
              </w:rPr>
              <w:t>的建设符合</w:t>
            </w:r>
            <w:r>
              <w:rPr>
                <w:rFonts w:hint="eastAsia"/>
                <w:color w:val="000000" w:themeColor="text1"/>
                <w:sz w:val="24"/>
                <w:highlight w:val="none"/>
                <w:lang w:val="en-US" w:eastAsia="zh-CN"/>
                <w14:textFill>
                  <w14:solidFill>
                    <w14:schemeClr w14:val="tx1"/>
                  </w14:solidFill>
                </w14:textFill>
              </w:rPr>
              <w:t>国家和地方相关法律、法规、政策要求，符合“三线一单”控制要求，符合国家及地方相关的产业政策要求。在采取各项有效污染防治措施后，各类污染物均可实现达标排放，对区域环境质量影响可接受，从环境保护的角度分析，该项目建设可行。</w:t>
            </w:r>
          </w:p>
        </w:tc>
      </w:tr>
    </w:tbl>
    <w:p w14:paraId="778BDB10">
      <w:pPr>
        <w:spacing w:line="480" w:lineRule="exact"/>
        <w:ind w:firstLine="880" w:firstLineChars="200"/>
        <w:jc w:val="center"/>
        <w:rPr>
          <w:rFonts w:hint="default" w:ascii="Times New Roman" w:hAnsi="Times New Roman" w:cs="Times New Roman"/>
          <w:color w:val="000000"/>
          <w:kern w:val="0"/>
          <w:sz w:val="44"/>
          <w:szCs w:val="44"/>
          <w:highlight w:val="none"/>
        </w:rPr>
      </w:pPr>
    </w:p>
    <w:p w14:paraId="53209C3F">
      <w:pPr>
        <w:spacing w:line="480" w:lineRule="exact"/>
        <w:ind w:firstLine="880" w:firstLineChars="200"/>
        <w:jc w:val="center"/>
        <w:rPr>
          <w:rFonts w:hint="default" w:ascii="Times New Roman" w:hAnsi="Times New Roman" w:cs="Times New Roman"/>
          <w:color w:val="000000"/>
          <w:kern w:val="0"/>
          <w:sz w:val="44"/>
          <w:szCs w:val="44"/>
          <w:highlight w:val="none"/>
        </w:rPr>
      </w:pPr>
    </w:p>
    <w:p w14:paraId="5CBE7D7F">
      <w:pPr>
        <w:spacing w:line="480" w:lineRule="exact"/>
        <w:ind w:firstLine="880" w:firstLineChars="200"/>
        <w:jc w:val="center"/>
        <w:rPr>
          <w:rFonts w:hint="default" w:ascii="Times New Roman" w:hAnsi="Times New Roman" w:cs="Times New Roman"/>
          <w:color w:val="000000"/>
          <w:kern w:val="0"/>
          <w:sz w:val="44"/>
          <w:szCs w:val="44"/>
          <w:highlight w:val="none"/>
        </w:rPr>
      </w:pPr>
    </w:p>
    <w:p w14:paraId="6C165EA4">
      <w:pPr>
        <w:spacing w:line="480" w:lineRule="exact"/>
        <w:ind w:firstLine="880" w:firstLineChars="200"/>
        <w:jc w:val="center"/>
        <w:rPr>
          <w:rFonts w:hint="default" w:ascii="Times New Roman" w:hAnsi="Times New Roman" w:cs="Times New Roman"/>
          <w:color w:val="000000"/>
          <w:kern w:val="0"/>
          <w:sz w:val="44"/>
          <w:szCs w:val="44"/>
          <w:highlight w:val="none"/>
        </w:rPr>
      </w:pPr>
    </w:p>
    <w:p w14:paraId="0C417D1A">
      <w:pPr>
        <w:spacing w:line="480" w:lineRule="exact"/>
        <w:ind w:firstLine="880" w:firstLineChars="200"/>
        <w:jc w:val="center"/>
        <w:rPr>
          <w:rFonts w:hint="default" w:ascii="Times New Roman" w:hAnsi="Times New Roman" w:cs="Times New Roman"/>
          <w:color w:val="000000"/>
          <w:kern w:val="0"/>
          <w:sz w:val="44"/>
          <w:szCs w:val="44"/>
          <w:highlight w:val="none"/>
        </w:rPr>
      </w:pPr>
    </w:p>
    <w:p w14:paraId="09AFCF84">
      <w:pPr>
        <w:tabs>
          <w:tab w:val="right" w:pos="8306"/>
        </w:tabs>
        <w:spacing w:before="936" w:beforeLines="300" w:after="936" w:afterLines="300" w:line="240" w:lineRule="auto"/>
        <w:ind w:firstLine="0" w:firstLineChars="0"/>
        <w:jc w:val="center"/>
        <w:rPr>
          <w:rFonts w:hint="default" w:ascii="Times New Roman" w:hAnsi="Times New Roman" w:eastAsia="宋体" w:cs="Times New Roman"/>
          <w:color w:val="000000"/>
          <w:spacing w:val="0"/>
          <w:kern w:val="0"/>
          <w:sz w:val="36"/>
          <w:szCs w:val="36"/>
          <w:highlight w:val="none"/>
          <w:lang w:eastAsia="zh-CN"/>
        </w:rPr>
      </w:pPr>
      <w:r>
        <w:rPr>
          <w:rFonts w:hint="default" w:ascii="Times New Roman" w:hAnsi="Times New Roman" w:eastAsia="宋体" w:cs="Times New Roman"/>
          <w:color w:val="000000"/>
          <w:spacing w:val="0"/>
          <w:kern w:val="0"/>
          <w:sz w:val="36"/>
          <w:szCs w:val="36"/>
          <w:highlight w:val="none"/>
          <w:lang w:val="en-US" w:eastAsia="zh-CN"/>
        </w:rPr>
        <w:t>围场县200MW风电储新能源项目送出线路工程项目</w:t>
      </w:r>
    </w:p>
    <w:p w14:paraId="2A83CCE7">
      <w:pPr>
        <w:tabs>
          <w:tab w:val="right" w:pos="8306"/>
        </w:tabs>
        <w:spacing w:before="936" w:beforeLines="300" w:after="936" w:afterLines="300" w:line="240" w:lineRule="auto"/>
        <w:ind w:firstLine="0" w:firstLineChars="0"/>
        <w:jc w:val="center"/>
        <w:rPr>
          <w:rFonts w:hint="default" w:ascii="Times New Roman" w:hAnsi="Times New Roman" w:cs="Times New Roman"/>
          <w:color w:val="000000"/>
          <w:kern w:val="0"/>
          <w:sz w:val="72"/>
          <w:szCs w:val="72"/>
          <w:highlight w:val="none"/>
        </w:rPr>
      </w:pPr>
      <w:r>
        <w:rPr>
          <w:rFonts w:hint="default" w:ascii="Times New Roman" w:hAnsi="Times New Roman" w:cs="Times New Roman"/>
          <w:color w:val="000000"/>
          <w:kern w:val="0"/>
          <w:sz w:val="72"/>
          <w:szCs w:val="72"/>
          <w:highlight w:val="none"/>
        </w:rPr>
        <w:t>电磁环境影响专项评价</w:t>
      </w:r>
    </w:p>
    <w:p w14:paraId="2977BDE8">
      <w:pPr>
        <w:tabs>
          <w:tab w:val="right" w:pos="8306"/>
        </w:tabs>
        <w:spacing w:line="480" w:lineRule="exact"/>
        <w:ind w:firstLine="1440" w:firstLineChars="200"/>
        <w:jc w:val="center"/>
        <w:rPr>
          <w:rFonts w:hint="default" w:ascii="Times New Roman" w:hAnsi="Times New Roman" w:cs="Times New Roman"/>
          <w:color w:val="000000"/>
          <w:kern w:val="0"/>
          <w:sz w:val="72"/>
          <w:szCs w:val="72"/>
          <w:highlight w:val="none"/>
        </w:rPr>
      </w:pPr>
    </w:p>
    <w:p w14:paraId="21A1BCCF">
      <w:pPr>
        <w:tabs>
          <w:tab w:val="right" w:pos="8306"/>
        </w:tabs>
        <w:spacing w:line="480" w:lineRule="exact"/>
        <w:ind w:firstLine="1440" w:firstLineChars="200"/>
        <w:jc w:val="center"/>
        <w:rPr>
          <w:rFonts w:hint="default" w:ascii="Times New Roman" w:hAnsi="Times New Roman" w:cs="Times New Roman"/>
          <w:color w:val="000000"/>
          <w:kern w:val="0"/>
          <w:sz w:val="72"/>
          <w:szCs w:val="72"/>
          <w:highlight w:val="none"/>
        </w:rPr>
      </w:pPr>
    </w:p>
    <w:p w14:paraId="7BF74C06">
      <w:pPr>
        <w:tabs>
          <w:tab w:val="right" w:pos="8306"/>
        </w:tabs>
        <w:spacing w:line="480" w:lineRule="exact"/>
        <w:ind w:firstLine="1440" w:firstLineChars="200"/>
        <w:jc w:val="center"/>
        <w:rPr>
          <w:rFonts w:hint="default" w:ascii="Times New Roman" w:hAnsi="Times New Roman" w:cs="Times New Roman"/>
          <w:color w:val="000000"/>
          <w:kern w:val="0"/>
          <w:sz w:val="72"/>
          <w:szCs w:val="72"/>
          <w:highlight w:val="none"/>
        </w:rPr>
      </w:pPr>
    </w:p>
    <w:p w14:paraId="45C2FFFF">
      <w:pPr>
        <w:tabs>
          <w:tab w:val="right" w:pos="8306"/>
        </w:tabs>
        <w:spacing w:line="480" w:lineRule="exact"/>
        <w:ind w:firstLine="1440" w:firstLineChars="200"/>
        <w:jc w:val="center"/>
        <w:rPr>
          <w:rFonts w:hint="default" w:ascii="Times New Roman" w:hAnsi="Times New Roman" w:cs="Times New Roman"/>
          <w:color w:val="000000"/>
          <w:kern w:val="0"/>
          <w:sz w:val="72"/>
          <w:szCs w:val="72"/>
          <w:highlight w:val="none"/>
        </w:rPr>
      </w:pPr>
    </w:p>
    <w:p w14:paraId="7EDA43CD">
      <w:pPr>
        <w:tabs>
          <w:tab w:val="right" w:pos="8306"/>
        </w:tabs>
        <w:spacing w:line="480" w:lineRule="exact"/>
        <w:ind w:firstLine="1440" w:firstLineChars="200"/>
        <w:jc w:val="center"/>
        <w:rPr>
          <w:rFonts w:hint="default" w:ascii="Times New Roman" w:hAnsi="Times New Roman" w:cs="Times New Roman"/>
          <w:color w:val="000000"/>
          <w:kern w:val="0"/>
          <w:sz w:val="72"/>
          <w:szCs w:val="72"/>
          <w:highlight w:val="none"/>
        </w:rPr>
      </w:pPr>
    </w:p>
    <w:p w14:paraId="76BBFAA6">
      <w:pPr>
        <w:tabs>
          <w:tab w:val="right" w:pos="8306"/>
        </w:tabs>
        <w:spacing w:line="480" w:lineRule="exact"/>
        <w:ind w:firstLine="1440" w:firstLineChars="200"/>
        <w:jc w:val="center"/>
        <w:rPr>
          <w:rFonts w:hint="default" w:ascii="Times New Roman" w:hAnsi="Times New Roman" w:cs="Times New Roman"/>
          <w:color w:val="000000"/>
          <w:kern w:val="0"/>
          <w:sz w:val="72"/>
          <w:szCs w:val="72"/>
          <w:highlight w:val="none"/>
        </w:rPr>
      </w:pPr>
    </w:p>
    <w:p w14:paraId="39CE976A">
      <w:pPr>
        <w:tabs>
          <w:tab w:val="right" w:pos="8306"/>
        </w:tabs>
        <w:spacing w:line="480" w:lineRule="exact"/>
        <w:ind w:firstLine="1440" w:firstLineChars="200"/>
        <w:jc w:val="center"/>
        <w:rPr>
          <w:rFonts w:hint="default" w:ascii="Times New Roman" w:hAnsi="Times New Roman" w:cs="Times New Roman"/>
          <w:color w:val="000000"/>
          <w:kern w:val="0"/>
          <w:sz w:val="72"/>
          <w:szCs w:val="72"/>
          <w:highlight w:val="none"/>
        </w:rPr>
      </w:pPr>
    </w:p>
    <w:p w14:paraId="487B0091">
      <w:pPr>
        <w:keepNext w:val="0"/>
        <w:keepLines w:val="0"/>
        <w:pageBreakBefore w:val="0"/>
        <w:widowControl w:val="0"/>
        <w:tabs>
          <w:tab w:val="right" w:pos="8306"/>
        </w:tabs>
        <w:kinsoku/>
        <w:wordWrap/>
        <w:overflowPunct/>
        <w:topLinePunct w:val="0"/>
        <w:autoSpaceDE/>
        <w:autoSpaceDN/>
        <w:bidi w:val="0"/>
        <w:adjustRightInd/>
        <w:snapToGrid/>
        <w:spacing w:line="480" w:lineRule="auto"/>
        <w:ind w:firstLine="640" w:firstLineChars="200"/>
        <w:jc w:val="left"/>
        <w:textAlignment w:val="auto"/>
        <w:rPr>
          <w:rFonts w:hint="default" w:ascii="Times New Roman" w:hAnsi="Times New Roman" w:cs="Times New Roman"/>
          <w:color w:val="000000"/>
          <w:kern w:val="0"/>
          <w:sz w:val="32"/>
          <w:szCs w:val="32"/>
          <w:highlight w:val="none"/>
          <w:lang w:val="en-US" w:eastAsia="zh-CN"/>
        </w:rPr>
      </w:pPr>
      <w:r>
        <w:rPr>
          <w:rFonts w:hint="default" w:ascii="Times New Roman" w:hAnsi="Times New Roman" w:cs="Times New Roman"/>
          <w:color w:val="000000"/>
          <w:kern w:val="0"/>
          <w:sz w:val="32"/>
          <w:szCs w:val="32"/>
          <w:highlight w:val="none"/>
          <w:lang w:eastAsia="zh-CN"/>
        </w:rPr>
        <w:t>建设单位：</w:t>
      </w:r>
      <w:r>
        <w:rPr>
          <w:rFonts w:hint="eastAsia" w:eastAsia="宋体" w:cs="Times New Roman"/>
          <w:color w:val="000000"/>
          <w:spacing w:val="-17"/>
          <w:kern w:val="0"/>
          <w:sz w:val="32"/>
          <w:szCs w:val="32"/>
          <w:highlight w:val="none"/>
          <w:lang w:val="en-US" w:eastAsia="zh-CN"/>
        </w:rPr>
        <w:t>围场满族蒙古族自治县百世能光伏发电有限公司</w:t>
      </w:r>
    </w:p>
    <w:p w14:paraId="2551D10E">
      <w:pPr>
        <w:keepNext w:val="0"/>
        <w:keepLines w:val="0"/>
        <w:pageBreakBefore w:val="0"/>
        <w:widowControl w:val="0"/>
        <w:tabs>
          <w:tab w:val="right" w:pos="8306"/>
        </w:tabs>
        <w:kinsoku/>
        <w:wordWrap/>
        <w:overflowPunct/>
        <w:topLinePunct w:val="0"/>
        <w:autoSpaceDE/>
        <w:autoSpaceDN/>
        <w:bidi w:val="0"/>
        <w:adjustRightInd/>
        <w:snapToGrid/>
        <w:spacing w:line="480" w:lineRule="auto"/>
        <w:ind w:firstLine="640" w:firstLineChars="200"/>
        <w:jc w:val="left"/>
        <w:textAlignment w:val="auto"/>
        <w:rPr>
          <w:rFonts w:hint="default" w:ascii="Times New Roman" w:hAnsi="Times New Roman" w:cs="Times New Roman"/>
          <w:color w:val="000000"/>
          <w:kern w:val="0"/>
          <w:sz w:val="32"/>
          <w:szCs w:val="32"/>
          <w:highlight w:val="none"/>
        </w:rPr>
      </w:pPr>
      <w:r>
        <w:rPr>
          <w:rFonts w:hint="default" w:ascii="Times New Roman" w:hAnsi="Times New Roman" w:cs="Times New Roman"/>
          <w:color w:val="000000"/>
          <w:kern w:val="0"/>
          <w:sz w:val="32"/>
          <w:szCs w:val="32"/>
          <w:highlight w:val="none"/>
          <w:lang w:eastAsia="zh-CN"/>
        </w:rPr>
        <w:t>编制单位：</w:t>
      </w:r>
      <w:r>
        <w:rPr>
          <w:rFonts w:hint="default" w:ascii="Times New Roman" w:hAnsi="Times New Roman" w:cs="Times New Roman"/>
          <w:color w:val="000000"/>
          <w:kern w:val="0"/>
          <w:sz w:val="32"/>
          <w:szCs w:val="32"/>
          <w:highlight w:val="none"/>
        </w:rPr>
        <w:t>河北</w:t>
      </w:r>
      <w:r>
        <w:rPr>
          <w:rFonts w:hint="eastAsia" w:cs="Times New Roman"/>
          <w:color w:val="000000"/>
          <w:kern w:val="0"/>
          <w:sz w:val="32"/>
          <w:szCs w:val="32"/>
          <w:highlight w:val="none"/>
          <w:lang w:val="en-US" w:eastAsia="zh-CN"/>
        </w:rPr>
        <w:t>福祚工程技术</w:t>
      </w:r>
      <w:r>
        <w:rPr>
          <w:rFonts w:hint="default" w:ascii="Times New Roman" w:hAnsi="Times New Roman" w:cs="Times New Roman"/>
          <w:color w:val="000000"/>
          <w:kern w:val="0"/>
          <w:sz w:val="32"/>
          <w:szCs w:val="32"/>
          <w:highlight w:val="none"/>
        </w:rPr>
        <w:t>咨询有限公司</w:t>
      </w:r>
    </w:p>
    <w:p w14:paraId="6FDC50CB">
      <w:pPr>
        <w:spacing w:line="480" w:lineRule="exact"/>
        <w:ind w:firstLine="640" w:firstLineChars="200"/>
        <w:jc w:val="center"/>
        <w:rPr>
          <w:rFonts w:hint="default" w:ascii="Times New Roman" w:hAnsi="Times New Roman" w:cs="Times New Roman"/>
          <w:color w:val="000000"/>
          <w:sz w:val="32"/>
          <w:szCs w:val="32"/>
          <w:highlight w:val="none"/>
        </w:rPr>
      </w:pPr>
      <w:r>
        <w:rPr>
          <w:rFonts w:hint="eastAsia" w:cs="Times New Roman"/>
          <w:color w:val="000000"/>
          <w:sz w:val="32"/>
          <w:szCs w:val="32"/>
          <w:highlight w:val="none"/>
          <w:lang w:val="en-US" w:eastAsia="zh-CN"/>
        </w:rPr>
        <w:t>2025年4月</w:t>
      </w:r>
      <w:r>
        <w:rPr>
          <w:rFonts w:hint="default" w:ascii="Times New Roman" w:hAnsi="Times New Roman" w:cs="Times New Roman"/>
          <w:color w:val="000000"/>
          <w:sz w:val="32"/>
          <w:szCs w:val="32"/>
          <w:highlight w:val="none"/>
        </w:rPr>
        <w:br w:type="page"/>
      </w:r>
    </w:p>
    <w:p w14:paraId="5D693A54">
      <w:pPr>
        <w:spacing w:line="480" w:lineRule="exact"/>
        <w:ind w:firstLine="480" w:firstLineChars="200"/>
        <w:rPr>
          <w:rFonts w:hint="default" w:ascii="Times New Roman" w:hAnsi="Times New Roman" w:cs="Times New Roman"/>
          <w:color w:val="000000"/>
          <w:sz w:val="24"/>
          <w:szCs w:val="22"/>
          <w:highlight w:val="none"/>
        </w:rPr>
      </w:pPr>
      <w:r>
        <w:rPr>
          <w:rFonts w:hint="default" w:ascii="Times New Roman" w:hAnsi="Times New Roman" w:cs="Times New Roman"/>
          <w:color w:val="000000"/>
          <w:sz w:val="24"/>
          <w:szCs w:val="22"/>
          <w:highlight w:val="none"/>
        </w:rPr>
        <w:br w:type="page"/>
      </w:r>
    </w:p>
    <w:p w14:paraId="1CEF109B">
      <w:pPr>
        <w:rPr>
          <w:rFonts w:hint="default" w:ascii="Times New Roman" w:hAnsi="Times New Roman" w:cs="Times New Roman"/>
          <w:color w:val="000000"/>
          <w:highlight w:val="none"/>
        </w:rPr>
        <w:sectPr>
          <w:headerReference r:id="rId7" w:type="first"/>
          <w:footerReference r:id="rId9" w:type="first"/>
          <w:headerReference r:id="rId6" w:type="even"/>
          <w:footerReference r:id="rId8" w:type="even"/>
          <w:pgSz w:w="11906" w:h="16838"/>
          <w:pgMar w:top="1440" w:right="1800" w:bottom="1440" w:left="1800" w:header="851" w:footer="992" w:gutter="0"/>
          <w:cols w:space="425" w:num="1"/>
          <w:docGrid w:type="lines" w:linePitch="312" w:charSpace="0"/>
        </w:sectPr>
      </w:pPr>
    </w:p>
    <w:sdt>
      <w:sdtPr>
        <w:rPr>
          <w:rFonts w:hint="default" w:ascii="Times New Roman" w:hAnsi="Times New Roman" w:eastAsia="宋体" w:cs="Times New Roman"/>
          <w:color w:val="000000"/>
          <w:kern w:val="2"/>
          <w:sz w:val="21"/>
          <w:szCs w:val="22"/>
          <w:highlight w:val="none"/>
          <w:lang w:val="en-US" w:eastAsia="zh-CN" w:bidi="ar-SA"/>
        </w:rPr>
        <w:id w:val="147470291"/>
        <w15:color w:val="DBDBDB"/>
        <w:docPartObj>
          <w:docPartGallery w:val="Table of Contents"/>
          <w:docPartUnique/>
        </w:docPartObj>
      </w:sdtPr>
      <w:sdtEndPr>
        <w:rPr>
          <w:rFonts w:hint="default" w:ascii="Times New Roman" w:hAnsi="Times New Roman" w:eastAsia="宋体" w:cs="Times New Roman"/>
          <w:color w:val="000000"/>
          <w:kern w:val="0"/>
          <w:sz w:val="24"/>
          <w:szCs w:val="30"/>
          <w:highlight w:val="none"/>
          <w:lang w:val="en-US" w:eastAsia="zh-CN" w:bidi="ar-SA"/>
        </w:rPr>
      </w:sdtEndPr>
      <w:sdtContent>
        <w:p w14:paraId="6440E04F">
          <w:pPr>
            <w:spacing w:before="0" w:beforeLines="0" w:after="0" w:afterLines="0" w:line="240" w:lineRule="auto"/>
            <w:ind w:left="0" w:leftChars="0" w:right="0" w:rightChars="0" w:firstLine="0" w:firstLineChars="0"/>
            <w:jc w:val="center"/>
            <w:rPr>
              <w:rFonts w:hint="default" w:ascii="Times New Roman" w:hAnsi="Times New Roman" w:cs="Times New Roman"/>
              <w:color w:val="000000"/>
              <w:sz w:val="24"/>
              <w:szCs w:val="22"/>
              <w:highlight w:val="none"/>
            </w:rPr>
          </w:pPr>
          <w:r>
            <w:rPr>
              <w:rFonts w:hint="default" w:ascii="Times New Roman" w:hAnsi="Times New Roman" w:eastAsia="宋体" w:cs="Times New Roman"/>
              <w:b/>
              <w:bCs/>
              <w:color w:val="000000"/>
              <w:sz w:val="28"/>
              <w:szCs w:val="28"/>
              <w:highlight w:val="none"/>
            </w:rPr>
            <w:t>目</w:t>
          </w:r>
          <w:r>
            <w:rPr>
              <w:rFonts w:hint="default" w:ascii="Times New Roman" w:hAnsi="Times New Roman" w:eastAsia="宋体" w:cs="Times New Roman"/>
              <w:b/>
              <w:bCs/>
              <w:color w:val="000000"/>
              <w:sz w:val="28"/>
              <w:szCs w:val="28"/>
              <w:highlight w:val="none"/>
              <w:lang w:val="en-US" w:eastAsia="zh-CN"/>
            </w:rPr>
            <w:t xml:space="preserve">  </w:t>
          </w:r>
          <w:r>
            <w:rPr>
              <w:rFonts w:hint="default" w:ascii="Times New Roman" w:hAnsi="Times New Roman" w:eastAsia="宋体" w:cs="Times New Roman"/>
              <w:b/>
              <w:bCs/>
              <w:color w:val="000000"/>
              <w:sz w:val="28"/>
              <w:szCs w:val="28"/>
              <w:highlight w:val="none"/>
            </w:rPr>
            <w:t>录</w:t>
          </w:r>
        </w:p>
        <w:p w14:paraId="7D3C338D">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8"/>
              <w:szCs w:val="28"/>
              <w:highlight w:val="none"/>
              <w:lang w:val="en-US" w:eastAsia="zh-CN" w:bidi="ar-SA"/>
            </w:rPr>
          </w:pPr>
          <w:r>
            <w:rPr>
              <w:rFonts w:hint="default" w:ascii="Times New Roman" w:hAnsi="Times New Roman" w:eastAsia="宋体" w:cs="Times New Roman"/>
              <w:b w:val="0"/>
              <w:bCs w:val="0"/>
              <w:color w:val="000000"/>
              <w:spacing w:val="16"/>
              <w:kern w:val="0"/>
              <w:sz w:val="24"/>
              <w:szCs w:val="24"/>
              <w:highlight w:val="none"/>
              <w:lang w:val="en-US" w:eastAsia="zh-CN" w:bidi="ar-SA"/>
            </w:rPr>
            <w:fldChar w:fldCharType="begin"/>
          </w:r>
          <w:r>
            <w:rPr>
              <w:rFonts w:hint="default" w:ascii="Times New Roman" w:hAnsi="Times New Roman" w:eastAsia="宋体" w:cs="Times New Roman"/>
              <w:b w:val="0"/>
              <w:bCs w:val="0"/>
              <w:color w:val="000000"/>
              <w:spacing w:val="16"/>
              <w:kern w:val="0"/>
              <w:sz w:val="24"/>
              <w:szCs w:val="24"/>
              <w:highlight w:val="none"/>
              <w:lang w:val="en-US" w:eastAsia="zh-CN" w:bidi="ar-SA"/>
            </w:rPr>
            <w:instrText xml:space="preserve">TOC \o "1-1" \h \u </w:instrText>
          </w:r>
          <w:r>
            <w:rPr>
              <w:rFonts w:hint="default" w:ascii="Times New Roman" w:hAnsi="Times New Roman" w:eastAsia="宋体" w:cs="Times New Roman"/>
              <w:b w:val="0"/>
              <w:bCs w:val="0"/>
              <w:color w:val="000000"/>
              <w:spacing w:val="16"/>
              <w:kern w:val="0"/>
              <w:sz w:val="24"/>
              <w:szCs w:val="24"/>
              <w:highlight w:val="none"/>
              <w:lang w:val="en-US" w:eastAsia="zh-CN" w:bidi="ar-SA"/>
            </w:rPr>
            <w:fldChar w:fldCharType="separate"/>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_Toc30392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1前言</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_Toc30392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5</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716C6E24">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8"/>
              <w:szCs w:val="28"/>
              <w:highlight w:val="none"/>
              <w:lang w:val="en-US" w:eastAsia="zh-CN" w:bidi="ar-SA"/>
            </w:rPr>
          </w:pP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_Toc18307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0"/>
              <w:sz w:val="28"/>
              <w:szCs w:val="28"/>
              <w:highlight w:val="none"/>
              <w:lang w:val="en-US" w:eastAsia="zh-CN" w:bidi="ar-SA"/>
            </w:rPr>
            <w:t>2 总则</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_Toc18307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6</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13C5F92B">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8"/>
              <w:szCs w:val="28"/>
              <w:highlight w:val="none"/>
              <w:lang w:val="en-US" w:eastAsia="zh-CN" w:bidi="ar-SA"/>
            </w:rPr>
          </w:pP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_Toc27633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0"/>
              <w:sz w:val="28"/>
              <w:szCs w:val="28"/>
              <w:highlight w:val="none"/>
              <w:lang w:val="en-US" w:eastAsia="zh-CN" w:bidi="ar-SA"/>
            </w:rPr>
            <w:t>3 项目概况与分析</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_Toc27633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9</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1B97B040">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8"/>
              <w:szCs w:val="28"/>
              <w:highlight w:val="none"/>
              <w:lang w:val="en-US" w:eastAsia="zh-CN" w:bidi="ar-SA"/>
            </w:rPr>
          </w:pP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_Toc28160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0"/>
              <w:sz w:val="28"/>
              <w:szCs w:val="28"/>
              <w:highlight w:val="none"/>
              <w:lang w:val="en-US" w:eastAsia="zh-CN" w:bidi="ar-SA"/>
            </w:rPr>
            <w:t>4 电磁环境现状监测与评价</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_Toc28160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11</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1141BE2A">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8"/>
              <w:szCs w:val="28"/>
              <w:highlight w:val="none"/>
              <w:lang w:val="en-US" w:eastAsia="zh-CN" w:bidi="ar-SA"/>
            </w:rPr>
          </w:pP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_Toc26975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0"/>
              <w:sz w:val="28"/>
              <w:szCs w:val="28"/>
              <w:highlight w:val="none"/>
              <w:lang w:val="en-US" w:eastAsia="zh-CN" w:bidi="ar-SA"/>
            </w:rPr>
            <w:t>5 电磁环境影响预测评价</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_Toc26975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13</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4DA0EDF5">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8"/>
              <w:szCs w:val="28"/>
              <w:highlight w:val="none"/>
              <w:lang w:val="en-US" w:eastAsia="zh-CN" w:bidi="ar-SA"/>
            </w:rPr>
          </w:pP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_Toc24227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6 电磁环境保护措施</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_Toc24227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26</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78DB4913">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8"/>
              <w:szCs w:val="28"/>
              <w:highlight w:val="none"/>
              <w:lang w:val="en-US" w:eastAsia="zh-CN" w:bidi="ar-SA"/>
            </w:rPr>
          </w:pP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_Toc317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7电磁环境管理与监测计划</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_Toc317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27</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3FCF194C">
          <w:pPr>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b w:val="0"/>
              <w:bCs w:val="0"/>
              <w:color w:val="000000"/>
              <w:spacing w:val="16"/>
              <w:kern w:val="2"/>
              <w:sz w:val="24"/>
              <w:szCs w:val="24"/>
              <w:highlight w:val="none"/>
              <w:lang w:val="en-US" w:eastAsia="zh-CN" w:bidi="ar-SA"/>
            </w:rPr>
          </w:pP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0"/>
              <w:sz w:val="28"/>
              <w:szCs w:val="28"/>
              <w:highlight w:val="none"/>
              <w:lang w:val="en-US" w:eastAsia="zh-CN" w:bidi="ar-SA"/>
            </w:rPr>
            <w:instrText xml:space="preserve"> HYPERLINK \l _Toc5912 </w:instrText>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8 电磁环境影响评价结论</w:t>
          </w:r>
          <w:r>
            <w:rPr>
              <w:rFonts w:hint="default" w:ascii="Times New Roman" w:hAnsi="Times New Roman" w:eastAsia="宋体" w:cs="Times New Roman"/>
              <w:b w:val="0"/>
              <w:bCs w:val="0"/>
              <w:color w:val="000000"/>
              <w:spacing w:val="16"/>
              <w:kern w:val="2"/>
              <w:sz w:val="28"/>
              <w:szCs w:val="28"/>
              <w:highlight w:val="none"/>
              <w:lang w:val="en-US" w:eastAsia="zh-CN" w:bidi="ar-SA"/>
            </w:rPr>
            <w:tab/>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begin"/>
          </w:r>
          <w:r>
            <w:rPr>
              <w:rFonts w:hint="default" w:ascii="Times New Roman" w:hAnsi="Times New Roman" w:eastAsia="宋体" w:cs="Times New Roman"/>
              <w:b w:val="0"/>
              <w:bCs w:val="0"/>
              <w:color w:val="000000"/>
              <w:spacing w:val="16"/>
              <w:kern w:val="2"/>
              <w:sz w:val="28"/>
              <w:szCs w:val="28"/>
              <w:highlight w:val="none"/>
              <w:lang w:val="en-US" w:eastAsia="zh-CN" w:bidi="ar-SA"/>
            </w:rPr>
            <w:instrText xml:space="preserve"> PAGEREF _Toc5912 \h </w:instrTex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separate"/>
          </w:r>
          <w:r>
            <w:rPr>
              <w:rFonts w:hint="default" w:ascii="Times New Roman" w:hAnsi="Times New Roman" w:eastAsia="宋体" w:cs="Times New Roman"/>
              <w:b w:val="0"/>
              <w:bCs w:val="0"/>
              <w:color w:val="000000"/>
              <w:spacing w:val="16"/>
              <w:kern w:val="2"/>
              <w:sz w:val="28"/>
              <w:szCs w:val="28"/>
              <w:highlight w:val="none"/>
              <w:lang w:val="en-US" w:eastAsia="zh-CN" w:bidi="ar-SA"/>
            </w:rPr>
            <w:t>28</w:t>
          </w:r>
          <w:r>
            <w:rPr>
              <w:rFonts w:hint="default" w:ascii="Times New Roman" w:hAnsi="Times New Roman" w:eastAsia="宋体" w:cs="Times New Roman"/>
              <w:b w:val="0"/>
              <w:bCs w:val="0"/>
              <w:color w:val="000000"/>
              <w:spacing w:val="16"/>
              <w:kern w:val="2"/>
              <w:sz w:val="28"/>
              <w:szCs w:val="28"/>
              <w:highlight w:val="none"/>
              <w:lang w:val="en-US" w:eastAsia="zh-CN" w:bidi="ar-SA"/>
            </w:rPr>
            <w:fldChar w:fldCharType="end"/>
          </w:r>
          <w:r>
            <w:rPr>
              <w:rFonts w:hint="default" w:ascii="Times New Roman" w:hAnsi="Times New Roman" w:eastAsia="宋体" w:cs="Times New Roman"/>
              <w:b w:val="0"/>
              <w:bCs w:val="0"/>
              <w:color w:val="000000"/>
              <w:spacing w:val="16"/>
              <w:kern w:val="0"/>
              <w:sz w:val="28"/>
              <w:szCs w:val="28"/>
              <w:highlight w:val="none"/>
              <w:lang w:val="en-US" w:eastAsia="zh-CN" w:bidi="ar-SA"/>
            </w:rPr>
            <w:fldChar w:fldCharType="end"/>
          </w:r>
        </w:p>
        <w:p w14:paraId="6C40F3A4">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600"/>
            <w:jc w:val="center"/>
            <w:textAlignment w:val="auto"/>
            <w:rPr>
              <w:rFonts w:hint="default" w:ascii="Times New Roman" w:hAnsi="Times New Roman" w:eastAsia="宋体" w:cs="Times New Roman"/>
              <w:color w:val="000000"/>
              <w:kern w:val="0"/>
              <w:sz w:val="24"/>
              <w:szCs w:val="30"/>
              <w:highlight w:val="none"/>
              <w:lang w:val="en-US" w:eastAsia="zh-CN" w:bidi="ar-SA"/>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val="0"/>
              <w:bCs w:val="0"/>
              <w:color w:val="000000"/>
              <w:kern w:val="0"/>
              <w:sz w:val="24"/>
              <w:szCs w:val="24"/>
              <w:highlight w:val="none"/>
            </w:rPr>
            <w:fldChar w:fldCharType="end"/>
          </w:r>
        </w:p>
      </w:sdtContent>
    </w:sdt>
    <w:p w14:paraId="3DFF7893">
      <w:pPr>
        <w:rPr>
          <w:rFonts w:hint="default" w:ascii="Times New Roman" w:hAnsi="Times New Roman" w:cs="Times New Roman"/>
          <w:color w:val="000000"/>
          <w:highlight w:val="none"/>
        </w:rPr>
        <w:sectPr>
          <w:pgSz w:w="11906" w:h="16838"/>
          <w:pgMar w:top="1440" w:right="1800" w:bottom="1440" w:left="1800" w:header="851" w:footer="992" w:gutter="0"/>
          <w:cols w:space="425" w:num="1"/>
          <w:docGrid w:type="lines" w:linePitch="312" w:charSpace="0"/>
        </w:sectPr>
      </w:pPr>
    </w:p>
    <w:p w14:paraId="7B80F455">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44"/>
          <w:sz w:val="32"/>
          <w:szCs w:val="44"/>
          <w:highlight w:val="none"/>
          <w:lang w:val="en-US" w:eastAsia="zh-CN" w:bidi="ar-SA"/>
        </w:rPr>
      </w:pPr>
      <w:bookmarkStart w:id="39" w:name="_Toc30392"/>
      <w:r>
        <w:rPr>
          <w:rFonts w:hint="default" w:ascii="Times New Roman" w:hAnsi="Times New Roman" w:eastAsia="宋体" w:cs="Times New Roman"/>
          <w:b/>
          <w:bCs/>
          <w:color w:val="000000"/>
          <w:kern w:val="44"/>
          <w:sz w:val="32"/>
          <w:szCs w:val="44"/>
          <w:highlight w:val="none"/>
          <w:lang w:val="en-US" w:eastAsia="zh-CN" w:bidi="ar-SA"/>
        </w:rPr>
        <w:t>1前言</w:t>
      </w:r>
      <w:bookmarkEnd w:id="39"/>
    </w:p>
    <w:p w14:paraId="6469FB2F">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bookmarkStart w:id="40" w:name="_Toc11549"/>
      <w:r>
        <w:rPr>
          <w:rFonts w:hint="default" w:ascii="Times New Roman" w:hAnsi="Times New Roman" w:eastAsia="宋体" w:cs="Times New Roman"/>
          <w:b/>
          <w:bCs/>
          <w:color w:val="000000"/>
          <w:kern w:val="2"/>
          <w:sz w:val="30"/>
          <w:szCs w:val="32"/>
          <w:highlight w:val="none"/>
          <w:lang w:val="en-US" w:eastAsia="zh-CN" w:bidi="ar-SA"/>
        </w:rPr>
        <w:t>1.1 项目建设的必要性</w:t>
      </w:r>
      <w:bookmarkEnd w:id="40"/>
    </w:p>
    <w:p w14:paraId="1FC2D276">
      <w:pPr>
        <w:widowControl/>
        <w:numPr>
          <w:ilvl w:val="0"/>
          <w:numId w:val="0"/>
        </w:numPr>
        <w:spacing w:line="440" w:lineRule="exact"/>
        <w:ind w:firstLine="480" w:firstLineChars="200"/>
        <w:jc w:val="left"/>
        <w:rPr>
          <w:rFonts w:hint="default" w:ascii="Times New Roman" w:hAnsi="Times New Roman" w:eastAsia="宋体" w:cs="Times New Roman"/>
          <w:b w:val="0"/>
          <w:bCs w:val="0"/>
          <w:color w:val="000000"/>
          <w:kern w:val="0"/>
          <w:sz w:val="24"/>
          <w:szCs w:val="24"/>
          <w:highlight w:val="none"/>
          <w:lang w:val="en-US" w:eastAsia="zh-CN"/>
        </w:rPr>
      </w:pPr>
      <w:r>
        <w:rPr>
          <w:rFonts w:hint="eastAsia" w:ascii="Times New Roman" w:hAnsi="Times New Roman" w:eastAsia="宋体" w:cs="Times New Roman"/>
          <w:b w:val="0"/>
          <w:bCs w:val="0"/>
          <w:color w:val="000000"/>
          <w:kern w:val="0"/>
          <w:sz w:val="24"/>
          <w:szCs w:val="24"/>
          <w:highlight w:val="none"/>
          <w:lang w:val="en-US" w:eastAsia="zh-CN"/>
        </w:rPr>
        <w:t>近年来，我国以风电、光伏发电为代表的新能源发展成效显著，“十四五”规划提出全面推进风电和太阳能发电大规模开发和高质量发展，因地制宜发展其他可再生能源。</w:t>
      </w:r>
    </w:p>
    <w:p w14:paraId="14C65073">
      <w:pPr>
        <w:widowControl/>
        <w:numPr>
          <w:ilvl w:val="0"/>
          <w:numId w:val="0"/>
        </w:numPr>
        <w:spacing w:line="440" w:lineRule="exact"/>
        <w:ind w:firstLine="480" w:firstLineChars="200"/>
        <w:jc w:val="left"/>
        <w:rPr>
          <w:rFonts w:hint="default" w:ascii="Times New Roman" w:hAnsi="Times New Roman" w:eastAsia="宋体" w:cs="Times New Roman"/>
          <w:b w:val="0"/>
          <w:bCs w:val="0"/>
          <w:color w:val="000000"/>
          <w:kern w:val="0"/>
          <w:sz w:val="24"/>
          <w:szCs w:val="24"/>
          <w:highlight w:val="none"/>
          <w:lang w:val="en-US" w:eastAsia="zh-CN"/>
        </w:rPr>
      </w:pPr>
      <w:r>
        <w:rPr>
          <w:rFonts w:hint="eastAsia" w:ascii="Times New Roman" w:hAnsi="Times New Roman" w:eastAsia="宋体" w:cs="Times New Roman"/>
          <w:b w:val="0"/>
          <w:bCs w:val="0"/>
          <w:color w:val="000000"/>
          <w:kern w:val="0"/>
          <w:sz w:val="24"/>
          <w:szCs w:val="24"/>
          <w:highlight w:val="none"/>
          <w:lang w:val="en-US" w:eastAsia="zh-CN"/>
        </w:rPr>
        <w:t>承德地区风能资源丰富，适宜建设风力发电场，</w:t>
      </w:r>
      <w:r>
        <w:rPr>
          <w:rFonts w:hint="eastAsia" w:ascii="Times New Roman" w:hAnsi="Times New Roman" w:eastAsia="宋体" w:cs="Times New Roman"/>
          <w:color w:val="000000"/>
          <w:sz w:val="24"/>
          <w:szCs w:val="24"/>
          <w:highlight w:val="none"/>
          <w:lang w:val="en-US" w:eastAsia="zh-CN"/>
        </w:rPr>
        <w:t>围场满族蒙古族自治县百世能光伏发电有限公司拟</w:t>
      </w:r>
      <w:r>
        <w:rPr>
          <w:rFonts w:hint="eastAsia" w:ascii="Times New Roman" w:hAnsi="Times New Roman" w:eastAsia="宋体" w:cs="Times New Roman"/>
          <w:b w:val="0"/>
          <w:bCs w:val="0"/>
          <w:color w:val="000000"/>
          <w:kern w:val="0"/>
          <w:sz w:val="24"/>
          <w:szCs w:val="24"/>
          <w:highlight w:val="none"/>
          <w:lang w:val="en-US" w:eastAsia="zh-CN"/>
        </w:rPr>
        <w:t>投资建设《</w:t>
      </w:r>
      <w:r>
        <w:rPr>
          <w:rFonts w:hint="eastAsia" w:ascii="Times New Roman" w:hAnsi="Times New Roman" w:eastAsia="宋体" w:cs="Times New Roman"/>
          <w:color w:val="000000"/>
          <w:sz w:val="24"/>
          <w:szCs w:val="24"/>
          <w:highlight w:val="none"/>
          <w:lang w:val="en-US" w:eastAsia="zh-CN"/>
        </w:rPr>
        <w:t>围场县200MW风电储新能源项目</w:t>
      </w:r>
      <w:r>
        <w:rPr>
          <w:rFonts w:hint="eastAsia" w:ascii="Times New Roman" w:hAnsi="Times New Roman" w:eastAsia="宋体" w:cs="Times New Roman"/>
          <w:b w:val="0"/>
          <w:bCs w:val="0"/>
          <w:color w:val="000000"/>
          <w:kern w:val="0"/>
          <w:sz w:val="24"/>
          <w:szCs w:val="24"/>
          <w:highlight w:val="none"/>
          <w:lang w:val="en-US" w:eastAsia="zh-CN"/>
        </w:rPr>
        <w:t>》，该项目于2023年8月10日取得承德市生态环境局围场满族蒙古族自治县分局的批复（围环</w:t>
      </w:r>
      <w:r>
        <w:rPr>
          <w:rFonts w:hint="default" w:ascii="Times New Roman" w:hAnsi="Times New Roman" w:eastAsia="宋体" w:cs="Times New Roman"/>
          <w:b w:val="0"/>
          <w:bCs w:val="0"/>
          <w:color w:val="000000"/>
          <w:kern w:val="0"/>
          <w:sz w:val="24"/>
          <w:szCs w:val="24"/>
          <w:highlight w:val="none"/>
          <w:lang w:val="en-US" w:eastAsia="zh-CN"/>
        </w:rPr>
        <w:t>评</w:t>
      </w:r>
      <w:r>
        <w:rPr>
          <w:rFonts w:hint="eastAsia" w:ascii="Times New Roman" w:hAnsi="Times New Roman" w:eastAsia="宋体" w:cs="Times New Roman"/>
          <w:b w:val="0"/>
          <w:bCs w:val="0"/>
          <w:color w:val="000000"/>
          <w:kern w:val="0"/>
          <w:sz w:val="24"/>
          <w:szCs w:val="24"/>
          <w:highlight w:val="none"/>
          <w:lang w:val="en-US" w:eastAsia="zh-CN"/>
        </w:rPr>
        <w:t>〔2023〕</w:t>
      </w:r>
      <w:r>
        <w:rPr>
          <w:rFonts w:hint="default" w:ascii="Times New Roman" w:hAnsi="Times New Roman" w:eastAsia="宋体" w:cs="Times New Roman"/>
          <w:b w:val="0"/>
          <w:bCs w:val="0"/>
          <w:color w:val="000000"/>
          <w:kern w:val="0"/>
          <w:sz w:val="24"/>
          <w:szCs w:val="24"/>
          <w:highlight w:val="none"/>
          <w:lang w:val="en-US" w:eastAsia="zh-CN"/>
        </w:rPr>
        <w:t>2</w:t>
      </w:r>
      <w:r>
        <w:rPr>
          <w:rFonts w:hint="eastAsia" w:ascii="Times New Roman" w:hAnsi="Times New Roman" w:eastAsia="宋体" w:cs="Times New Roman"/>
          <w:b w:val="0"/>
          <w:bCs w:val="0"/>
          <w:color w:val="000000"/>
          <w:kern w:val="0"/>
          <w:sz w:val="24"/>
          <w:szCs w:val="24"/>
          <w:highlight w:val="none"/>
          <w:lang w:val="en-US" w:eastAsia="zh-CN"/>
        </w:rPr>
        <w:t>5号）。项目的建设可以优化电源结构，减少化石能源消耗，对于开发利用可再生资源，贯彻国家能源发展战略，推动当地经济和社会发展，实现我国能源的可持续发展具有重要意义。</w:t>
      </w:r>
    </w:p>
    <w:p w14:paraId="6BF39375">
      <w:pPr>
        <w:widowControl/>
        <w:numPr>
          <w:ilvl w:val="0"/>
          <w:numId w:val="0"/>
        </w:numPr>
        <w:spacing w:line="440" w:lineRule="exact"/>
        <w:ind w:firstLine="480" w:firstLineChars="200"/>
        <w:jc w:val="left"/>
        <w:rPr>
          <w:rFonts w:hint="eastAsia" w:ascii="Times New Roman" w:hAnsi="Times New Roman" w:eastAsia="宋体" w:cs="Times New Roman"/>
          <w:color w:val="000000"/>
          <w:sz w:val="24"/>
          <w:szCs w:val="22"/>
          <w:highlight w:val="none"/>
          <w:lang w:eastAsia="zh-CN"/>
        </w:rPr>
      </w:pPr>
      <w:r>
        <w:rPr>
          <w:rFonts w:hint="default" w:ascii="Times New Roman" w:hAnsi="Times New Roman" w:eastAsia="宋体" w:cs="Times New Roman"/>
          <w:color w:val="000000"/>
          <w:sz w:val="24"/>
          <w:szCs w:val="24"/>
          <w:highlight w:val="none"/>
        </w:rPr>
        <w:t>本项目为</w:t>
      </w:r>
      <w:r>
        <w:rPr>
          <w:rFonts w:hint="eastAsia" w:ascii="Times New Roman" w:hAnsi="Times New Roman" w:eastAsia="宋体" w:cs="Times New Roman"/>
          <w:color w:val="000000"/>
          <w:sz w:val="24"/>
          <w:szCs w:val="24"/>
          <w:highlight w:val="none"/>
          <w:lang w:val="en-US" w:eastAsia="zh-CN"/>
        </w:rPr>
        <w:t>围场县200MW风电储新能源项目</w:t>
      </w:r>
      <w:r>
        <w:rPr>
          <w:rFonts w:hint="eastAsia" w:cs="Times New Roman"/>
          <w:color w:val="000000"/>
          <w:sz w:val="24"/>
          <w:szCs w:val="24"/>
          <w:highlight w:val="none"/>
          <w:lang w:val="en-US" w:eastAsia="zh-CN"/>
        </w:rPr>
        <w:t>配套送出线路工程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2"/>
          <w:highlight w:val="none"/>
        </w:rPr>
        <w:t>本次环评是在</w:t>
      </w:r>
      <w:r>
        <w:rPr>
          <w:rFonts w:hint="eastAsia" w:ascii="Times New Roman" w:hAnsi="Times New Roman" w:eastAsia="宋体" w:cs="Times New Roman"/>
          <w:color w:val="000000"/>
          <w:sz w:val="24"/>
          <w:szCs w:val="22"/>
          <w:highlight w:val="none"/>
          <w:lang w:eastAsia="zh-CN"/>
        </w:rPr>
        <w:t>《</w:t>
      </w:r>
      <w:r>
        <w:rPr>
          <w:rFonts w:hint="eastAsia" w:ascii="Times New Roman" w:eastAsia="宋体"/>
          <w:color w:val="000000"/>
          <w:sz w:val="24"/>
          <w:szCs w:val="22"/>
          <w:highlight w:val="none"/>
          <w:lang w:val="en-US" w:eastAsia="zh-CN"/>
        </w:rPr>
        <w:t>围场县200MW风电储新能源项目</w:t>
      </w:r>
      <w:r>
        <w:rPr>
          <w:rFonts w:hint="eastAsia" w:ascii="Times New Roman" w:hAnsi="Times New Roman" w:eastAsia="宋体" w:cs="Times New Roman"/>
          <w:bCs/>
          <w:color w:val="000000"/>
          <w:sz w:val="24"/>
          <w:szCs w:val="24"/>
          <w:highlight w:val="none"/>
          <w:lang w:eastAsia="zh-CN"/>
        </w:rPr>
        <w:t>环境影响报告表</w:t>
      </w:r>
      <w:r>
        <w:rPr>
          <w:rFonts w:hint="eastAsia" w:ascii="Times New Roman" w:hAnsi="Times New Roman" w:eastAsia="宋体" w:cs="Times New Roman"/>
          <w:color w:val="000000"/>
          <w:sz w:val="24"/>
          <w:szCs w:val="22"/>
          <w:highlight w:val="none"/>
          <w:lang w:eastAsia="zh-CN"/>
        </w:rPr>
        <w:t>》</w:t>
      </w:r>
      <w:r>
        <w:rPr>
          <w:rFonts w:hint="eastAsia" w:ascii="Times New Roman" w:hAnsi="Times New Roman" w:eastAsia="宋体" w:cs="Times New Roman"/>
          <w:bCs/>
          <w:color w:val="000000"/>
          <w:sz w:val="24"/>
          <w:szCs w:val="24"/>
          <w:highlight w:val="none"/>
          <w:lang w:eastAsia="zh-CN"/>
        </w:rPr>
        <w:t>及</w:t>
      </w:r>
      <w:r>
        <w:rPr>
          <w:rFonts w:hint="default" w:ascii="Times New Roman" w:hAnsi="Times New Roman" w:eastAsia="宋体" w:cs="Times New Roman"/>
          <w:bCs/>
          <w:color w:val="000000"/>
          <w:sz w:val="24"/>
          <w:szCs w:val="24"/>
          <w:highlight w:val="none"/>
        </w:rPr>
        <w:t>202</w:t>
      </w:r>
      <w:r>
        <w:rPr>
          <w:rFonts w:hint="eastAsia" w:ascii="Times New Roman" w:hAnsi="Times New Roman" w:eastAsia="宋体" w:cs="Times New Roman"/>
          <w:bCs/>
          <w:color w:val="000000"/>
          <w:sz w:val="24"/>
          <w:szCs w:val="24"/>
          <w:highlight w:val="none"/>
          <w:lang w:val="en-US" w:eastAsia="zh-CN"/>
        </w:rPr>
        <w:t>3</w:t>
      </w:r>
      <w:r>
        <w:rPr>
          <w:rFonts w:hint="default" w:ascii="Times New Roman" w:hAnsi="Times New Roman" w:eastAsia="宋体" w:cs="Times New Roman"/>
          <w:bCs/>
          <w:color w:val="000000"/>
          <w:sz w:val="24"/>
          <w:szCs w:val="24"/>
          <w:highlight w:val="none"/>
        </w:rPr>
        <w:t>年</w:t>
      </w:r>
      <w:r>
        <w:rPr>
          <w:rFonts w:hint="eastAsia" w:ascii="Times New Roman" w:hAnsi="Times New Roman" w:eastAsia="宋体" w:cs="Times New Roman"/>
          <w:bCs/>
          <w:color w:val="000000"/>
          <w:sz w:val="24"/>
          <w:szCs w:val="24"/>
          <w:highlight w:val="none"/>
          <w:lang w:val="en-US" w:eastAsia="zh-CN"/>
        </w:rPr>
        <w:t>8</w:t>
      </w:r>
      <w:r>
        <w:rPr>
          <w:rFonts w:hint="default" w:ascii="Times New Roman" w:hAnsi="Times New Roman" w:eastAsia="宋体" w:cs="Times New Roman"/>
          <w:bCs/>
          <w:color w:val="000000"/>
          <w:sz w:val="24"/>
          <w:szCs w:val="24"/>
          <w:highlight w:val="none"/>
        </w:rPr>
        <w:t>月1</w:t>
      </w:r>
      <w:r>
        <w:rPr>
          <w:rFonts w:hint="eastAsia" w:ascii="Times New Roman" w:hAnsi="Times New Roman" w:eastAsia="宋体" w:cs="Times New Roman"/>
          <w:bCs/>
          <w:color w:val="000000"/>
          <w:sz w:val="24"/>
          <w:szCs w:val="24"/>
          <w:highlight w:val="none"/>
          <w:lang w:val="en-US" w:eastAsia="zh-CN"/>
        </w:rPr>
        <w:t>0</w:t>
      </w:r>
      <w:r>
        <w:rPr>
          <w:rFonts w:hint="default" w:ascii="Times New Roman" w:hAnsi="Times New Roman" w:eastAsia="宋体" w:cs="Times New Roman"/>
          <w:bCs/>
          <w:color w:val="000000"/>
          <w:sz w:val="24"/>
          <w:szCs w:val="24"/>
          <w:highlight w:val="none"/>
        </w:rPr>
        <w:t>日</w:t>
      </w:r>
      <w:r>
        <w:rPr>
          <w:rFonts w:hint="eastAsia" w:ascii="Times New Roman" w:hAnsi="Times New Roman" w:eastAsia="宋体" w:cs="Times New Roman"/>
          <w:bCs/>
          <w:color w:val="000000"/>
          <w:sz w:val="24"/>
          <w:szCs w:val="24"/>
          <w:highlight w:val="none"/>
          <w:lang w:val="en-US" w:eastAsia="zh-CN"/>
        </w:rPr>
        <w:t>承德市生态环境局围场满族蒙古族自治县分局</w:t>
      </w:r>
      <w:r>
        <w:rPr>
          <w:rFonts w:hint="default" w:ascii="Times New Roman" w:hAnsi="Times New Roman" w:eastAsia="宋体" w:cs="Times New Roman"/>
          <w:bCs/>
          <w:color w:val="000000"/>
          <w:sz w:val="24"/>
          <w:szCs w:val="24"/>
          <w:highlight w:val="none"/>
        </w:rPr>
        <w:t>出具的审批意见</w:t>
      </w:r>
      <w:r>
        <w:rPr>
          <w:rFonts w:hint="eastAsia" w:ascii="Times New Roman" w:hAnsi="Times New Roman" w:eastAsia="宋体" w:cs="Times New Roman"/>
          <w:bCs/>
          <w:color w:val="000000"/>
          <w:sz w:val="24"/>
          <w:szCs w:val="24"/>
          <w:highlight w:val="none"/>
          <w:lang w:eastAsia="zh-CN"/>
        </w:rPr>
        <w:t>（</w:t>
      </w:r>
      <w:r>
        <w:rPr>
          <w:rFonts w:hint="eastAsia" w:ascii="Times New Roman" w:hAnsi="Times New Roman" w:eastAsia="宋体" w:cs="Times New Roman"/>
          <w:bCs/>
          <w:color w:val="000000"/>
          <w:sz w:val="24"/>
          <w:szCs w:val="24"/>
          <w:highlight w:val="none"/>
          <w:lang w:val="en-US" w:eastAsia="zh-CN"/>
        </w:rPr>
        <w:t>围环评〔2023〕25</w:t>
      </w:r>
      <w:r>
        <w:rPr>
          <w:rFonts w:hint="default" w:ascii="Times New Roman" w:hAnsi="Times New Roman" w:eastAsia="宋体" w:cs="Times New Roman"/>
          <w:bCs/>
          <w:color w:val="000000"/>
          <w:sz w:val="24"/>
          <w:szCs w:val="24"/>
          <w:highlight w:val="none"/>
        </w:rPr>
        <w:t>号</w:t>
      </w:r>
      <w:r>
        <w:rPr>
          <w:rFonts w:hint="eastAsia"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color w:val="000000"/>
          <w:sz w:val="24"/>
          <w:szCs w:val="22"/>
          <w:highlight w:val="none"/>
        </w:rPr>
        <w:t>基础上</w:t>
      </w:r>
      <w:r>
        <w:rPr>
          <w:rFonts w:hint="eastAsia" w:ascii="Times New Roman" w:hAnsi="Times New Roman" w:eastAsia="宋体" w:cs="Times New Roman"/>
          <w:color w:val="000000"/>
          <w:sz w:val="24"/>
          <w:szCs w:val="22"/>
          <w:highlight w:val="none"/>
          <w:lang w:val="en-US" w:eastAsia="zh-CN"/>
        </w:rPr>
        <w:t>的110kV</w:t>
      </w:r>
      <w:r>
        <w:rPr>
          <w:rFonts w:hint="eastAsia" w:eastAsia="宋体" w:cs="Times New Roman"/>
          <w:color w:val="000000"/>
          <w:sz w:val="24"/>
          <w:szCs w:val="22"/>
          <w:highlight w:val="none"/>
          <w:lang w:val="en-US" w:eastAsia="zh-CN"/>
        </w:rPr>
        <w:t>送出线路</w:t>
      </w:r>
      <w:r>
        <w:rPr>
          <w:rFonts w:hint="default" w:ascii="Times New Roman" w:hAnsi="Times New Roman" w:eastAsia="宋体" w:cs="Times New Roman"/>
          <w:color w:val="000000"/>
          <w:sz w:val="24"/>
          <w:szCs w:val="22"/>
          <w:highlight w:val="none"/>
        </w:rPr>
        <w:t>辐射环评</w:t>
      </w:r>
      <w:r>
        <w:rPr>
          <w:rFonts w:hint="eastAsia" w:ascii="Times New Roman" w:hAnsi="Times New Roman" w:eastAsia="宋体" w:cs="Times New Roman"/>
          <w:color w:val="000000"/>
          <w:sz w:val="24"/>
          <w:szCs w:val="22"/>
          <w:highlight w:val="none"/>
          <w:lang w:eastAsia="zh-CN"/>
        </w:rPr>
        <w:t>。</w:t>
      </w:r>
    </w:p>
    <w:p w14:paraId="5A0DDE62">
      <w:pPr>
        <w:widowControl/>
        <w:numPr>
          <w:ilvl w:val="0"/>
          <w:numId w:val="0"/>
        </w:numPr>
        <w:spacing w:line="440" w:lineRule="exact"/>
        <w:ind w:firstLine="480" w:firstLineChars="200"/>
        <w:jc w:val="left"/>
        <w:rPr>
          <w:rFonts w:hint="eastAsia" w:cs="Times New Roman"/>
          <w:b w:val="0"/>
          <w:bCs w:val="0"/>
          <w:color w:val="000000"/>
          <w:kern w:val="0"/>
          <w:sz w:val="24"/>
          <w:szCs w:val="22"/>
          <w:highlight w:val="none"/>
          <w:lang w:val="en-US" w:eastAsia="zh-CN"/>
        </w:rPr>
      </w:pPr>
      <w:r>
        <w:rPr>
          <w:rFonts w:hint="eastAsia" w:cs="Times New Roman"/>
          <w:b w:val="0"/>
          <w:bCs w:val="0"/>
          <w:color w:val="000000"/>
          <w:kern w:val="0"/>
          <w:sz w:val="24"/>
          <w:szCs w:val="22"/>
          <w:highlight w:val="none"/>
          <w:lang w:val="en-US" w:eastAsia="zh-CN"/>
        </w:rPr>
        <w:t>目前本项目输电线路铁塔部分已建设，架空线路部分已敷设，但处于建设阶段，无污染物产生，且主动停止建设，违法行为轻微，未造成危害后果。根据承德市生态环境局于2025年3月18日出具的《承德市生态环境局不予行政处罚决定书》（承围环不罚决〔2025〕3号），决定对围场满族蒙古族自治县百世能光伏发电有限公司不予行政处罚。</w:t>
      </w:r>
    </w:p>
    <w:p w14:paraId="64D7D895">
      <w:pPr>
        <w:keepNext/>
        <w:keepLines/>
        <w:pageBreakBefore w:val="0"/>
        <w:widowControl w:val="0"/>
        <w:kinsoku/>
        <w:wordWrap/>
        <w:overflowPunct/>
        <w:topLinePunct w:val="0"/>
        <w:bidi w:val="0"/>
        <w:adjustRightInd/>
        <w:snapToGrid/>
        <w:spacing w:line="440" w:lineRule="exact"/>
        <w:ind w:firstLine="0" w:firstLineChars="0"/>
        <w:jc w:val="both"/>
        <w:textAlignment w:val="auto"/>
        <w:outlineLvl w:val="0"/>
        <w:rPr>
          <w:rFonts w:hint="default" w:ascii="Times New Roman" w:hAnsi="Times New Roman" w:eastAsia="宋体" w:cs="Times New Roman"/>
          <w:b/>
          <w:bCs/>
          <w:color w:val="000000"/>
          <w:kern w:val="2"/>
          <w:sz w:val="30"/>
          <w:szCs w:val="32"/>
          <w:highlight w:val="none"/>
          <w:lang w:val="en-US" w:eastAsia="zh-CN" w:bidi="ar-SA"/>
        </w:rPr>
      </w:pPr>
      <w:bookmarkStart w:id="41" w:name="_Toc18870"/>
      <w:r>
        <w:rPr>
          <w:rFonts w:hint="default" w:ascii="Times New Roman" w:hAnsi="Times New Roman" w:eastAsia="宋体" w:cs="Times New Roman"/>
          <w:b/>
          <w:bCs/>
          <w:color w:val="000000"/>
          <w:kern w:val="2"/>
          <w:sz w:val="30"/>
          <w:szCs w:val="32"/>
          <w:highlight w:val="none"/>
          <w:lang w:val="en-US" w:eastAsia="zh-CN" w:bidi="ar-SA"/>
        </w:rPr>
        <w:t>1.2 评价工作过程</w:t>
      </w:r>
      <w:bookmarkEnd w:id="41"/>
    </w:p>
    <w:p w14:paraId="34A2072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sz w:val="24"/>
          <w:szCs w:val="22"/>
          <w:highlight w:val="none"/>
        </w:rPr>
      </w:pPr>
      <w:r>
        <w:rPr>
          <w:rFonts w:hint="default" w:ascii="Times New Roman" w:hAnsi="Times New Roman" w:eastAsia="宋体" w:cs="Times New Roman"/>
          <w:color w:val="000000"/>
          <w:sz w:val="24"/>
          <w:szCs w:val="24"/>
          <w:highlight w:val="none"/>
        </w:rPr>
        <w:t>本项目为</w:t>
      </w:r>
      <w:r>
        <w:rPr>
          <w:rFonts w:hint="eastAsia" w:ascii="Times New Roman" w:hAnsi="Times New Roman" w:eastAsia="宋体" w:cs="Times New Roman"/>
          <w:color w:val="000000"/>
          <w:sz w:val="24"/>
          <w:szCs w:val="24"/>
          <w:highlight w:val="none"/>
          <w:lang w:val="en-US" w:eastAsia="zh-CN"/>
        </w:rPr>
        <w:t>围场县200MW风电储新能源项目配套送出线路工程</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送出线路</w:t>
      </w:r>
      <w:r>
        <w:rPr>
          <w:rFonts w:hint="default" w:ascii="Times New Roman" w:hAnsi="Times New Roman" w:eastAsia="宋体" w:cs="Times New Roman"/>
          <w:bCs/>
          <w:color w:val="000000"/>
          <w:sz w:val="24"/>
          <w:szCs w:val="24"/>
          <w:highlight w:val="none"/>
        </w:rPr>
        <w:t>电压等级为</w:t>
      </w:r>
      <w:r>
        <w:rPr>
          <w:rFonts w:hint="eastAsia" w:eastAsia="宋体" w:cs="Times New Roman"/>
          <w:bCs/>
          <w:color w:val="000000"/>
          <w:sz w:val="24"/>
          <w:szCs w:val="24"/>
          <w:highlight w:val="none"/>
          <w:lang w:val="en-US" w:eastAsia="zh-CN"/>
        </w:rPr>
        <w:t>11</w:t>
      </w:r>
      <w:r>
        <w:rPr>
          <w:rFonts w:hint="default" w:ascii="Times New Roman" w:hAnsi="Times New Roman" w:eastAsia="宋体" w:cs="Times New Roman"/>
          <w:bCs/>
          <w:color w:val="000000"/>
          <w:sz w:val="24"/>
          <w:szCs w:val="24"/>
          <w:highlight w:val="none"/>
        </w:rPr>
        <w:t>0kV，</w:t>
      </w:r>
      <w:r>
        <w:rPr>
          <w:rFonts w:hint="default" w:ascii="Times New Roman" w:hAnsi="Times New Roman" w:cs="Times New Roman"/>
          <w:color w:val="000000"/>
          <w:sz w:val="24"/>
          <w:szCs w:val="22"/>
          <w:highlight w:val="none"/>
        </w:rPr>
        <w:t>按照《建设项目环境影响评价分类管理名录》的有关规定，本项目类别属于“五十五、核与辐射”中“161输变电工程”，需编制环境影响报告表</w:t>
      </w:r>
      <w:r>
        <w:rPr>
          <w:rFonts w:hint="eastAsia" w:cs="Times New Roman"/>
          <w:color w:val="000000"/>
          <w:sz w:val="24"/>
          <w:szCs w:val="22"/>
          <w:highlight w:val="none"/>
          <w:lang w:eastAsia="zh-CN"/>
        </w:rPr>
        <w:t>。</w:t>
      </w:r>
      <w:r>
        <w:rPr>
          <w:rFonts w:hint="default" w:ascii="Times New Roman" w:hAnsi="Times New Roman" w:eastAsia="宋体" w:cs="Times New Roman"/>
          <w:bCs/>
          <w:color w:val="000000"/>
          <w:sz w:val="24"/>
          <w:szCs w:val="24"/>
          <w:highlight w:val="none"/>
        </w:rPr>
        <w:t>为此</w:t>
      </w:r>
      <w:r>
        <w:rPr>
          <w:rFonts w:hint="default" w:ascii="Times New Roman" w:hAnsi="Times New Roman" w:eastAsia="宋体" w:cs="Times New Roman"/>
          <w:bCs/>
          <w:color w:val="000000"/>
          <w:sz w:val="24"/>
          <w:szCs w:val="24"/>
          <w:highlight w:val="none"/>
          <w:lang w:eastAsia="zh-CN"/>
        </w:rPr>
        <w:t>我</w:t>
      </w:r>
      <w:r>
        <w:rPr>
          <w:rFonts w:hint="default" w:ascii="Times New Roman" w:hAnsi="Times New Roman" w:eastAsia="宋体" w:cs="Times New Roman"/>
          <w:bCs/>
          <w:color w:val="000000"/>
          <w:sz w:val="24"/>
          <w:szCs w:val="24"/>
          <w:highlight w:val="none"/>
        </w:rPr>
        <w:t>公司</w:t>
      </w:r>
      <w:r>
        <w:rPr>
          <w:rFonts w:hint="eastAsia" w:eastAsia="宋体" w:cs="Times New Roman"/>
          <w:bCs/>
          <w:color w:val="000000"/>
          <w:sz w:val="24"/>
          <w:szCs w:val="24"/>
          <w:highlight w:val="none"/>
          <w:lang w:val="en-US" w:eastAsia="zh-CN"/>
        </w:rPr>
        <w:t>接受</w:t>
      </w:r>
      <w:r>
        <w:rPr>
          <w:rFonts w:hint="default" w:ascii="Times New Roman" w:hAnsi="Times New Roman" w:eastAsia="宋体" w:cs="Times New Roman"/>
          <w:bCs/>
          <w:color w:val="000000"/>
          <w:sz w:val="24"/>
          <w:szCs w:val="24"/>
          <w:highlight w:val="none"/>
        </w:rPr>
        <w:t>委托，承担本项目的环境影响评价工作，并进行了实地踏勘和调查，收集了自然环境及有关工程资料</w:t>
      </w:r>
      <w:r>
        <w:rPr>
          <w:rFonts w:hint="default" w:ascii="Times New Roman" w:hAnsi="Times New Roman" w:cs="Times New Roman"/>
          <w:color w:val="000000"/>
          <w:sz w:val="24"/>
          <w:szCs w:val="22"/>
          <w:highlight w:val="none"/>
        </w:rPr>
        <w:t>，委托</w:t>
      </w:r>
      <w:r>
        <w:rPr>
          <w:rFonts w:hint="eastAsia" w:cs="Times New Roman"/>
          <w:color w:val="000000"/>
          <w:sz w:val="24"/>
          <w:szCs w:val="22"/>
          <w:highlight w:val="none"/>
          <w:lang w:val="en-US" w:eastAsia="zh-CN"/>
        </w:rPr>
        <w:t>河北省华川检验检测技术服务有限公司</w:t>
      </w:r>
      <w:r>
        <w:rPr>
          <w:rFonts w:hint="default" w:ascii="Times New Roman" w:hAnsi="Times New Roman" w:cs="Times New Roman"/>
          <w:color w:val="000000"/>
          <w:sz w:val="24"/>
          <w:szCs w:val="22"/>
          <w:highlight w:val="none"/>
        </w:rPr>
        <w:t>于202</w:t>
      </w:r>
      <w:r>
        <w:rPr>
          <w:rFonts w:hint="eastAsia" w:cs="Times New Roman"/>
          <w:color w:val="000000"/>
          <w:sz w:val="24"/>
          <w:szCs w:val="22"/>
          <w:highlight w:val="none"/>
          <w:lang w:val="en-US" w:eastAsia="zh-CN"/>
        </w:rPr>
        <w:t>5</w:t>
      </w:r>
      <w:r>
        <w:rPr>
          <w:rFonts w:hint="default" w:ascii="Times New Roman" w:hAnsi="Times New Roman" w:cs="Times New Roman"/>
          <w:color w:val="000000"/>
          <w:sz w:val="24"/>
          <w:szCs w:val="22"/>
          <w:highlight w:val="none"/>
        </w:rPr>
        <w:t>年</w:t>
      </w:r>
      <w:r>
        <w:rPr>
          <w:rFonts w:hint="eastAsia" w:cs="Times New Roman"/>
          <w:color w:val="000000"/>
          <w:sz w:val="24"/>
          <w:szCs w:val="22"/>
          <w:highlight w:val="none"/>
          <w:lang w:val="en-US" w:eastAsia="zh-CN"/>
        </w:rPr>
        <w:t>1</w:t>
      </w:r>
      <w:r>
        <w:rPr>
          <w:rFonts w:hint="default" w:ascii="Times New Roman" w:hAnsi="Times New Roman" w:cs="Times New Roman"/>
          <w:color w:val="000000"/>
          <w:sz w:val="24"/>
          <w:szCs w:val="22"/>
          <w:highlight w:val="none"/>
        </w:rPr>
        <w:t>月</w:t>
      </w:r>
      <w:r>
        <w:rPr>
          <w:rFonts w:hint="eastAsia" w:cs="Times New Roman"/>
          <w:color w:val="000000"/>
          <w:sz w:val="24"/>
          <w:szCs w:val="22"/>
          <w:highlight w:val="none"/>
          <w:lang w:val="en-US" w:eastAsia="zh-CN"/>
        </w:rPr>
        <w:t>10</w:t>
      </w:r>
      <w:r>
        <w:rPr>
          <w:rFonts w:hint="default" w:ascii="Times New Roman" w:hAnsi="Times New Roman" w:cs="Times New Roman"/>
          <w:color w:val="000000"/>
          <w:sz w:val="24"/>
          <w:szCs w:val="22"/>
          <w:highlight w:val="none"/>
        </w:rPr>
        <w:t>日开展</w:t>
      </w:r>
      <w:r>
        <w:rPr>
          <w:rFonts w:hint="eastAsia" w:cs="Times New Roman"/>
          <w:color w:val="000000"/>
          <w:sz w:val="24"/>
          <w:szCs w:val="22"/>
          <w:highlight w:val="none"/>
          <w:lang w:val="en-US" w:eastAsia="zh-CN"/>
        </w:rPr>
        <w:t>了电磁</w:t>
      </w:r>
      <w:r>
        <w:rPr>
          <w:rFonts w:hint="default" w:ascii="Times New Roman" w:hAnsi="Times New Roman" w:cs="Times New Roman"/>
          <w:color w:val="000000"/>
          <w:sz w:val="24"/>
          <w:szCs w:val="22"/>
          <w:highlight w:val="none"/>
        </w:rPr>
        <w:t>环境现状检测，在此基础上，对收集的资料和数据处理分析，对工程区及评价范围的工频电场、工频磁场环境现状进行了评价</w:t>
      </w:r>
      <w:r>
        <w:rPr>
          <w:rFonts w:hint="default" w:ascii="Times New Roman" w:hAnsi="Times New Roman" w:cs="Times New Roman"/>
          <w:color w:val="000000"/>
          <w:sz w:val="24"/>
          <w:szCs w:val="22"/>
          <w:highlight w:val="none"/>
          <w:lang w:eastAsia="zh-CN"/>
        </w:rPr>
        <w:t>，</w:t>
      </w:r>
      <w:r>
        <w:rPr>
          <w:rFonts w:hint="default" w:ascii="Times New Roman" w:hAnsi="Times New Roman" w:cs="Times New Roman"/>
          <w:color w:val="000000"/>
          <w:sz w:val="24"/>
          <w:szCs w:val="22"/>
          <w:highlight w:val="none"/>
        </w:rPr>
        <w:t>针对工程建设中可能存在的环保问题提出了相应的环保措施，并从环境保护的角度论证了工程建设的可行性。编制</w:t>
      </w:r>
      <w:r>
        <w:rPr>
          <w:rFonts w:hint="default" w:ascii="Times New Roman" w:hAnsi="Times New Roman" w:cs="Times New Roman"/>
          <w:color w:val="000000"/>
          <w:sz w:val="24"/>
          <w:szCs w:val="22"/>
          <w:highlight w:val="none"/>
          <w:lang w:eastAsia="zh-CN"/>
        </w:rPr>
        <w:t>完成</w:t>
      </w:r>
      <w:r>
        <w:rPr>
          <w:rFonts w:hint="default" w:ascii="Times New Roman" w:hAnsi="Times New Roman" w:cs="Times New Roman"/>
          <w:color w:val="000000"/>
          <w:sz w:val="24"/>
          <w:szCs w:val="22"/>
          <w:highlight w:val="none"/>
        </w:rPr>
        <w:t>了《</w:t>
      </w:r>
      <w:r>
        <w:rPr>
          <w:rFonts w:hint="eastAsia" w:cs="Times New Roman"/>
          <w:b w:val="0"/>
          <w:bCs w:val="0"/>
          <w:color w:val="000000"/>
          <w:sz w:val="24"/>
          <w:szCs w:val="22"/>
          <w:highlight w:val="none"/>
          <w:lang w:val="en-US" w:eastAsia="zh-CN"/>
        </w:rPr>
        <w:t>围场县200MW风电储新能源项目送出线路工程项目</w:t>
      </w:r>
      <w:r>
        <w:rPr>
          <w:rFonts w:hint="default" w:ascii="Times New Roman" w:hAnsi="Times New Roman" w:cs="Times New Roman"/>
          <w:color w:val="000000"/>
          <w:sz w:val="24"/>
          <w:szCs w:val="22"/>
          <w:highlight w:val="none"/>
        </w:rPr>
        <w:t>电磁环境影响专项评价》。</w:t>
      </w:r>
    </w:p>
    <w:p w14:paraId="03B477E0">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0"/>
          <w:sz w:val="32"/>
          <w:szCs w:val="44"/>
          <w:highlight w:val="none"/>
          <w:lang w:val="en-US" w:eastAsia="zh-CN" w:bidi="ar-SA"/>
        </w:rPr>
      </w:pPr>
      <w:bookmarkStart w:id="42" w:name="_Toc18307"/>
      <w:r>
        <w:rPr>
          <w:rFonts w:hint="default" w:ascii="Times New Roman" w:hAnsi="Times New Roman" w:eastAsia="宋体" w:cs="Times New Roman"/>
          <w:b/>
          <w:bCs/>
          <w:color w:val="000000"/>
          <w:kern w:val="0"/>
          <w:sz w:val="32"/>
          <w:szCs w:val="44"/>
          <w:highlight w:val="none"/>
          <w:lang w:val="en-US" w:eastAsia="zh-CN" w:bidi="ar-SA"/>
        </w:rPr>
        <w:t>2 总则</w:t>
      </w:r>
      <w:bookmarkEnd w:id="42"/>
    </w:p>
    <w:p w14:paraId="2FFBED24">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bookmarkStart w:id="43" w:name="_Toc23172"/>
      <w:r>
        <w:rPr>
          <w:rFonts w:hint="default" w:ascii="Times New Roman" w:hAnsi="Times New Roman" w:eastAsia="宋体" w:cs="Times New Roman"/>
          <w:b/>
          <w:bCs/>
          <w:color w:val="000000"/>
          <w:kern w:val="2"/>
          <w:sz w:val="30"/>
          <w:szCs w:val="32"/>
          <w:highlight w:val="none"/>
          <w:lang w:val="en-US" w:eastAsia="zh-CN" w:bidi="ar-SA"/>
        </w:rPr>
        <w:t>2.1编制依据</w:t>
      </w:r>
      <w:bookmarkEnd w:id="43"/>
    </w:p>
    <w:p w14:paraId="38A01D37">
      <w:pPr>
        <w:spacing w:line="360" w:lineRule="auto"/>
        <w:ind w:firstLine="482" w:firstLineChars="200"/>
        <w:rPr>
          <w:rFonts w:hint="default" w:ascii="Times New Roman" w:hAnsi="Times New Roman" w:eastAsia="宋体" w:cs="Times New Roman"/>
          <w:b/>
          <w:bCs w:val="0"/>
          <w:color w:val="000000"/>
          <w:sz w:val="24"/>
          <w:szCs w:val="24"/>
          <w:highlight w:val="none"/>
        </w:rPr>
      </w:pPr>
      <w:r>
        <w:rPr>
          <w:rFonts w:hint="default" w:ascii="Times New Roman" w:hAnsi="Times New Roman" w:eastAsia="宋体" w:cs="Times New Roman"/>
          <w:b/>
          <w:bCs w:val="0"/>
          <w:color w:val="000000"/>
          <w:sz w:val="24"/>
          <w:szCs w:val="24"/>
          <w:highlight w:val="none"/>
          <w:lang w:val="en-US" w:eastAsia="zh-CN"/>
        </w:rPr>
        <w:t>1、</w:t>
      </w:r>
      <w:r>
        <w:rPr>
          <w:rFonts w:hint="default" w:ascii="Times New Roman" w:hAnsi="Times New Roman" w:eastAsia="宋体" w:cs="Times New Roman"/>
          <w:b/>
          <w:bCs w:val="0"/>
          <w:color w:val="000000"/>
          <w:sz w:val="24"/>
          <w:szCs w:val="24"/>
          <w:highlight w:val="none"/>
        </w:rPr>
        <w:t>法律法规</w:t>
      </w:r>
    </w:p>
    <w:p w14:paraId="28A178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(1)《中华人民共和国环境保护法》(2014年4月24日发布，2015年1月1日实施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3F3592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(2)《中华人民共和国环境影响评价法》</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修订</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(2018年12月29日修订并</w:t>
      </w:r>
      <w:r>
        <w:rPr>
          <w:rFonts w:hint="eastAsia" w:eastAsia="宋体" w:cs="Times New Roman"/>
          <w:bCs/>
          <w:color w:val="000000"/>
          <w:sz w:val="24"/>
          <w:szCs w:val="24"/>
          <w:highlight w:val="none"/>
          <w:lang w:val="en-US" w:eastAsia="zh-CN"/>
        </w:rPr>
        <w:t>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5CE8E45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3</w:t>
      </w:r>
      <w:r>
        <w:rPr>
          <w:rFonts w:hint="default" w:ascii="Times New Roman" w:hAnsi="Times New Roman" w:eastAsia="宋体" w:cs="Times New Roman"/>
          <w:bCs/>
          <w:color w:val="000000"/>
          <w:sz w:val="24"/>
          <w:szCs w:val="24"/>
          <w:highlight w:val="none"/>
        </w:rPr>
        <w:t>)《中华人民共和国电力法》(2018年12月29日修订并实施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14DE607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4</w:t>
      </w:r>
      <w:r>
        <w:rPr>
          <w:rFonts w:hint="default" w:ascii="Times New Roman" w:hAnsi="Times New Roman" w:eastAsia="宋体" w:cs="Times New Roman"/>
          <w:bCs/>
          <w:color w:val="000000"/>
          <w:sz w:val="24"/>
          <w:szCs w:val="24"/>
          <w:highlight w:val="none"/>
        </w:rPr>
        <w:t>)《建设项目环境保护管理条例》</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国务院令第682号，2017年7月16日公布，2017年10月1日实施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7D87C9E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5</w:t>
      </w:r>
      <w:r>
        <w:rPr>
          <w:rFonts w:hint="default" w:ascii="Times New Roman" w:hAnsi="Times New Roman" w:eastAsia="宋体" w:cs="Times New Roman"/>
          <w:bCs/>
          <w:color w:val="000000"/>
          <w:sz w:val="24"/>
          <w:szCs w:val="24"/>
          <w:highlight w:val="none"/>
        </w:rPr>
        <w:t>)《电力设施保护条例》(2011年1月8日修订并实施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3C36C6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6</w:t>
      </w:r>
      <w:r>
        <w:rPr>
          <w:rFonts w:hint="default" w:ascii="Times New Roman" w:hAnsi="Times New Roman" w:eastAsia="宋体" w:cs="Times New Roman"/>
          <w:bCs/>
          <w:color w:val="000000"/>
          <w:sz w:val="24"/>
          <w:szCs w:val="24"/>
          <w:highlight w:val="none"/>
        </w:rPr>
        <w:t>)《电力设施保护条例实施细则》(</w:t>
      </w:r>
      <w:r>
        <w:rPr>
          <w:rFonts w:hint="eastAsia" w:eastAsia="宋体" w:cs="Times New Roman"/>
          <w:bCs/>
          <w:color w:val="000000"/>
          <w:sz w:val="24"/>
          <w:szCs w:val="24"/>
          <w:highlight w:val="none"/>
          <w:lang w:val="en-US" w:eastAsia="zh-CN"/>
        </w:rPr>
        <w:t>2024年1月4日由国家发展改革委令第11号发布，</w:t>
      </w:r>
      <w:r>
        <w:rPr>
          <w:rFonts w:hint="default" w:ascii="Times New Roman" w:hAnsi="Times New Roman" w:eastAsia="宋体" w:cs="Times New Roman"/>
          <w:bCs/>
          <w:color w:val="000000"/>
          <w:sz w:val="24"/>
          <w:szCs w:val="24"/>
          <w:highlight w:val="none"/>
        </w:rPr>
        <w:t>20</w:t>
      </w:r>
      <w:r>
        <w:rPr>
          <w:rFonts w:hint="eastAsia" w:eastAsia="宋体" w:cs="Times New Roman"/>
          <w:bCs/>
          <w:color w:val="000000"/>
          <w:sz w:val="24"/>
          <w:szCs w:val="24"/>
          <w:highlight w:val="none"/>
          <w:lang w:val="en-US" w:eastAsia="zh-CN"/>
        </w:rPr>
        <w:t>24</w:t>
      </w:r>
      <w:r>
        <w:rPr>
          <w:rFonts w:hint="default" w:ascii="Times New Roman" w:hAnsi="Times New Roman" w:eastAsia="宋体" w:cs="Times New Roman"/>
          <w:bCs/>
          <w:color w:val="000000"/>
          <w:sz w:val="24"/>
          <w:szCs w:val="24"/>
          <w:highlight w:val="none"/>
        </w:rPr>
        <w:t>年</w:t>
      </w:r>
      <w:r>
        <w:rPr>
          <w:rFonts w:hint="eastAsia" w:eastAsia="宋体" w:cs="Times New Roman"/>
          <w:bCs/>
          <w:color w:val="000000"/>
          <w:sz w:val="24"/>
          <w:szCs w:val="24"/>
          <w:highlight w:val="none"/>
          <w:lang w:val="en-US" w:eastAsia="zh-CN"/>
        </w:rPr>
        <w:t>3</w:t>
      </w:r>
      <w:r>
        <w:rPr>
          <w:rFonts w:hint="default" w:ascii="Times New Roman" w:hAnsi="Times New Roman" w:eastAsia="宋体" w:cs="Times New Roman"/>
          <w:bCs/>
          <w:color w:val="000000"/>
          <w:sz w:val="24"/>
          <w:szCs w:val="24"/>
          <w:highlight w:val="none"/>
        </w:rPr>
        <w:t>月</w:t>
      </w:r>
      <w:r>
        <w:rPr>
          <w:rFonts w:hint="eastAsia" w:eastAsia="宋体" w:cs="Times New Roman"/>
          <w:bCs/>
          <w:color w:val="000000"/>
          <w:sz w:val="24"/>
          <w:szCs w:val="24"/>
          <w:highlight w:val="none"/>
          <w:lang w:val="en-US" w:eastAsia="zh-CN"/>
        </w:rPr>
        <w:t>1</w:t>
      </w:r>
      <w:r>
        <w:rPr>
          <w:rFonts w:hint="default" w:ascii="Times New Roman" w:hAnsi="Times New Roman" w:eastAsia="宋体" w:cs="Times New Roman"/>
          <w:bCs/>
          <w:color w:val="000000"/>
          <w:sz w:val="24"/>
          <w:szCs w:val="24"/>
          <w:highlight w:val="none"/>
        </w:rPr>
        <w:t>日实施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24683D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7</w:t>
      </w:r>
      <w:r>
        <w:rPr>
          <w:rFonts w:hint="default" w:ascii="Times New Roman" w:hAnsi="Times New Roman" w:eastAsia="宋体" w:cs="Times New Roman"/>
          <w:bCs/>
          <w:color w:val="000000"/>
          <w:sz w:val="24"/>
          <w:szCs w:val="24"/>
          <w:highlight w:val="none"/>
        </w:rPr>
        <w:t>)《建设项目环境影响评价分类管理名录</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2021年本</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》(2021年1月1日实施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13A54E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8</w:t>
      </w:r>
      <w:r>
        <w:rPr>
          <w:rFonts w:hint="default" w:ascii="Times New Roman" w:hAnsi="Times New Roman" w:eastAsia="宋体" w:cs="Times New Roman"/>
          <w:bCs/>
          <w:color w:val="000000"/>
          <w:sz w:val="24"/>
          <w:szCs w:val="24"/>
          <w:highlight w:val="none"/>
        </w:rPr>
        <w:t>)《关于进一步加强输变电类建设项目环境保护监管工作的通知》</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环办[2012]131号</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59A456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9</w:t>
      </w:r>
      <w:r>
        <w:rPr>
          <w:rFonts w:hint="default" w:ascii="Times New Roman" w:hAnsi="Times New Roman" w:eastAsia="宋体" w:cs="Times New Roman"/>
          <w:bCs/>
          <w:color w:val="000000"/>
          <w:sz w:val="24"/>
          <w:szCs w:val="24"/>
          <w:highlight w:val="none"/>
        </w:rPr>
        <w:t>)《河北省电力条例》</w:t>
      </w:r>
      <w:r>
        <w:rPr>
          <w:rFonts w:hint="default" w:ascii="Times New Roman" w:hAnsi="Times New Roman" w:eastAsia="宋体" w:cs="Times New Roman"/>
          <w:bCs/>
          <w:color w:val="000000"/>
          <w:sz w:val="24"/>
          <w:szCs w:val="24"/>
          <w:highlight w:val="none"/>
          <w:lang w:eastAsia="zh-CN"/>
        </w:rPr>
        <w:t>（</w:t>
      </w:r>
      <w:r>
        <w:rPr>
          <w:rFonts w:hint="eastAsia" w:eastAsia="宋体" w:cs="Times New Roman"/>
          <w:bCs/>
          <w:color w:val="000000"/>
          <w:sz w:val="24"/>
          <w:szCs w:val="24"/>
          <w:highlight w:val="none"/>
          <w:lang w:val="en-US" w:eastAsia="zh-CN"/>
        </w:rPr>
        <w:t>2024年3月28日河北省第十四届人民代表大会常务委员会第八次会议修订</w:t>
      </w:r>
      <w:r>
        <w:rPr>
          <w:rFonts w:hint="default" w:ascii="Times New Roman" w:hAnsi="Times New Roman" w:eastAsia="宋体" w:cs="Times New Roman"/>
          <w:bCs/>
          <w:color w:val="000000"/>
          <w:sz w:val="24"/>
          <w:szCs w:val="24"/>
          <w:highlight w:val="none"/>
        </w:rPr>
        <w:t>，20</w:t>
      </w:r>
      <w:r>
        <w:rPr>
          <w:rFonts w:hint="eastAsia" w:eastAsia="宋体" w:cs="Times New Roman"/>
          <w:bCs/>
          <w:color w:val="000000"/>
          <w:sz w:val="24"/>
          <w:szCs w:val="24"/>
          <w:highlight w:val="none"/>
          <w:lang w:val="en-US" w:eastAsia="zh-CN"/>
        </w:rPr>
        <w:t>24</w:t>
      </w:r>
      <w:r>
        <w:rPr>
          <w:rFonts w:hint="default" w:ascii="Times New Roman" w:hAnsi="Times New Roman" w:eastAsia="宋体" w:cs="Times New Roman"/>
          <w:bCs/>
          <w:color w:val="000000"/>
          <w:sz w:val="24"/>
          <w:szCs w:val="24"/>
          <w:highlight w:val="none"/>
        </w:rPr>
        <w:t>年</w:t>
      </w:r>
      <w:r>
        <w:rPr>
          <w:rFonts w:hint="eastAsia" w:eastAsia="宋体" w:cs="Times New Roman"/>
          <w:bCs/>
          <w:color w:val="000000"/>
          <w:sz w:val="24"/>
          <w:szCs w:val="24"/>
          <w:highlight w:val="none"/>
          <w:lang w:val="en-US" w:eastAsia="zh-CN"/>
        </w:rPr>
        <w:t>5</w:t>
      </w:r>
      <w:r>
        <w:rPr>
          <w:rFonts w:hint="default" w:ascii="Times New Roman" w:hAnsi="Times New Roman" w:eastAsia="宋体" w:cs="Times New Roman"/>
          <w:bCs/>
          <w:color w:val="000000"/>
          <w:sz w:val="24"/>
          <w:szCs w:val="24"/>
          <w:highlight w:val="none"/>
        </w:rPr>
        <w:t>月1日实施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527E47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10</w:t>
      </w:r>
      <w:r>
        <w:rPr>
          <w:rFonts w:hint="default" w:ascii="Times New Roman" w:hAnsi="Times New Roman" w:eastAsia="宋体" w:cs="Times New Roman"/>
          <w:bCs/>
          <w:color w:val="000000"/>
          <w:sz w:val="24"/>
          <w:szCs w:val="24"/>
          <w:highlight w:val="none"/>
        </w:rPr>
        <w:t>)《河北省辐射污染防治条例》(2020年7月30日修订并实施</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12E6C0B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w:t>
      </w:r>
      <w:r>
        <w:rPr>
          <w:rFonts w:hint="eastAsia" w:ascii="Times New Roman" w:hAnsi="Times New Roman" w:eastAsia="宋体" w:cs="Times New Roman"/>
          <w:bCs/>
          <w:color w:val="000000"/>
          <w:sz w:val="24"/>
          <w:szCs w:val="24"/>
          <w:highlight w:val="none"/>
          <w:lang w:val="en-US" w:eastAsia="zh-CN"/>
        </w:rPr>
        <w:t>11</w:t>
      </w:r>
      <w:r>
        <w:rPr>
          <w:rFonts w:hint="default" w:ascii="Times New Roman" w:hAnsi="Times New Roman" w:eastAsia="宋体" w:cs="Times New Roman"/>
          <w:bCs/>
          <w:color w:val="000000"/>
          <w:sz w:val="24"/>
          <w:szCs w:val="24"/>
          <w:highlight w:val="none"/>
        </w:rPr>
        <w:t>)《建设项目环境影响评价文件审批及建设单位自主开展环境保护设施验收工作指引</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试行</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冀环办字函[2017]727号</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1ADF03B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val="0"/>
          <w:color w:val="000000"/>
          <w:sz w:val="24"/>
          <w:szCs w:val="24"/>
          <w:highlight w:val="none"/>
        </w:rPr>
      </w:pPr>
      <w:r>
        <w:rPr>
          <w:rFonts w:hint="default" w:ascii="Times New Roman" w:hAnsi="Times New Roman" w:eastAsia="宋体" w:cs="Times New Roman"/>
          <w:b/>
          <w:bCs w:val="0"/>
          <w:color w:val="000000"/>
          <w:sz w:val="24"/>
          <w:szCs w:val="24"/>
          <w:highlight w:val="none"/>
          <w:lang w:val="en-US" w:eastAsia="zh-CN"/>
        </w:rPr>
        <w:t>2、</w:t>
      </w:r>
      <w:r>
        <w:rPr>
          <w:rFonts w:hint="default" w:ascii="Times New Roman" w:hAnsi="Times New Roman" w:eastAsia="宋体" w:cs="Times New Roman"/>
          <w:b/>
          <w:bCs w:val="0"/>
          <w:color w:val="000000"/>
          <w:sz w:val="24"/>
          <w:szCs w:val="24"/>
          <w:highlight w:val="none"/>
        </w:rPr>
        <w:t>标准、技术导则</w:t>
      </w:r>
    </w:p>
    <w:p w14:paraId="720FF638">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(1)《建设项目环境影响评价技术导则</w:t>
      </w:r>
      <w:r>
        <w:rPr>
          <w:rFonts w:hint="default" w:ascii="Times New Roman" w:hAnsi="Times New Roman" w:eastAsia="宋体" w:cs="Times New Roman"/>
          <w:bCs/>
          <w:color w:val="000000"/>
          <w:sz w:val="24"/>
          <w:szCs w:val="24"/>
          <w:highlight w:val="none"/>
          <w:lang w:val="en-US" w:eastAsia="zh-CN"/>
        </w:rPr>
        <w:t xml:space="preserve"> </w:t>
      </w:r>
      <w:r>
        <w:rPr>
          <w:rFonts w:hint="default" w:ascii="Times New Roman" w:hAnsi="Times New Roman" w:eastAsia="宋体" w:cs="Times New Roman"/>
          <w:bCs/>
          <w:color w:val="000000"/>
          <w:sz w:val="24"/>
          <w:szCs w:val="24"/>
          <w:highlight w:val="none"/>
        </w:rPr>
        <w:t>总纲》(HJ2.1-2016)；</w:t>
      </w:r>
    </w:p>
    <w:p w14:paraId="46C4B1E0">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(2)《环境影响评价技术导则</w:t>
      </w:r>
      <w:r>
        <w:rPr>
          <w:rFonts w:hint="default" w:ascii="Times New Roman" w:hAnsi="Times New Roman" w:eastAsia="宋体" w:cs="Times New Roman"/>
          <w:bCs/>
          <w:color w:val="000000"/>
          <w:sz w:val="24"/>
          <w:szCs w:val="24"/>
          <w:highlight w:val="none"/>
          <w:lang w:val="en-US" w:eastAsia="zh-CN"/>
        </w:rPr>
        <w:t xml:space="preserve"> </w:t>
      </w:r>
      <w:r>
        <w:rPr>
          <w:rFonts w:hint="default" w:ascii="Times New Roman" w:hAnsi="Times New Roman" w:eastAsia="宋体" w:cs="Times New Roman"/>
          <w:bCs/>
          <w:color w:val="000000"/>
          <w:sz w:val="24"/>
          <w:szCs w:val="24"/>
          <w:highlight w:val="none"/>
        </w:rPr>
        <w:t>输变电》(HJ24-2020)；</w:t>
      </w:r>
    </w:p>
    <w:p w14:paraId="3383A6EB">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(3)《电磁环境控制限值》(GB8702-2014)；</w:t>
      </w:r>
    </w:p>
    <w:p w14:paraId="32236DE3">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(4)《输变电建设项目环境保护技术要求》(HJ1113-2020)；</w:t>
      </w:r>
    </w:p>
    <w:p w14:paraId="7E055FFE">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(5)《交流输变电工程电磁环境监测方法</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试行</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》(HJ681-2013)；</w:t>
      </w:r>
    </w:p>
    <w:p w14:paraId="0350644A">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(6)《110kV～750kV架空输电线路设计规范》</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GB 50545-2010</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w:t>
      </w:r>
    </w:p>
    <w:p w14:paraId="3F4D2EE8">
      <w:pPr>
        <w:keepNext w:val="0"/>
        <w:keepLines w:val="0"/>
        <w:pageBreakBefore w:val="0"/>
        <w:widowControl w:val="0"/>
        <w:kinsoku/>
        <w:wordWrap/>
        <w:overflowPunct/>
        <w:topLinePunct w:val="0"/>
        <w:bidi w:val="0"/>
        <w:adjustRightInd/>
        <w:snapToGrid/>
        <w:spacing w:line="440" w:lineRule="exact"/>
        <w:ind w:firstLine="482" w:firstLineChars="200"/>
        <w:textAlignment w:val="auto"/>
        <w:rPr>
          <w:rFonts w:hint="default" w:ascii="Times New Roman" w:hAnsi="Times New Roman" w:eastAsia="宋体" w:cs="Times New Roman"/>
          <w:b/>
          <w:bCs w:val="0"/>
          <w:color w:val="000000"/>
          <w:sz w:val="24"/>
          <w:szCs w:val="24"/>
          <w:highlight w:val="none"/>
        </w:rPr>
      </w:pPr>
      <w:r>
        <w:rPr>
          <w:rFonts w:hint="default" w:ascii="Times New Roman" w:hAnsi="Times New Roman" w:eastAsia="宋体" w:cs="Times New Roman"/>
          <w:b/>
          <w:bCs w:val="0"/>
          <w:color w:val="000000"/>
          <w:sz w:val="24"/>
          <w:szCs w:val="24"/>
          <w:highlight w:val="none"/>
          <w:lang w:val="en-US" w:eastAsia="zh-CN"/>
        </w:rPr>
        <w:t>3、</w:t>
      </w:r>
      <w:r>
        <w:rPr>
          <w:rFonts w:hint="default" w:ascii="Times New Roman" w:hAnsi="Times New Roman" w:eastAsia="宋体" w:cs="Times New Roman"/>
          <w:b/>
          <w:bCs w:val="0"/>
          <w:color w:val="000000"/>
          <w:sz w:val="24"/>
          <w:szCs w:val="24"/>
          <w:highlight w:val="none"/>
        </w:rPr>
        <w:t>与项目有关的文件和资料</w:t>
      </w:r>
    </w:p>
    <w:p w14:paraId="07E7CEAF">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lang w:val="en-US" w:eastAsia="zh-CN"/>
        </w:rPr>
        <w:t>1</w:t>
      </w:r>
      <w:r>
        <w:rPr>
          <w:rFonts w:hint="default" w:ascii="Times New Roman" w:hAnsi="Times New Roman" w:eastAsia="宋体" w:cs="Times New Roman"/>
          <w:bCs/>
          <w:color w:val="000000"/>
          <w:sz w:val="24"/>
          <w:szCs w:val="24"/>
          <w:highlight w:val="none"/>
          <w:lang w:eastAsia="zh-CN"/>
        </w:rPr>
        <w:t>）</w:t>
      </w:r>
      <w:r>
        <w:rPr>
          <w:rFonts w:hint="eastAsia" w:eastAsia="宋体" w:cs="Times New Roman"/>
          <w:color w:val="000000"/>
          <w:sz w:val="24"/>
          <w:szCs w:val="24"/>
          <w:highlight w:val="none"/>
          <w:lang w:val="en-US" w:eastAsia="zh-CN"/>
        </w:rPr>
        <w:t>承德市数据和政务服务局关于围场县200MW风电储新能源项目送出线路工程项目核准的批复</w:t>
      </w:r>
      <w:r>
        <w:rPr>
          <w:rFonts w:hint="default" w:ascii="Times New Roman" w:hAnsi="Times New Roman" w:eastAsia="宋体" w:cs="Times New Roman"/>
          <w:color w:val="000000"/>
          <w:sz w:val="24"/>
          <w:szCs w:val="24"/>
          <w:highlight w:val="none"/>
        </w:rPr>
        <w:t>（</w:t>
      </w:r>
      <w:r>
        <w:rPr>
          <w:rFonts w:hint="eastAsia" w:eastAsia="宋体" w:cs="Times New Roman"/>
          <w:color w:val="000000"/>
          <w:sz w:val="24"/>
          <w:szCs w:val="24"/>
          <w:highlight w:val="none"/>
          <w:lang w:val="en-US" w:eastAsia="zh-CN"/>
        </w:rPr>
        <w:t>承数政核字</w:t>
      </w:r>
      <w:r>
        <w:rPr>
          <w:rFonts w:hint="default" w:ascii="Times New Roman" w:hAnsi="Times New Roman" w:eastAsia="宋体" w:cs="Times New Roman"/>
          <w:color w:val="000000"/>
          <w:sz w:val="24"/>
          <w:szCs w:val="24"/>
          <w:highlight w:val="none"/>
        </w:rPr>
        <w:t>〔2024〕</w:t>
      </w:r>
      <w:r>
        <w:rPr>
          <w:rFonts w:hint="eastAsia" w:eastAsia="宋体" w:cs="Times New Roman"/>
          <w:color w:val="000000"/>
          <w:sz w:val="24"/>
          <w:szCs w:val="24"/>
          <w:highlight w:val="none"/>
          <w:lang w:val="en-US" w:eastAsia="zh-CN"/>
        </w:rPr>
        <w:t>20</w:t>
      </w:r>
      <w:r>
        <w:rPr>
          <w:rFonts w:hint="default" w:ascii="Times New Roman" w:hAnsi="Times New Roman" w:eastAsia="宋体" w:cs="Times New Roman"/>
          <w:color w:val="000000"/>
          <w:sz w:val="24"/>
          <w:szCs w:val="24"/>
          <w:highlight w:val="none"/>
        </w:rPr>
        <w:t>号）</w:t>
      </w:r>
      <w:r>
        <w:rPr>
          <w:rFonts w:hint="eastAsia" w:ascii="Times New Roman" w:hAnsi="Times New Roman" w:eastAsia="宋体" w:cs="Times New Roman"/>
          <w:color w:val="000000"/>
          <w:sz w:val="24"/>
          <w:szCs w:val="24"/>
          <w:highlight w:val="none"/>
          <w:lang w:eastAsia="zh-CN"/>
        </w:rPr>
        <w:t>；</w:t>
      </w:r>
    </w:p>
    <w:p w14:paraId="04BF1681">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lang w:val="en-US" w:eastAsia="zh-CN"/>
        </w:rPr>
        <w:t>2</w:t>
      </w:r>
      <w:r>
        <w:rPr>
          <w:rFonts w:hint="default" w:ascii="Times New Roman" w:hAnsi="Times New Roman" w:eastAsia="宋体" w:cs="Times New Roman"/>
          <w:bCs/>
          <w:color w:val="000000"/>
          <w:sz w:val="24"/>
          <w:szCs w:val="24"/>
          <w:highlight w:val="none"/>
          <w:lang w:eastAsia="zh-CN"/>
        </w:rPr>
        <w:t>）</w:t>
      </w:r>
      <w:r>
        <w:rPr>
          <w:rFonts w:hint="eastAsia" w:eastAsia="宋体" w:cs="Times New Roman"/>
          <w:color w:val="000000"/>
          <w:sz w:val="24"/>
          <w:szCs w:val="24"/>
          <w:highlight w:val="none"/>
          <w:lang w:val="en-US" w:eastAsia="zh-CN"/>
        </w:rPr>
        <w:t>围场县200MW风电储新能源项目送出线路工程初步设计总说明书</w:t>
      </w:r>
      <w:r>
        <w:rPr>
          <w:rFonts w:hint="default" w:ascii="Times New Roman" w:hAnsi="Times New Roman" w:eastAsia="宋体" w:cs="Times New Roman"/>
          <w:bCs/>
          <w:color w:val="000000"/>
          <w:sz w:val="24"/>
          <w:szCs w:val="24"/>
          <w:highlight w:val="none"/>
          <w:lang w:eastAsia="zh-CN"/>
        </w:rPr>
        <w:t>；</w:t>
      </w:r>
    </w:p>
    <w:p w14:paraId="36AE4E2B">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lang w:val="en-US" w:eastAsia="zh-CN"/>
        </w:rPr>
      </w:pP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lang w:val="en-US" w:eastAsia="zh-CN"/>
        </w:rPr>
        <w:t>3</w:t>
      </w:r>
      <w:r>
        <w:rPr>
          <w:rFonts w:hint="default" w:ascii="Times New Roman" w:hAnsi="Times New Roman" w:eastAsia="宋体" w:cs="Times New Roman"/>
          <w:bCs/>
          <w:color w:val="000000"/>
          <w:sz w:val="24"/>
          <w:szCs w:val="24"/>
          <w:highlight w:val="none"/>
          <w:lang w:eastAsia="zh-CN"/>
        </w:rPr>
        <w:t>）</w:t>
      </w:r>
      <w:r>
        <w:rPr>
          <w:rFonts w:hint="eastAsia" w:eastAsia="宋体" w:cs="Times New Roman"/>
          <w:bCs/>
          <w:color w:val="000000"/>
          <w:sz w:val="24"/>
          <w:szCs w:val="24"/>
          <w:highlight w:val="none"/>
          <w:lang w:val="en-US" w:eastAsia="zh-CN"/>
        </w:rPr>
        <w:t>国网冀北电力有限公司经济技术研究院关于围场县200兆瓦风电储新能源项目接入系统设计的评审意见（冀北经研〔2023〕373号）</w:t>
      </w:r>
      <w:r>
        <w:rPr>
          <w:rFonts w:hint="default" w:ascii="Times New Roman" w:hAnsi="Times New Roman" w:eastAsia="宋体" w:cs="Times New Roman"/>
          <w:bCs/>
          <w:color w:val="000000"/>
          <w:sz w:val="24"/>
          <w:szCs w:val="24"/>
          <w:highlight w:val="none"/>
          <w:lang w:val="en-US" w:eastAsia="zh-CN"/>
        </w:rPr>
        <w:t>；</w:t>
      </w:r>
    </w:p>
    <w:p w14:paraId="03D88083">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val="en-US" w:eastAsia="zh-CN"/>
        </w:rPr>
        <w:t>（4）</w:t>
      </w:r>
      <w:r>
        <w:rPr>
          <w:rFonts w:hint="default" w:ascii="Times New Roman" w:hAnsi="Times New Roman" w:eastAsia="宋体" w:cs="Times New Roman"/>
          <w:bCs/>
          <w:color w:val="000000"/>
          <w:sz w:val="24"/>
          <w:szCs w:val="24"/>
          <w:highlight w:val="none"/>
          <w:lang w:eastAsia="zh-CN"/>
        </w:rPr>
        <w:t>《</w:t>
      </w:r>
      <w:r>
        <w:rPr>
          <w:rFonts w:hint="eastAsia" w:eastAsia="宋体" w:cs="Times New Roman"/>
          <w:color w:val="000000"/>
          <w:sz w:val="24"/>
          <w:szCs w:val="24"/>
          <w:highlight w:val="none"/>
          <w:lang w:val="en-US" w:eastAsia="zh-CN"/>
        </w:rPr>
        <w:t>围场县200MW风电储新能源项目送出线路工程项目</w:t>
      </w:r>
      <w:r>
        <w:rPr>
          <w:rFonts w:hint="default" w:ascii="Times New Roman" w:hAnsi="Times New Roman" w:eastAsia="宋体" w:cs="Times New Roman"/>
          <w:color w:val="000000"/>
          <w:sz w:val="24"/>
          <w:szCs w:val="24"/>
          <w:highlight w:val="none"/>
          <w:lang w:eastAsia="zh-CN"/>
        </w:rPr>
        <w:t>现状</w:t>
      </w:r>
      <w:r>
        <w:rPr>
          <w:rFonts w:hint="eastAsia" w:eastAsia="宋体" w:cs="Times New Roman"/>
          <w:color w:val="000000"/>
          <w:sz w:val="24"/>
          <w:szCs w:val="24"/>
          <w:highlight w:val="none"/>
          <w:lang w:val="en-US" w:eastAsia="zh-CN"/>
        </w:rPr>
        <w:t>检测</w:t>
      </w:r>
      <w:r>
        <w:rPr>
          <w:rFonts w:hint="default" w:ascii="Times New Roman" w:hAnsi="Times New Roman" w:eastAsia="宋体" w:cs="Times New Roman"/>
          <w:color w:val="000000"/>
          <w:sz w:val="24"/>
          <w:szCs w:val="24"/>
          <w:highlight w:val="none"/>
          <w:lang w:eastAsia="zh-CN"/>
        </w:rPr>
        <w:t>报告</w:t>
      </w:r>
      <w:r>
        <w:rPr>
          <w:rFonts w:hint="default" w:ascii="Times New Roman" w:hAnsi="Times New Roman" w:eastAsia="宋体" w:cs="Times New Roman"/>
          <w:bCs/>
          <w:color w:val="000000"/>
          <w:sz w:val="24"/>
          <w:szCs w:val="24"/>
          <w:highlight w:val="none"/>
          <w:lang w:eastAsia="zh-CN"/>
        </w:rPr>
        <w:t>》</w:t>
      </w:r>
      <w:r>
        <w:rPr>
          <w:rFonts w:hint="eastAsia" w:eastAsia="宋体" w:cs="Times New Roman"/>
          <w:bCs/>
          <w:color w:val="000000"/>
          <w:sz w:val="24"/>
          <w:szCs w:val="24"/>
          <w:highlight w:val="none"/>
          <w:lang w:val="en-US" w:eastAsia="zh-CN"/>
        </w:rPr>
        <w:t>（HBHC检字（2025）第009号）</w:t>
      </w:r>
      <w:r>
        <w:rPr>
          <w:rFonts w:hint="eastAsia" w:eastAsia="宋体" w:cs="Times New Roman"/>
          <w:bCs/>
          <w:color w:val="000000"/>
          <w:sz w:val="24"/>
          <w:szCs w:val="24"/>
          <w:highlight w:val="none"/>
          <w:lang w:eastAsia="zh-CN"/>
        </w:rPr>
        <w:t>；</w:t>
      </w:r>
    </w:p>
    <w:p w14:paraId="6C8C14E6">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2.2评价内容</w:t>
      </w:r>
    </w:p>
    <w:p w14:paraId="57E6AD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运</w:t>
      </w:r>
      <w:r>
        <w:rPr>
          <w:rFonts w:hint="default" w:ascii="Times New Roman" w:hAnsi="Times New Roman" w:eastAsia="宋体" w:cs="Times New Roman"/>
          <w:bCs/>
          <w:color w:val="000000"/>
          <w:sz w:val="24"/>
          <w:szCs w:val="24"/>
          <w:highlight w:val="none"/>
          <w:lang w:eastAsia="zh-CN"/>
        </w:rPr>
        <w:t>行</w:t>
      </w:r>
      <w:r>
        <w:rPr>
          <w:rFonts w:hint="default" w:ascii="Times New Roman" w:hAnsi="Times New Roman" w:eastAsia="宋体" w:cs="Times New Roman"/>
          <w:bCs/>
          <w:color w:val="000000"/>
          <w:sz w:val="24"/>
          <w:szCs w:val="24"/>
          <w:highlight w:val="none"/>
        </w:rPr>
        <w:t>期主要考虑电磁方面的内容。</w:t>
      </w:r>
    </w:p>
    <w:p w14:paraId="6C59599F">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2.3评价因子</w:t>
      </w:r>
    </w:p>
    <w:p w14:paraId="2002FBE3">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
          <w:bCs w:val="0"/>
          <w:color w:val="000000"/>
          <w:sz w:val="21"/>
          <w:szCs w:val="21"/>
          <w:highlight w:val="none"/>
        </w:rPr>
        <w:t>表</w:t>
      </w:r>
      <w:r>
        <w:rPr>
          <w:rFonts w:hint="default" w:ascii="Times New Roman" w:hAnsi="Times New Roman" w:eastAsia="宋体" w:cs="Times New Roman"/>
          <w:b/>
          <w:bCs w:val="0"/>
          <w:color w:val="000000"/>
          <w:sz w:val="21"/>
          <w:szCs w:val="21"/>
          <w:highlight w:val="none"/>
          <w:lang w:val="en-US" w:eastAsia="zh-CN"/>
        </w:rPr>
        <w:t xml:space="preserve">2-1 </w:t>
      </w:r>
      <w:r>
        <w:rPr>
          <w:rFonts w:hint="default" w:ascii="Times New Roman" w:hAnsi="Times New Roman" w:eastAsia="宋体" w:cs="Times New Roman"/>
          <w:b/>
          <w:bCs w:val="0"/>
          <w:color w:val="000000"/>
          <w:sz w:val="21"/>
          <w:szCs w:val="21"/>
          <w:highlight w:val="none"/>
        </w:rPr>
        <w:t xml:space="preserve"> 主要环境影响评价因子汇总表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276"/>
        <w:gridCol w:w="1762"/>
        <w:gridCol w:w="1368"/>
        <w:gridCol w:w="1853"/>
        <w:gridCol w:w="1370"/>
      </w:tblGrid>
      <w:tr w14:paraId="0B96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37" w:type="pct"/>
            <w:vAlign w:val="center"/>
          </w:tcPr>
          <w:p w14:paraId="3DAD1DB0">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评价阶段</w:t>
            </w:r>
          </w:p>
        </w:tc>
        <w:tc>
          <w:tcPr>
            <w:tcW w:w="729" w:type="pct"/>
            <w:vAlign w:val="center"/>
          </w:tcPr>
          <w:p w14:paraId="5EDE9CE3">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评价项目</w:t>
            </w:r>
          </w:p>
        </w:tc>
        <w:tc>
          <w:tcPr>
            <w:tcW w:w="1007" w:type="pct"/>
            <w:vAlign w:val="center"/>
          </w:tcPr>
          <w:p w14:paraId="6667F56E">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现状评价因子</w:t>
            </w:r>
          </w:p>
        </w:tc>
        <w:tc>
          <w:tcPr>
            <w:tcW w:w="782" w:type="pct"/>
            <w:vAlign w:val="center"/>
          </w:tcPr>
          <w:p w14:paraId="4789CC65">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单位</w:t>
            </w:r>
          </w:p>
        </w:tc>
        <w:tc>
          <w:tcPr>
            <w:tcW w:w="1059" w:type="pct"/>
            <w:vAlign w:val="center"/>
          </w:tcPr>
          <w:p w14:paraId="33656EB3">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预测评价因子</w:t>
            </w:r>
          </w:p>
        </w:tc>
        <w:tc>
          <w:tcPr>
            <w:tcW w:w="783" w:type="pct"/>
            <w:vAlign w:val="center"/>
          </w:tcPr>
          <w:p w14:paraId="329BD719">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单位</w:t>
            </w:r>
          </w:p>
        </w:tc>
      </w:tr>
      <w:tr w14:paraId="7B86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7" w:type="pct"/>
            <w:vMerge w:val="restart"/>
            <w:vAlign w:val="center"/>
          </w:tcPr>
          <w:p w14:paraId="1410ED4E">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运行期</w:t>
            </w:r>
          </w:p>
        </w:tc>
        <w:tc>
          <w:tcPr>
            <w:tcW w:w="729" w:type="pct"/>
            <w:vMerge w:val="restart"/>
            <w:vAlign w:val="center"/>
          </w:tcPr>
          <w:p w14:paraId="4D60EAB1">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电磁环境</w:t>
            </w:r>
          </w:p>
        </w:tc>
        <w:tc>
          <w:tcPr>
            <w:tcW w:w="1007" w:type="pct"/>
            <w:vAlign w:val="center"/>
          </w:tcPr>
          <w:p w14:paraId="3929B7A4">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工频电场</w:t>
            </w:r>
          </w:p>
        </w:tc>
        <w:tc>
          <w:tcPr>
            <w:tcW w:w="782" w:type="pct"/>
            <w:vAlign w:val="center"/>
          </w:tcPr>
          <w:p w14:paraId="0532DC1C">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kV/m</w:t>
            </w:r>
          </w:p>
        </w:tc>
        <w:tc>
          <w:tcPr>
            <w:tcW w:w="1059" w:type="pct"/>
            <w:vAlign w:val="center"/>
          </w:tcPr>
          <w:p w14:paraId="2D76773D">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工频电场</w:t>
            </w:r>
          </w:p>
        </w:tc>
        <w:tc>
          <w:tcPr>
            <w:tcW w:w="783" w:type="pct"/>
            <w:vAlign w:val="center"/>
          </w:tcPr>
          <w:p w14:paraId="562705C1">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kV/m</w:t>
            </w:r>
          </w:p>
        </w:tc>
      </w:tr>
      <w:tr w14:paraId="185D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7" w:type="pct"/>
            <w:vMerge w:val="continue"/>
            <w:vAlign w:val="center"/>
          </w:tcPr>
          <w:p w14:paraId="40A00033">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p>
        </w:tc>
        <w:tc>
          <w:tcPr>
            <w:tcW w:w="729" w:type="pct"/>
            <w:vMerge w:val="continue"/>
            <w:vAlign w:val="center"/>
          </w:tcPr>
          <w:p w14:paraId="6B209FE3">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p>
        </w:tc>
        <w:tc>
          <w:tcPr>
            <w:tcW w:w="1007" w:type="pct"/>
            <w:vAlign w:val="center"/>
          </w:tcPr>
          <w:p w14:paraId="4DDB890D">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工频磁场</w:t>
            </w:r>
          </w:p>
        </w:tc>
        <w:tc>
          <w:tcPr>
            <w:tcW w:w="782" w:type="pct"/>
            <w:vAlign w:val="center"/>
          </w:tcPr>
          <w:p w14:paraId="439DD812">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μT</w:t>
            </w:r>
          </w:p>
        </w:tc>
        <w:tc>
          <w:tcPr>
            <w:tcW w:w="1059" w:type="pct"/>
            <w:vAlign w:val="center"/>
          </w:tcPr>
          <w:p w14:paraId="6AD37CA5">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工频磁场</w:t>
            </w:r>
          </w:p>
        </w:tc>
        <w:tc>
          <w:tcPr>
            <w:tcW w:w="783" w:type="pct"/>
            <w:vAlign w:val="center"/>
          </w:tcPr>
          <w:p w14:paraId="25FF61D1">
            <w:pPr>
              <w:keepNext w:val="0"/>
              <w:keepLines w:val="0"/>
              <w:pageBreakBefore w:val="0"/>
              <w:widowControl w:val="0"/>
              <w:kinsoku/>
              <w:wordWrap/>
              <w:overflowPunct/>
              <w:topLinePunct w:val="0"/>
              <w:autoSpaceDE w:val="0"/>
              <w:autoSpaceDN w:val="0"/>
              <w:bidi w:val="0"/>
              <w:adjustRightInd/>
              <w:snapToGrid/>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μT</w:t>
            </w:r>
          </w:p>
        </w:tc>
      </w:tr>
    </w:tbl>
    <w:p w14:paraId="1F115113">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2.4评价工作等级</w:t>
      </w:r>
    </w:p>
    <w:p w14:paraId="5BD4B31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b w:val="0"/>
          <w:bCs w:val="0"/>
          <w:color w:val="000000"/>
          <w:spacing w:val="0"/>
          <w:sz w:val="24"/>
          <w:szCs w:val="24"/>
          <w:highlight w:val="none"/>
          <w:vertAlign w:val="baseline"/>
          <w:lang w:val="en-US" w:eastAsia="zh-CN"/>
        </w:rPr>
      </w:pPr>
      <w:r>
        <w:rPr>
          <w:rFonts w:hint="default" w:ascii="Times New Roman" w:hAnsi="Times New Roman" w:eastAsia="宋体" w:cs="Times New Roman"/>
          <w:b w:val="0"/>
          <w:bCs w:val="0"/>
          <w:color w:val="000000"/>
          <w:spacing w:val="0"/>
          <w:sz w:val="24"/>
          <w:szCs w:val="24"/>
          <w:highlight w:val="none"/>
          <w:vertAlign w:val="baseline"/>
          <w:lang w:val="en-US" w:eastAsia="zh-CN"/>
        </w:rPr>
        <w:t>本项目</w:t>
      </w:r>
      <w:r>
        <w:rPr>
          <w:rFonts w:hint="eastAsia" w:eastAsia="宋体" w:cs="Times New Roman"/>
          <w:b w:val="0"/>
          <w:bCs w:val="0"/>
          <w:color w:val="000000"/>
          <w:spacing w:val="0"/>
          <w:sz w:val="24"/>
          <w:szCs w:val="24"/>
          <w:highlight w:val="none"/>
          <w:vertAlign w:val="baseline"/>
          <w:lang w:val="en-US" w:eastAsia="zh-CN"/>
        </w:rPr>
        <w:t>单回架空</w:t>
      </w:r>
      <w:r>
        <w:rPr>
          <w:rFonts w:hint="default" w:ascii="Times New Roman" w:hAnsi="Times New Roman" w:eastAsia="宋体" w:cs="Times New Roman"/>
          <w:b w:val="0"/>
          <w:bCs w:val="0"/>
          <w:color w:val="000000"/>
          <w:spacing w:val="0"/>
          <w:sz w:val="24"/>
          <w:szCs w:val="24"/>
          <w:highlight w:val="none"/>
          <w:vertAlign w:val="baseline"/>
          <w:lang w:val="en-US" w:eastAsia="zh-CN"/>
        </w:rPr>
        <w:t>输电线路电压等级为</w:t>
      </w:r>
      <w:r>
        <w:rPr>
          <w:rFonts w:hint="eastAsia" w:eastAsia="宋体" w:cs="Times New Roman"/>
          <w:b w:val="0"/>
          <w:bCs w:val="0"/>
          <w:color w:val="000000"/>
          <w:spacing w:val="0"/>
          <w:sz w:val="24"/>
          <w:szCs w:val="24"/>
          <w:highlight w:val="none"/>
          <w:vertAlign w:val="baseline"/>
          <w:lang w:val="en-US" w:eastAsia="zh-CN"/>
        </w:rPr>
        <w:t>11</w:t>
      </w:r>
      <w:r>
        <w:rPr>
          <w:rFonts w:hint="default" w:ascii="Times New Roman" w:hAnsi="Times New Roman" w:eastAsia="宋体" w:cs="Times New Roman"/>
          <w:b w:val="0"/>
          <w:bCs w:val="0"/>
          <w:color w:val="000000"/>
          <w:spacing w:val="0"/>
          <w:sz w:val="24"/>
          <w:szCs w:val="24"/>
          <w:highlight w:val="none"/>
          <w:vertAlign w:val="baseline"/>
          <w:lang w:val="en-US" w:eastAsia="zh-CN"/>
        </w:rPr>
        <w:t>0kV，边导线地面投影外两侧各</w:t>
      </w:r>
      <w:r>
        <w:rPr>
          <w:rFonts w:hint="eastAsia" w:eastAsia="宋体" w:cs="Times New Roman"/>
          <w:b w:val="0"/>
          <w:bCs w:val="0"/>
          <w:color w:val="000000"/>
          <w:spacing w:val="0"/>
          <w:sz w:val="24"/>
          <w:szCs w:val="24"/>
          <w:highlight w:val="none"/>
          <w:vertAlign w:val="baseline"/>
          <w:lang w:val="en-US" w:eastAsia="zh-CN"/>
        </w:rPr>
        <w:t>10</w:t>
      </w:r>
      <w:r>
        <w:rPr>
          <w:rFonts w:hint="default" w:ascii="Times New Roman" w:hAnsi="Times New Roman" w:eastAsia="宋体" w:cs="Times New Roman"/>
          <w:b w:val="0"/>
          <w:bCs w:val="0"/>
          <w:color w:val="000000"/>
          <w:spacing w:val="0"/>
          <w:sz w:val="24"/>
          <w:szCs w:val="24"/>
          <w:highlight w:val="none"/>
          <w:vertAlign w:val="baseline"/>
          <w:lang w:val="en-US" w:eastAsia="zh-CN"/>
        </w:rPr>
        <w:t>m范围内</w:t>
      </w:r>
      <w:r>
        <w:rPr>
          <w:rFonts w:hint="eastAsia" w:eastAsia="宋体" w:cs="Times New Roman"/>
          <w:b w:val="0"/>
          <w:bCs w:val="0"/>
          <w:color w:val="000000"/>
          <w:spacing w:val="0"/>
          <w:sz w:val="24"/>
          <w:szCs w:val="24"/>
          <w:highlight w:val="none"/>
          <w:vertAlign w:val="baseline"/>
          <w:lang w:val="en-US" w:eastAsia="zh-CN"/>
        </w:rPr>
        <w:t>有</w:t>
      </w:r>
      <w:r>
        <w:rPr>
          <w:rFonts w:hint="default" w:ascii="Times New Roman" w:hAnsi="Times New Roman" w:eastAsia="宋体" w:cs="Times New Roman"/>
          <w:b w:val="0"/>
          <w:bCs w:val="0"/>
          <w:color w:val="000000"/>
          <w:spacing w:val="0"/>
          <w:sz w:val="24"/>
          <w:szCs w:val="24"/>
          <w:highlight w:val="none"/>
          <w:vertAlign w:val="baseline"/>
          <w:lang w:val="en-US" w:eastAsia="zh-CN"/>
        </w:rPr>
        <w:t>电磁环境敏感目标，根据《环境影响评价技术导则 输变电》（HJ24-2020）中表2可知，输电线路电磁环境评价工作等级为</w:t>
      </w:r>
      <w:r>
        <w:rPr>
          <w:rFonts w:hint="eastAsia" w:eastAsia="宋体" w:cs="Times New Roman"/>
          <w:b w:val="0"/>
          <w:bCs w:val="0"/>
          <w:color w:val="000000"/>
          <w:spacing w:val="0"/>
          <w:sz w:val="24"/>
          <w:szCs w:val="24"/>
          <w:highlight w:val="none"/>
          <w:vertAlign w:val="baseline"/>
          <w:lang w:val="en-US" w:eastAsia="zh-CN"/>
        </w:rPr>
        <w:t>二</w:t>
      </w:r>
      <w:r>
        <w:rPr>
          <w:rFonts w:hint="default" w:ascii="Times New Roman" w:hAnsi="Times New Roman" w:eastAsia="宋体" w:cs="Times New Roman"/>
          <w:b w:val="0"/>
          <w:bCs w:val="0"/>
          <w:color w:val="000000"/>
          <w:spacing w:val="0"/>
          <w:sz w:val="24"/>
          <w:szCs w:val="24"/>
          <w:highlight w:val="none"/>
          <w:vertAlign w:val="baseline"/>
          <w:lang w:val="en-US" w:eastAsia="zh-CN"/>
        </w:rPr>
        <w:t>级。</w:t>
      </w:r>
    </w:p>
    <w:p w14:paraId="536FD587">
      <w:pPr>
        <w:keepNext w:val="0"/>
        <w:keepLines w:val="0"/>
        <w:pageBreakBefore w:val="0"/>
        <w:widowControl w:val="0"/>
        <w:kinsoku/>
        <w:wordWrap/>
        <w:overflowPunct/>
        <w:topLinePunct w:val="0"/>
        <w:autoSpaceDE/>
        <w:autoSpaceDN/>
        <w:bidi w:val="0"/>
        <w:spacing w:line="440" w:lineRule="exact"/>
        <w:ind w:firstLine="600" w:firstLineChars="25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t>评价等级见表</w:t>
      </w:r>
      <w:r>
        <w:rPr>
          <w:rFonts w:hint="default" w:ascii="Times New Roman" w:hAnsi="Times New Roman" w:eastAsia="宋体" w:cs="Times New Roman"/>
          <w:bCs/>
          <w:color w:val="000000"/>
          <w:sz w:val="24"/>
          <w:szCs w:val="24"/>
          <w:highlight w:val="none"/>
          <w:lang w:val="en-US" w:eastAsia="zh-CN"/>
        </w:rPr>
        <w:t>2-2</w:t>
      </w:r>
      <w:r>
        <w:rPr>
          <w:rFonts w:hint="default" w:ascii="Times New Roman" w:hAnsi="Times New Roman" w:eastAsia="宋体" w:cs="Times New Roman"/>
          <w:bCs/>
          <w:color w:val="000000"/>
          <w:sz w:val="24"/>
          <w:szCs w:val="24"/>
          <w:highlight w:val="none"/>
        </w:rPr>
        <w:t>。</w:t>
      </w:r>
    </w:p>
    <w:p w14:paraId="3B444441">
      <w:pPr>
        <w:keepNext w:val="0"/>
        <w:keepLines w:val="0"/>
        <w:pageBreakBefore w:val="0"/>
        <w:widowControl w:val="0"/>
        <w:kinsoku/>
        <w:wordWrap/>
        <w:overflowPunct/>
        <w:topLinePunct w:val="0"/>
        <w:autoSpaceDE/>
        <w:autoSpaceDN/>
        <w:bidi w:val="0"/>
        <w:spacing w:line="440" w:lineRule="exact"/>
        <w:ind w:left="0" w:leftChars="0" w:firstLine="0" w:firstLineChars="0"/>
        <w:jc w:val="center"/>
        <w:textAlignment w:val="auto"/>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表</w:t>
      </w:r>
      <w:r>
        <w:rPr>
          <w:rFonts w:hint="default" w:ascii="Times New Roman" w:hAnsi="Times New Roman" w:eastAsia="宋体" w:cs="Times New Roman"/>
          <w:b/>
          <w:bCs w:val="0"/>
          <w:color w:val="000000"/>
          <w:sz w:val="21"/>
          <w:szCs w:val="21"/>
          <w:highlight w:val="none"/>
          <w:lang w:val="en-US" w:eastAsia="zh-CN"/>
        </w:rPr>
        <w:t xml:space="preserve">2-2  </w:t>
      </w:r>
      <w:r>
        <w:rPr>
          <w:rFonts w:hint="default" w:ascii="Times New Roman" w:hAnsi="Times New Roman" w:eastAsia="宋体" w:cs="Times New Roman"/>
          <w:b/>
          <w:bCs w:val="0"/>
          <w:color w:val="000000"/>
          <w:sz w:val="21"/>
          <w:szCs w:val="21"/>
          <w:highlight w:val="none"/>
        </w:rPr>
        <w:t>本项目评价工作等级</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2"/>
        <w:gridCol w:w="2034"/>
        <w:gridCol w:w="3695"/>
      </w:tblGrid>
      <w:tr w14:paraId="0F90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23" w:type="pct"/>
            <w:vAlign w:val="center"/>
          </w:tcPr>
          <w:p w14:paraId="65805B14">
            <w:pPr>
              <w:keepNext w:val="0"/>
              <w:keepLines w:val="0"/>
              <w:pageBreakBefore w:val="0"/>
              <w:widowControl w:val="0"/>
              <w:tabs>
                <w:tab w:val="left" w:pos="1630"/>
              </w:tabs>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评价项目</w:t>
            </w:r>
          </w:p>
        </w:tc>
        <w:tc>
          <w:tcPr>
            <w:tcW w:w="1163" w:type="pct"/>
            <w:vAlign w:val="center"/>
          </w:tcPr>
          <w:p w14:paraId="13C36F9E">
            <w:pPr>
              <w:keepNext w:val="0"/>
              <w:keepLines w:val="0"/>
              <w:pageBreakBefore w:val="0"/>
              <w:widowControl w:val="0"/>
              <w:tabs>
                <w:tab w:val="left" w:pos="1630"/>
              </w:tabs>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评价工作等级</w:t>
            </w:r>
          </w:p>
        </w:tc>
        <w:tc>
          <w:tcPr>
            <w:tcW w:w="2113" w:type="pct"/>
            <w:vAlign w:val="center"/>
          </w:tcPr>
          <w:p w14:paraId="0F31A09C">
            <w:pPr>
              <w:keepNext w:val="0"/>
              <w:keepLines w:val="0"/>
              <w:pageBreakBefore w:val="0"/>
              <w:widowControl w:val="0"/>
              <w:tabs>
                <w:tab w:val="left" w:pos="1630"/>
              </w:tabs>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标准依据</w:t>
            </w:r>
          </w:p>
        </w:tc>
      </w:tr>
      <w:tr w14:paraId="1FE6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23" w:type="pct"/>
            <w:vAlign w:val="center"/>
          </w:tcPr>
          <w:p w14:paraId="68F4F049">
            <w:pPr>
              <w:keepNext w:val="0"/>
              <w:keepLines w:val="0"/>
              <w:pageBreakBefore w:val="0"/>
              <w:widowControl w:val="0"/>
              <w:tabs>
                <w:tab w:val="left" w:pos="1630"/>
              </w:tabs>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eastAsia" w:eastAsia="宋体" w:cs="Times New Roman"/>
                <w:bCs/>
                <w:color w:val="000000"/>
                <w:sz w:val="21"/>
                <w:szCs w:val="21"/>
                <w:highlight w:val="none"/>
                <w:lang w:val="en-US" w:eastAsia="zh-CN"/>
              </w:rPr>
              <w:t>110kV</w:t>
            </w:r>
            <w:r>
              <w:rPr>
                <w:rFonts w:hint="default" w:ascii="Times New Roman" w:hAnsi="Times New Roman" w:eastAsia="宋体" w:cs="Times New Roman"/>
                <w:bCs/>
                <w:color w:val="000000"/>
                <w:sz w:val="21"/>
                <w:szCs w:val="21"/>
                <w:highlight w:val="none"/>
              </w:rPr>
              <w:t>输电线路电磁环境</w:t>
            </w:r>
          </w:p>
        </w:tc>
        <w:tc>
          <w:tcPr>
            <w:tcW w:w="1163" w:type="pct"/>
            <w:vAlign w:val="center"/>
          </w:tcPr>
          <w:p w14:paraId="2E600490">
            <w:pPr>
              <w:keepNext w:val="0"/>
              <w:keepLines w:val="0"/>
              <w:pageBreakBefore w:val="0"/>
              <w:widowControl w:val="0"/>
              <w:tabs>
                <w:tab w:val="left" w:pos="1630"/>
              </w:tabs>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eastAsia" w:eastAsia="宋体" w:cs="Times New Roman"/>
                <w:bCs/>
                <w:color w:val="000000"/>
                <w:sz w:val="21"/>
                <w:szCs w:val="21"/>
                <w:highlight w:val="none"/>
                <w:lang w:val="en-US" w:eastAsia="zh-CN"/>
              </w:rPr>
              <w:t>二</w:t>
            </w:r>
            <w:r>
              <w:rPr>
                <w:rFonts w:hint="default" w:ascii="Times New Roman" w:hAnsi="Times New Roman" w:eastAsia="宋体" w:cs="Times New Roman"/>
                <w:bCs/>
                <w:color w:val="000000"/>
                <w:sz w:val="21"/>
                <w:szCs w:val="21"/>
                <w:highlight w:val="none"/>
              </w:rPr>
              <w:t>级</w:t>
            </w:r>
          </w:p>
        </w:tc>
        <w:tc>
          <w:tcPr>
            <w:tcW w:w="2113" w:type="pct"/>
            <w:vAlign w:val="center"/>
          </w:tcPr>
          <w:p w14:paraId="3B05772A">
            <w:pPr>
              <w:keepNext w:val="0"/>
              <w:keepLines w:val="0"/>
              <w:pageBreakBefore w:val="0"/>
              <w:widowControl w:val="0"/>
              <w:tabs>
                <w:tab w:val="left" w:pos="1630"/>
              </w:tabs>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《环境影响评价技术导则</w:t>
            </w:r>
            <w:r>
              <w:rPr>
                <w:rFonts w:hint="eastAsia" w:eastAsia="宋体" w:cs="Times New Roman"/>
                <w:bCs/>
                <w:color w:val="000000"/>
                <w:sz w:val="21"/>
                <w:szCs w:val="21"/>
                <w:highlight w:val="none"/>
                <w:lang w:val="en-US" w:eastAsia="zh-CN"/>
              </w:rPr>
              <w:t xml:space="preserve"> </w:t>
            </w:r>
            <w:r>
              <w:rPr>
                <w:rFonts w:hint="default" w:ascii="Times New Roman" w:hAnsi="Times New Roman" w:eastAsia="宋体" w:cs="Times New Roman"/>
                <w:bCs/>
                <w:color w:val="000000"/>
                <w:sz w:val="21"/>
                <w:szCs w:val="21"/>
                <w:highlight w:val="none"/>
              </w:rPr>
              <w:t>输变电》（HJ24</w:t>
            </w:r>
            <w:r>
              <w:rPr>
                <w:rFonts w:hint="eastAsia" w:eastAsia="宋体" w:cs="Times New Roman"/>
                <w:bCs/>
                <w:color w:val="000000"/>
                <w:sz w:val="21"/>
                <w:szCs w:val="21"/>
                <w:highlight w:val="none"/>
                <w:lang w:val="en-US" w:eastAsia="zh-CN"/>
              </w:rPr>
              <w:t>-</w:t>
            </w:r>
            <w:r>
              <w:rPr>
                <w:rFonts w:hint="default" w:ascii="Times New Roman" w:hAnsi="Times New Roman" w:eastAsia="宋体" w:cs="Times New Roman"/>
                <w:bCs/>
                <w:color w:val="000000"/>
                <w:sz w:val="21"/>
                <w:szCs w:val="21"/>
                <w:highlight w:val="none"/>
              </w:rPr>
              <w:t>2020）</w:t>
            </w:r>
          </w:p>
        </w:tc>
      </w:tr>
    </w:tbl>
    <w:p w14:paraId="0FFE6646">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2.5评价范围</w:t>
      </w:r>
    </w:p>
    <w:p w14:paraId="1A088AE7">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eastAsia" w:eastAsia="宋体" w:cs="Times New Roman"/>
          <w:bCs/>
          <w:color w:val="000000"/>
          <w:sz w:val="24"/>
          <w:szCs w:val="24"/>
          <w:highlight w:val="none"/>
          <w:lang w:val="en-US" w:eastAsia="zh-CN"/>
        </w:rPr>
        <w:t>本项目架空输电线路</w:t>
      </w:r>
      <w:r>
        <w:rPr>
          <w:rFonts w:hint="default" w:ascii="Times New Roman" w:hAnsi="Times New Roman" w:eastAsia="宋体" w:cs="Times New Roman"/>
          <w:bCs/>
          <w:color w:val="000000"/>
          <w:sz w:val="24"/>
          <w:szCs w:val="24"/>
          <w:highlight w:val="none"/>
          <w:lang w:eastAsia="zh-CN"/>
        </w:rPr>
        <w:t>电磁环境影响评价范围为边导线地面投影外两侧各</w:t>
      </w:r>
      <w:r>
        <w:rPr>
          <w:rFonts w:hint="eastAsia" w:eastAsia="宋体" w:cs="Times New Roman"/>
          <w:bCs/>
          <w:color w:val="000000"/>
          <w:sz w:val="24"/>
          <w:szCs w:val="24"/>
          <w:highlight w:val="none"/>
          <w:lang w:val="en-US" w:eastAsia="zh-CN"/>
        </w:rPr>
        <w:t>3</w:t>
      </w:r>
      <w:r>
        <w:rPr>
          <w:rFonts w:hint="default" w:ascii="Times New Roman" w:hAnsi="Times New Roman" w:eastAsia="宋体" w:cs="Times New Roman"/>
          <w:bCs/>
          <w:color w:val="000000"/>
          <w:sz w:val="24"/>
          <w:szCs w:val="24"/>
          <w:highlight w:val="none"/>
          <w:lang w:eastAsia="zh-CN"/>
        </w:rPr>
        <w:t>0m内带状区域</w:t>
      </w:r>
      <w:r>
        <w:rPr>
          <w:rFonts w:hint="default" w:ascii="Times New Roman" w:hAnsi="Times New Roman" w:eastAsia="宋体" w:cs="Times New Roman"/>
          <w:bCs/>
          <w:color w:val="000000"/>
          <w:sz w:val="24"/>
          <w:szCs w:val="24"/>
          <w:highlight w:val="none"/>
        </w:rPr>
        <w:t>。</w:t>
      </w:r>
    </w:p>
    <w:p w14:paraId="32E456A6">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2.6评价标准</w:t>
      </w:r>
    </w:p>
    <w:p w14:paraId="23F49540">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lang w:eastAsia="zh-CN"/>
        </w:rPr>
      </w:pPr>
      <w:r>
        <w:rPr>
          <w:rFonts w:hint="default" w:ascii="Times New Roman" w:hAnsi="Times New Roman" w:eastAsia="宋体" w:cs="Times New Roman"/>
          <w:color w:val="000000"/>
          <w:sz w:val="24"/>
          <w:szCs w:val="22"/>
          <w:highlight w:val="none"/>
          <w:lang w:eastAsia="zh-CN"/>
        </w:rPr>
        <w:t>运行期</w:t>
      </w:r>
      <w:r>
        <w:rPr>
          <w:rFonts w:hint="eastAsia" w:eastAsia="宋体" w:cs="Times New Roman"/>
          <w:color w:val="000000"/>
          <w:sz w:val="24"/>
          <w:szCs w:val="22"/>
          <w:highlight w:val="none"/>
          <w:lang w:val="en-US" w:eastAsia="zh-CN"/>
        </w:rPr>
        <w:t>送出线路周边</w:t>
      </w:r>
      <w:r>
        <w:rPr>
          <w:rFonts w:hint="default" w:ascii="Times New Roman" w:hAnsi="Times New Roman" w:eastAsia="宋体" w:cs="Times New Roman"/>
          <w:color w:val="000000"/>
          <w:sz w:val="24"/>
          <w:szCs w:val="22"/>
          <w:highlight w:val="none"/>
        </w:rPr>
        <w:t>工频电场强度、工频磁感应强度执行《电磁环境控制限值》(GB8702-2014</w:t>
      </w:r>
      <w:r>
        <w:rPr>
          <w:rFonts w:hint="default" w:ascii="Times New Roman" w:hAnsi="Times New Roman"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中规定的4kV/m和100μT的公众曝露控制限制要求</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2"/>
          <w:highlight w:val="none"/>
        </w:rPr>
        <w:t>其中架空输电线路线下的耕地、园地、</w:t>
      </w:r>
      <w:r>
        <w:rPr>
          <w:rFonts w:hint="eastAsia" w:ascii="Times New Roman" w:hAnsi="Times New Roman" w:eastAsia="宋体" w:cs="Times New Roman"/>
          <w:color w:val="000000"/>
          <w:sz w:val="24"/>
          <w:szCs w:val="22"/>
          <w:highlight w:val="none"/>
          <w:lang w:val="en-US" w:eastAsia="zh-CN"/>
        </w:rPr>
        <w:t>牧草地、</w:t>
      </w:r>
      <w:r>
        <w:rPr>
          <w:rFonts w:hint="default" w:ascii="Times New Roman" w:hAnsi="Times New Roman" w:eastAsia="宋体" w:cs="Times New Roman"/>
          <w:color w:val="000000"/>
          <w:sz w:val="24"/>
          <w:szCs w:val="22"/>
          <w:highlight w:val="none"/>
        </w:rPr>
        <w:t>道路等场所，其频率50Hz的电场强度控制限值为10kV/m</w:t>
      </w:r>
      <w:r>
        <w:rPr>
          <w:rFonts w:hint="eastAsia" w:ascii="Times New Roman" w:hAnsi="Times New Roman" w:eastAsia="宋体" w:cs="Times New Roman"/>
          <w:color w:val="000000"/>
          <w:sz w:val="24"/>
          <w:szCs w:val="22"/>
          <w:highlight w:val="none"/>
          <w:lang w:eastAsia="zh-CN"/>
        </w:rPr>
        <w:t>，</w:t>
      </w:r>
      <w:r>
        <w:rPr>
          <w:rFonts w:hint="eastAsia" w:ascii="Times New Roman" w:hAnsi="Times New Roman" w:eastAsia="宋体" w:cs="Times New Roman"/>
          <w:color w:val="000000"/>
          <w:sz w:val="24"/>
          <w:szCs w:val="22"/>
          <w:highlight w:val="none"/>
          <w:lang w:val="en-US" w:eastAsia="zh-CN"/>
        </w:rPr>
        <w:t>且应给出警示和防护指示标志</w:t>
      </w:r>
      <w:r>
        <w:rPr>
          <w:rFonts w:hint="default" w:ascii="Times New Roman" w:hAnsi="Times New Roman" w:eastAsia="宋体" w:cs="Times New Roman"/>
          <w:color w:val="000000"/>
          <w:sz w:val="24"/>
          <w:szCs w:val="22"/>
          <w:highlight w:val="none"/>
          <w:lang w:eastAsia="zh-CN"/>
        </w:rPr>
        <w:t>。</w:t>
      </w:r>
    </w:p>
    <w:p w14:paraId="39B50936">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cs="Times New Roman"/>
          <w:color w:val="000000"/>
          <w:sz w:val="24"/>
          <w:szCs w:val="22"/>
          <w:highlight w:val="none"/>
        </w:rPr>
      </w:pPr>
      <w:r>
        <w:rPr>
          <w:rFonts w:hint="default" w:ascii="Times New Roman" w:hAnsi="Times New Roman" w:eastAsia="宋体" w:cs="Times New Roman"/>
          <w:color w:val="000000"/>
          <w:sz w:val="24"/>
          <w:szCs w:val="24"/>
          <w:highlight w:val="none"/>
          <w:lang w:val="en-US" w:eastAsia="zh-CN"/>
        </w:rPr>
        <w:t>送出线路</w:t>
      </w:r>
      <w:r>
        <w:rPr>
          <w:rFonts w:hint="eastAsia" w:eastAsia="宋体" w:cs="Times New Roman"/>
          <w:color w:val="000000"/>
          <w:sz w:val="24"/>
          <w:szCs w:val="24"/>
          <w:highlight w:val="none"/>
          <w:lang w:val="en-US" w:eastAsia="zh-CN"/>
        </w:rPr>
        <w:t>电磁</w:t>
      </w:r>
      <w:r>
        <w:rPr>
          <w:rFonts w:hint="eastAsia" w:ascii="Times New Roman" w:hAnsi="Times New Roman" w:eastAsia="宋体" w:cs="Times New Roman"/>
          <w:color w:val="000000"/>
          <w:sz w:val="24"/>
          <w:szCs w:val="22"/>
          <w:highlight w:val="none"/>
          <w:lang w:val="en-US" w:eastAsia="zh-CN"/>
        </w:rPr>
        <w:t>环境敏感目标处</w:t>
      </w:r>
      <w:r>
        <w:rPr>
          <w:rFonts w:hint="default" w:ascii="Times New Roman" w:hAnsi="Times New Roman" w:eastAsia="宋体" w:cs="Times New Roman"/>
          <w:color w:val="000000"/>
          <w:sz w:val="24"/>
          <w:szCs w:val="22"/>
          <w:highlight w:val="none"/>
        </w:rPr>
        <w:t>工频电场强度、工频磁感应强度执行《电磁环境控制限值》(GB8702-2014</w:t>
      </w:r>
      <w:r>
        <w:rPr>
          <w:rFonts w:hint="default" w:ascii="Times New Roman" w:hAnsi="Times New Roman"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中规定的4kV/m和100μT的公众曝露控制限制要求</w:t>
      </w:r>
      <w:r>
        <w:rPr>
          <w:rFonts w:hint="eastAsia" w:eastAsia="宋体" w:cs="Times New Roman"/>
          <w:color w:val="000000"/>
          <w:sz w:val="24"/>
          <w:szCs w:val="22"/>
          <w:highlight w:val="none"/>
          <w:lang w:eastAsia="zh-CN"/>
        </w:rPr>
        <w:t>。</w:t>
      </w:r>
      <w:r>
        <w:rPr>
          <w:rFonts w:hint="default" w:ascii="Times New Roman" w:hAnsi="Times New Roman" w:cs="Times New Roman"/>
          <w:color w:val="000000"/>
          <w:sz w:val="24"/>
          <w:szCs w:val="22"/>
          <w:highlight w:val="none"/>
        </w:rPr>
        <w:t>以上采用评价标准限值详见表</w:t>
      </w:r>
      <w:r>
        <w:rPr>
          <w:rFonts w:hint="default" w:ascii="Times New Roman" w:hAnsi="Times New Roman" w:eastAsia="宋体" w:cs="Times New Roman"/>
          <w:color w:val="000000"/>
          <w:sz w:val="24"/>
          <w:szCs w:val="22"/>
          <w:highlight w:val="none"/>
          <w:lang w:val="en-US" w:eastAsia="zh-CN"/>
        </w:rPr>
        <w:t>2-3</w:t>
      </w:r>
      <w:r>
        <w:rPr>
          <w:rFonts w:hint="default" w:ascii="Times New Roman" w:hAnsi="Times New Roman" w:cs="Times New Roman"/>
          <w:color w:val="000000"/>
          <w:sz w:val="24"/>
          <w:szCs w:val="22"/>
          <w:highlight w:val="none"/>
        </w:rPr>
        <w:t>。</w:t>
      </w:r>
    </w:p>
    <w:p w14:paraId="489E439A">
      <w:pPr>
        <w:spacing w:line="440" w:lineRule="exact"/>
        <w:ind w:left="0" w:leftChars="0" w:firstLine="0" w:firstLineChars="0"/>
        <w:jc w:val="center"/>
        <w:rPr>
          <w:rFonts w:hint="default" w:ascii="Times New Roman" w:hAnsi="Times New Roman" w:eastAsia="宋体" w:cs="Times New Roman"/>
          <w:b/>
          <w:color w:val="000000"/>
          <w:sz w:val="21"/>
          <w:szCs w:val="21"/>
          <w:highlight w:val="none"/>
          <w:lang w:eastAsia="zh-CN"/>
        </w:rPr>
      </w:pPr>
      <w:r>
        <w:rPr>
          <w:rFonts w:hint="default" w:ascii="Times New Roman" w:hAnsi="Times New Roman"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2-3</w:t>
      </w:r>
      <w:r>
        <w:rPr>
          <w:rFonts w:hint="default" w:ascii="Times New Roman" w:hAnsi="Times New Roman" w:cs="Times New Roman"/>
          <w:b/>
          <w:color w:val="000000"/>
          <w:sz w:val="21"/>
          <w:szCs w:val="21"/>
          <w:highlight w:val="none"/>
        </w:rPr>
        <w:t xml:space="preserve">  评价标准</w:t>
      </w:r>
      <w:r>
        <w:rPr>
          <w:rFonts w:hint="default" w:ascii="Times New Roman" w:hAnsi="Times New Roman" w:eastAsia="宋体" w:cs="Times New Roman"/>
          <w:b/>
          <w:color w:val="000000"/>
          <w:sz w:val="21"/>
          <w:szCs w:val="21"/>
          <w:highlight w:val="none"/>
          <w:lang w:eastAsia="zh-CN"/>
        </w:rPr>
        <w:t>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376"/>
        <w:gridCol w:w="4571"/>
        <w:gridCol w:w="1648"/>
      </w:tblGrid>
      <w:tr w14:paraId="4A28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8" w:type="pct"/>
            <w:noWrap w:val="0"/>
            <w:tcMar>
              <w:top w:w="0" w:type="dxa"/>
              <w:left w:w="51" w:type="dxa"/>
              <w:bottom w:w="0" w:type="dxa"/>
              <w:right w:w="51" w:type="dxa"/>
            </w:tcMar>
            <w:vAlign w:val="center"/>
          </w:tcPr>
          <w:p w14:paraId="6FF2D98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项目</w:t>
            </w:r>
          </w:p>
        </w:tc>
        <w:tc>
          <w:tcPr>
            <w:tcW w:w="797" w:type="pct"/>
            <w:noWrap w:val="0"/>
            <w:tcMar>
              <w:top w:w="0" w:type="dxa"/>
              <w:left w:w="51" w:type="dxa"/>
              <w:bottom w:w="0" w:type="dxa"/>
              <w:right w:w="51" w:type="dxa"/>
            </w:tcMar>
            <w:vAlign w:val="center"/>
          </w:tcPr>
          <w:p w14:paraId="0FBA20F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污染物名称</w:t>
            </w:r>
          </w:p>
        </w:tc>
        <w:tc>
          <w:tcPr>
            <w:tcW w:w="2648" w:type="pct"/>
            <w:noWrap w:val="0"/>
            <w:tcMar>
              <w:top w:w="0" w:type="dxa"/>
              <w:left w:w="51" w:type="dxa"/>
              <w:bottom w:w="0" w:type="dxa"/>
              <w:right w:w="51" w:type="dxa"/>
            </w:tcMar>
            <w:vAlign w:val="center"/>
          </w:tcPr>
          <w:p w14:paraId="60A5A11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标准值</w:t>
            </w:r>
          </w:p>
        </w:tc>
        <w:tc>
          <w:tcPr>
            <w:tcW w:w="955" w:type="pct"/>
            <w:noWrap w:val="0"/>
            <w:tcMar>
              <w:top w:w="0" w:type="dxa"/>
              <w:left w:w="51" w:type="dxa"/>
              <w:bottom w:w="0" w:type="dxa"/>
              <w:right w:w="51" w:type="dxa"/>
            </w:tcMar>
            <w:vAlign w:val="center"/>
          </w:tcPr>
          <w:p w14:paraId="2B0240C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标准来源</w:t>
            </w:r>
          </w:p>
        </w:tc>
      </w:tr>
      <w:tr w14:paraId="150C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8" w:type="pct"/>
            <w:vMerge w:val="restart"/>
            <w:noWrap w:val="0"/>
            <w:tcMar>
              <w:top w:w="0" w:type="dxa"/>
              <w:left w:w="51" w:type="dxa"/>
              <w:bottom w:w="0" w:type="dxa"/>
              <w:right w:w="51" w:type="dxa"/>
            </w:tcMar>
            <w:vAlign w:val="center"/>
          </w:tcPr>
          <w:p w14:paraId="3B87664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hint="eastAsia" w:ascii="宋体" w:hAnsi="宋体" w:eastAsia="宋体" w:cs="Times New Roman"/>
                <w:color w:val="000000"/>
                <w:sz w:val="21"/>
                <w:szCs w:val="21"/>
                <w:highlight w:val="none"/>
                <w:lang w:val="en-US" w:eastAsia="zh-CN"/>
              </w:rPr>
              <w:t>送出线路周边</w:t>
            </w:r>
          </w:p>
        </w:tc>
        <w:tc>
          <w:tcPr>
            <w:tcW w:w="797" w:type="pct"/>
            <w:vMerge w:val="restart"/>
            <w:noWrap w:val="0"/>
            <w:tcMar>
              <w:top w:w="0" w:type="dxa"/>
              <w:left w:w="51" w:type="dxa"/>
              <w:bottom w:w="0" w:type="dxa"/>
              <w:right w:w="51" w:type="dxa"/>
            </w:tcMar>
            <w:vAlign w:val="center"/>
          </w:tcPr>
          <w:p w14:paraId="55FC364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工频电场</w:t>
            </w:r>
          </w:p>
        </w:tc>
        <w:tc>
          <w:tcPr>
            <w:tcW w:w="2648" w:type="pct"/>
            <w:noWrap w:val="0"/>
            <w:tcMar>
              <w:top w:w="0" w:type="dxa"/>
              <w:left w:w="51" w:type="dxa"/>
              <w:bottom w:w="0" w:type="dxa"/>
              <w:right w:w="51" w:type="dxa"/>
            </w:tcMar>
            <w:vAlign w:val="center"/>
          </w:tcPr>
          <w:p w14:paraId="58E2778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4kV/m</w:t>
            </w:r>
          </w:p>
        </w:tc>
        <w:tc>
          <w:tcPr>
            <w:tcW w:w="955" w:type="pct"/>
            <w:vMerge w:val="restart"/>
            <w:noWrap w:val="0"/>
            <w:tcMar>
              <w:top w:w="0" w:type="dxa"/>
              <w:left w:w="51" w:type="dxa"/>
              <w:bottom w:w="0" w:type="dxa"/>
              <w:right w:w="51" w:type="dxa"/>
            </w:tcMar>
            <w:vAlign w:val="center"/>
          </w:tcPr>
          <w:p w14:paraId="4F356BD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《电磁环境控制限值》(GB8702-2014）</w:t>
            </w:r>
          </w:p>
        </w:tc>
      </w:tr>
      <w:tr w14:paraId="4C9C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8" w:type="pct"/>
            <w:vMerge w:val="continue"/>
            <w:noWrap w:val="0"/>
            <w:tcMar>
              <w:top w:w="0" w:type="dxa"/>
              <w:left w:w="51" w:type="dxa"/>
              <w:bottom w:w="0" w:type="dxa"/>
              <w:right w:w="51" w:type="dxa"/>
            </w:tcMar>
            <w:vAlign w:val="center"/>
          </w:tcPr>
          <w:p w14:paraId="430E6DD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sz w:val="21"/>
                <w:szCs w:val="21"/>
                <w:highlight w:val="none"/>
                <w:lang w:eastAsia="zh-CN"/>
              </w:rPr>
            </w:pPr>
          </w:p>
        </w:tc>
        <w:tc>
          <w:tcPr>
            <w:tcW w:w="797" w:type="pct"/>
            <w:vMerge w:val="continue"/>
            <w:noWrap w:val="0"/>
            <w:tcMar>
              <w:top w:w="0" w:type="dxa"/>
              <w:left w:w="51" w:type="dxa"/>
              <w:bottom w:w="0" w:type="dxa"/>
              <w:right w:w="51" w:type="dxa"/>
            </w:tcMar>
            <w:vAlign w:val="center"/>
          </w:tcPr>
          <w:p w14:paraId="11FA6EF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sz w:val="21"/>
                <w:szCs w:val="21"/>
                <w:highlight w:val="none"/>
                <w:lang w:eastAsia="zh-CN"/>
              </w:rPr>
            </w:pPr>
          </w:p>
        </w:tc>
        <w:tc>
          <w:tcPr>
            <w:tcW w:w="2648" w:type="pct"/>
            <w:noWrap w:val="0"/>
            <w:tcMar>
              <w:top w:w="0" w:type="dxa"/>
              <w:left w:w="51" w:type="dxa"/>
              <w:bottom w:w="0" w:type="dxa"/>
              <w:right w:w="51" w:type="dxa"/>
            </w:tcMar>
            <w:vAlign w:val="center"/>
          </w:tcPr>
          <w:p w14:paraId="69AAD33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r>
              <w:rPr>
                <w:rFonts w:ascii="Times New Roman" w:hAnsi="Times New Roman"/>
                <w:color w:val="000000"/>
                <w:sz w:val="21"/>
                <w:szCs w:val="21"/>
                <w:highlight w:val="none"/>
              </w:rPr>
              <w:t>架空输电线路线下的耕地、园地、道路等场所，其频率50Hz的电场强度控制限值为10kV/m</w:t>
            </w:r>
          </w:p>
        </w:tc>
        <w:tc>
          <w:tcPr>
            <w:tcW w:w="955" w:type="pct"/>
            <w:vMerge w:val="continue"/>
            <w:noWrap w:val="0"/>
            <w:tcMar>
              <w:top w:w="0" w:type="dxa"/>
              <w:left w:w="51" w:type="dxa"/>
              <w:bottom w:w="0" w:type="dxa"/>
              <w:right w:w="51" w:type="dxa"/>
            </w:tcMar>
            <w:vAlign w:val="center"/>
          </w:tcPr>
          <w:p w14:paraId="6E1133E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p>
        </w:tc>
      </w:tr>
      <w:tr w14:paraId="53E6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8" w:type="pct"/>
            <w:vMerge w:val="continue"/>
            <w:noWrap w:val="0"/>
            <w:tcMar>
              <w:top w:w="0" w:type="dxa"/>
              <w:left w:w="51" w:type="dxa"/>
              <w:bottom w:w="0" w:type="dxa"/>
              <w:right w:w="51" w:type="dxa"/>
            </w:tcMar>
            <w:vAlign w:val="center"/>
          </w:tcPr>
          <w:p w14:paraId="60A6117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p>
        </w:tc>
        <w:tc>
          <w:tcPr>
            <w:tcW w:w="797" w:type="pct"/>
            <w:noWrap w:val="0"/>
            <w:tcMar>
              <w:top w:w="0" w:type="dxa"/>
              <w:left w:w="51" w:type="dxa"/>
              <w:bottom w:w="0" w:type="dxa"/>
              <w:right w:w="51" w:type="dxa"/>
            </w:tcMar>
            <w:vAlign w:val="center"/>
          </w:tcPr>
          <w:p w14:paraId="159D0B9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rPr>
              <w:t>工频磁</w:t>
            </w:r>
            <w:r>
              <w:rPr>
                <w:rFonts w:hint="default" w:ascii="Times New Roman" w:hAnsi="Times New Roman" w:cs="Times New Roman"/>
                <w:snapToGrid w:val="0"/>
                <w:color w:val="000000"/>
                <w:sz w:val="21"/>
                <w:szCs w:val="21"/>
                <w:highlight w:val="none"/>
                <w:lang w:eastAsia="zh-CN"/>
              </w:rPr>
              <w:t>场</w:t>
            </w:r>
          </w:p>
        </w:tc>
        <w:tc>
          <w:tcPr>
            <w:tcW w:w="2648" w:type="pct"/>
            <w:noWrap w:val="0"/>
            <w:tcMar>
              <w:top w:w="0" w:type="dxa"/>
              <w:left w:w="51" w:type="dxa"/>
              <w:bottom w:w="0" w:type="dxa"/>
              <w:right w:w="51" w:type="dxa"/>
            </w:tcMar>
            <w:vAlign w:val="center"/>
          </w:tcPr>
          <w:p w14:paraId="6583944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rPr>
              <w:t>100μT</w:t>
            </w:r>
          </w:p>
        </w:tc>
        <w:tc>
          <w:tcPr>
            <w:tcW w:w="955" w:type="pct"/>
            <w:vMerge w:val="continue"/>
            <w:noWrap w:val="0"/>
            <w:tcMar>
              <w:top w:w="0" w:type="dxa"/>
              <w:left w:w="51" w:type="dxa"/>
              <w:bottom w:w="0" w:type="dxa"/>
              <w:right w:w="51" w:type="dxa"/>
            </w:tcMar>
            <w:vAlign w:val="center"/>
          </w:tcPr>
          <w:p w14:paraId="7275869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p>
        </w:tc>
      </w:tr>
      <w:tr w14:paraId="4B49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8" w:type="pct"/>
            <w:vMerge w:val="restart"/>
            <w:noWrap w:val="0"/>
            <w:tcMar>
              <w:top w:w="0" w:type="dxa"/>
              <w:left w:w="51" w:type="dxa"/>
              <w:bottom w:w="0" w:type="dxa"/>
              <w:right w:w="51" w:type="dxa"/>
            </w:tcMar>
            <w:vAlign w:val="center"/>
          </w:tcPr>
          <w:p w14:paraId="241BA17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电磁环境敏感目标</w:t>
            </w:r>
          </w:p>
        </w:tc>
        <w:tc>
          <w:tcPr>
            <w:tcW w:w="797" w:type="pct"/>
            <w:noWrap w:val="0"/>
            <w:tcMar>
              <w:top w:w="0" w:type="dxa"/>
              <w:left w:w="51" w:type="dxa"/>
              <w:bottom w:w="0" w:type="dxa"/>
              <w:right w:w="51" w:type="dxa"/>
            </w:tcMar>
            <w:vAlign w:val="center"/>
          </w:tcPr>
          <w:p w14:paraId="1E8AE73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rPr>
              <w:t>工频电场</w:t>
            </w:r>
          </w:p>
        </w:tc>
        <w:tc>
          <w:tcPr>
            <w:tcW w:w="2648" w:type="pct"/>
            <w:noWrap w:val="0"/>
            <w:tcMar>
              <w:top w:w="0" w:type="dxa"/>
              <w:left w:w="51" w:type="dxa"/>
              <w:bottom w:w="0" w:type="dxa"/>
              <w:right w:w="51" w:type="dxa"/>
            </w:tcMar>
            <w:vAlign w:val="center"/>
          </w:tcPr>
          <w:p w14:paraId="233637B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rPr>
              <w:t>4kV/m</w:t>
            </w:r>
          </w:p>
        </w:tc>
        <w:tc>
          <w:tcPr>
            <w:tcW w:w="955" w:type="pct"/>
            <w:vMerge w:val="continue"/>
            <w:noWrap w:val="0"/>
            <w:tcMar>
              <w:top w:w="0" w:type="dxa"/>
              <w:left w:w="51" w:type="dxa"/>
              <w:bottom w:w="0" w:type="dxa"/>
              <w:right w:w="51" w:type="dxa"/>
            </w:tcMar>
            <w:vAlign w:val="center"/>
          </w:tcPr>
          <w:p w14:paraId="4A02394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p>
        </w:tc>
      </w:tr>
      <w:tr w14:paraId="0F87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8" w:type="pct"/>
            <w:vMerge w:val="continue"/>
            <w:noWrap w:val="0"/>
            <w:tcMar>
              <w:top w:w="0" w:type="dxa"/>
              <w:left w:w="51" w:type="dxa"/>
              <w:bottom w:w="0" w:type="dxa"/>
              <w:right w:w="51" w:type="dxa"/>
            </w:tcMar>
            <w:vAlign w:val="center"/>
          </w:tcPr>
          <w:p w14:paraId="5D16854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p>
        </w:tc>
        <w:tc>
          <w:tcPr>
            <w:tcW w:w="797" w:type="pct"/>
            <w:noWrap w:val="0"/>
            <w:tcMar>
              <w:top w:w="0" w:type="dxa"/>
              <w:left w:w="51" w:type="dxa"/>
              <w:bottom w:w="0" w:type="dxa"/>
              <w:right w:w="51" w:type="dxa"/>
            </w:tcMar>
            <w:vAlign w:val="center"/>
          </w:tcPr>
          <w:p w14:paraId="572FF6E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rPr>
              <w:t>工频磁</w:t>
            </w:r>
            <w:r>
              <w:rPr>
                <w:rFonts w:hint="default" w:ascii="Times New Roman" w:hAnsi="Times New Roman" w:cs="Times New Roman"/>
                <w:snapToGrid w:val="0"/>
                <w:color w:val="000000"/>
                <w:sz w:val="21"/>
                <w:szCs w:val="21"/>
                <w:highlight w:val="none"/>
                <w:lang w:eastAsia="zh-CN"/>
              </w:rPr>
              <w:t>场</w:t>
            </w:r>
          </w:p>
        </w:tc>
        <w:tc>
          <w:tcPr>
            <w:tcW w:w="2648" w:type="pct"/>
            <w:noWrap w:val="0"/>
            <w:tcMar>
              <w:top w:w="0" w:type="dxa"/>
              <w:left w:w="51" w:type="dxa"/>
              <w:bottom w:w="0" w:type="dxa"/>
              <w:right w:w="51" w:type="dxa"/>
            </w:tcMar>
            <w:vAlign w:val="center"/>
          </w:tcPr>
          <w:p w14:paraId="41C320C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rPr>
              <w:t>100μT</w:t>
            </w:r>
          </w:p>
        </w:tc>
        <w:tc>
          <w:tcPr>
            <w:tcW w:w="955" w:type="pct"/>
            <w:vMerge w:val="continue"/>
            <w:noWrap w:val="0"/>
            <w:tcMar>
              <w:top w:w="0" w:type="dxa"/>
              <w:left w:w="51" w:type="dxa"/>
              <w:bottom w:w="0" w:type="dxa"/>
              <w:right w:w="51" w:type="dxa"/>
            </w:tcMar>
            <w:vAlign w:val="center"/>
          </w:tcPr>
          <w:p w14:paraId="5447013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napToGrid w:val="0"/>
                <w:color w:val="000000"/>
                <w:sz w:val="21"/>
                <w:szCs w:val="21"/>
                <w:highlight w:val="none"/>
              </w:rPr>
            </w:pPr>
          </w:p>
        </w:tc>
      </w:tr>
    </w:tbl>
    <w:p w14:paraId="2BF65905">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2.7评价方法</w:t>
      </w:r>
    </w:p>
    <w:p w14:paraId="0604649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lang w:eastAsia="zh-CN"/>
        </w:rPr>
        <w:t>架空线路工频电场、工频磁场采用模式预测进行评价</w:t>
      </w:r>
      <w:r>
        <w:rPr>
          <w:rFonts w:hint="default" w:ascii="Times New Roman" w:hAnsi="Times New Roman" w:eastAsia="宋体" w:cs="Times New Roman"/>
          <w:bCs/>
          <w:color w:val="000000"/>
          <w:sz w:val="24"/>
          <w:szCs w:val="24"/>
          <w:highlight w:val="none"/>
        </w:rPr>
        <w:t>。</w:t>
      </w:r>
    </w:p>
    <w:p w14:paraId="5A4B3AD1">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bookmarkStart w:id="44" w:name="_Toc28025"/>
      <w:r>
        <w:rPr>
          <w:rFonts w:hint="default" w:ascii="Times New Roman" w:hAnsi="Times New Roman" w:eastAsia="宋体" w:cs="Times New Roman"/>
          <w:b/>
          <w:bCs/>
          <w:color w:val="000000"/>
          <w:kern w:val="2"/>
          <w:sz w:val="30"/>
          <w:szCs w:val="32"/>
          <w:highlight w:val="none"/>
          <w:lang w:val="en-US" w:eastAsia="zh-CN" w:bidi="ar-SA"/>
        </w:rPr>
        <w:t>2.8电磁环境敏感目标</w:t>
      </w:r>
      <w:bookmarkEnd w:id="44"/>
    </w:p>
    <w:p w14:paraId="3391884E">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eastAsia="zh-CN"/>
        </w:rPr>
        <w:t>本项目</w:t>
      </w:r>
      <w:r>
        <w:rPr>
          <w:rFonts w:hint="eastAsia" w:cs="Times New Roman"/>
          <w:color w:val="000000"/>
          <w:sz w:val="24"/>
          <w:szCs w:val="24"/>
          <w:highlight w:val="none"/>
          <w:lang w:val="en-US" w:eastAsia="zh-CN"/>
        </w:rPr>
        <w:t>A72~A73号塔之间线路下方有1座冷库，冷库人员居住场所距项目线路边导线距离约为50m；A74~A75号塔之间线路西侧约8m处为废弃的养殖场，因此冷库及废弃的养殖场均不作为本项目电磁环境敏感目标。</w:t>
      </w:r>
    </w:p>
    <w:p w14:paraId="47DD5E4F">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sz w:val="24"/>
          <w:szCs w:val="24"/>
          <w:highlight w:val="none"/>
          <w:lang w:eastAsia="zh-CN"/>
        </w:rPr>
      </w:pPr>
      <w:r>
        <w:rPr>
          <w:rFonts w:hint="eastAsia" w:cs="Times New Roman"/>
          <w:color w:val="000000"/>
          <w:sz w:val="24"/>
          <w:szCs w:val="24"/>
          <w:highlight w:val="none"/>
          <w:lang w:val="en-US" w:eastAsia="zh-CN"/>
        </w:rPr>
        <w:t>本项目</w:t>
      </w:r>
      <w:r>
        <w:rPr>
          <w:rFonts w:hint="eastAsia" w:ascii="Times New Roman" w:hAnsi="Times New Roman" w:eastAsia="宋体" w:cs="Times New Roman"/>
          <w:color w:val="000000"/>
          <w:sz w:val="24"/>
          <w:szCs w:val="24"/>
          <w:highlight w:val="none"/>
          <w:lang w:val="en-US" w:eastAsia="zh-CN"/>
        </w:rPr>
        <w:t>线路边导线地面投影外两侧各30m电磁环境影响评价范围内</w:t>
      </w:r>
      <w:r>
        <w:rPr>
          <w:rFonts w:hint="default" w:ascii="Times New Roman" w:hAnsi="Times New Roman" w:eastAsia="宋体" w:cs="Times New Roman"/>
          <w:color w:val="000000"/>
          <w:sz w:val="24"/>
          <w:szCs w:val="24"/>
          <w:highlight w:val="none"/>
          <w:lang w:eastAsia="zh-CN"/>
        </w:rPr>
        <w:t>电磁环境</w:t>
      </w:r>
      <w:r>
        <w:rPr>
          <w:rFonts w:hint="eastAsia" w:ascii="Times New Roman" w:hAnsi="Times New Roman" w:eastAsia="宋体" w:cs="Times New Roman"/>
          <w:color w:val="000000"/>
          <w:sz w:val="24"/>
          <w:szCs w:val="24"/>
          <w:highlight w:val="none"/>
          <w:lang w:val="en-US" w:eastAsia="zh-CN"/>
        </w:rPr>
        <w:t>敏感</w:t>
      </w:r>
      <w:r>
        <w:rPr>
          <w:rFonts w:hint="default" w:ascii="Times New Roman" w:hAnsi="Times New Roman" w:eastAsia="宋体" w:cs="Times New Roman"/>
          <w:color w:val="000000"/>
          <w:sz w:val="24"/>
          <w:szCs w:val="24"/>
          <w:highlight w:val="none"/>
          <w:lang w:eastAsia="zh-CN"/>
        </w:rPr>
        <w:t>目标为</w:t>
      </w:r>
      <w:r>
        <w:rPr>
          <w:rFonts w:hint="default" w:ascii="Times New Roman" w:hAnsi="Times New Roman" w:eastAsia="宋体" w:cs="Times New Roman"/>
          <w:color w:val="000000"/>
          <w:sz w:val="24"/>
          <w:szCs w:val="24"/>
          <w:highlight w:val="none"/>
          <w:lang w:val="en-US" w:eastAsia="zh-CN"/>
        </w:rPr>
        <w:t>A02号塔位西北侧四把伙村</w:t>
      </w:r>
      <w:r>
        <w:rPr>
          <w:rFonts w:hint="eastAsia" w:cs="Times New Roman"/>
          <w:color w:val="000000"/>
          <w:sz w:val="24"/>
          <w:szCs w:val="24"/>
          <w:highlight w:val="none"/>
          <w:lang w:val="en-US" w:eastAsia="zh-CN"/>
        </w:rPr>
        <w:t>、A48~A49号塔之间线路东侧下常乐店</w:t>
      </w:r>
      <w:r>
        <w:rPr>
          <w:rFonts w:hint="default" w:ascii="Times New Roman" w:hAnsi="Times New Roman" w:eastAsia="宋体" w:cs="Times New Roman"/>
          <w:color w:val="000000"/>
          <w:sz w:val="24"/>
          <w:szCs w:val="24"/>
          <w:highlight w:val="none"/>
          <w:lang w:eastAsia="zh-CN"/>
        </w:rPr>
        <w:t>。</w:t>
      </w:r>
    </w:p>
    <w:p w14:paraId="71606801">
      <w:pPr>
        <w:keepNext w:val="0"/>
        <w:keepLines w:val="0"/>
        <w:pageBreakBefore w:val="0"/>
        <w:widowControl w:val="0"/>
        <w:kinsoku/>
        <w:wordWrap/>
        <w:overflowPunct/>
        <w:topLinePunct w:val="0"/>
        <w:bidi w:val="0"/>
        <w:adjustRightInd w:val="0"/>
        <w:snapToGrid w:val="0"/>
        <w:spacing w:line="440" w:lineRule="exact"/>
        <w:ind w:firstLine="422" w:firstLineChars="20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表</w:t>
      </w:r>
      <w:r>
        <w:rPr>
          <w:rFonts w:hint="default" w:ascii="Times New Roman" w:hAnsi="Times New Roman" w:eastAsia="宋体" w:cs="Times New Roman"/>
          <w:b/>
          <w:bCs/>
          <w:color w:val="000000"/>
          <w:sz w:val="21"/>
          <w:szCs w:val="21"/>
          <w:highlight w:val="none"/>
          <w:lang w:val="en-US" w:eastAsia="zh-CN"/>
        </w:rPr>
        <w:t xml:space="preserve">2-4 </w:t>
      </w:r>
      <w:r>
        <w:rPr>
          <w:rFonts w:hint="eastAsia"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rPr>
        <w:t>主要</w:t>
      </w:r>
      <w:r>
        <w:rPr>
          <w:rFonts w:hint="default" w:ascii="Times New Roman" w:hAnsi="Times New Roman" w:eastAsia="宋体" w:cs="Times New Roman"/>
          <w:b/>
          <w:bCs/>
          <w:color w:val="000000"/>
          <w:sz w:val="21"/>
          <w:szCs w:val="21"/>
          <w:highlight w:val="none"/>
          <w:lang w:eastAsia="zh-CN"/>
        </w:rPr>
        <w:t>电磁</w:t>
      </w:r>
      <w:r>
        <w:rPr>
          <w:rFonts w:hint="default" w:ascii="Times New Roman" w:hAnsi="Times New Roman" w:eastAsia="宋体" w:cs="Times New Roman"/>
          <w:b/>
          <w:bCs/>
          <w:color w:val="000000"/>
          <w:sz w:val="21"/>
          <w:szCs w:val="21"/>
          <w:highlight w:val="none"/>
        </w:rPr>
        <w:t>环境</w:t>
      </w:r>
      <w:r>
        <w:rPr>
          <w:rFonts w:hint="eastAsia" w:eastAsia="宋体" w:cs="Times New Roman"/>
          <w:b/>
          <w:bCs/>
          <w:color w:val="000000"/>
          <w:sz w:val="21"/>
          <w:szCs w:val="21"/>
          <w:highlight w:val="none"/>
          <w:lang w:val="en-US" w:eastAsia="zh-CN"/>
        </w:rPr>
        <w:t>敏感</w:t>
      </w:r>
      <w:r>
        <w:rPr>
          <w:rFonts w:hint="default" w:ascii="Times New Roman" w:hAnsi="Times New Roman" w:eastAsia="宋体" w:cs="Times New Roman"/>
          <w:b/>
          <w:bCs/>
          <w:color w:val="000000"/>
          <w:sz w:val="21"/>
          <w:szCs w:val="21"/>
          <w:highlight w:val="none"/>
        </w:rPr>
        <w:t>目标一览表</w:t>
      </w:r>
    </w:p>
    <w:tbl>
      <w:tblPr>
        <w:tblStyle w:val="34"/>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336"/>
        <w:gridCol w:w="1064"/>
        <w:gridCol w:w="518"/>
        <w:gridCol w:w="502"/>
        <w:gridCol w:w="1040"/>
        <w:gridCol w:w="836"/>
        <w:gridCol w:w="1034"/>
        <w:gridCol w:w="803"/>
        <w:gridCol w:w="1199"/>
      </w:tblGrid>
      <w:tr w14:paraId="2CB2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1" w:type="pct"/>
            <w:vMerge w:val="restart"/>
            <w:noWrap w:val="0"/>
            <w:tcMar>
              <w:top w:w="0" w:type="dxa"/>
              <w:left w:w="17" w:type="dxa"/>
              <w:bottom w:w="0" w:type="dxa"/>
              <w:right w:w="17" w:type="dxa"/>
            </w:tcMar>
            <w:vAlign w:val="center"/>
          </w:tcPr>
          <w:p w14:paraId="14333B65">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环境要素</w:t>
            </w:r>
          </w:p>
        </w:tc>
        <w:tc>
          <w:tcPr>
            <w:tcW w:w="767" w:type="pct"/>
            <w:vMerge w:val="restart"/>
            <w:noWrap w:val="0"/>
            <w:tcMar>
              <w:top w:w="0" w:type="dxa"/>
              <w:left w:w="17" w:type="dxa"/>
              <w:bottom w:w="0" w:type="dxa"/>
              <w:right w:w="17" w:type="dxa"/>
            </w:tcMar>
            <w:vAlign w:val="center"/>
          </w:tcPr>
          <w:p w14:paraId="7F5870B5">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评价范围</w:t>
            </w:r>
          </w:p>
        </w:tc>
        <w:tc>
          <w:tcPr>
            <w:tcW w:w="3331" w:type="pct"/>
            <w:gridSpan w:val="7"/>
            <w:noWrap w:val="0"/>
            <w:tcMar>
              <w:top w:w="0" w:type="dxa"/>
              <w:left w:w="17" w:type="dxa"/>
              <w:bottom w:w="0" w:type="dxa"/>
              <w:right w:w="17" w:type="dxa"/>
            </w:tcMar>
            <w:vAlign w:val="center"/>
          </w:tcPr>
          <w:p w14:paraId="26058412">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保护目标</w:t>
            </w:r>
          </w:p>
        </w:tc>
        <w:tc>
          <w:tcPr>
            <w:tcW w:w="689" w:type="pct"/>
            <w:vMerge w:val="restart"/>
            <w:noWrap w:val="0"/>
            <w:tcMar>
              <w:top w:w="0" w:type="dxa"/>
              <w:left w:w="17" w:type="dxa"/>
              <w:bottom w:w="0" w:type="dxa"/>
              <w:right w:w="17" w:type="dxa"/>
            </w:tcMar>
            <w:vAlign w:val="center"/>
          </w:tcPr>
          <w:p w14:paraId="1EB6F671">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保护级别</w:t>
            </w:r>
          </w:p>
        </w:tc>
      </w:tr>
      <w:tr w14:paraId="6436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1" w:type="pct"/>
            <w:vMerge w:val="continue"/>
            <w:noWrap w:val="0"/>
            <w:tcMar>
              <w:top w:w="0" w:type="dxa"/>
              <w:left w:w="17" w:type="dxa"/>
              <w:bottom w:w="0" w:type="dxa"/>
              <w:right w:w="17" w:type="dxa"/>
            </w:tcMar>
            <w:vAlign w:val="center"/>
          </w:tcPr>
          <w:p w14:paraId="4A74D77D">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767" w:type="pct"/>
            <w:vMerge w:val="continue"/>
            <w:noWrap w:val="0"/>
            <w:tcMar>
              <w:top w:w="0" w:type="dxa"/>
              <w:left w:w="17" w:type="dxa"/>
              <w:bottom w:w="0" w:type="dxa"/>
              <w:right w:w="17" w:type="dxa"/>
            </w:tcMar>
            <w:vAlign w:val="center"/>
          </w:tcPr>
          <w:p w14:paraId="1370458E">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11" w:type="pct"/>
            <w:vMerge w:val="restart"/>
            <w:noWrap w:val="0"/>
            <w:tcMar>
              <w:top w:w="0" w:type="dxa"/>
              <w:left w:w="17" w:type="dxa"/>
              <w:bottom w:w="0" w:type="dxa"/>
              <w:right w:w="17" w:type="dxa"/>
            </w:tcMar>
            <w:vAlign w:val="center"/>
          </w:tcPr>
          <w:p w14:paraId="22F31C79">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名称</w:t>
            </w:r>
          </w:p>
        </w:tc>
        <w:tc>
          <w:tcPr>
            <w:tcW w:w="297" w:type="pct"/>
            <w:vMerge w:val="restart"/>
            <w:noWrap w:val="0"/>
            <w:tcMar>
              <w:top w:w="0" w:type="dxa"/>
              <w:left w:w="17" w:type="dxa"/>
              <w:bottom w:w="0" w:type="dxa"/>
              <w:right w:w="17" w:type="dxa"/>
            </w:tcMar>
            <w:vAlign w:val="center"/>
          </w:tcPr>
          <w:p w14:paraId="67846E30">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功能</w:t>
            </w:r>
          </w:p>
        </w:tc>
        <w:tc>
          <w:tcPr>
            <w:tcW w:w="288" w:type="pct"/>
            <w:vMerge w:val="restart"/>
            <w:noWrap w:val="0"/>
            <w:tcMar>
              <w:top w:w="0" w:type="dxa"/>
              <w:left w:w="17" w:type="dxa"/>
              <w:bottom w:w="0" w:type="dxa"/>
              <w:right w:w="17" w:type="dxa"/>
            </w:tcMar>
            <w:vAlign w:val="center"/>
          </w:tcPr>
          <w:p w14:paraId="3CB47B2B">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方位</w:t>
            </w:r>
          </w:p>
        </w:tc>
        <w:tc>
          <w:tcPr>
            <w:tcW w:w="1078" w:type="pct"/>
            <w:gridSpan w:val="2"/>
            <w:noWrap w:val="0"/>
            <w:tcMar>
              <w:top w:w="0" w:type="dxa"/>
              <w:left w:w="17" w:type="dxa"/>
              <w:bottom w:w="0" w:type="dxa"/>
              <w:right w:w="17" w:type="dxa"/>
            </w:tcMar>
            <w:vAlign w:val="center"/>
          </w:tcPr>
          <w:p w14:paraId="19F920A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eastAsia="zh-CN"/>
              </w:rPr>
              <w:t>评价范围内</w:t>
            </w:r>
          </w:p>
        </w:tc>
        <w:tc>
          <w:tcPr>
            <w:tcW w:w="594" w:type="pct"/>
            <w:vMerge w:val="restart"/>
            <w:noWrap w:val="0"/>
            <w:tcMar>
              <w:top w:w="0" w:type="dxa"/>
              <w:left w:w="17" w:type="dxa"/>
              <w:bottom w:w="0" w:type="dxa"/>
              <w:right w:w="17" w:type="dxa"/>
            </w:tcMar>
            <w:vAlign w:val="center"/>
          </w:tcPr>
          <w:p w14:paraId="3409AD4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与</w:t>
            </w:r>
            <w:r>
              <w:rPr>
                <w:rFonts w:hint="eastAsia" w:ascii="Times New Roman" w:hAnsi="Times New Roman" w:eastAsia="宋体" w:cs="Times New Roman"/>
                <w:color w:val="000000"/>
                <w:sz w:val="21"/>
                <w:szCs w:val="21"/>
                <w:highlight w:val="none"/>
                <w:lang w:val="en-US" w:eastAsia="zh-CN"/>
              </w:rPr>
              <w:t>边导线地面投影</w:t>
            </w:r>
            <w:r>
              <w:rPr>
                <w:rFonts w:hint="default" w:ascii="Times New Roman" w:hAnsi="Times New Roman" w:eastAsia="宋体" w:cs="Times New Roman"/>
                <w:color w:val="000000"/>
                <w:sz w:val="21"/>
                <w:szCs w:val="21"/>
                <w:highlight w:val="none"/>
              </w:rPr>
              <w:t>距离（m）</w:t>
            </w:r>
          </w:p>
        </w:tc>
        <w:tc>
          <w:tcPr>
            <w:tcW w:w="461" w:type="pct"/>
            <w:vMerge w:val="restart"/>
            <w:noWrap w:val="0"/>
            <w:tcMar>
              <w:top w:w="0" w:type="dxa"/>
              <w:left w:w="17" w:type="dxa"/>
              <w:bottom w:w="0" w:type="dxa"/>
              <w:right w:w="17" w:type="dxa"/>
            </w:tcMar>
            <w:vAlign w:val="center"/>
          </w:tcPr>
          <w:p w14:paraId="5AC697B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导线对地高度（m）</w:t>
            </w:r>
          </w:p>
        </w:tc>
        <w:tc>
          <w:tcPr>
            <w:tcW w:w="689" w:type="pct"/>
            <w:vMerge w:val="continue"/>
            <w:noWrap w:val="0"/>
            <w:tcMar>
              <w:top w:w="0" w:type="dxa"/>
              <w:left w:w="17" w:type="dxa"/>
              <w:bottom w:w="0" w:type="dxa"/>
              <w:right w:w="17" w:type="dxa"/>
            </w:tcMar>
            <w:vAlign w:val="center"/>
          </w:tcPr>
          <w:p w14:paraId="6B8B4661">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r>
      <w:tr w14:paraId="7632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1" w:type="pct"/>
            <w:vMerge w:val="continue"/>
            <w:noWrap w:val="0"/>
            <w:tcMar>
              <w:top w:w="0" w:type="dxa"/>
              <w:left w:w="17" w:type="dxa"/>
              <w:bottom w:w="0" w:type="dxa"/>
              <w:right w:w="17" w:type="dxa"/>
            </w:tcMar>
            <w:vAlign w:val="center"/>
          </w:tcPr>
          <w:p w14:paraId="76E7375F">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767" w:type="pct"/>
            <w:vMerge w:val="continue"/>
            <w:noWrap w:val="0"/>
            <w:tcMar>
              <w:top w:w="0" w:type="dxa"/>
              <w:left w:w="17" w:type="dxa"/>
              <w:bottom w:w="0" w:type="dxa"/>
              <w:right w:w="17" w:type="dxa"/>
            </w:tcMar>
            <w:vAlign w:val="center"/>
          </w:tcPr>
          <w:p w14:paraId="201E5277">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11" w:type="pct"/>
            <w:vMerge w:val="continue"/>
            <w:noWrap w:val="0"/>
            <w:tcMar>
              <w:top w:w="0" w:type="dxa"/>
              <w:left w:w="17" w:type="dxa"/>
              <w:bottom w:w="0" w:type="dxa"/>
              <w:right w:w="17" w:type="dxa"/>
            </w:tcMar>
            <w:vAlign w:val="center"/>
          </w:tcPr>
          <w:p w14:paraId="70690894">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297" w:type="pct"/>
            <w:vMerge w:val="continue"/>
            <w:noWrap w:val="0"/>
            <w:tcMar>
              <w:top w:w="0" w:type="dxa"/>
              <w:left w:w="17" w:type="dxa"/>
              <w:bottom w:w="0" w:type="dxa"/>
              <w:right w:w="17" w:type="dxa"/>
            </w:tcMar>
            <w:vAlign w:val="center"/>
          </w:tcPr>
          <w:p w14:paraId="65AD5BAA">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288" w:type="pct"/>
            <w:vMerge w:val="continue"/>
            <w:noWrap w:val="0"/>
            <w:tcMar>
              <w:top w:w="0" w:type="dxa"/>
              <w:left w:w="17" w:type="dxa"/>
              <w:bottom w:w="0" w:type="dxa"/>
              <w:right w:w="17" w:type="dxa"/>
            </w:tcMar>
            <w:vAlign w:val="center"/>
          </w:tcPr>
          <w:p w14:paraId="7C1A5271">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97" w:type="pct"/>
            <w:noWrap w:val="0"/>
            <w:tcMar>
              <w:top w:w="0" w:type="dxa"/>
              <w:left w:w="17" w:type="dxa"/>
              <w:bottom w:w="0" w:type="dxa"/>
              <w:right w:w="17" w:type="dxa"/>
            </w:tcMar>
            <w:vAlign w:val="center"/>
          </w:tcPr>
          <w:p w14:paraId="4D8D0AE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rPr>
              <w:t>建筑物层数（数量）</w:t>
            </w:r>
          </w:p>
        </w:tc>
        <w:tc>
          <w:tcPr>
            <w:tcW w:w="480" w:type="pct"/>
            <w:noWrap w:val="0"/>
            <w:tcMar>
              <w:top w:w="0" w:type="dxa"/>
              <w:left w:w="17" w:type="dxa"/>
              <w:bottom w:w="0" w:type="dxa"/>
              <w:right w:w="17" w:type="dxa"/>
            </w:tcMar>
            <w:vAlign w:val="center"/>
          </w:tcPr>
          <w:p w14:paraId="2A977C8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建筑物高度/m</w:t>
            </w:r>
          </w:p>
        </w:tc>
        <w:tc>
          <w:tcPr>
            <w:tcW w:w="594" w:type="pct"/>
            <w:vMerge w:val="continue"/>
            <w:noWrap w:val="0"/>
            <w:tcMar>
              <w:top w:w="0" w:type="dxa"/>
              <w:left w:w="17" w:type="dxa"/>
              <w:bottom w:w="0" w:type="dxa"/>
              <w:right w:w="17" w:type="dxa"/>
            </w:tcMar>
            <w:vAlign w:val="center"/>
          </w:tcPr>
          <w:p w14:paraId="73129B9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eastAsia="zh-CN"/>
              </w:rPr>
            </w:pPr>
          </w:p>
        </w:tc>
        <w:tc>
          <w:tcPr>
            <w:tcW w:w="461" w:type="pct"/>
            <w:vMerge w:val="continue"/>
            <w:noWrap w:val="0"/>
            <w:tcMar>
              <w:top w:w="0" w:type="dxa"/>
              <w:left w:w="17" w:type="dxa"/>
              <w:bottom w:w="0" w:type="dxa"/>
              <w:right w:w="17" w:type="dxa"/>
            </w:tcMar>
            <w:vAlign w:val="center"/>
          </w:tcPr>
          <w:p w14:paraId="3D8A26F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eastAsia="zh-CN"/>
              </w:rPr>
            </w:pPr>
          </w:p>
        </w:tc>
        <w:tc>
          <w:tcPr>
            <w:tcW w:w="689" w:type="pct"/>
            <w:vMerge w:val="continue"/>
            <w:noWrap w:val="0"/>
            <w:tcMar>
              <w:top w:w="0" w:type="dxa"/>
              <w:left w:w="17" w:type="dxa"/>
              <w:bottom w:w="0" w:type="dxa"/>
              <w:right w:w="17" w:type="dxa"/>
            </w:tcMar>
            <w:vAlign w:val="center"/>
          </w:tcPr>
          <w:p w14:paraId="14A05DFC">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rPr>
            </w:pPr>
          </w:p>
        </w:tc>
      </w:tr>
      <w:tr w14:paraId="059E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1" w:type="pct"/>
            <w:vMerge w:val="restart"/>
            <w:noWrap w:val="0"/>
            <w:tcMar>
              <w:top w:w="0" w:type="dxa"/>
              <w:left w:w="17" w:type="dxa"/>
              <w:bottom w:w="0" w:type="dxa"/>
              <w:right w:w="17" w:type="dxa"/>
            </w:tcMar>
            <w:vAlign w:val="center"/>
          </w:tcPr>
          <w:p w14:paraId="0799D844">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电磁环境</w:t>
            </w:r>
          </w:p>
        </w:tc>
        <w:tc>
          <w:tcPr>
            <w:tcW w:w="767" w:type="pct"/>
            <w:vMerge w:val="restart"/>
            <w:noWrap w:val="0"/>
            <w:tcMar>
              <w:top w:w="0" w:type="dxa"/>
              <w:left w:w="17" w:type="dxa"/>
              <w:bottom w:w="0" w:type="dxa"/>
              <w:right w:w="17" w:type="dxa"/>
            </w:tcMar>
            <w:vAlign w:val="center"/>
          </w:tcPr>
          <w:p w14:paraId="569E0622">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Cs/>
                <w:color w:val="000000"/>
                <w:sz w:val="21"/>
                <w:szCs w:val="21"/>
                <w:highlight w:val="none"/>
              </w:rPr>
              <w:t>架空线路边导线</w:t>
            </w:r>
            <w:r>
              <w:rPr>
                <w:rFonts w:hint="eastAsia" w:ascii="Times New Roman" w:hAnsi="Times New Roman" w:eastAsia="宋体" w:cs="Times New Roman"/>
                <w:bCs/>
                <w:color w:val="000000"/>
                <w:sz w:val="21"/>
                <w:szCs w:val="21"/>
                <w:highlight w:val="none"/>
                <w:lang w:val="en-US" w:eastAsia="zh-CN"/>
              </w:rPr>
              <w:t>地面投影外</w:t>
            </w:r>
            <w:r>
              <w:rPr>
                <w:rFonts w:hint="default" w:ascii="Times New Roman" w:hAnsi="Times New Roman" w:eastAsia="宋体" w:cs="Times New Roman"/>
                <w:bCs/>
                <w:color w:val="000000"/>
                <w:sz w:val="21"/>
                <w:szCs w:val="21"/>
                <w:highlight w:val="none"/>
              </w:rPr>
              <w:t>两侧</w:t>
            </w:r>
            <w:r>
              <w:rPr>
                <w:rFonts w:hint="eastAsia" w:ascii="Times New Roman" w:hAnsi="Times New Roman" w:eastAsia="宋体" w:cs="Times New Roman"/>
                <w:bCs/>
                <w:color w:val="000000"/>
                <w:sz w:val="21"/>
                <w:szCs w:val="21"/>
                <w:highlight w:val="none"/>
                <w:lang w:val="en-US" w:eastAsia="zh-CN"/>
              </w:rPr>
              <w:t>各30</w:t>
            </w:r>
            <w:r>
              <w:rPr>
                <w:rFonts w:hint="default" w:ascii="Times New Roman" w:hAnsi="Times New Roman" w:eastAsia="宋体" w:cs="Times New Roman"/>
                <w:bCs/>
                <w:color w:val="000000"/>
                <w:sz w:val="21"/>
                <w:szCs w:val="21"/>
                <w:highlight w:val="none"/>
              </w:rPr>
              <w:t>m带状</w:t>
            </w:r>
            <w:r>
              <w:rPr>
                <w:rFonts w:hint="eastAsia" w:ascii="Times New Roman" w:hAnsi="Times New Roman" w:eastAsia="宋体" w:cs="Times New Roman"/>
                <w:bCs/>
                <w:color w:val="000000"/>
                <w:sz w:val="21"/>
                <w:szCs w:val="21"/>
                <w:highlight w:val="none"/>
                <w:lang w:val="en-US" w:eastAsia="zh-CN"/>
              </w:rPr>
              <w:t>区域</w:t>
            </w:r>
          </w:p>
        </w:tc>
        <w:tc>
          <w:tcPr>
            <w:tcW w:w="611" w:type="pct"/>
            <w:noWrap w:val="0"/>
            <w:tcMar>
              <w:top w:w="0" w:type="dxa"/>
              <w:left w:w="17" w:type="dxa"/>
              <w:bottom w:w="0" w:type="dxa"/>
              <w:right w:w="17" w:type="dxa"/>
            </w:tcMar>
            <w:vAlign w:val="center"/>
          </w:tcPr>
          <w:p w14:paraId="49AB0671">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四把伙村</w:t>
            </w:r>
          </w:p>
        </w:tc>
        <w:tc>
          <w:tcPr>
            <w:tcW w:w="297" w:type="pct"/>
            <w:noWrap w:val="0"/>
            <w:tcMar>
              <w:top w:w="0" w:type="dxa"/>
              <w:left w:w="17" w:type="dxa"/>
              <w:bottom w:w="0" w:type="dxa"/>
              <w:right w:w="17" w:type="dxa"/>
            </w:tcMar>
            <w:vAlign w:val="center"/>
          </w:tcPr>
          <w:p w14:paraId="27AE3256">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居住</w:t>
            </w:r>
          </w:p>
        </w:tc>
        <w:tc>
          <w:tcPr>
            <w:tcW w:w="288" w:type="pct"/>
            <w:noWrap w:val="0"/>
            <w:tcMar>
              <w:top w:w="0" w:type="dxa"/>
              <w:left w:w="17" w:type="dxa"/>
              <w:bottom w:w="0" w:type="dxa"/>
              <w:right w:w="17" w:type="dxa"/>
            </w:tcMar>
            <w:vAlign w:val="center"/>
          </w:tcPr>
          <w:p w14:paraId="381CF3A3">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NW</w:t>
            </w:r>
          </w:p>
        </w:tc>
        <w:tc>
          <w:tcPr>
            <w:tcW w:w="597" w:type="pct"/>
            <w:noWrap w:val="0"/>
            <w:tcMar>
              <w:top w:w="0" w:type="dxa"/>
              <w:left w:w="17" w:type="dxa"/>
              <w:bottom w:w="0" w:type="dxa"/>
              <w:right w:w="17" w:type="dxa"/>
            </w:tcMar>
            <w:vAlign w:val="center"/>
          </w:tcPr>
          <w:p w14:paraId="3C4FF25D">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1层</w:t>
            </w:r>
          </w:p>
        </w:tc>
        <w:tc>
          <w:tcPr>
            <w:tcW w:w="480" w:type="pct"/>
            <w:noWrap w:val="0"/>
            <w:tcMar>
              <w:top w:w="0" w:type="dxa"/>
              <w:left w:w="17" w:type="dxa"/>
              <w:bottom w:w="0" w:type="dxa"/>
              <w:right w:w="17" w:type="dxa"/>
            </w:tcMar>
            <w:vAlign w:val="center"/>
          </w:tcPr>
          <w:p w14:paraId="59B326AE">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w:t>
            </w:r>
          </w:p>
        </w:tc>
        <w:tc>
          <w:tcPr>
            <w:tcW w:w="594" w:type="pct"/>
            <w:noWrap w:val="0"/>
            <w:tcMar>
              <w:top w:w="0" w:type="dxa"/>
              <w:left w:w="17" w:type="dxa"/>
              <w:bottom w:w="0" w:type="dxa"/>
              <w:right w:w="17" w:type="dxa"/>
            </w:tcMar>
            <w:vAlign w:val="center"/>
          </w:tcPr>
          <w:p w14:paraId="0BA64D7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w:t>
            </w:r>
          </w:p>
        </w:tc>
        <w:tc>
          <w:tcPr>
            <w:tcW w:w="461" w:type="pct"/>
            <w:noWrap w:val="0"/>
            <w:tcMar>
              <w:top w:w="0" w:type="dxa"/>
              <w:left w:w="17" w:type="dxa"/>
              <w:bottom w:w="0" w:type="dxa"/>
              <w:right w:w="17" w:type="dxa"/>
            </w:tcMar>
            <w:vAlign w:val="center"/>
          </w:tcPr>
          <w:p w14:paraId="37657F9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17.5</w:t>
            </w:r>
          </w:p>
        </w:tc>
        <w:tc>
          <w:tcPr>
            <w:tcW w:w="689" w:type="pct"/>
            <w:vMerge w:val="restart"/>
            <w:noWrap w:val="0"/>
            <w:tcMar>
              <w:top w:w="0" w:type="dxa"/>
              <w:left w:w="17" w:type="dxa"/>
              <w:bottom w:w="0" w:type="dxa"/>
              <w:right w:w="17" w:type="dxa"/>
            </w:tcMar>
            <w:vAlign w:val="center"/>
          </w:tcPr>
          <w:p w14:paraId="17737B70">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napToGrid w:val="0"/>
                <w:color w:val="000000"/>
                <w:sz w:val="21"/>
                <w:szCs w:val="21"/>
                <w:highlight w:val="none"/>
              </w:rPr>
              <w:t>《电磁环境控制限值》（GB8702-2014）</w:t>
            </w:r>
          </w:p>
        </w:tc>
      </w:tr>
      <w:tr w14:paraId="14A2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1" w:type="pct"/>
            <w:vMerge w:val="continue"/>
            <w:noWrap w:val="0"/>
            <w:tcMar>
              <w:top w:w="0" w:type="dxa"/>
              <w:left w:w="17" w:type="dxa"/>
              <w:bottom w:w="0" w:type="dxa"/>
              <w:right w:w="17" w:type="dxa"/>
            </w:tcMar>
            <w:vAlign w:val="center"/>
          </w:tcPr>
          <w:p w14:paraId="134BA84B">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ascii="Times New Roman" w:hAnsi="Times New Roman" w:eastAsia="宋体" w:cs="Times New Roman"/>
                <w:color w:val="000000"/>
                <w:sz w:val="21"/>
                <w:szCs w:val="24"/>
                <w:highlight w:val="none"/>
              </w:rPr>
            </w:pPr>
          </w:p>
        </w:tc>
        <w:tc>
          <w:tcPr>
            <w:tcW w:w="767" w:type="pct"/>
            <w:vMerge w:val="continue"/>
            <w:noWrap w:val="0"/>
            <w:tcMar>
              <w:top w:w="0" w:type="dxa"/>
              <w:left w:w="17" w:type="dxa"/>
              <w:bottom w:w="0" w:type="dxa"/>
              <w:right w:w="17" w:type="dxa"/>
            </w:tcMar>
            <w:vAlign w:val="center"/>
          </w:tcPr>
          <w:p w14:paraId="3AC9D146">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ascii="Times New Roman" w:hAnsi="Times New Roman" w:eastAsia="宋体" w:cs="Times New Roman"/>
                <w:color w:val="000000"/>
                <w:sz w:val="21"/>
                <w:szCs w:val="24"/>
                <w:highlight w:val="none"/>
              </w:rPr>
            </w:pPr>
          </w:p>
        </w:tc>
        <w:tc>
          <w:tcPr>
            <w:tcW w:w="611" w:type="pct"/>
            <w:noWrap w:val="0"/>
            <w:tcMar>
              <w:top w:w="0" w:type="dxa"/>
              <w:left w:w="17" w:type="dxa"/>
              <w:bottom w:w="0" w:type="dxa"/>
              <w:right w:w="17" w:type="dxa"/>
            </w:tcMar>
            <w:vAlign w:val="center"/>
          </w:tcPr>
          <w:p w14:paraId="7DA66D53">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下常乐店</w:t>
            </w:r>
          </w:p>
        </w:tc>
        <w:tc>
          <w:tcPr>
            <w:tcW w:w="297" w:type="pct"/>
            <w:noWrap w:val="0"/>
            <w:tcMar>
              <w:top w:w="0" w:type="dxa"/>
              <w:left w:w="17" w:type="dxa"/>
              <w:bottom w:w="0" w:type="dxa"/>
              <w:right w:w="17" w:type="dxa"/>
            </w:tcMar>
            <w:vAlign w:val="center"/>
          </w:tcPr>
          <w:p w14:paraId="6F9B0AE5">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居住</w:t>
            </w:r>
          </w:p>
        </w:tc>
        <w:tc>
          <w:tcPr>
            <w:tcW w:w="288" w:type="pct"/>
            <w:noWrap w:val="0"/>
            <w:tcMar>
              <w:top w:w="0" w:type="dxa"/>
              <w:left w:w="17" w:type="dxa"/>
              <w:bottom w:w="0" w:type="dxa"/>
              <w:right w:w="17" w:type="dxa"/>
            </w:tcMar>
            <w:vAlign w:val="center"/>
          </w:tcPr>
          <w:p w14:paraId="48EEDA7D">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E</w:t>
            </w:r>
          </w:p>
        </w:tc>
        <w:tc>
          <w:tcPr>
            <w:tcW w:w="597" w:type="pct"/>
            <w:noWrap w:val="0"/>
            <w:tcMar>
              <w:top w:w="0" w:type="dxa"/>
              <w:left w:w="17" w:type="dxa"/>
              <w:bottom w:w="0" w:type="dxa"/>
              <w:right w:w="17" w:type="dxa"/>
            </w:tcMar>
            <w:vAlign w:val="center"/>
          </w:tcPr>
          <w:p w14:paraId="126E0959">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1层</w:t>
            </w:r>
          </w:p>
        </w:tc>
        <w:tc>
          <w:tcPr>
            <w:tcW w:w="480" w:type="pct"/>
            <w:noWrap w:val="0"/>
            <w:tcMar>
              <w:top w:w="0" w:type="dxa"/>
              <w:left w:w="17" w:type="dxa"/>
              <w:bottom w:w="0" w:type="dxa"/>
              <w:right w:w="17" w:type="dxa"/>
            </w:tcMar>
            <w:vAlign w:val="center"/>
          </w:tcPr>
          <w:p w14:paraId="6832E588">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w:t>
            </w:r>
          </w:p>
        </w:tc>
        <w:tc>
          <w:tcPr>
            <w:tcW w:w="594" w:type="pct"/>
            <w:noWrap w:val="0"/>
            <w:tcMar>
              <w:top w:w="0" w:type="dxa"/>
              <w:left w:w="17" w:type="dxa"/>
              <w:bottom w:w="0" w:type="dxa"/>
              <w:right w:w="17" w:type="dxa"/>
            </w:tcMar>
            <w:vAlign w:val="center"/>
          </w:tcPr>
          <w:p w14:paraId="76113C62">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w:t>
            </w:r>
          </w:p>
        </w:tc>
        <w:tc>
          <w:tcPr>
            <w:tcW w:w="461" w:type="pct"/>
            <w:noWrap w:val="0"/>
            <w:tcMar>
              <w:top w:w="0" w:type="dxa"/>
              <w:left w:w="17" w:type="dxa"/>
              <w:bottom w:w="0" w:type="dxa"/>
              <w:right w:w="17" w:type="dxa"/>
            </w:tcMar>
            <w:vAlign w:val="center"/>
          </w:tcPr>
          <w:p w14:paraId="43F5D821">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10.0</w:t>
            </w:r>
          </w:p>
        </w:tc>
        <w:tc>
          <w:tcPr>
            <w:tcW w:w="689" w:type="pct"/>
            <w:vMerge w:val="continue"/>
            <w:noWrap w:val="0"/>
            <w:tcMar>
              <w:top w:w="0" w:type="dxa"/>
              <w:left w:w="17" w:type="dxa"/>
              <w:bottom w:w="0" w:type="dxa"/>
              <w:right w:w="17" w:type="dxa"/>
            </w:tcMar>
            <w:vAlign w:val="center"/>
          </w:tcPr>
          <w:p w14:paraId="0F1ABD14">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000000"/>
                <w:sz w:val="21"/>
                <w:szCs w:val="21"/>
                <w:highlight w:val="none"/>
                <w:lang w:val="en-US"/>
              </w:rPr>
            </w:pPr>
          </w:p>
        </w:tc>
      </w:tr>
    </w:tbl>
    <w:p w14:paraId="232303D7">
      <w:pPr>
        <w:keepNext w:val="0"/>
        <w:keepLines w:val="0"/>
        <w:pageBreakBefore w:val="0"/>
        <w:widowControl w:val="0"/>
        <w:numPr>
          <w:ilvl w:val="0"/>
          <w:numId w:val="0"/>
        </w:numPr>
        <w:kinsoku/>
        <w:wordWrap/>
        <w:overflowPunct/>
        <w:topLinePunct w:val="0"/>
        <w:autoSpaceDE w:val="0"/>
        <w:autoSpaceDN w:val="0"/>
        <w:bidi w:val="0"/>
        <w:adjustRightInd w:val="0"/>
        <w:spacing w:line="440" w:lineRule="exact"/>
        <w:ind w:firstLine="422" w:firstLineChars="200"/>
        <w:jc w:val="center"/>
        <w:textAlignment w:val="auto"/>
        <w:rPr>
          <w:rFonts w:hint="eastAsia"/>
          <w:b/>
          <w:color w:val="000000"/>
          <w:sz w:val="21"/>
          <w:szCs w:val="21"/>
          <w:highlight w:val="none"/>
          <w:lang w:val="en-US" w:eastAsia="zh-CN"/>
        </w:rPr>
      </w:pPr>
      <w:r>
        <w:rPr>
          <w:b/>
          <w:color w:val="000000"/>
          <w:sz w:val="21"/>
          <w:szCs w:val="21"/>
          <w:highlight w:val="none"/>
        </w:rPr>
        <w:t>表</w:t>
      </w:r>
      <w:r>
        <w:rPr>
          <w:rFonts w:hint="eastAsia" w:ascii="Times New Roman" w:eastAsia="宋体"/>
          <w:b/>
          <w:color w:val="000000"/>
          <w:sz w:val="21"/>
          <w:szCs w:val="21"/>
          <w:highlight w:val="none"/>
          <w:lang w:val="en-US" w:eastAsia="zh-CN"/>
        </w:rPr>
        <w:t>2-5</w:t>
      </w:r>
      <w:r>
        <w:rPr>
          <w:b/>
          <w:color w:val="000000"/>
          <w:sz w:val="21"/>
          <w:szCs w:val="21"/>
          <w:highlight w:val="none"/>
        </w:rPr>
        <w:t xml:space="preserve">  </w:t>
      </w:r>
      <w:r>
        <w:rPr>
          <w:rFonts w:hint="eastAsia" w:ascii="Times New Roman" w:eastAsia="宋体"/>
          <w:b/>
          <w:color w:val="000000"/>
          <w:sz w:val="21"/>
          <w:szCs w:val="21"/>
          <w:highlight w:val="none"/>
          <w:lang w:val="en-US" w:eastAsia="zh-CN"/>
        </w:rPr>
        <w:t>电磁环境敏感</w:t>
      </w:r>
      <w:r>
        <w:rPr>
          <w:b/>
          <w:color w:val="000000"/>
          <w:sz w:val="21"/>
          <w:szCs w:val="21"/>
          <w:highlight w:val="none"/>
        </w:rPr>
        <w:t>目标</w:t>
      </w:r>
      <w:r>
        <w:rPr>
          <w:rFonts w:hint="eastAsia" w:ascii="Times New Roman" w:eastAsia="宋体"/>
          <w:b/>
          <w:color w:val="000000"/>
          <w:sz w:val="21"/>
          <w:szCs w:val="21"/>
          <w:highlight w:val="none"/>
          <w:lang w:val="en-US" w:eastAsia="zh-CN"/>
        </w:rPr>
        <w:t>照片</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3285"/>
        <w:gridCol w:w="4363"/>
      </w:tblGrid>
      <w:tr w14:paraId="0388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Align w:val="center"/>
          </w:tcPr>
          <w:p w14:paraId="7428FD2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名称</w:t>
            </w:r>
          </w:p>
        </w:tc>
        <w:tc>
          <w:tcPr>
            <w:tcW w:w="1879" w:type="pct"/>
            <w:vAlign w:val="center"/>
          </w:tcPr>
          <w:p w14:paraId="1F516EE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卫图</w:t>
            </w:r>
          </w:p>
        </w:tc>
        <w:tc>
          <w:tcPr>
            <w:tcW w:w="2495" w:type="pct"/>
            <w:vAlign w:val="center"/>
          </w:tcPr>
          <w:p w14:paraId="3267BA5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vertAlign w:val="baseline"/>
                <w:lang w:val="en-US" w:eastAsia="zh-CN"/>
              </w:rPr>
              <w:t>现状照片</w:t>
            </w:r>
          </w:p>
        </w:tc>
      </w:tr>
      <w:tr w14:paraId="5729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exact"/>
          <w:jc w:val="center"/>
        </w:trPr>
        <w:tc>
          <w:tcPr>
            <w:tcW w:w="624" w:type="pct"/>
            <w:tcMar>
              <w:top w:w="0" w:type="dxa"/>
              <w:left w:w="51" w:type="dxa"/>
              <w:bottom w:w="0" w:type="dxa"/>
              <w:right w:w="51" w:type="dxa"/>
            </w:tcMar>
            <w:vAlign w:val="center"/>
          </w:tcPr>
          <w:p w14:paraId="11BEECD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四把伙村</w:t>
            </w:r>
          </w:p>
        </w:tc>
        <w:tc>
          <w:tcPr>
            <w:tcW w:w="1879" w:type="pct"/>
            <w:vAlign w:val="center"/>
          </w:tcPr>
          <w:p w14:paraId="63ECBCE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drawing>
                <wp:inline distT="0" distB="0" distL="114300" distR="114300">
                  <wp:extent cx="1610995" cy="1339215"/>
                  <wp:effectExtent l="0" t="0" r="8255" b="13335"/>
                  <wp:docPr id="26" name="图片 26" descr="174227858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42278589661(1)"/>
                          <pic:cNvPicPr>
                            <a:picLocks noChangeAspect="1"/>
                          </pic:cNvPicPr>
                        </pic:nvPicPr>
                        <pic:blipFill>
                          <a:blip r:embed="rId17"/>
                          <a:stretch>
                            <a:fillRect/>
                          </a:stretch>
                        </pic:blipFill>
                        <pic:spPr>
                          <a:xfrm>
                            <a:off x="0" y="0"/>
                            <a:ext cx="1610995" cy="1339215"/>
                          </a:xfrm>
                          <a:prstGeom prst="rect">
                            <a:avLst/>
                          </a:prstGeom>
                        </pic:spPr>
                      </pic:pic>
                    </a:graphicData>
                  </a:graphic>
                </wp:inline>
              </w:drawing>
            </w:r>
          </w:p>
        </w:tc>
        <w:tc>
          <w:tcPr>
            <w:tcW w:w="2495" w:type="pct"/>
            <w:vAlign w:val="center"/>
          </w:tcPr>
          <w:p w14:paraId="5138CC5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drawing>
                <wp:inline distT="0" distB="0" distL="114300" distR="114300">
                  <wp:extent cx="2389505" cy="1344295"/>
                  <wp:effectExtent l="0" t="0" r="10795" b="8255"/>
                  <wp:docPr id="27" name="图片 27" desc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02"/>
                          <pic:cNvPicPr>
                            <a:picLocks noChangeAspect="1"/>
                          </pic:cNvPicPr>
                        </pic:nvPicPr>
                        <pic:blipFill>
                          <a:blip r:embed="rId18"/>
                          <a:stretch>
                            <a:fillRect/>
                          </a:stretch>
                        </pic:blipFill>
                        <pic:spPr>
                          <a:xfrm>
                            <a:off x="0" y="0"/>
                            <a:ext cx="2389505" cy="1344295"/>
                          </a:xfrm>
                          <a:prstGeom prst="rect">
                            <a:avLst/>
                          </a:prstGeom>
                        </pic:spPr>
                      </pic:pic>
                    </a:graphicData>
                  </a:graphic>
                </wp:inline>
              </w:drawing>
            </w:r>
          </w:p>
        </w:tc>
      </w:tr>
      <w:tr w14:paraId="1BBA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exact"/>
          <w:jc w:val="center"/>
        </w:trPr>
        <w:tc>
          <w:tcPr>
            <w:tcW w:w="624" w:type="pct"/>
            <w:tcMar>
              <w:top w:w="0" w:type="dxa"/>
              <w:left w:w="51" w:type="dxa"/>
              <w:bottom w:w="0" w:type="dxa"/>
              <w:right w:w="51" w:type="dxa"/>
            </w:tcMar>
            <w:vAlign w:val="center"/>
          </w:tcPr>
          <w:p w14:paraId="77A3E34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下常乐店</w:t>
            </w:r>
          </w:p>
        </w:tc>
        <w:tc>
          <w:tcPr>
            <w:tcW w:w="1879" w:type="pct"/>
            <w:vAlign w:val="center"/>
          </w:tcPr>
          <w:p w14:paraId="3FE491B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drawing>
                <wp:inline distT="0" distB="0" distL="114300" distR="114300">
                  <wp:extent cx="1696720" cy="1349375"/>
                  <wp:effectExtent l="0" t="0" r="17780" b="3175"/>
                  <wp:docPr id="28" name="图片 28" descr="174280067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42800673020"/>
                          <pic:cNvPicPr>
                            <a:picLocks noChangeAspect="1"/>
                          </pic:cNvPicPr>
                        </pic:nvPicPr>
                        <pic:blipFill>
                          <a:blip r:embed="rId26"/>
                          <a:stretch>
                            <a:fillRect/>
                          </a:stretch>
                        </pic:blipFill>
                        <pic:spPr>
                          <a:xfrm>
                            <a:off x="0" y="0"/>
                            <a:ext cx="1696720" cy="1349375"/>
                          </a:xfrm>
                          <a:prstGeom prst="rect">
                            <a:avLst/>
                          </a:prstGeom>
                        </pic:spPr>
                      </pic:pic>
                    </a:graphicData>
                  </a:graphic>
                </wp:inline>
              </w:drawing>
            </w:r>
          </w:p>
        </w:tc>
        <w:tc>
          <w:tcPr>
            <w:tcW w:w="2495" w:type="pct"/>
            <w:vAlign w:val="center"/>
          </w:tcPr>
          <w:p w14:paraId="21B4204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drawing>
                <wp:inline distT="0" distB="0" distL="114300" distR="114300">
                  <wp:extent cx="2389505" cy="1344295"/>
                  <wp:effectExtent l="0" t="0" r="10795" b="8255"/>
                  <wp:docPr id="29" name="图片 29" descr="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48-"/>
                          <pic:cNvPicPr>
                            <a:picLocks noChangeAspect="1"/>
                          </pic:cNvPicPr>
                        </pic:nvPicPr>
                        <pic:blipFill>
                          <a:blip r:embed="rId20"/>
                          <a:stretch>
                            <a:fillRect/>
                          </a:stretch>
                        </pic:blipFill>
                        <pic:spPr>
                          <a:xfrm>
                            <a:off x="0" y="0"/>
                            <a:ext cx="2389505" cy="1344295"/>
                          </a:xfrm>
                          <a:prstGeom prst="rect">
                            <a:avLst/>
                          </a:prstGeom>
                        </pic:spPr>
                      </pic:pic>
                    </a:graphicData>
                  </a:graphic>
                </wp:inline>
              </w:drawing>
            </w:r>
          </w:p>
        </w:tc>
      </w:tr>
    </w:tbl>
    <w:p w14:paraId="59AD6F3B">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0"/>
          <w:sz w:val="32"/>
          <w:szCs w:val="44"/>
          <w:highlight w:val="none"/>
          <w:lang w:val="en-US" w:eastAsia="zh-CN" w:bidi="ar-SA"/>
        </w:rPr>
      </w:pPr>
      <w:bookmarkStart w:id="45" w:name="_Toc27633"/>
      <w:r>
        <w:rPr>
          <w:rFonts w:hint="default" w:ascii="Times New Roman" w:hAnsi="Times New Roman" w:eastAsia="宋体" w:cs="Times New Roman"/>
          <w:b/>
          <w:bCs/>
          <w:color w:val="000000"/>
          <w:kern w:val="0"/>
          <w:sz w:val="32"/>
          <w:szCs w:val="44"/>
          <w:highlight w:val="none"/>
          <w:lang w:val="en-US" w:eastAsia="zh-CN" w:bidi="ar-SA"/>
        </w:rPr>
        <w:t>3 项目概况与分析</w:t>
      </w:r>
      <w:bookmarkEnd w:id="45"/>
    </w:p>
    <w:p w14:paraId="65C2B0B5">
      <w:pPr>
        <w:widowControl/>
        <w:numPr>
          <w:ilvl w:val="0"/>
          <w:numId w:val="0"/>
        </w:numPr>
        <w:spacing w:line="440" w:lineRule="exact"/>
        <w:ind w:firstLine="480" w:firstLineChars="200"/>
        <w:jc w:val="left"/>
        <w:rPr>
          <w:rFonts w:hint="eastAsia" w:ascii="Times New Roman" w:hAnsi="Times New Roman" w:cs="Times New Roman"/>
          <w:b w:val="0"/>
          <w:bCs w:val="0"/>
          <w:color w:val="000000"/>
          <w:sz w:val="24"/>
          <w:szCs w:val="22"/>
          <w:highlight w:val="none"/>
          <w:lang w:val="en-US" w:eastAsia="zh-CN"/>
        </w:rPr>
      </w:pPr>
      <w:r>
        <w:rPr>
          <w:rFonts w:hint="eastAsia" w:cs="Times New Roman"/>
          <w:b w:val="0"/>
          <w:bCs w:val="0"/>
          <w:color w:val="000000"/>
          <w:kern w:val="0"/>
          <w:sz w:val="24"/>
          <w:szCs w:val="24"/>
          <w:highlight w:val="none"/>
          <w:lang w:val="en-US" w:eastAsia="zh-CN"/>
        </w:rPr>
        <w:t>（1）项目名称：</w:t>
      </w:r>
      <w:r>
        <w:rPr>
          <w:rFonts w:hint="eastAsia" w:cs="Times New Roman"/>
          <w:b w:val="0"/>
          <w:bCs w:val="0"/>
          <w:color w:val="000000"/>
          <w:sz w:val="24"/>
          <w:szCs w:val="22"/>
          <w:highlight w:val="none"/>
          <w:lang w:val="en-US" w:eastAsia="zh-CN"/>
        </w:rPr>
        <w:t>围场县200MW风电储新能源项目送出线路工程项目</w:t>
      </w:r>
    </w:p>
    <w:p w14:paraId="27BC1096">
      <w:pPr>
        <w:widowControl/>
        <w:numPr>
          <w:ilvl w:val="0"/>
          <w:numId w:val="0"/>
        </w:numPr>
        <w:spacing w:line="440" w:lineRule="exact"/>
        <w:ind w:firstLine="480" w:firstLineChars="200"/>
        <w:jc w:val="left"/>
        <w:rPr>
          <w:rFonts w:hint="eastAsia" w:cs="Times New Roman"/>
          <w:b w:val="0"/>
          <w:bCs w:val="0"/>
          <w:color w:val="000000"/>
          <w:sz w:val="24"/>
          <w:szCs w:val="22"/>
          <w:highlight w:val="none"/>
          <w:lang w:val="en-US" w:eastAsia="zh-CN"/>
        </w:rPr>
      </w:pPr>
      <w:r>
        <w:rPr>
          <w:rFonts w:hint="eastAsia" w:cs="Times New Roman"/>
          <w:b w:val="0"/>
          <w:bCs w:val="0"/>
          <w:color w:val="000000"/>
          <w:sz w:val="24"/>
          <w:szCs w:val="22"/>
          <w:highlight w:val="none"/>
          <w:lang w:val="en-US" w:eastAsia="zh-CN"/>
        </w:rPr>
        <w:t>（2）建设单位：围场满族蒙古族自治县百世能光伏发电有限公司</w:t>
      </w:r>
    </w:p>
    <w:p w14:paraId="4EEFF81E">
      <w:pPr>
        <w:widowControl/>
        <w:numPr>
          <w:ilvl w:val="0"/>
          <w:numId w:val="0"/>
        </w:numPr>
        <w:spacing w:line="440" w:lineRule="exact"/>
        <w:ind w:firstLine="480" w:firstLineChars="200"/>
        <w:jc w:val="left"/>
        <w:rPr>
          <w:rFonts w:hint="eastAsia" w:cs="Times New Roman"/>
          <w:b w:val="0"/>
          <w:bCs w:val="0"/>
          <w:color w:val="000000"/>
          <w:sz w:val="24"/>
          <w:szCs w:val="22"/>
          <w:highlight w:val="none"/>
          <w:lang w:val="en-US" w:eastAsia="zh-CN"/>
        </w:rPr>
      </w:pPr>
      <w:r>
        <w:rPr>
          <w:rFonts w:hint="eastAsia" w:cs="Times New Roman"/>
          <w:b w:val="0"/>
          <w:bCs w:val="0"/>
          <w:color w:val="000000"/>
          <w:sz w:val="24"/>
          <w:szCs w:val="22"/>
          <w:highlight w:val="none"/>
          <w:lang w:val="en-US" w:eastAsia="zh-CN"/>
        </w:rPr>
        <w:t>（3）建设性质：新建</w:t>
      </w:r>
    </w:p>
    <w:p w14:paraId="1BBE4D84">
      <w:pPr>
        <w:widowControl/>
        <w:numPr>
          <w:ilvl w:val="0"/>
          <w:numId w:val="0"/>
        </w:numPr>
        <w:spacing w:line="440" w:lineRule="exact"/>
        <w:ind w:firstLine="480" w:firstLineChars="200"/>
        <w:jc w:val="left"/>
        <w:rPr>
          <w:rFonts w:hint="eastAsia" w:cs="Times New Roman"/>
          <w:b w:val="0"/>
          <w:bCs w:val="0"/>
          <w:color w:val="000000"/>
          <w:kern w:val="0"/>
          <w:sz w:val="24"/>
          <w:szCs w:val="22"/>
          <w:highlight w:val="none"/>
          <w:lang w:val="en-US" w:eastAsia="zh-CN"/>
        </w:rPr>
      </w:pPr>
      <w:r>
        <w:rPr>
          <w:rFonts w:hint="eastAsia" w:cs="Times New Roman"/>
          <w:b w:val="0"/>
          <w:bCs w:val="0"/>
          <w:color w:val="000000"/>
          <w:sz w:val="24"/>
          <w:szCs w:val="22"/>
          <w:highlight w:val="none"/>
          <w:lang w:val="en-US" w:eastAsia="zh-CN"/>
        </w:rPr>
        <w:t>（4）建设地点：</w:t>
      </w:r>
      <w:r>
        <w:rPr>
          <w:rFonts w:hint="eastAsia" w:ascii="Times New Roman" w:eastAsia="宋体"/>
          <w:b w:val="0"/>
          <w:bCs w:val="0"/>
          <w:color w:val="000000"/>
          <w:sz w:val="24"/>
          <w:szCs w:val="22"/>
          <w:highlight w:val="none"/>
          <w:lang w:val="en-US" w:eastAsia="zh-CN"/>
        </w:rPr>
        <w:t>河北省承德市围场满族蒙古族自治县克勒沟镇、银窝沟乡、杨家湾乡、朝阳湾镇</w:t>
      </w:r>
      <w:r>
        <w:rPr>
          <w:rFonts w:hint="eastAsia" w:cs="Times New Roman"/>
          <w:b w:val="0"/>
          <w:bCs w:val="0"/>
          <w:color w:val="000000"/>
          <w:kern w:val="0"/>
          <w:sz w:val="24"/>
          <w:szCs w:val="22"/>
          <w:highlight w:val="none"/>
          <w:lang w:val="en-US" w:eastAsia="zh-CN"/>
        </w:rPr>
        <w:t>。</w:t>
      </w:r>
    </w:p>
    <w:p w14:paraId="27318939">
      <w:pPr>
        <w:widowControl/>
        <w:spacing w:line="440" w:lineRule="exact"/>
        <w:ind w:firstLine="480" w:firstLineChars="200"/>
        <w:jc w:val="left"/>
        <w:rPr>
          <w:rFonts w:hint="eastAsia" w:ascii="Times New Roman" w:hAnsi="Times New Roman" w:eastAsia="宋体" w:cs="Times New Roman"/>
          <w:b w:val="0"/>
          <w:bCs w:val="0"/>
          <w:color w:val="000000"/>
          <w:kern w:val="0"/>
          <w:sz w:val="24"/>
          <w:szCs w:val="22"/>
          <w:highlight w:val="none"/>
          <w:lang w:val="en-US" w:eastAsia="zh-CN"/>
        </w:rPr>
      </w:pPr>
      <w:r>
        <w:rPr>
          <w:rFonts w:hint="eastAsia" w:cs="Times New Roman"/>
          <w:b w:val="0"/>
          <w:bCs w:val="0"/>
          <w:color w:val="000000"/>
          <w:kern w:val="0"/>
          <w:sz w:val="24"/>
          <w:szCs w:val="22"/>
          <w:highlight w:val="none"/>
          <w:lang w:val="en-US" w:eastAsia="zh-CN"/>
        </w:rPr>
        <w:t>（5）</w:t>
      </w:r>
      <w:r>
        <w:rPr>
          <w:rFonts w:hint="default" w:ascii="Times New Roman" w:hAnsi="Times New Roman" w:cs="Times New Roman"/>
          <w:b w:val="0"/>
          <w:bCs w:val="0"/>
          <w:color w:val="000000"/>
          <w:kern w:val="0"/>
          <w:sz w:val="24"/>
          <w:szCs w:val="22"/>
          <w:highlight w:val="none"/>
        </w:rPr>
        <w:t>建设内容及规模</w:t>
      </w:r>
      <w:r>
        <w:rPr>
          <w:rFonts w:hint="eastAsia" w:cs="Times New Roman"/>
          <w:b w:val="0"/>
          <w:bCs w:val="0"/>
          <w:color w:val="000000"/>
          <w:kern w:val="0"/>
          <w:sz w:val="24"/>
          <w:szCs w:val="22"/>
          <w:highlight w:val="none"/>
          <w:lang w:eastAsia="zh-CN"/>
        </w:rPr>
        <w:t>：</w:t>
      </w:r>
    </w:p>
    <w:p w14:paraId="5DBE2203">
      <w:pPr>
        <w:widowControl/>
        <w:spacing w:line="440" w:lineRule="exact"/>
        <w:ind w:firstLine="480" w:firstLineChars="200"/>
        <w:jc w:val="left"/>
        <w:rPr>
          <w:rFonts w:hint="default"/>
          <w:color w:val="000000"/>
          <w:sz w:val="24"/>
          <w:szCs w:val="22"/>
          <w:highlight w:val="none"/>
          <w:lang w:val="en-US" w:eastAsia="zh-CN"/>
        </w:rPr>
      </w:pPr>
      <w:r>
        <w:rPr>
          <w:rFonts w:hint="eastAsia" w:ascii="Times New Roman" w:eastAsia="宋体"/>
          <w:color w:val="000000"/>
          <w:sz w:val="24"/>
          <w:szCs w:val="22"/>
          <w:highlight w:val="none"/>
          <w:lang w:val="en-US" w:eastAsia="zh-CN"/>
        </w:rPr>
        <w:t>本工程新建110kV线路起于围场县200MW风电储新能源项目110kV升压站，止于围场县200MW风电储新能源项目220kV升压站。工程建设期间优化设计，由“单回架空线路28.9km，电缆线路0.2km”调整为“全线单回架空线路，长度约29.033km”，同时减少塔基数量，由“新建铁塔99基”调整为“新建角钢塔87基、钢管杆1基”，其中单回路耐张塔44基，单回路直线塔43基。导线采用JL/G1A-300/40钢芯铝绞线。</w:t>
      </w:r>
    </w:p>
    <w:p w14:paraId="75034EC8">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sz w:val="24"/>
          <w:szCs w:val="24"/>
          <w:highlight w:val="none"/>
          <w:lang w:val="en-US" w:eastAsia="zh-CN" w:bidi="ar-SA"/>
        </w:rPr>
      </w:pPr>
      <w:r>
        <w:rPr>
          <w:rFonts w:hint="default" w:ascii="Times New Roman" w:hAnsi="Times New Roman" w:eastAsia="宋体" w:cs="Times New Roman"/>
          <w:bCs/>
          <w:color w:val="000000"/>
          <w:sz w:val="24"/>
          <w:szCs w:val="24"/>
          <w:highlight w:val="none"/>
          <w:lang w:val="en-US" w:eastAsia="zh-CN" w:bidi="ar-SA"/>
        </w:rPr>
        <w:t>项目</w:t>
      </w:r>
      <w:r>
        <w:rPr>
          <w:rFonts w:hint="eastAsia" w:eastAsia="宋体" w:cs="Times New Roman"/>
          <w:bCs/>
          <w:color w:val="000000"/>
          <w:sz w:val="24"/>
          <w:szCs w:val="24"/>
          <w:highlight w:val="none"/>
          <w:lang w:val="en-US" w:eastAsia="zh-CN" w:bidi="ar-SA"/>
        </w:rPr>
        <w:t>建设内容</w:t>
      </w:r>
      <w:r>
        <w:rPr>
          <w:rFonts w:hint="eastAsia" w:ascii="Times New Roman" w:hAnsi="Times New Roman" w:eastAsia="宋体" w:cs="Times New Roman"/>
          <w:bCs/>
          <w:color w:val="000000"/>
          <w:sz w:val="24"/>
          <w:szCs w:val="24"/>
          <w:highlight w:val="none"/>
          <w:lang w:val="en-US" w:eastAsia="zh-CN" w:bidi="ar-SA"/>
        </w:rPr>
        <w:t>一览表</w:t>
      </w:r>
      <w:r>
        <w:rPr>
          <w:rFonts w:hint="default" w:ascii="Times New Roman" w:hAnsi="Times New Roman" w:eastAsia="宋体" w:cs="Times New Roman"/>
          <w:bCs/>
          <w:color w:val="000000"/>
          <w:sz w:val="24"/>
          <w:szCs w:val="24"/>
          <w:highlight w:val="none"/>
          <w:lang w:val="en-US" w:eastAsia="zh-CN" w:bidi="ar-SA"/>
        </w:rPr>
        <w:t>见表</w:t>
      </w:r>
      <w:r>
        <w:rPr>
          <w:rFonts w:hint="eastAsia" w:ascii="Times New Roman" w:hAnsi="Times New Roman" w:eastAsia="宋体" w:cs="Times New Roman"/>
          <w:bCs/>
          <w:color w:val="000000"/>
          <w:sz w:val="24"/>
          <w:szCs w:val="24"/>
          <w:highlight w:val="none"/>
          <w:lang w:val="en-US" w:eastAsia="zh-CN" w:bidi="ar-SA"/>
        </w:rPr>
        <w:t>3</w:t>
      </w:r>
      <w:r>
        <w:rPr>
          <w:rFonts w:hint="default" w:ascii="Times New Roman" w:hAnsi="Times New Roman" w:eastAsia="宋体" w:cs="Times New Roman"/>
          <w:bCs/>
          <w:color w:val="000000"/>
          <w:sz w:val="24"/>
          <w:szCs w:val="24"/>
          <w:highlight w:val="none"/>
          <w:lang w:val="en-US" w:eastAsia="zh-CN" w:bidi="ar-SA"/>
        </w:rPr>
        <w:t>-1。</w:t>
      </w:r>
    </w:p>
    <w:p w14:paraId="53662280">
      <w:pPr>
        <w:keepNext w:val="0"/>
        <w:keepLines w:val="0"/>
        <w:pageBreakBefore w:val="0"/>
        <w:widowControl w:val="0"/>
        <w:kinsoku/>
        <w:wordWrap/>
        <w:overflowPunct/>
        <w:topLinePunct w:val="0"/>
        <w:autoSpaceDE w:val="0"/>
        <w:autoSpaceDN w:val="0"/>
        <w:bidi w:val="0"/>
        <w:adjustRightInd/>
        <w:snapToGrid/>
        <w:spacing w:line="440" w:lineRule="exact"/>
        <w:ind w:firstLine="422" w:firstLineChars="200"/>
        <w:jc w:val="center"/>
        <w:textAlignment w:val="auto"/>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表</w:t>
      </w:r>
      <w:r>
        <w:rPr>
          <w:rFonts w:hint="eastAsia" w:ascii="Times New Roman" w:hAnsi="Times New Roman" w:eastAsia="宋体" w:cs="Times New Roman"/>
          <w:b/>
          <w:bCs/>
          <w:color w:val="000000"/>
          <w:sz w:val="21"/>
          <w:szCs w:val="21"/>
          <w:highlight w:val="none"/>
          <w:lang w:val="en-US" w:eastAsia="zh-CN" w:bidi="ar-SA"/>
        </w:rPr>
        <w:t>3</w:t>
      </w:r>
      <w:r>
        <w:rPr>
          <w:rFonts w:hint="default" w:ascii="Times New Roman" w:hAnsi="Times New Roman" w:eastAsia="宋体" w:cs="Times New Roman"/>
          <w:b/>
          <w:bCs/>
          <w:color w:val="000000"/>
          <w:sz w:val="21"/>
          <w:szCs w:val="21"/>
          <w:highlight w:val="none"/>
          <w:lang w:val="en-US" w:eastAsia="zh-CN" w:bidi="ar-SA"/>
        </w:rPr>
        <w:t>-1  项目</w:t>
      </w:r>
      <w:r>
        <w:rPr>
          <w:rFonts w:hint="eastAsia" w:eastAsia="宋体" w:cs="Times New Roman"/>
          <w:b/>
          <w:bCs/>
          <w:color w:val="000000"/>
          <w:sz w:val="21"/>
          <w:szCs w:val="21"/>
          <w:highlight w:val="none"/>
          <w:lang w:val="en-US" w:eastAsia="zh-CN" w:bidi="ar-SA"/>
        </w:rPr>
        <w:t>建设内容</w:t>
      </w:r>
      <w:r>
        <w:rPr>
          <w:rFonts w:hint="default" w:ascii="Times New Roman" w:hAnsi="Times New Roman" w:eastAsia="宋体" w:cs="Times New Roman"/>
          <w:b/>
          <w:bCs/>
          <w:color w:val="000000"/>
          <w:sz w:val="21"/>
          <w:szCs w:val="21"/>
          <w:highlight w:val="none"/>
          <w:lang w:val="en-US" w:eastAsia="zh-CN" w:bidi="ar-SA"/>
        </w:rPr>
        <w:t>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66"/>
        <w:gridCol w:w="1120"/>
        <w:gridCol w:w="6375"/>
      </w:tblGrid>
      <w:tr w14:paraId="2974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5" w:type="pct"/>
            <w:gridSpan w:val="3"/>
            <w:tcMar>
              <w:top w:w="0" w:type="dxa"/>
              <w:left w:w="51" w:type="dxa"/>
              <w:bottom w:w="0" w:type="dxa"/>
              <w:right w:w="51" w:type="dxa"/>
            </w:tcMar>
            <w:vAlign w:val="center"/>
          </w:tcPr>
          <w:p w14:paraId="41128EB5">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项目</w:t>
            </w:r>
          </w:p>
        </w:tc>
        <w:tc>
          <w:tcPr>
            <w:tcW w:w="3694" w:type="pct"/>
            <w:tcMar>
              <w:top w:w="0" w:type="dxa"/>
              <w:left w:w="51" w:type="dxa"/>
              <w:bottom w:w="0" w:type="dxa"/>
              <w:right w:w="51" w:type="dxa"/>
            </w:tcMar>
            <w:vAlign w:val="center"/>
          </w:tcPr>
          <w:p w14:paraId="3D863CA1">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基本情况</w:t>
            </w:r>
          </w:p>
        </w:tc>
      </w:tr>
      <w:tr w14:paraId="1338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restart"/>
            <w:tcMar>
              <w:top w:w="0" w:type="dxa"/>
              <w:left w:w="17" w:type="dxa"/>
              <w:bottom w:w="0" w:type="dxa"/>
              <w:right w:w="17" w:type="dxa"/>
            </w:tcMar>
            <w:vAlign w:val="center"/>
          </w:tcPr>
          <w:p w14:paraId="11CB6F8A">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主体工程</w:t>
            </w:r>
          </w:p>
        </w:tc>
        <w:tc>
          <w:tcPr>
            <w:tcW w:w="501" w:type="pct"/>
            <w:vMerge w:val="restart"/>
            <w:tcMar>
              <w:top w:w="0" w:type="dxa"/>
              <w:left w:w="17" w:type="dxa"/>
              <w:bottom w:w="0" w:type="dxa"/>
              <w:right w:w="17" w:type="dxa"/>
            </w:tcMar>
            <w:vAlign w:val="center"/>
          </w:tcPr>
          <w:p w14:paraId="308D6879">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围场县200MW风电储新能源项目送出线路工程</w:t>
            </w:r>
          </w:p>
        </w:tc>
        <w:tc>
          <w:tcPr>
            <w:tcW w:w="649" w:type="pct"/>
            <w:tcMar>
              <w:top w:w="0" w:type="dxa"/>
              <w:left w:w="51" w:type="dxa"/>
              <w:bottom w:w="0" w:type="dxa"/>
              <w:right w:w="51" w:type="dxa"/>
            </w:tcMar>
            <w:vAlign w:val="center"/>
          </w:tcPr>
          <w:p w14:paraId="4256C44B">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起点</w:t>
            </w:r>
          </w:p>
        </w:tc>
        <w:tc>
          <w:tcPr>
            <w:tcW w:w="3694" w:type="pct"/>
            <w:tcMar>
              <w:top w:w="0" w:type="dxa"/>
              <w:left w:w="51" w:type="dxa"/>
              <w:bottom w:w="0" w:type="dxa"/>
              <w:right w:w="51" w:type="dxa"/>
            </w:tcMar>
            <w:vAlign w:val="center"/>
          </w:tcPr>
          <w:p w14:paraId="57CF2023">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lang w:val="en-US" w:eastAsia="zh-CN"/>
              </w:rPr>
              <w:t>围场县200MW风电储新能源项目110kV升压站</w:t>
            </w:r>
          </w:p>
        </w:tc>
      </w:tr>
      <w:tr w14:paraId="407B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779BC42F">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636C4C34">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58328FEB">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终点</w:t>
            </w:r>
          </w:p>
        </w:tc>
        <w:tc>
          <w:tcPr>
            <w:tcW w:w="3694" w:type="pct"/>
            <w:tcMar>
              <w:top w:w="0" w:type="dxa"/>
              <w:left w:w="51" w:type="dxa"/>
              <w:bottom w:w="0" w:type="dxa"/>
              <w:right w:w="51" w:type="dxa"/>
            </w:tcMar>
            <w:vAlign w:val="center"/>
          </w:tcPr>
          <w:p w14:paraId="570C737B">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lang w:val="en-US" w:eastAsia="zh-CN"/>
              </w:rPr>
              <w:t>围场县200MW风电储新能源项目220kV升压站</w:t>
            </w:r>
          </w:p>
        </w:tc>
      </w:tr>
      <w:tr w14:paraId="5550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766E2798">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5CA948D3">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724CB528">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工程特点</w:t>
            </w:r>
          </w:p>
        </w:tc>
        <w:tc>
          <w:tcPr>
            <w:tcW w:w="3694" w:type="pct"/>
            <w:tcMar>
              <w:top w:w="0" w:type="dxa"/>
              <w:left w:w="51" w:type="dxa"/>
              <w:bottom w:w="0" w:type="dxa"/>
              <w:right w:w="51" w:type="dxa"/>
            </w:tcMar>
            <w:vAlign w:val="center"/>
          </w:tcPr>
          <w:p w14:paraId="01C39B1F">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线路途经河北省承德市围场满族蒙古族自治县</w:t>
            </w:r>
            <w:r>
              <w:rPr>
                <w:rFonts w:hint="default" w:ascii="Times New Roman" w:hAnsi="Times New Roman" w:eastAsia="宋体" w:cs="Times New Roman"/>
                <w:color w:val="000000"/>
                <w:sz w:val="21"/>
                <w:szCs w:val="21"/>
                <w:highlight w:val="none"/>
                <w:lang w:val="en-US" w:eastAsia="zh-CN"/>
              </w:rPr>
              <w:t>克勒沟镇、银窝沟乡、杨家湾乡、朝阳湾镇</w:t>
            </w:r>
            <w:r>
              <w:rPr>
                <w:rFonts w:hint="default" w:ascii="Times New Roman" w:hAnsi="Times New Roman" w:eastAsia="宋体" w:cs="Times New Roman"/>
                <w:color w:val="000000"/>
                <w:sz w:val="21"/>
                <w:szCs w:val="21"/>
                <w:highlight w:val="none"/>
              </w:rPr>
              <w:t>，基本呈东南向西北走向</w:t>
            </w:r>
          </w:p>
        </w:tc>
      </w:tr>
      <w:tr w14:paraId="3B16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4A8E80E5">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0FC0811F">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45414AEA">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额定电压</w:t>
            </w:r>
          </w:p>
        </w:tc>
        <w:tc>
          <w:tcPr>
            <w:tcW w:w="3694" w:type="pct"/>
            <w:tcMar>
              <w:top w:w="0" w:type="dxa"/>
              <w:left w:w="51" w:type="dxa"/>
              <w:bottom w:w="0" w:type="dxa"/>
              <w:right w:w="51" w:type="dxa"/>
            </w:tcMar>
            <w:vAlign w:val="center"/>
          </w:tcPr>
          <w:p w14:paraId="7EC4C8C7">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eastAsia" w:ascii="Times New Roman" w:hAnsi="Times New Roman" w:eastAsia="宋体" w:cs="Times New Roman"/>
                <w:color w:val="000000"/>
                <w:sz w:val="21"/>
                <w:szCs w:val="21"/>
                <w:highlight w:val="none"/>
                <w:lang w:val="en-US" w:eastAsia="zh-CN"/>
              </w:rPr>
              <w:t>11</w:t>
            </w:r>
            <w:r>
              <w:rPr>
                <w:rFonts w:hint="default" w:ascii="Times New Roman" w:hAnsi="Times New Roman" w:eastAsia="宋体" w:cs="Times New Roman"/>
                <w:color w:val="000000"/>
                <w:sz w:val="21"/>
                <w:szCs w:val="21"/>
                <w:highlight w:val="none"/>
              </w:rPr>
              <w:t>0kV</w:t>
            </w:r>
          </w:p>
        </w:tc>
      </w:tr>
      <w:tr w14:paraId="488E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09C3549F">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2CC892BE">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3B0C32C2">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回路数</w:t>
            </w:r>
          </w:p>
        </w:tc>
        <w:tc>
          <w:tcPr>
            <w:tcW w:w="3694" w:type="pct"/>
            <w:tcMar>
              <w:top w:w="0" w:type="dxa"/>
              <w:left w:w="51" w:type="dxa"/>
              <w:bottom w:w="0" w:type="dxa"/>
              <w:right w:w="51" w:type="dxa"/>
            </w:tcMar>
            <w:vAlign w:val="center"/>
          </w:tcPr>
          <w:p w14:paraId="3E598813">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rPr>
              <w:t>单回路架</w:t>
            </w:r>
            <w:r>
              <w:rPr>
                <w:rFonts w:hint="eastAsia" w:ascii="Times New Roman" w:hAnsi="Times New Roman" w:eastAsia="宋体" w:cs="Times New Roman"/>
                <w:color w:val="000000"/>
                <w:kern w:val="2"/>
                <w:sz w:val="21"/>
                <w:szCs w:val="21"/>
                <w:highlight w:val="none"/>
                <w:lang w:val="en-US" w:eastAsia="zh-CN"/>
              </w:rPr>
              <w:t>设</w:t>
            </w:r>
          </w:p>
        </w:tc>
      </w:tr>
      <w:tr w14:paraId="2B92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0EBA9E0E">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26566637">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34057E99">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导线型号</w:t>
            </w:r>
          </w:p>
        </w:tc>
        <w:tc>
          <w:tcPr>
            <w:tcW w:w="3694" w:type="pct"/>
            <w:tcMar>
              <w:top w:w="0" w:type="dxa"/>
              <w:left w:w="51" w:type="dxa"/>
              <w:bottom w:w="0" w:type="dxa"/>
              <w:right w:w="51" w:type="dxa"/>
            </w:tcMar>
            <w:vAlign w:val="center"/>
          </w:tcPr>
          <w:p w14:paraId="3F7ED933">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eastAsia" w:ascii="Times New Roman" w:hAnsi="Times New Roman" w:eastAsia="宋体" w:cs="Times New Roman"/>
                <w:snapToGrid w:val="0"/>
                <w:color w:val="000000"/>
                <w:kern w:val="2"/>
                <w:sz w:val="21"/>
                <w:szCs w:val="21"/>
                <w:highlight w:val="none"/>
                <w:lang w:val="en-US" w:eastAsia="zh-CN"/>
              </w:rPr>
            </w:pPr>
            <w:r>
              <w:rPr>
                <w:rFonts w:hint="default" w:ascii="Times New Roman" w:hAnsi="Times New Roman" w:eastAsia="宋体" w:cs="Times New Roman"/>
                <w:color w:val="000000"/>
                <w:sz w:val="21"/>
                <w:szCs w:val="21"/>
                <w:highlight w:val="none"/>
              </w:rPr>
              <w:t>JL/G1A-300/40</w:t>
            </w:r>
            <w:r>
              <w:rPr>
                <w:rFonts w:hint="eastAsia" w:eastAsia="宋体" w:cs="Times New Roman"/>
                <w:color w:val="000000"/>
                <w:sz w:val="21"/>
                <w:szCs w:val="21"/>
                <w:highlight w:val="none"/>
                <w:lang w:val="en-US" w:eastAsia="zh-CN"/>
              </w:rPr>
              <w:t>钢芯铝绞线</w:t>
            </w:r>
          </w:p>
        </w:tc>
      </w:tr>
      <w:tr w14:paraId="5114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42E88AD8">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0174A474">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3186AE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线路长度</w:t>
            </w:r>
          </w:p>
        </w:tc>
        <w:tc>
          <w:tcPr>
            <w:tcW w:w="3694" w:type="pct"/>
            <w:tcMar>
              <w:top w:w="0" w:type="dxa"/>
              <w:left w:w="51" w:type="dxa"/>
              <w:bottom w:w="0" w:type="dxa"/>
              <w:right w:w="51" w:type="dxa"/>
            </w:tcMar>
            <w:vAlign w:val="center"/>
          </w:tcPr>
          <w:p w14:paraId="69B6C6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kern w:val="0"/>
                <w:sz w:val="21"/>
                <w:szCs w:val="21"/>
                <w:highlight w:val="none"/>
                <w:lang w:val="en-US" w:eastAsia="zh-CN" w:bidi="ar-SA"/>
              </w:rPr>
              <w:t>全线采用单回架空线路，</w:t>
            </w:r>
            <w:r>
              <w:rPr>
                <w:rFonts w:hint="default" w:ascii="Times New Roman" w:hAnsi="Times New Roman" w:eastAsia="宋体" w:cs="Times New Roman"/>
                <w:snapToGrid w:val="0"/>
                <w:color w:val="000000"/>
                <w:kern w:val="0"/>
                <w:sz w:val="21"/>
                <w:szCs w:val="21"/>
                <w:highlight w:val="none"/>
                <w:lang w:val="en-US" w:eastAsia="zh-CN" w:bidi="ar-SA"/>
              </w:rPr>
              <w:t>线路路径全长</w:t>
            </w:r>
            <w:r>
              <w:rPr>
                <w:rFonts w:hint="eastAsia" w:eastAsia="宋体" w:cs="Times New Roman"/>
                <w:snapToGrid w:val="0"/>
                <w:color w:val="000000"/>
                <w:kern w:val="0"/>
                <w:sz w:val="21"/>
                <w:szCs w:val="21"/>
                <w:highlight w:val="none"/>
                <w:lang w:val="en-US" w:eastAsia="zh-CN" w:bidi="ar-SA"/>
              </w:rPr>
              <w:t>29.033</w:t>
            </w:r>
            <w:r>
              <w:rPr>
                <w:rFonts w:hint="default" w:ascii="Times New Roman" w:hAnsi="Times New Roman" w:eastAsia="宋体" w:cs="Times New Roman"/>
                <w:snapToGrid w:val="0"/>
                <w:color w:val="000000"/>
                <w:kern w:val="0"/>
                <w:sz w:val="21"/>
                <w:szCs w:val="21"/>
                <w:highlight w:val="none"/>
                <w:lang w:val="en-US" w:eastAsia="zh-CN" w:bidi="ar-SA"/>
              </w:rPr>
              <w:t>km</w:t>
            </w:r>
          </w:p>
        </w:tc>
      </w:tr>
      <w:tr w14:paraId="5820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07F67376">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3EE98968">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205DFB19">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铁塔数量</w:t>
            </w:r>
          </w:p>
        </w:tc>
        <w:tc>
          <w:tcPr>
            <w:tcW w:w="3694" w:type="pct"/>
            <w:tcMar>
              <w:top w:w="0" w:type="dxa"/>
              <w:left w:w="51" w:type="dxa"/>
              <w:bottom w:w="0" w:type="dxa"/>
              <w:right w:w="51" w:type="dxa"/>
            </w:tcMar>
            <w:vAlign w:val="center"/>
          </w:tcPr>
          <w:p w14:paraId="3A321273">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kern w:val="2"/>
                <w:sz w:val="21"/>
                <w:szCs w:val="21"/>
                <w:highlight w:val="none"/>
                <w:lang w:val="en-US" w:eastAsia="zh-CN"/>
              </w:rPr>
              <w:t>新建角钢塔87基、钢管杆1基，其中单回路耐张塔44基，单回路直线塔43基</w:t>
            </w:r>
          </w:p>
        </w:tc>
      </w:tr>
      <w:tr w14:paraId="6FBD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vMerge w:val="continue"/>
            <w:tcMar>
              <w:top w:w="0" w:type="dxa"/>
              <w:left w:w="51" w:type="dxa"/>
              <w:bottom w:w="0" w:type="dxa"/>
              <w:right w:w="51" w:type="dxa"/>
            </w:tcMar>
            <w:vAlign w:val="center"/>
          </w:tcPr>
          <w:p w14:paraId="24CA1A1D">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501" w:type="pct"/>
            <w:vMerge w:val="continue"/>
            <w:tcMar>
              <w:top w:w="0" w:type="dxa"/>
              <w:left w:w="51" w:type="dxa"/>
              <w:bottom w:w="0" w:type="dxa"/>
              <w:right w:w="51" w:type="dxa"/>
            </w:tcMar>
            <w:vAlign w:val="center"/>
          </w:tcPr>
          <w:p w14:paraId="1DE3FAC0">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2D51DCC4">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default" w:ascii="Times New Roman" w:hAnsi="Times New Roman" w:eastAsia="宋体" w:cs="Times New Roman"/>
                <w:color w:val="000000"/>
                <w:sz w:val="21"/>
                <w:szCs w:val="21"/>
                <w:highlight w:val="none"/>
              </w:rPr>
              <w:t>占地</w:t>
            </w:r>
          </w:p>
        </w:tc>
        <w:tc>
          <w:tcPr>
            <w:tcW w:w="3694" w:type="pct"/>
            <w:tcMar>
              <w:top w:w="0" w:type="dxa"/>
              <w:left w:w="51" w:type="dxa"/>
              <w:bottom w:w="0" w:type="dxa"/>
              <w:right w:w="51" w:type="dxa"/>
            </w:tcMar>
            <w:vAlign w:val="center"/>
          </w:tcPr>
          <w:p w14:paraId="0AC81407">
            <w:pPr>
              <w:keepNext w:val="0"/>
              <w:keepLines w:val="0"/>
              <w:pageBreakBefore w:val="0"/>
              <w:widowControl w:val="0"/>
              <w:kinsoku/>
              <w:wordWrap/>
              <w:overflowPunct/>
              <w:topLinePunct w:val="0"/>
              <w:autoSpaceDE/>
              <w:autoSpaceDN/>
              <w:bidi w:val="0"/>
              <w:snapToGrid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rPr>
            </w:pPr>
            <w:r>
              <w:rPr>
                <w:rFonts w:hint="eastAsia" w:eastAsia="宋体" w:cs="Times New Roman"/>
                <w:color w:val="000000"/>
                <w:sz w:val="21"/>
                <w:szCs w:val="21"/>
                <w:highlight w:val="none"/>
                <w:lang w:val="en-US" w:eastAsia="zh-CN"/>
              </w:rPr>
              <w:t>铁塔</w:t>
            </w:r>
            <w:r>
              <w:rPr>
                <w:rFonts w:hint="default" w:ascii="Times New Roman" w:hAnsi="Times New Roman" w:eastAsia="宋体" w:cs="Times New Roman"/>
                <w:color w:val="000000"/>
                <w:sz w:val="21"/>
                <w:szCs w:val="21"/>
                <w:highlight w:val="none"/>
              </w:rPr>
              <w:t>塔基</w:t>
            </w:r>
            <w:r>
              <w:rPr>
                <w:rFonts w:hint="eastAsia" w:eastAsia="宋体" w:cs="Times New Roman"/>
                <w:color w:val="000000"/>
                <w:sz w:val="21"/>
                <w:szCs w:val="21"/>
                <w:highlight w:val="none"/>
                <w:lang w:val="en-US" w:eastAsia="zh-CN"/>
              </w:rPr>
              <w:t>永久</w:t>
            </w:r>
            <w:r>
              <w:rPr>
                <w:rFonts w:hint="default" w:ascii="Times New Roman" w:hAnsi="Times New Roman" w:eastAsia="宋体" w:cs="Times New Roman"/>
                <w:color w:val="000000"/>
                <w:sz w:val="21"/>
                <w:szCs w:val="21"/>
                <w:highlight w:val="none"/>
              </w:rPr>
              <w:t>占地</w:t>
            </w:r>
            <w:r>
              <w:rPr>
                <w:rFonts w:hint="eastAsia" w:eastAsia="宋体" w:cs="Times New Roman"/>
                <w:color w:val="000000"/>
                <w:sz w:val="21"/>
                <w:szCs w:val="21"/>
                <w:highlight w:val="none"/>
                <w:lang w:val="en-US" w:eastAsia="zh-CN"/>
              </w:rPr>
              <w:t>面积约7300</w:t>
            </w:r>
            <w:r>
              <w:rPr>
                <w:rFonts w:hint="default" w:ascii="Times New Roman" w:hAnsi="Times New Roman" w:eastAsia="宋体" w:cs="Times New Roman"/>
                <w:color w:val="000000"/>
                <w:sz w:val="21"/>
                <w:szCs w:val="21"/>
                <w:highlight w:val="none"/>
              </w:rPr>
              <w:t>m</w:t>
            </w:r>
            <w:r>
              <w:rPr>
                <w:rFonts w:hint="default" w:ascii="Times New Roman" w:hAnsi="Times New Roman" w:eastAsia="宋体" w:cs="Times New Roman"/>
                <w:color w:val="000000"/>
                <w:sz w:val="21"/>
                <w:szCs w:val="21"/>
                <w:highlight w:val="none"/>
                <w:vertAlign w:val="superscript"/>
              </w:rPr>
              <w:t>2</w:t>
            </w:r>
          </w:p>
        </w:tc>
      </w:tr>
      <w:tr w14:paraId="2117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5" w:type="pct"/>
            <w:gridSpan w:val="3"/>
            <w:tcMar>
              <w:top w:w="0" w:type="dxa"/>
              <w:left w:w="51" w:type="dxa"/>
              <w:bottom w:w="0" w:type="dxa"/>
              <w:right w:w="51" w:type="dxa"/>
            </w:tcMar>
            <w:vAlign w:val="center"/>
          </w:tcPr>
          <w:p w14:paraId="57DD1663">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辅助工程</w:t>
            </w:r>
          </w:p>
        </w:tc>
        <w:tc>
          <w:tcPr>
            <w:tcW w:w="3694" w:type="pct"/>
            <w:tcMar>
              <w:top w:w="0" w:type="dxa"/>
              <w:left w:w="51" w:type="dxa"/>
              <w:bottom w:w="0" w:type="dxa"/>
              <w:right w:w="51" w:type="dxa"/>
            </w:tcMar>
            <w:vAlign w:val="center"/>
          </w:tcPr>
          <w:p w14:paraId="438C103D">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24芯OPGW-1</w:t>
            </w:r>
            <w:r>
              <w:rPr>
                <w:rFonts w:hint="default" w:ascii="Times New Roman" w:hAnsi="Times New Roman" w:eastAsia="宋体" w:cs="Times New Roman"/>
                <w:color w:val="000000"/>
                <w:sz w:val="21"/>
                <w:szCs w:val="21"/>
                <w:highlight w:val="none"/>
                <w:lang w:val="en-US" w:eastAsia="zh-CN"/>
              </w:rPr>
              <w:t>3</w:t>
            </w:r>
            <w:r>
              <w:rPr>
                <w:rFonts w:hint="default" w:ascii="Times New Roman" w:hAnsi="Times New Roman" w:eastAsia="宋体" w:cs="Times New Roman"/>
                <w:color w:val="000000"/>
                <w:sz w:val="21"/>
                <w:szCs w:val="21"/>
                <w:highlight w:val="none"/>
              </w:rPr>
              <w:t>-1</w:t>
            </w:r>
            <w:r>
              <w:rPr>
                <w:rFonts w:hint="default" w:ascii="Times New Roman" w:hAnsi="Times New Roman" w:eastAsia="宋体" w:cs="Times New Roman"/>
                <w:color w:val="000000"/>
                <w:sz w:val="21"/>
                <w:szCs w:val="21"/>
                <w:highlight w:val="none"/>
                <w:lang w:val="en-US" w:eastAsia="zh-CN"/>
              </w:rPr>
              <w:t>00</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1</w:t>
            </w:r>
            <w:r>
              <w:rPr>
                <w:rFonts w:hint="default" w:ascii="Times New Roman" w:hAnsi="Times New Roman" w:eastAsia="宋体" w:cs="Times New Roman"/>
                <w:color w:val="000000"/>
                <w:sz w:val="21"/>
                <w:szCs w:val="21"/>
                <w:highlight w:val="none"/>
              </w:rPr>
              <w:t>光缆</w:t>
            </w:r>
          </w:p>
        </w:tc>
      </w:tr>
      <w:tr w14:paraId="646F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restart"/>
            <w:tcMar>
              <w:top w:w="0" w:type="dxa"/>
              <w:left w:w="51" w:type="dxa"/>
              <w:bottom w:w="0" w:type="dxa"/>
              <w:right w:w="51" w:type="dxa"/>
            </w:tcMar>
            <w:vAlign w:val="center"/>
          </w:tcPr>
          <w:p w14:paraId="4F23BE39">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临时工程</w:t>
            </w:r>
          </w:p>
        </w:tc>
        <w:tc>
          <w:tcPr>
            <w:tcW w:w="649" w:type="pct"/>
            <w:tcMar>
              <w:top w:w="0" w:type="dxa"/>
              <w:left w:w="51" w:type="dxa"/>
              <w:bottom w:w="0" w:type="dxa"/>
              <w:right w:w="51" w:type="dxa"/>
            </w:tcMar>
            <w:vAlign w:val="center"/>
          </w:tcPr>
          <w:p w14:paraId="48B269FF">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施工营地</w:t>
            </w:r>
          </w:p>
        </w:tc>
        <w:tc>
          <w:tcPr>
            <w:tcW w:w="3694" w:type="pct"/>
            <w:tcMar>
              <w:top w:w="0" w:type="dxa"/>
              <w:left w:w="51" w:type="dxa"/>
              <w:bottom w:w="0" w:type="dxa"/>
              <w:right w:w="51" w:type="dxa"/>
            </w:tcMar>
            <w:vAlign w:val="center"/>
          </w:tcPr>
          <w:p w14:paraId="2021428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本项目不设施工人员食宿营地，施工人员租用当地附近村庄居民住房。</w:t>
            </w:r>
          </w:p>
        </w:tc>
      </w:tr>
      <w:tr w14:paraId="18CA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36A8CDFE">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610295FD">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施工场地</w:t>
            </w:r>
          </w:p>
        </w:tc>
        <w:tc>
          <w:tcPr>
            <w:tcW w:w="3694" w:type="pct"/>
            <w:tcMar>
              <w:top w:w="0" w:type="dxa"/>
              <w:left w:w="51" w:type="dxa"/>
              <w:bottom w:w="0" w:type="dxa"/>
              <w:right w:w="51" w:type="dxa"/>
            </w:tcMar>
            <w:vAlign w:val="center"/>
          </w:tcPr>
          <w:p w14:paraId="02031AD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本项目施工</w:t>
            </w:r>
            <w:r>
              <w:rPr>
                <w:rFonts w:hint="eastAsia" w:eastAsia="宋体" w:cs="Times New Roman"/>
                <w:color w:val="000000"/>
                <w:sz w:val="21"/>
                <w:szCs w:val="21"/>
                <w:highlight w:val="none"/>
                <w:lang w:val="en-US" w:eastAsia="zh-CN"/>
              </w:rPr>
              <w:t>场地</w:t>
            </w:r>
            <w:r>
              <w:rPr>
                <w:rFonts w:hint="default" w:ascii="Times New Roman" w:hAnsi="Times New Roman" w:eastAsia="宋体" w:cs="Times New Roman"/>
                <w:color w:val="000000"/>
                <w:sz w:val="21"/>
                <w:szCs w:val="21"/>
                <w:highlight w:val="none"/>
              </w:rPr>
              <w:t>主要为</w:t>
            </w:r>
            <w:r>
              <w:rPr>
                <w:rFonts w:hint="eastAsia" w:eastAsia="宋体" w:cs="Times New Roman"/>
                <w:color w:val="000000"/>
                <w:sz w:val="21"/>
                <w:szCs w:val="21"/>
                <w:highlight w:val="none"/>
                <w:lang w:val="en-US" w:eastAsia="zh-CN"/>
              </w:rPr>
              <w:t>塔基施工区</w:t>
            </w:r>
            <w:r>
              <w:rPr>
                <w:rFonts w:hint="default" w:ascii="Times New Roman" w:hAnsi="Times New Roman" w:eastAsia="宋体" w:cs="Times New Roman"/>
                <w:color w:val="000000"/>
                <w:sz w:val="21"/>
                <w:szCs w:val="21"/>
                <w:highlight w:val="none"/>
              </w:rPr>
              <w:t>，</w:t>
            </w:r>
            <w:r>
              <w:rPr>
                <w:rFonts w:hint="eastAsia" w:eastAsia="宋体" w:cs="Times New Roman"/>
                <w:color w:val="000000"/>
                <w:sz w:val="21"/>
                <w:szCs w:val="21"/>
                <w:highlight w:val="none"/>
                <w:lang w:val="en-US" w:eastAsia="zh-CN"/>
              </w:rPr>
              <w:t>总</w:t>
            </w:r>
            <w:r>
              <w:rPr>
                <w:rFonts w:hint="default" w:ascii="Times New Roman" w:hAnsi="Times New Roman" w:eastAsia="宋体" w:cs="Times New Roman"/>
                <w:color w:val="000000"/>
                <w:sz w:val="21"/>
                <w:szCs w:val="21"/>
                <w:highlight w:val="none"/>
              </w:rPr>
              <w:t>占地</w:t>
            </w:r>
            <w:r>
              <w:rPr>
                <w:rFonts w:hint="eastAsia" w:eastAsia="宋体" w:cs="Times New Roman"/>
                <w:color w:val="000000"/>
                <w:sz w:val="21"/>
                <w:szCs w:val="21"/>
                <w:highlight w:val="none"/>
                <w:lang w:val="en-US" w:eastAsia="zh-CN"/>
              </w:rPr>
              <w:t>面积约14200</w:t>
            </w:r>
            <w:r>
              <w:rPr>
                <w:rFonts w:hint="default" w:ascii="Times New Roman" w:hAnsi="Times New Roman" w:eastAsia="宋体" w:cs="Times New Roman"/>
                <w:color w:val="000000"/>
                <w:sz w:val="21"/>
                <w:szCs w:val="21"/>
                <w:highlight w:val="none"/>
              </w:rPr>
              <w:t>m</w:t>
            </w:r>
            <w:r>
              <w:rPr>
                <w:rFonts w:hint="default" w:ascii="Times New Roman" w:hAnsi="Times New Roman" w:eastAsia="宋体" w:cs="Times New Roman"/>
                <w:color w:val="000000"/>
                <w:sz w:val="21"/>
                <w:szCs w:val="21"/>
                <w:highlight w:val="none"/>
                <w:vertAlign w:val="superscript"/>
              </w:rPr>
              <w:t>2</w:t>
            </w:r>
            <w:r>
              <w:rPr>
                <w:rFonts w:hint="default" w:ascii="Times New Roman" w:hAnsi="Times New Roman" w:eastAsia="宋体" w:cs="Times New Roman"/>
                <w:color w:val="000000"/>
                <w:sz w:val="21"/>
                <w:szCs w:val="21"/>
                <w:highlight w:val="none"/>
              </w:rPr>
              <w:t>。</w:t>
            </w:r>
          </w:p>
        </w:tc>
      </w:tr>
      <w:tr w14:paraId="456C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222F91E2">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388C393D">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施工</w:t>
            </w:r>
            <w:r>
              <w:rPr>
                <w:rFonts w:hint="eastAsia" w:eastAsia="宋体" w:cs="Times New Roman"/>
                <w:color w:val="000000"/>
                <w:sz w:val="21"/>
                <w:szCs w:val="21"/>
                <w:highlight w:val="none"/>
                <w:lang w:val="en-US" w:eastAsia="zh-CN"/>
              </w:rPr>
              <w:t>便道</w:t>
            </w:r>
          </w:p>
        </w:tc>
        <w:tc>
          <w:tcPr>
            <w:tcW w:w="3694" w:type="pct"/>
            <w:tcMar>
              <w:top w:w="0" w:type="dxa"/>
              <w:left w:w="51" w:type="dxa"/>
              <w:bottom w:w="0" w:type="dxa"/>
              <w:right w:w="51" w:type="dxa"/>
            </w:tcMar>
            <w:vAlign w:val="center"/>
          </w:tcPr>
          <w:p w14:paraId="4E73DC2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主要利用</w:t>
            </w:r>
            <w:r>
              <w:rPr>
                <w:rFonts w:hint="eastAsia" w:eastAsia="宋体" w:cs="Times New Roman"/>
                <w:color w:val="000000"/>
                <w:sz w:val="21"/>
                <w:szCs w:val="21"/>
                <w:highlight w:val="none"/>
                <w:lang w:val="en-US" w:eastAsia="zh-CN"/>
              </w:rPr>
              <w:t>机耕路等</w:t>
            </w:r>
            <w:r>
              <w:rPr>
                <w:rFonts w:hint="default" w:ascii="Times New Roman" w:hAnsi="Times New Roman" w:eastAsia="宋体" w:cs="Times New Roman"/>
                <w:color w:val="000000"/>
                <w:sz w:val="21"/>
                <w:szCs w:val="21"/>
                <w:highlight w:val="none"/>
              </w:rPr>
              <w:t>现有道路进行施工运输，</w:t>
            </w:r>
            <w:r>
              <w:rPr>
                <w:rFonts w:hint="eastAsia" w:eastAsia="宋体" w:cs="Times New Roman"/>
                <w:color w:val="000000"/>
                <w:sz w:val="21"/>
                <w:szCs w:val="21"/>
                <w:highlight w:val="none"/>
                <w:lang w:val="en-US" w:eastAsia="zh-CN"/>
              </w:rPr>
              <w:t>塔基周边设置</w:t>
            </w:r>
            <w:r>
              <w:rPr>
                <w:rFonts w:hint="default" w:ascii="Times New Roman" w:hAnsi="Times New Roman" w:eastAsia="宋体" w:cs="Times New Roman"/>
                <w:color w:val="000000"/>
                <w:sz w:val="21"/>
                <w:szCs w:val="21"/>
                <w:highlight w:val="none"/>
              </w:rPr>
              <w:t>施工</w:t>
            </w:r>
            <w:r>
              <w:rPr>
                <w:rFonts w:hint="eastAsia" w:eastAsia="宋体" w:cs="Times New Roman"/>
                <w:color w:val="000000"/>
                <w:sz w:val="21"/>
                <w:szCs w:val="21"/>
                <w:highlight w:val="none"/>
                <w:lang w:val="en-US" w:eastAsia="zh-CN"/>
              </w:rPr>
              <w:t>便道54处，累计长度6.9km，便道宽3m，总</w:t>
            </w:r>
            <w:r>
              <w:rPr>
                <w:rFonts w:hint="default" w:ascii="Times New Roman" w:hAnsi="Times New Roman" w:eastAsia="宋体" w:cs="Times New Roman"/>
                <w:color w:val="000000"/>
                <w:sz w:val="21"/>
                <w:szCs w:val="21"/>
                <w:highlight w:val="none"/>
              </w:rPr>
              <w:t>占地</w:t>
            </w:r>
            <w:r>
              <w:rPr>
                <w:rFonts w:hint="eastAsia" w:eastAsia="宋体" w:cs="Times New Roman"/>
                <w:color w:val="000000"/>
                <w:sz w:val="21"/>
                <w:szCs w:val="21"/>
                <w:highlight w:val="none"/>
                <w:lang w:val="en-US" w:eastAsia="zh-CN"/>
              </w:rPr>
              <w:t>面积</w:t>
            </w:r>
            <w:r>
              <w:rPr>
                <w:rFonts w:hint="default" w:ascii="Times New Roman" w:hAnsi="Times New Roman" w:eastAsia="宋体" w:cs="Times New Roman"/>
                <w:color w:val="000000"/>
                <w:sz w:val="21"/>
                <w:szCs w:val="21"/>
                <w:highlight w:val="none"/>
              </w:rPr>
              <w:t>约</w:t>
            </w:r>
            <w:r>
              <w:rPr>
                <w:rFonts w:hint="eastAsia" w:eastAsia="宋体" w:cs="Times New Roman"/>
                <w:color w:val="000000"/>
                <w:sz w:val="21"/>
                <w:szCs w:val="21"/>
                <w:highlight w:val="none"/>
                <w:lang w:val="en-US" w:eastAsia="zh-CN"/>
              </w:rPr>
              <w:t>20700</w:t>
            </w:r>
            <w:r>
              <w:rPr>
                <w:rFonts w:hint="default" w:ascii="Times New Roman" w:hAnsi="Times New Roman" w:eastAsia="宋体" w:cs="Times New Roman"/>
                <w:color w:val="000000"/>
                <w:sz w:val="21"/>
                <w:szCs w:val="21"/>
                <w:highlight w:val="none"/>
              </w:rPr>
              <w:t>m</w:t>
            </w:r>
            <w:r>
              <w:rPr>
                <w:rFonts w:hint="default" w:ascii="Times New Roman" w:hAnsi="Times New Roman" w:eastAsia="宋体" w:cs="Times New Roman"/>
                <w:color w:val="000000"/>
                <w:sz w:val="21"/>
                <w:szCs w:val="21"/>
                <w:highlight w:val="none"/>
                <w:vertAlign w:val="superscript"/>
              </w:rPr>
              <w:t>2</w:t>
            </w:r>
            <w:r>
              <w:rPr>
                <w:rFonts w:hint="default" w:ascii="Times New Roman" w:hAnsi="Times New Roman" w:eastAsia="宋体" w:cs="Times New Roman"/>
                <w:color w:val="000000"/>
                <w:sz w:val="21"/>
                <w:szCs w:val="21"/>
                <w:highlight w:val="none"/>
              </w:rPr>
              <w:t>。</w:t>
            </w:r>
          </w:p>
        </w:tc>
      </w:tr>
      <w:tr w14:paraId="7D4D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40608A57">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726B99D2">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牵张场</w:t>
            </w:r>
            <w:r>
              <w:rPr>
                <w:rFonts w:hint="eastAsia" w:ascii="Times New Roman" w:hAnsi="Times New Roman" w:eastAsia="宋体" w:cs="Times New Roman"/>
                <w:color w:val="000000"/>
                <w:sz w:val="21"/>
                <w:szCs w:val="21"/>
                <w:highlight w:val="none"/>
                <w:lang w:val="en-US" w:eastAsia="zh-CN"/>
              </w:rPr>
              <w:t>地</w:t>
            </w:r>
          </w:p>
        </w:tc>
        <w:tc>
          <w:tcPr>
            <w:tcW w:w="3694" w:type="pct"/>
            <w:tcMar>
              <w:top w:w="0" w:type="dxa"/>
              <w:left w:w="51" w:type="dxa"/>
              <w:bottom w:w="0" w:type="dxa"/>
              <w:right w:w="51" w:type="dxa"/>
            </w:tcMar>
            <w:vAlign w:val="center"/>
          </w:tcPr>
          <w:p w14:paraId="27B959A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eastAsia" w:eastAsia="宋体" w:cs="Times New Roman"/>
                <w:color w:val="000000"/>
                <w:sz w:val="21"/>
                <w:szCs w:val="21"/>
                <w:highlight w:val="none"/>
                <w:lang w:val="en-US" w:eastAsia="zh-CN"/>
              </w:rPr>
              <w:t>共设置10</w:t>
            </w:r>
            <w:r>
              <w:rPr>
                <w:rFonts w:hint="default" w:ascii="Times New Roman" w:hAnsi="Times New Roman" w:eastAsia="宋体" w:cs="Times New Roman"/>
                <w:color w:val="000000"/>
                <w:sz w:val="21"/>
                <w:szCs w:val="21"/>
                <w:highlight w:val="none"/>
              </w:rPr>
              <w:t>处</w:t>
            </w:r>
            <w:r>
              <w:rPr>
                <w:rFonts w:hint="eastAsia" w:eastAsia="宋体" w:cs="Times New Roman"/>
                <w:color w:val="000000"/>
                <w:sz w:val="21"/>
                <w:szCs w:val="21"/>
                <w:highlight w:val="none"/>
                <w:lang w:val="en-US" w:eastAsia="zh-CN"/>
              </w:rPr>
              <w:t>牵张场地</w:t>
            </w:r>
            <w:r>
              <w:rPr>
                <w:rFonts w:hint="default" w:ascii="Times New Roman" w:hAnsi="Times New Roman" w:eastAsia="宋体" w:cs="Times New Roman"/>
                <w:color w:val="000000"/>
                <w:sz w:val="21"/>
                <w:szCs w:val="21"/>
                <w:highlight w:val="none"/>
              </w:rPr>
              <w:t>，总占地面积</w:t>
            </w:r>
            <w:r>
              <w:rPr>
                <w:rFonts w:hint="eastAsia" w:eastAsia="宋体" w:cs="Times New Roman"/>
                <w:color w:val="000000"/>
                <w:sz w:val="21"/>
                <w:szCs w:val="21"/>
                <w:highlight w:val="none"/>
                <w:lang w:val="en-US" w:eastAsia="zh-CN"/>
              </w:rPr>
              <w:t>约6</w:t>
            </w:r>
            <w:r>
              <w:rPr>
                <w:rFonts w:hint="default" w:ascii="Times New Roman" w:hAnsi="Times New Roman" w:eastAsia="宋体" w:cs="Times New Roman"/>
                <w:color w:val="000000"/>
                <w:sz w:val="21"/>
                <w:szCs w:val="21"/>
                <w:highlight w:val="none"/>
              </w:rPr>
              <w:t>000m</w:t>
            </w:r>
            <w:r>
              <w:rPr>
                <w:rFonts w:hint="default" w:ascii="Times New Roman" w:hAnsi="Times New Roman" w:eastAsia="宋体" w:cs="Times New Roman"/>
                <w:color w:val="000000"/>
                <w:sz w:val="21"/>
                <w:szCs w:val="21"/>
                <w:highlight w:val="none"/>
                <w:vertAlign w:val="superscript"/>
              </w:rPr>
              <w:t>2</w:t>
            </w:r>
            <w:r>
              <w:rPr>
                <w:rFonts w:hint="default" w:ascii="Times New Roman" w:hAnsi="Times New Roman" w:eastAsia="宋体" w:cs="Times New Roman"/>
                <w:color w:val="000000"/>
                <w:sz w:val="21"/>
                <w:szCs w:val="21"/>
                <w:highlight w:val="none"/>
              </w:rPr>
              <w:t>。</w:t>
            </w:r>
          </w:p>
        </w:tc>
      </w:tr>
      <w:tr w14:paraId="0C5B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restart"/>
            <w:tcMar>
              <w:top w:w="0" w:type="dxa"/>
              <w:left w:w="51" w:type="dxa"/>
              <w:bottom w:w="0" w:type="dxa"/>
              <w:right w:w="51" w:type="dxa"/>
            </w:tcMar>
            <w:vAlign w:val="center"/>
          </w:tcPr>
          <w:p w14:paraId="30097AB7">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公用工程</w:t>
            </w:r>
          </w:p>
        </w:tc>
        <w:tc>
          <w:tcPr>
            <w:tcW w:w="649" w:type="pct"/>
            <w:tcMar>
              <w:top w:w="0" w:type="dxa"/>
              <w:left w:w="51" w:type="dxa"/>
              <w:bottom w:w="0" w:type="dxa"/>
              <w:right w:w="51" w:type="dxa"/>
            </w:tcMar>
            <w:vAlign w:val="center"/>
          </w:tcPr>
          <w:p w14:paraId="0E440A6E">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供水</w:t>
            </w:r>
          </w:p>
        </w:tc>
        <w:tc>
          <w:tcPr>
            <w:tcW w:w="3694" w:type="pct"/>
            <w:tcMar>
              <w:top w:w="0" w:type="dxa"/>
              <w:left w:w="51" w:type="dxa"/>
              <w:bottom w:w="0" w:type="dxa"/>
              <w:right w:w="51" w:type="dxa"/>
            </w:tcMar>
            <w:vAlign w:val="center"/>
          </w:tcPr>
          <w:p w14:paraId="425730C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施工期从附近村庄</w:t>
            </w:r>
            <w:r>
              <w:rPr>
                <w:rFonts w:hint="eastAsia" w:eastAsia="宋体" w:cs="Times New Roman"/>
                <w:color w:val="000000"/>
                <w:sz w:val="21"/>
                <w:szCs w:val="21"/>
                <w:highlight w:val="none"/>
                <w:lang w:val="en-US" w:eastAsia="zh-CN"/>
              </w:rPr>
              <w:t>拉运</w:t>
            </w:r>
            <w:r>
              <w:rPr>
                <w:rFonts w:hint="eastAsia" w:ascii="Times New Roman" w:hAnsi="Times New Roman" w:eastAsia="宋体" w:cs="Times New Roman"/>
                <w:color w:val="000000"/>
                <w:sz w:val="21"/>
                <w:szCs w:val="21"/>
                <w:highlight w:val="none"/>
                <w:lang w:val="en-US" w:eastAsia="zh-CN"/>
              </w:rPr>
              <w:t>，运营期不涉及用水。</w:t>
            </w:r>
          </w:p>
        </w:tc>
      </w:tr>
      <w:tr w14:paraId="1DF9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2B28AB9C">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67DB4D78">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供电</w:t>
            </w:r>
          </w:p>
        </w:tc>
        <w:tc>
          <w:tcPr>
            <w:tcW w:w="3694" w:type="pct"/>
            <w:tcMar>
              <w:top w:w="0" w:type="dxa"/>
              <w:left w:w="51" w:type="dxa"/>
              <w:bottom w:w="0" w:type="dxa"/>
              <w:right w:w="51" w:type="dxa"/>
            </w:tcMar>
            <w:vAlign w:val="center"/>
          </w:tcPr>
          <w:p w14:paraId="4CF86CE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施工期用电引自附近线路，运营期不涉及用电。</w:t>
            </w:r>
          </w:p>
        </w:tc>
      </w:tr>
      <w:tr w14:paraId="037A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restart"/>
            <w:tcMar>
              <w:top w:w="0" w:type="dxa"/>
              <w:left w:w="51" w:type="dxa"/>
              <w:bottom w:w="0" w:type="dxa"/>
              <w:right w:w="51" w:type="dxa"/>
            </w:tcMar>
            <w:vAlign w:val="center"/>
          </w:tcPr>
          <w:p w14:paraId="511F7792">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环保工程</w:t>
            </w:r>
          </w:p>
        </w:tc>
        <w:tc>
          <w:tcPr>
            <w:tcW w:w="649" w:type="pct"/>
            <w:tcMar>
              <w:top w:w="0" w:type="dxa"/>
              <w:left w:w="51" w:type="dxa"/>
              <w:bottom w:w="0" w:type="dxa"/>
              <w:right w:w="51" w:type="dxa"/>
            </w:tcMar>
            <w:vAlign w:val="center"/>
          </w:tcPr>
          <w:p w14:paraId="35AB8D22">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废气</w:t>
            </w:r>
          </w:p>
        </w:tc>
        <w:tc>
          <w:tcPr>
            <w:tcW w:w="3694" w:type="pct"/>
            <w:tcMar>
              <w:top w:w="0" w:type="dxa"/>
              <w:left w:w="51" w:type="dxa"/>
              <w:bottom w:w="0" w:type="dxa"/>
              <w:right w:w="51" w:type="dxa"/>
            </w:tcMar>
            <w:vAlign w:val="center"/>
          </w:tcPr>
          <w:p w14:paraId="535265B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施工期：采取设置围挡，车辆冲洗，临时堆放的土方和裸露场地采取覆盖、固化或绿化等防尘措施。</w:t>
            </w:r>
          </w:p>
          <w:p w14:paraId="56CE72D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运营期：无废气产生。</w:t>
            </w:r>
          </w:p>
        </w:tc>
      </w:tr>
      <w:tr w14:paraId="4821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6FE7B826">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158464E1">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废水</w:t>
            </w:r>
          </w:p>
        </w:tc>
        <w:tc>
          <w:tcPr>
            <w:tcW w:w="3694" w:type="pct"/>
            <w:tcMar>
              <w:top w:w="0" w:type="dxa"/>
              <w:left w:w="51" w:type="dxa"/>
              <w:bottom w:w="0" w:type="dxa"/>
              <w:right w:w="51" w:type="dxa"/>
            </w:tcMar>
            <w:vAlign w:val="center"/>
          </w:tcPr>
          <w:p w14:paraId="36074A5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施工期：生产废水沉淀后，用于场地泼洒降尘；职工盥洗废水用于场地泼洒抑尘，同时施工区设置防渗旱厕，清掏</w:t>
            </w:r>
            <w:r>
              <w:rPr>
                <w:rFonts w:hint="eastAsia" w:eastAsia="宋体" w:cs="Times New Roman"/>
                <w:color w:val="000000"/>
                <w:sz w:val="21"/>
                <w:szCs w:val="21"/>
                <w:highlight w:val="none"/>
                <w:lang w:val="en-US" w:eastAsia="zh-CN"/>
              </w:rPr>
              <w:t>后</w:t>
            </w:r>
            <w:r>
              <w:rPr>
                <w:rFonts w:hint="eastAsia" w:ascii="Times New Roman" w:hAnsi="Times New Roman" w:eastAsia="宋体" w:cs="Times New Roman"/>
                <w:color w:val="000000"/>
                <w:sz w:val="21"/>
                <w:szCs w:val="21"/>
                <w:highlight w:val="none"/>
                <w:lang w:val="en-US" w:eastAsia="zh-CN"/>
              </w:rPr>
              <w:t>用作农肥，不外排。</w:t>
            </w:r>
          </w:p>
          <w:p w14:paraId="1386412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运营期：不新增劳动定员，不新增废水。</w:t>
            </w:r>
          </w:p>
        </w:tc>
      </w:tr>
      <w:tr w14:paraId="0886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108248BB">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3325C15F">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噪声</w:t>
            </w:r>
          </w:p>
        </w:tc>
        <w:tc>
          <w:tcPr>
            <w:tcW w:w="3694" w:type="pct"/>
            <w:tcMar>
              <w:top w:w="0" w:type="dxa"/>
              <w:left w:w="51" w:type="dxa"/>
              <w:bottom w:w="0" w:type="dxa"/>
              <w:right w:w="51" w:type="dxa"/>
            </w:tcMar>
            <w:vAlign w:val="center"/>
          </w:tcPr>
          <w:p w14:paraId="179E2CB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施工期：选用低噪声机械设备，同时采取设置围挡、夜间和中午禁止施工、减少临近居民区域的非必要车辆行驶等降噪措施。</w:t>
            </w:r>
          </w:p>
          <w:p w14:paraId="1821236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运营期：采取科学设置导线排列方式、选购光洁度高的导线，加强输电线路运行维护检查等措施，运营期噪声达标排放。</w:t>
            </w:r>
          </w:p>
        </w:tc>
      </w:tr>
      <w:tr w14:paraId="18C7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1419E4DF">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1277C7F5">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固废</w:t>
            </w:r>
          </w:p>
        </w:tc>
        <w:tc>
          <w:tcPr>
            <w:tcW w:w="3694" w:type="pct"/>
            <w:tcMar>
              <w:top w:w="0" w:type="dxa"/>
              <w:left w:w="51" w:type="dxa"/>
              <w:bottom w:w="0" w:type="dxa"/>
              <w:right w:w="51" w:type="dxa"/>
            </w:tcMar>
            <w:vAlign w:val="center"/>
          </w:tcPr>
          <w:p w14:paraId="3F59B0D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施工期：建筑垃圾送市政部门指定的地点堆存，生活垃圾交由环卫部门统一处理。施工期土石方平衡，无弃方产生。</w:t>
            </w:r>
          </w:p>
          <w:p w14:paraId="2CE2A0B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运营期：不新增劳动定员，不新增生活垃圾；无其他固废产生。</w:t>
            </w:r>
          </w:p>
        </w:tc>
      </w:tr>
      <w:tr w14:paraId="21A7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15C30C34">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42412F15">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电磁</w:t>
            </w:r>
          </w:p>
        </w:tc>
        <w:tc>
          <w:tcPr>
            <w:tcW w:w="3694" w:type="pct"/>
            <w:tcMar>
              <w:top w:w="0" w:type="dxa"/>
              <w:left w:w="51" w:type="dxa"/>
              <w:bottom w:w="0" w:type="dxa"/>
              <w:right w:w="51" w:type="dxa"/>
            </w:tcMar>
            <w:vAlign w:val="center"/>
          </w:tcPr>
          <w:p w14:paraId="0787A3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施工期：不涉及。</w:t>
            </w:r>
          </w:p>
          <w:p w14:paraId="29DAA36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运营期：经预测，线路沿线工频电场强度、工频磁感应强度满足《电磁环境控制限值》（GB8702-2014）中规定的限值要求。</w:t>
            </w:r>
          </w:p>
        </w:tc>
      </w:tr>
      <w:tr w14:paraId="6FA3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gridSpan w:val="2"/>
            <w:vMerge w:val="continue"/>
            <w:tcMar>
              <w:top w:w="0" w:type="dxa"/>
              <w:left w:w="51" w:type="dxa"/>
              <w:bottom w:w="0" w:type="dxa"/>
              <w:right w:w="51" w:type="dxa"/>
            </w:tcMar>
            <w:vAlign w:val="center"/>
          </w:tcPr>
          <w:p w14:paraId="2FE2FC3A">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rPr>
            </w:pPr>
          </w:p>
        </w:tc>
        <w:tc>
          <w:tcPr>
            <w:tcW w:w="649" w:type="pct"/>
            <w:tcMar>
              <w:top w:w="0" w:type="dxa"/>
              <w:left w:w="51" w:type="dxa"/>
              <w:bottom w:w="0" w:type="dxa"/>
              <w:right w:w="51" w:type="dxa"/>
            </w:tcMar>
            <w:vAlign w:val="center"/>
          </w:tcPr>
          <w:p w14:paraId="195B9D63">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生态</w:t>
            </w:r>
          </w:p>
        </w:tc>
        <w:tc>
          <w:tcPr>
            <w:tcW w:w="3694" w:type="pct"/>
            <w:tcMar>
              <w:top w:w="0" w:type="dxa"/>
              <w:left w:w="51" w:type="dxa"/>
              <w:bottom w:w="0" w:type="dxa"/>
              <w:right w:w="51" w:type="dxa"/>
            </w:tcMar>
            <w:vAlign w:val="center"/>
          </w:tcPr>
          <w:p w14:paraId="42F2BCD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施工期：</w:t>
            </w:r>
            <w:r>
              <w:rPr>
                <w:rFonts w:hint="eastAsia" w:eastAsia="宋体" w:cs="Times New Roman"/>
                <w:color w:val="000000"/>
                <w:sz w:val="21"/>
                <w:szCs w:val="21"/>
                <w:highlight w:val="none"/>
                <w:lang w:val="en-US" w:eastAsia="zh-CN"/>
              </w:rPr>
              <w:t>施工结束后及时</w:t>
            </w:r>
            <w:r>
              <w:rPr>
                <w:rFonts w:hint="default" w:ascii="Times New Roman" w:hAnsi="Times New Roman" w:eastAsia="宋体" w:cs="Times New Roman"/>
                <w:color w:val="000000"/>
                <w:sz w:val="21"/>
                <w:szCs w:val="21"/>
                <w:highlight w:val="none"/>
              </w:rPr>
              <w:t>对塔基底部及临时占地进行生态恢复。</w:t>
            </w:r>
          </w:p>
          <w:p w14:paraId="2886EE2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运营期：采取加强植被养护措施，同时铁塔安装驱鸟器防止造成鸟类伤亡。</w:t>
            </w:r>
          </w:p>
        </w:tc>
      </w:tr>
      <w:tr w14:paraId="1DA2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5" w:type="pct"/>
            <w:gridSpan w:val="3"/>
            <w:shd w:val="clear" w:color="auto" w:fill="auto"/>
            <w:tcMar>
              <w:top w:w="0" w:type="dxa"/>
              <w:left w:w="51" w:type="dxa"/>
              <w:bottom w:w="0" w:type="dxa"/>
              <w:right w:w="51" w:type="dxa"/>
            </w:tcMar>
            <w:vAlign w:val="center"/>
          </w:tcPr>
          <w:p w14:paraId="553E8A85">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依托工程</w:t>
            </w:r>
          </w:p>
        </w:tc>
        <w:tc>
          <w:tcPr>
            <w:tcW w:w="3694" w:type="pct"/>
            <w:shd w:val="clear" w:color="auto" w:fill="auto"/>
            <w:tcMar>
              <w:top w:w="0" w:type="dxa"/>
              <w:left w:w="51" w:type="dxa"/>
              <w:bottom w:w="0" w:type="dxa"/>
              <w:right w:w="51" w:type="dxa"/>
            </w:tcMar>
            <w:vAlign w:val="center"/>
          </w:tcPr>
          <w:p w14:paraId="3DF5A668">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线路巡检人员依托</w:t>
            </w:r>
            <w:r>
              <w:rPr>
                <w:rFonts w:hint="eastAsia" w:eastAsia="宋体" w:cs="Times New Roman"/>
                <w:color w:val="000000"/>
                <w:sz w:val="21"/>
                <w:szCs w:val="21"/>
                <w:highlight w:val="none"/>
                <w:lang w:val="en-US" w:eastAsia="zh-CN"/>
              </w:rPr>
              <w:t>风电场区</w:t>
            </w:r>
            <w:r>
              <w:rPr>
                <w:rFonts w:hint="default" w:ascii="Times New Roman" w:hAnsi="Times New Roman" w:eastAsia="宋体" w:cs="Times New Roman"/>
                <w:color w:val="000000"/>
                <w:sz w:val="21"/>
                <w:szCs w:val="21"/>
                <w:highlight w:val="none"/>
              </w:rPr>
              <w:t>现有人员，不新增劳动定员</w:t>
            </w:r>
          </w:p>
        </w:tc>
      </w:tr>
    </w:tbl>
    <w:p w14:paraId="4D1F6852">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kern w:val="0"/>
          <w:sz w:val="24"/>
          <w:szCs w:val="22"/>
          <w:highlight w:val="none"/>
          <w:lang w:val="en-US" w:eastAsia="zh-CN"/>
        </w:rPr>
      </w:pPr>
      <w:r>
        <w:rPr>
          <w:rFonts w:hint="eastAsia" w:cs="Times New Roman"/>
          <w:b w:val="0"/>
          <w:bCs w:val="0"/>
          <w:color w:val="000000"/>
          <w:kern w:val="0"/>
          <w:sz w:val="24"/>
          <w:szCs w:val="22"/>
          <w:highlight w:val="none"/>
          <w:lang w:val="en-US" w:eastAsia="zh-CN"/>
        </w:rPr>
        <w:t>（6）沿线环境状况</w:t>
      </w:r>
    </w:p>
    <w:p w14:paraId="01E492DB">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cs="Times New Roman"/>
          <w:b w:val="0"/>
          <w:bCs w:val="0"/>
          <w:color w:val="000000"/>
          <w:kern w:val="0"/>
          <w:sz w:val="24"/>
          <w:szCs w:val="22"/>
          <w:highlight w:val="none"/>
          <w:lang w:val="en-US" w:eastAsia="zh-CN"/>
        </w:rPr>
      </w:pPr>
      <w:r>
        <w:rPr>
          <w:rFonts w:hint="eastAsia" w:cs="Times New Roman"/>
          <w:b w:val="0"/>
          <w:bCs w:val="0"/>
          <w:color w:val="000000"/>
          <w:kern w:val="0"/>
          <w:sz w:val="24"/>
          <w:szCs w:val="22"/>
          <w:highlight w:val="none"/>
          <w:lang w:val="en-US" w:eastAsia="zh-CN"/>
        </w:rPr>
        <w:t>本项目沿线主要为山地、丘陵，其中约5%为平地，95%为山地。</w:t>
      </w:r>
    </w:p>
    <w:p w14:paraId="042D207D">
      <w:pPr>
        <w:keepNext w:val="0"/>
        <w:keepLines w:val="0"/>
        <w:pageBreakBefore w:val="0"/>
        <w:widowControl/>
        <w:numPr>
          <w:ilvl w:val="0"/>
          <w:numId w:val="3"/>
        </w:numPr>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kern w:val="0"/>
          <w:sz w:val="24"/>
          <w:szCs w:val="22"/>
          <w:highlight w:val="none"/>
          <w:lang w:val="en-US" w:eastAsia="zh-CN"/>
        </w:rPr>
      </w:pPr>
      <w:r>
        <w:rPr>
          <w:rFonts w:hint="eastAsia" w:cs="Times New Roman"/>
          <w:b w:val="0"/>
          <w:bCs w:val="0"/>
          <w:color w:val="000000"/>
          <w:kern w:val="0"/>
          <w:sz w:val="24"/>
          <w:szCs w:val="22"/>
          <w:highlight w:val="none"/>
          <w:lang w:val="en-US" w:eastAsia="zh-CN"/>
        </w:rPr>
        <w:t>线路路径</w:t>
      </w:r>
    </w:p>
    <w:p w14:paraId="3AD7BA61">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kern w:val="0"/>
          <w:sz w:val="24"/>
          <w:szCs w:val="22"/>
          <w:highlight w:val="none"/>
          <w:lang w:val="en-US" w:eastAsia="zh-CN"/>
        </w:rPr>
      </w:pPr>
      <w:r>
        <w:rPr>
          <w:rFonts w:hint="eastAsia" w:cs="Times New Roman"/>
          <w:b w:val="0"/>
          <w:bCs w:val="0"/>
          <w:color w:val="000000"/>
          <w:kern w:val="0"/>
          <w:sz w:val="24"/>
          <w:szCs w:val="22"/>
          <w:highlight w:val="none"/>
          <w:lang w:val="en-US" w:eastAsia="zh-CN"/>
        </w:rPr>
        <w:t>本项目110kV线路自围场县200MW风电储新能源项目110kV升压站西南侧A01，向西南架设至A02，A02右转往西走线设转角A05，A05右转往西北方向走线设转角A13，A13右转往西北方向跨越35kV克兰317线设转角A15，A15右转往北走线设转角A19，A19左转往西走线设转角A23，A23右转往西北走线钻越110kV木克线设转角A24，A24左转往西跨越华能吉上110kV艾沁线设转角A33，A33右转往北走线设转角A35，A35左转往西北走线设转角A40，A40右转往北走线设转角A42，A42左转往西北走线设转角A45，A45右转往北走线设转角A50，A50左转往西北设转角A54，A54左转往西北走线设转角A55，A55左转往西北走线设A57，A57右转往北走线设转角A67，A67左转往西设转角A69，A69右转往西北设转角A70，A70右转往北设转角A72，A72右转往北走线设转角A75，A75左转往西北走线设转角A77，A77右转往北走线设转角A79，A79左转往西北走线设转角A85，A85左转往西北走线设转角A87，A87左转往西设转角A89，A89左转往西走线至围场县200MW风电储新能源项目220kV升压站内A90。</w:t>
      </w:r>
    </w:p>
    <w:p w14:paraId="75B92D0C">
      <w:pPr>
        <w:widowControl w:val="0"/>
        <w:autoSpaceDE w:val="0"/>
        <w:autoSpaceDN w:val="0"/>
        <w:spacing w:line="360" w:lineRule="auto"/>
        <w:ind w:firstLine="480" w:firstLineChars="200"/>
        <w:jc w:val="left"/>
        <w:rPr>
          <w:rFonts w:hint="default" w:ascii="Times New Roman" w:hAnsi="Times New Roman" w:eastAsia="宋体" w:cs="Times New Roman"/>
          <w:snapToGrid w:val="0"/>
          <w:color w:val="000000"/>
          <w:kern w:val="2"/>
          <w:sz w:val="24"/>
          <w:szCs w:val="24"/>
          <w:highlight w:val="none"/>
          <w:lang w:val="en-US" w:eastAsia="zh-CN" w:bidi="ar-SA"/>
        </w:rPr>
      </w:pPr>
    </w:p>
    <w:p w14:paraId="5BCC0ADE">
      <w:pPr>
        <w:spacing w:line="480" w:lineRule="exact"/>
        <w:ind w:firstLine="480" w:firstLineChars="200"/>
        <w:rPr>
          <w:rFonts w:hint="default" w:ascii="Times New Roman" w:hAnsi="Times New Roman" w:cs="Times New Roman"/>
          <w:color w:val="000000"/>
          <w:kern w:val="0"/>
          <w:sz w:val="24"/>
          <w:szCs w:val="22"/>
          <w:highlight w:val="none"/>
        </w:rPr>
      </w:pPr>
      <w:bookmarkStart w:id="46" w:name="_Toc28160"/>
      <w:r>
        <w:rPr>
          <w:rFonts w:hint="default" w:ascii="Times New Roman" w:hAnsi="Times New Roman" w:cs="Times New Roman"/>
          <w:color w:val="000000"/>
          <w:kern w:val="0"/>
          <w:sz w:val="24"/>
          <w:szCs w:val="22"/>
          <w:highlight w:val="none"/>
        </w:rPr>
        <w:br w:type="page"/>
      </w:r>
    </w:p>
    <w:p w14:paraId="24C698EC">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0"/>
          <w:sz w:val="32"/>
          <w:szCs w:val="44"/>
          <w:highlight w:val="none"/>
          <w:lang w:val="en-US" w:eastAsia="zh-CN" w:bidi="ar-SA"/>
        </w:rPr>
      </w:pPr>
      <w:r>
        <w:rPr>
          <w:rFonts w:hint="default" w:ascii="Times New Roman" w:hAnsi="Times New Roman" w:eastAsia="宋体" w:cs="Times New Roman"/>
          <w:b/>
          <w:bCs/>
          <w:color w:val="000000"/>
          <w:kern w:val="0"/>
          <w:sz w:val="32"/>
          <w:szCs w:val="44"/>
          <w:highlight w:val="none"/>
          <w:lang w:val="en-US" w:eastAsia="zh-CN" w:bidi="ar-SA"/>
        </w:rPr>
        <w:t>4 电磁环境现状监测与评价</w:t>
      </w:r>
      <w:bookmarkEnd w:id="46"/>
    </w:p>
    <w:p w14:paraId="7896ED74">
      <w:pPr>
        <w:pageBreakBefore w:val="0"/>
        <w:widowControl w:val="0"/>
        <w:kinsoku/>
        <w:wordWrap/>
        <w:overflowPunct/>
        <w:topLinePunct w:val="0"/>
        <w:bidi w:val="0"/>
        <w:spacing w:after="0" w:line="440" w:lineRule="exact"/>
        <w:ind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Calibri" w:hAnsi="Calibri" w:eastAsia="宋体" w:cs="Times New Roman"/>
          <w:b w:val="0"/>
          <w:bCs w:val="0"/>
          <w:color w:val="000000"/>
          <w:kern w:val="0"/>
          <w:sz w:val="24"/>
          <w:szCs w:val="22"/>
          <w:highlight w:val="none"/>
          <w:lang w:val="en-US" w:eastAsia="zh-CN" w:bidi="ar-SA"/>
        </w:rPr>
        <w:t>目前本项目输电线路铁塔部分已建设，架空线路部分已敷设，但处于建设阶段，无污染物产生，且主动停止建设。</w:t>
      </w:r>
    </w:p>
    <w:p w14:paraId="70D6A9E7">
      <w:pPr>
        <w:pageBreakBefore w:val="0"/>
        <w:widowControl w:val="0"/>
        <w:kinsoku/>
        <w:wordWrap/>
        <w:overflowPunct/>
        <w:topLinePunct w:val="0"/>
        <w:bidi w:val="0"/>
        <w:spacing w:after="0" w:line="440" w:lineRule="exact"/>
        <w:ind w:firstLine="480" w:firstLineChars="200"/>
        <w:jc w:val="both"/>
        <w:textAlignment w:val="auto"/>
        <w:rPr>
          <w:rFonts w:hint="default" w:ascii="Times New Roman" w:hAnsi="Times New Roman" w:eastAsia="宋体" w:cs="Times New Roman"/>
          <w:bCs/>
          <w:color w:val="000000"/>
          <w:kern w:val="2"/>
          <w:sz w:val="24"/>
          <w:szCs w:val="24"/>
          <w:highlight w:val="none"/>
          <w:lang w:val="en-US" w:eastAsia="zh-CN" w:bidi="he-IL"/>
        </w:rPr>
      </w:pPr>
      <w:r>
        <w:rPr>
          <w:rFonts w:hint="default" w:ascii="Times New Roman" w:hAnsi="Times New Roman" w:eastAsia="宋体" w:cs="Times New Roman"/>
          <w:color w:val="000000"/>
          <w:kern w:val="2"/>
          <w:sz w:val="24"/>
          <w:szCs w:val="24"/>
          <w:highlight w:val="none"/>
          <w:lang w:val="en-US" w:eastAsia="zh-CN" w:bidi="he-IL"/>
        </w:rPr>
        <w:t>为了解</w:t>
      </w:r>
      <w:r>
        <w:rPr>
          <w:rFonts w:hint="eastAsia" w:ascii="Times New Roman" w:hAnsi="Times New Roman" w:eastAsia="宋体" w:cs="Times New Roman"/>
          <w:color w:val="000000"/>
          <w:kern w:val="2"/>
          <w:sz w:val="24"/>
          <w:szCs w:val="24"/>
          <w:highlight w:val="none"/>
          <w:lang w:val="en-US" w:eastAsia="zh-CN" w:bidi="he-IL"/>
        </w:rPr>
        <w:t>本</w:t>
      </w:r>
      <w:r>
        <w:rPr>
          <w:rFonts w:hint="default" w:ascii="Times New Roman" w:hAnsi="Times New Roman" w:eastAsia="宋体" w:cs="Times New Roman"/>
          <w:color w:val="000000"/>
          <w:kern w:val="2"/>
          <w:sz w:val="24"/>
          <w:szCs w:val="24"/>
          <w:highlight w:val="none"/>
          <w:lang w:val="en-US" w:eastAsia="zh-CN" w:bidi="he-IL"/>
        </w:rPr>
        <w:t>项目</w:t>
      </w:r>
      <w:r>
        <w:rPr>
          <w:rFonts w:hint="eastAsia" w:eastAsia="宋体" w:cs="Times New Roman"/>
          <w:color w:val="000000"/>
          <w:kern w:val="2"/>
          <w:sz w:val="24"/>
          <w:szCs w:val="24"/>
          <w:highlight w:val="none"/>
          <w:lang w:val="en-US" w:eastAsia="zh-CN" w:bidi="he-IL"/>
        </w:rPr>
        <w:t>拟建</w:t>
      </w:r>
      <w:r>
        <w:rPr>
          <w:rFonts w:hint="eastAsia" w:ascii="Times New Roman" w:hAnsi="Times New Roman" w:eastAsia="宋体" w:cs="Times New Roman"/>
          <w:color w:val="000000"/>
          <w:kern w:val="2"/>
          <w:sz w:val="24"/>
          <w:szCs w:val="24"/>
          <w:highlight w:val="none"/>
          <w:lang w:val="en-US" w:eastAsia="zh-CN" w:bidi="he-IL"/>
        </w:rPr>
        <w:t>线路沿线</w:t>
      </w:r>
      <w:r>
        <w:rPr>
          <w:rFonts w:hint="default" w:ascii="Times New Roman" w:hAnsi="Times New Roman" w:eastAsia="宋体" w:cs="Times New Roman"/>
          <w:color w:val="000000"/>
          <w:kern w:val="2"/>
          <w:sz w:val="24"/>
          <w:szCs w:val="24"/>
          <w:highlight w:val="none"/>
          <w:lang w:val="en-US" w:eastAsia="zh-CN" w:bidi="he-IL"/>
        </w:rPr>
        <w:t>电磁环境质量现状，委托</w:t>
      </w:r>
      <w:r>
        <w:rPr>
          <w:rFonts w:hint="eastAsia" w:ascii="Times New Roman" w:hAnsi="Times New Roman" w:eastAsia="宋体" w:cs="Times New Roman"/>
          <w:bCs/>
          <w:color w:val="000000"/>
          <w:kern w:val="2"/>
          <w:sz w:val="24"/>
          <w:szCs w:val="24"/>
          <w:highlight w:val="none"/>
          <w:lang w:val="en-US" w:eastAsia="zh-CN" w:bidi="he-IL"/>
        </w:rPr>
        <w:t>河北省华川检验检测技术服务有限公司</w:t>
      </w:r>
      <w:r>
        <w:rPr>
          <w:rFonts w:hint="default" w:ascii="Times New Roman" w:hAnsi="Times New Roman" w:eastAsia="宋体" w:cs="Times New Roman"/>
          <w:color w:val="000000"/>
          <w:kern w:val="2"/>
          <w:sz w:val="24"/>
          <w:szCs w:val="24"/>
          <w:highlight w:val="none"/>
          <w:lang w:val="en-US" w:eastAsia="zh-CN" w:bidi="he-IL"/>
        </w:rPr>
        <w:t>对本项目电磁环境</w:t>
      </w:r>
      <w:r>
        <w:rPr>
          <w:rFonts w:hint="eastAsia" w:ascii="Times New Roman" w:hAnsi="Times New Roman" w:eastAsia="宋体" w:cs="Times New Roman"/>
          <w:color w:val="000000"/>
          <w:kern w:val="2"/>
          <w:sz w:val="24"/>
          <w:szCs w:val="24"/>
          <w:highlight w:val="none"/>
          <w:lang w:val="en-US" w:eastAsia="zh-CN" w:bidi="he-IL"/>
        </w:rPr>
        <w:t>质量</w:t>
      </w:r>
      <w:r>
        <w:rPr>
          <w:rFonts w:hint="default" w:ascii="Times New Roman" w:hAnsi="Times New Roman" w:eastAsia="宋体" w:cs="Times New Roman"/>
          <w:color w:val="000000"/>
          <w:kern w:val="2"/>
          <w:sz w:val="24"/>
          <w:szCs w:val="24"/>
          <w:highlight w:val="none"/>
          <w:lang w:val="en-US" w:eastAsia="zh-CN" w:bidi="he-IL"/>
        </w:rPr>
        <w:t>现状进行了监测，监测报告编号为：</w:t>
      </w:r>
      <w:r>
        <w:rPr>
          <w:rFonts w:hint="eastAsia" w:ascii="Times New Roman" w:hAnsi="Times New Roman" w:eastAsia="宋体" w:cs="Times New Roman"/>
          <w:bCs/>
          <w:color w:val="000000"/>
          <w:kern w:val="2"/>
          <w:sz w:val="24"/>
          <w:szCs w:val="24"/>
          <w:highlight w:val="none"/>
          <w:lang w:val="en-US" w:eastAsia="zh-CN" w:bidi="he-IL"/>
        </w:rPr>
        <w:t>HBHC检字</w:t>
      </w:r>
      <w:r>
        <w:rPr>
          <w:rFonts w:hint="default" w:ascii="Times New Roman" w:hAnsi="Times New Roman" w:eastAsia="宋体" w:cs="Times New Roman"/>
          <w:bCs/>
          <w:color w:val="000000"/>
          <w:kern w:val="2"/>
          <w:sz w:val="24"/>
          <w:szCs w:val="24"/>
          <w:highlight w:val="none"/>
          <w:lang w:val="en-US" w:eastAsia="zh-CN" w:bidi="he-IL"/>
        </w:rPr>
        <w:t>（202</w:t>
      </w:r>
      <w:r>
        <w:rPr>
          <w:rFonts w:hint="eastAsia" w:ascii="Times New Roman" w:hAnsi="Times New Roman" w:eastAsia="宋体" w:cs="Times New Roman"/>
          <w:bCs/>
          <w:color w:val="000000"/>
          <w:kern w:val="2"/>
          <w:sz w:val="24"/>
          <w:szCs w:val="24"/>
          <w:highlight w:val="none"/>
          <w:lang w:val="en-US" w:eastAsia="zh-CN" w:bidi="he-IL"/>
        </w:rPr>
        <w:t>5</w:t>
      </w:r>
      <w:r>
        <w:rPr>
          <w:rFonts w:hint="default" w:ascii="Times New Roman" w:hAnsi="Times New Roman" w:eastAsia="宋体" w:cs="Times New Roman"/>
          <w:bCs/>
          <w:color w:val="000000"/>
          <w:kern w:val="2"/>
          <w:sz w:val="24"/>
          <w:szCs w:val="24"/>
          <w:highlight w:val="none"/>
          <w:lang w:val="en-US" w:eastAsia="zh-CN" w:bidi="he-IL"/>
        </w:rPr>
        <w:t>）第</w:t>
      </w:r>
      <w:r>
        <w:rPr>
          <w:rFonts w:hint="eastAsia" w:ascii="Times New Roman" w:hAnsi="Times New Roman" w:eastAsia="宋体" w:cs="Times New Roman"/>
          <w:bCs/>
          <w:color w:val="000000"/>
          <w:kern w:val="2"/>
          <w:sz w:val="24"/>
          <w:szCs w:val="24"/>
          <w:highlight w:val="none"/>
          <w:lang w:val="en-US" w:eastAsia="zh-CN" w:bidi="he-IL"/>
        </w:rPr>
        <w:t>009</w:t>
      </w:r>
      <w:r>
        <w:rPr>
          <w:rFonts w:hint="default" w:ascii="Times New Roman" w:hAnsi="Times New Roman" w:eastAsia="宋体" w:cs="Times New Roman"/>
          <w:bCs/>
          <w:color w:val="000000"/>
          <w:kern w:val="2"/>
          <w:sz w:val="24"/>
          <w:szCs w:val="24"/>
          <w:highlight w:val="none"/>
          <w:lang w:val="en-US" w:eastAsia="zh-CN" w:bidi="he-IL"/>
        </w:rPr>
        <w:t>号（详见附件）。</w:t>
      </w:r>
    </w:p>
    <w:p w14:paraId="3D1DC9F7">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（1）监测仪器</w:t>
      </w:r>
    </w:p>
    <w:p w14:paraId="4B29E3CB">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所用仪器均经国家计量部门检验合格，并处于检验证书有效期内，仪器的频率性能覆盖监测对象的频率范围。</w:t>
      </w:r>
    </w:p>
    <w:p w14:paraId="7A998B68">
      <w:pPr>
        <w:numPr>
          <w:ilvl w:val="0"/>
          <w:numId w:val="0"/>
        </w:numPr>
        <w:spacing w:line="440" w:lineRule="exact"/>
        <w:ind w:firstLine="480" w:firstLineChars="200"/>
        <w:contextualSpacing/>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仪器名称：电磁辐射场强仪；仪器型号：BHYT2010B；仪器编号：HCIE-22；测量范围：0.01V/m~100kV/m（电场），1nT~10mT（磁场）；频率响应范围：1Hz~400kHz；校准有效期至：2025年2月1日。</w:t>
      </w:r>
    </w:p>
    <w:p w14:paraId="7A0D1AF2">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（2）监测方法</w:t>
      </w:r>
    </w:p>
    <w:p w14:paraId="54D276B7">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按照《交流输变电工程电磁环境监测方法（试行）》（HJ681-2013）进行。</w:t>
      </w:r>
    </w:p>
    <w:p w14:paraId="3417B871">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（3）监测点位、监测频次及监测因子</w:t>
      </w:r>
    </w:p>
    <w:p w14:paraId="723C4DA8">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监测点位：分别在架空线路A16~A17号塔位之间线路正下方、A02号塔位西北侧四把伙村、A48~A49号塔之间线路东侧下常乐店、A65~A67号塔位之间线路下方布设1个检测点位，共布设4个检测点位。</w:t>
      </w:r>
    </w:p>
    <w:p w14:paraId="0D78778A">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监测布点示意图见附图4。</w:t>
      </w:r>
    </w:p>
    <w:p w14:paraId="6FCC3690">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监测频次：监测1次。</w:t>
      </w:r>
    </w:p>
    <w:p w14:paraId="50C75A2E">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监测因子</w:t>
      </w:r>
      <w:r>
        <w:rPr>
          <w:rFonts w:hint="default" w:ascii="Times New Roman" w:hAnsi="Times New Roman" w:eastAsia="宋体" w:cs="Times New Roman"/>
          <w:b w:val="0"/>
          <w:bCs w:val="0"/>
          <w:color w:val="000000"/>
          <w:sz w:val="24"/>
          <w:szCs w:val="24"/>
          <w:highlight w:val="none"/>
          <w:lang w:val="en-US" w:eastAsia="zh-CN"/>
        </w:rPr>
        <w:t>：工频电场</w:t>
      </w:r>
      <w:r>
        <w:rPr>
          <w:rFonts w:hint="eastAsia" w:ascii="Times New Roman" w:hAnsi="Times New Roman" w:eastAsia="宋体" w:cs="Times New Roman"/>
          <w:b w:val="0"/>
          <w:bCs w:val="0"/>
          <w:color w:val="000000"/>
          <w:sz w:val="24"/>
          <w:szCs w:val="24"/>
          <w:highlight w:val="none"/>
          <w:lang w:val="en-US" w:eastAsia="zh-CN"/>
        </w:rPr>
        <w:t>强度</w:t>
      </w:r>
      <w:r>
        <w:rPr>
          <w:rFonts w:hint="default" w:ascii="Times New Roman" w:hAnsi="Times New Roman" w:eastAsia="宋体" w:cs="Times New Roman"/>
          <w:b w:val="0"/>
          <w:bCs w:val="0"/>
          <w:color w:val="000000"/>
          <w:sz w:val="24"/>
          <w:szCs w:val="24"/>
          <w:highlight w:val="none"/>
          <w:lang w:val="en-US" w:eastAsia="zh-CN"/>
        </w:rPr>
        <w:t>（V/m）、工频</w:t>
      </w:r>
      <w:r>
        <w:rPr>
          <w:rFonts w:hint="eastAsia" w:ascii="Times New Roman" w:hAnsi="Times New Roman" w:eastAsia="宋体" w:cs="Times New Roman"/>
          <w:b w:val="0"/>
          <w:bCs w:val="0"/>
          <w:color w:val="000000"/>
          <w:sz w:val="24"/>
          <w:szCs w:val="24"/>
          <w:highlight w:val="none"/>
          <w:lang w:val="en-US" w:eastAsia="zh-CN"/>
        </w:rPr>
        <w:t>磁感应强度</w:t>
      </w:r>
      <w:r>
        <w:rPr>
          <w:rFonts w:hint="default" w:ascii="Times New Roman" w:hAnsi="Times New Roman" w:eastAsia="宋体" w:cs="Times New Roman"/>
          <w:b w:val="0"/>
          <w:bCs w:val="0"/>
          <w:color w:val="000000"/>
          <w:sz w:val="24"/>
          <w:szCs w:val="24"/>
          <w:highlight w:val="none"/>
          <w:lang w:val="en-US" w:eastAsia="zh-CN"/>
        </w:rPr>
        <w:t>（μT）。</w:t>
      </w:r>
    </w:p>
    <w:p w14:paraId="61929DC1">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（4）监测单位、时间</w:t>
      </w:r>
    </w:p>
    <w:p w14:paraId="546F6105">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河北省华川检验检测技术服务有限公司</w:t>
      </w:r>
      <w:r>
        <w:rPr>
          <w:rFonts w:hint="eastAsia" w:ascii="Times New Roman" w:hAnsi="Times New Roman" w:eastAsia="宋体" w:cs="Times New Roman"/>
          <w:b w:val="0"/>
          <w:bCs w:val="0"/>
          <w:color w:val="000000"/>
          <w:sz w:val="24"/>
          <w:szCs w:val="24"/>
          <w:highlight w:val="none"/>
          <w:lang w:val="en-US" w:eastAsia="zh-CN"/>
        </w:rPr>
        <w:t>于2025年1月10日进行监测。</w:t>
      </w:r>
    </w:p>
    <w:p w14:paraId="32CCFE37">
      <w:pPr>
        <w:numPr>
          <w:ilvl w:val="0"/>
          <w:numId w:val="6"/>
        </w:numPr>
        <w:spacing w:line="440" w:lineRule="exact"/>
        <w:ind w:left="0" w:leftChars="0"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监测期间气象条件</w:t>
      </w:r>
    </w:p>
    <w:p w14:paraId="184A6168">
      <w:pPr>
        <w:numPr>
          <w:ilvl w:val="0"/>
          <w:numId w:val="0"/>
        </w:numPr>
        <w:spacing w:line="440" w:lineRule="exact"/>
        <w:ind w:firstLine="480" w:firstLineChars="200"/>
        <w:contextualSpacing/>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1月10日，天气状况：晴、无雨雪、无雷电。昼间：环境温度-3.3℃~0.9℃；相对湿度30.2%RH~31.6%RH；风速2.43m/s~2.68m/s。</w:t>
      </w:r>
    </w:p>
    <w:p w14:paraId="77E0B2B5">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（6）监测结果</w:t>
      </w:r>
    </w:p>
    <w:p w14:paraId="44F79712">
      <w:pPr>
        <w:numPr>
          <w:ilvl w:val="0"/>
          <w:numId w:val="0"/>
        </w:numPr>
        <w:spacing w:line="440" w:lineRule="exact"/>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拟建线路周边工频电磁强度现状值监测结果见下表。</w:t>
      </w:r>
    </w:p>
    <w:p w14:paraId="2DED6CDD">
      <w:pPr>
        <w:numPr>
          <w:ilvl w:val="0"/>
          <w:numId w:val="0"/>
        </w:numPr>
        <w:spacing w:line="440" w:lineRule="exact"/>
        <w:ind w:firstLine="0" w:firstLineChars="0"/>
        <w:contextualSpacing/>
        <w:jc w:val="center"/>
        <w:rPr>
          <w:rFonts w:hint="eastAsia" w:ascii="Times New Roman" w:hAnsi="Times New Roman" w:eastAsia="宋体" w:cs="Times New Roman"/>
          <w:b/>
          <w:bCs/>
          <w:color w:val="000000"/>
          <w:sz w:val="21"/>
          <w:szCs w:val="21"/>
          <w:highlight w:val="none"/>
          <w:lang w:val="en-US" w:eastAsia="zh-CN"/>
        </w:rPr>
      </w:pPr>
    </w:p>
    <w:p w14:paraId="52FCA647">
      <w:pPr>
        <w:numPr>
          <w:ilvl w:val="0"/>
          <w:numId w:val="0"/>
        </w:numPr>
        <w:spacing w:line="440" w:lineRule="exact"/>
        <w:ind w:firstLine="0" w:firstLineChars="0"/>
        <w:contextualSpacing/>
        <w:jc w:val="center"/>
        <w:rPr>
          <w:rFonts w:hint="eastAsia" w:ascii="Times New Roman" w:hAnsi="Times New Roman" w:eastAsia="宋体" w:cs="Times New Roman"/>
          <w:b/>
          <w:bCs/>
          <w:color w:val="000000"/>
          <w:sz w:val="21"/>
          <w:szCs w:val="21"/>
          <w:highlight w:val="none"/>
          <w:lang w:val="en-US" w:eastAsia="zh-CN"/>
        </w:rPr>
      </w:pPr>
    </w:p>
    <w:p w14:paraId="51EB3C9D">
      <w:pPr>
        <w:numPr>
          <w:ilvl w:val="0"/>
          <w:numId w:val="0"/>
        </w:numPr>
        <w:spacing w:line="440" w:lineRule="exact"/>
        <w:ind w:firstLine="0" w:firstLineChars="0"/>
        <w:contextualSpacing/>
        <w:jc w:val="center"/>
        <w:rPr>
          <w:rFonts w:hint="eastAsia" w:ascii="Times New Roman" w:hAnsi="Times New Roman" w:eastAsia="宋体" w:cs="Times New Roman"/>
          <w:b/>
          <w:bCs/>
          <w:color w:val="000000"/>
          <w:sz w:val="21"/>
          <w:szCs w:val="21"/>
          <w:highlight w:val="none"/>
          <w:lang w:val="en-US" w:eastAsia="zh-CN"/>
        </w:rPr>
      </w:pPr>
    </w:p>
    <w:p w14:paraId="1B6C0372">
      <w:pPr>
        <w:numPr>
          <w:ilvl w:val="0"/>
          <w:numId w:val="0"/>
        </w:numPr>
        <w:spacing w:line="440" w:lineRule="exact"/>
        <w:ind w:firstLine="0" w:firstLineChars="0"/>
        <w:contextualSpacing/>
        <w:jc w:val="center"/>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表4-1  本项目拟建线路周边电磁环境质量现状监测结果</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590"/>
        <w:gridCol w:w="1481"/>
        <w:gridCol w:w="1653"/>
        <w:gridCol w:w="1229"/>
      </w:tblGrid>
      <w:tr w14:paraId="2B30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4C1653E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序号</w:t>
            </w:r>
          </w:p>
        </w:tc>
        <w:tc>
          <w:tcPr>
            <w:tcW w:w="2092" w:type="pct"/>
            <w:tcMar>
              <w:top w:w="0" w:type="dxa"/>
              <w:left w:w="28" w:type="dxa"/>
              <w:bottom w:w="0" w:type="dxa"/>
              <w:right w:w="28" w:type="dxa"/>
            </w:tcMar>
            <w:vAlign w:val="center"/>
          </w:tcPr>
          <w:p w14:paraId="713F1AE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监测点位</w:t>
            </w:r>
          </w:p>
        </w:tc>
        <w:tc>
          <w:tcPr>
            <w:tcW w:w="862" w:type="pct"/>
            <w:tcMar>
              <w:top w:w="0" w:type="dxa"/>
              <w:left w:w="28" w:type="dxa"/>
              <w:bottom w:w="0" w:type="dxa"/>
              <w:right w:w="28" w:type="dxa"/>
            </w:tcMar>
            <w:vAlign w:val="center"/>
          </w:tcPr>
          <w:p w14:paraId="75AA235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工频电场强度(V/m)</w:t>
            </w:r>
          </w:p>
        </w:tc>
        <w:tc>
          <w:tcPr>
            <w:tcW w:w="963" w:type="pct"/>
            <w:tcMar>
              <w:top w:w="0" w:type="dxa"/>
              <w:left w:w="28" w:type="dxa"/>
              <w:bottom w:w="0" w:type="dxa"/>
              <w:right w:w="28" w:type="dxa"/>
            </w:tcMar>
            <w:vAlign w:val="center"/>
          </w:tcPr>
          <w:p w14:paraId="32EE548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工频磁感应强度(μT)</w:t>
            </w:r>
          </w:p>
        </w:tc>
        <w:tc>
          <w:tcPr>
            <w:tcW w:w="716" w:type="pct"/>
            <w:tcMar>
              <w:top w:w="0" w:type="dxa"/>
              <w:left w:w="28" w:type="dxa"/>
              <w:bottom w:w="0" w:type="dxa"/>
              <w:right w:w="28" w:type="dxa"/>
            </w:tcMar>
            <w:vAlign w:val="center"/>
          </w:tcPr>
          <w:p w14:paraId="7FF2829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eastAsia="宋体" w:cs="Times New Roman"/>
                <w:b w:val="0"/>
                <w:bCs w:val="0"/>
                <w:color w:val="000000"/>
                <w:sz w:val="21"/>
                <w:szCs w:val="21"/>
                <w:highlight w:val="none"/>
                <w:lang w:val="en-US" w:eastAsia="zh-CN"/>
              </w:rPr>
              <w:t>备注</w:t>
            </w:r>
          </w:p>
        </w:tc>
      </w:tr>
      <w:tr w14:paraId="4E1E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08B8193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1</w:t>
            </w:r>
          </w:p>
        </w:tc>
        <w:tc>
          <w:tcPr>
            <w:tcW w:w="2092" w:type="pct"/>
            <w:tcMar>
              <w:top w:w="0" w:type="dxa"/>
              <w:left w:w="28" w:type="dxa"/>
              <w:bottom w:w="0" w:type="dxa"/>
              <w:right w:w="28" w:type="dxa"/>
            </w:tcMar>
            <w:vAlign w:val="center"/>
          </w:tcPr>
          <w:p w14:paraId="1C9D6AB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A02号塔西北侧四把伙村</w:t>
            </w:r>
          </w:p>
        </w:tc>
        <w:tc>
          <w:tcPr>
            <w:tcW w:w="862" w:type="pct"/>
            <w:tcMar>
              <w:top w:w="0" w:type="dxa"/>
              <w:left w:w="28" w:type="dxa"/>
              <w:bottom w:w="0" w:type="dxa"/>
              <w:right w:w="28" w:type="dxa"/>
            </w:tcMar>
            <w:vAlign w:val="center"/>
          </w:tcPr>
          <w:p w14:paraId="537E4D1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119.4</w:t>
            </w:r>
          </w:p>
        </w:tc>
        <w:tc>
          <w:tcPr>
            <w:tcW w:w="963" w:type="pct"/>
            <w:tcMar>
              <w:top w:w="0" w:type="dxa"/>
              <w:left w:w="28" w:type="dxa"/>
              <w:bottom w:w="0" w:type="dxa"/>
              <w:right w:w="28" w:type="dxa"/>
            </w:tcMar>
            <w:vAlign w:val="center"/>
          </w:tcPr>
          <w:p w14:paraId="3F5E136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0.065</w:t>
            </w:r>
          </w:p>
        </w:tc>
        <w:tc>
          <w:tcPr>
            <w:tcW w:w="716" w:type="pct"/>
            <w:vMerge w:val="restart"/>
            <w:tcMar>
              <w:top w:w="0" w:type="dxa"/>
              <w:left w:w="28" w:type="dxa"/>
              <w:bottom w:w="0" w:type="dxa"/>
              <w:right w:w="28" w:type="dxa"/>
            </w:tcMar>
            <w:vAlign w:val="center"/>
          </w:tcPr>
          <w:p w14:paraId="00DC95E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受已运行并行线路影响，现状监测值较大</w:t>
            </w:r>
          </w:p>
        </w:tc>
      </w:tr>
      <w:tr w14:paraId="40F2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2A98D29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2</w:t>
            </w:r>
          </w:p>
        </w:tc>
        <w:tc>
          <w:tcPr>
            <w:tcW w:w="2092" w:type="pct"/>
            <w:tcMar>
              <w:top w:w="0" w:type="dxa"/>
              <w:left w:w="28" w:type="dxa"/>
              <w:bottom w:w="0" w:type="dxa"/>
              <w:right w:w="28" w:type="dxa"/>
            </w:tcMar>
            <w:vAlign w:val="center"/>
          </w:tcPr>
          <w:p w14:paraId="47BA832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A16~A17号塔位间线路正下方</w:t>
            </w:r>
          </w:p>
        </w:tc>
        <w:tc>
          <w:tcPr>
            <w:tcW w:w="862" w:type="pct"/>
            <w:tcMar>
              <w:top w:w="0" w:type="dxa"/>
              <w:left w:w="28" w:type="dxa"/>
              <w:bottom w:w="0" w:type="dxa"/>
              <w:right w:w="28" w:type="dxa"/>
            </w:tcMar>
            <w:vAlign w:val="center"/>
          </w:tcPr>
          <w:p w14:paraId="597398C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35.85</w:t>
            </w:r>
          </w:p>
        </w:tc>
        <w:tc>
          <w:tcPr>
            <w:tcW w:w="963" w:type="pct"/>
            <w:tcMar>
              <w:top w:w="0" w:type="dxa"/>
              <w:left w:w="28" w:type="dxa"/>
              <w:bottom w:w="0" w:type="dxa"/>
              <w:right w:w="28" w:type="dxa"/>
            </w:tcMar>
            <w:vAlign w:val="center"/>
          </w:tcPr>
          <w:p w14:paraId="52F49E2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0.219</w:t>
            </w:r>
          </w:p>
        </w:tc>
        <w:tc>
          <w:tcPr>
            <w:tcW w:w="716" w:type="pct"/>
            <w:vMerge w:val="continue"/>
            <w:tcMar>
              <w:top w:w="0" w:type="dxa"/>
              <w:left w:w="28" w:type="dxa"/>
              <w:bottom w:w="0" w:type="dxa"/>
              <w:right w:w="28" w:type="dxa"/>
            </w:tcMar>
            <w:vAlign w:val="center"/>
          </w:tcPr>
          <w:p w14:paraId="2B6188E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cs="Times New Roman"/>
                <w:color w:val="000000"/>
                <w:kern w:val="2"/>
                <w:sz w:val="21"/>
                <w:szCs w:val="21"/>
                <w:highlight w:val="none"/>
                <w:lang w:val="en-US" w:eastAsia="zh-CN" w:bidi="ar-SA"/>
              </w:rPr>
            </w:pPr>
          </w:p>
        </w:tc>
      </w:tr>
      <w:tr w14:paraId="03EA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4D52D20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3</w:t>
            </w:r>
          </w:p>
        </w:tc>
        <w:tc>
          <w:tcPr>
            <w:tcW w:w="2092" w:type="pct"/>
            <w:tcMar>
              <w:top w:w="0" w:type="dxa"/>
              <w:left w:w="28" w:type="dxa"/>
              <w:bottom w:w="0" w:type="dxa"/>
              <w:right w:w="28" w:type="dxa"/>
            </w:tcMar>
            <w:vAlign w:val="center"/>
          </w:tcPr>
          <w:p w14:paraId="14DA3C3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A48~A49号塔间线路东侧下常乐店</w:t>
            </w:r>
          </w:p>
        </w:tc>
        <w:tc>
          <w:tcPr>
            <w:tcW w:w="862" w:type="pct"/>
            <w:tcMar>
              <w:top w:w="0" w:type="dxa"/>
              <w:left w:w="28" w:type="dxa"/>
              <w:bottom w:w="0" w:type="dxa"/>
              <w:right w:w="28" w:type="dxa"/>
            </w:tcMar>
            <w:vAlign w:val="center"/>
          </w:tcPr>
          <w:p w14:paraId="7303BB2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190.5</w:t>
            </w:r>
          </w:p>
        </w:tc>
        <w:tc>
          <w:tcPr>
            <w:tcW w:w="963" w:type="pct"/>
            <w:tcMar>
              <w:top w:w="0" w:type="dxa"/>
              <w:left w:w="28" w:type="dxa"/>
              <w:bottom w:w="0" w:type="dxa"/>
              <w:right w:w="28" w:type="dxa"/>
            </w:tcMar>
            <w:vAlign w:val="center"/>
          </w:tcPr>
          <w:p w14:paraId="01FA44E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0.064</w:t>
            </w:r>
          </w:p>
        </w:tc>
        <w:tc>
          <w:tcPr>
            <w:tcW w:w="716" w:type="pct"/>
            <w:vMerge w:val="continue"/>
            <w:tcMar>
              <w:top w:w="0" w:type="dxa"/>
              <w:left w:w="28" w:type="dxa"/>
              <w:bottom w:w="0" w:type="dxa"/>
              <w:right w:w="28" w:type="dxa"/>
            </w:tcMar>
            <w:vAlign w:val="center"/>
          </w:tcPr>
          <w:p w14:paraId="18A2C58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cs="Times New Roman"/>
                <w:color w:val="000000"/>
                <w:kern w:val="2"/>
                <w:sz w:val="21"/>
                <w:szCs w:val="21"/>
                <w:highlight w:val="none"/>
                <w:lang w:val="en-US" w:eastAsia="zh-CN" w:bidi="ar-SA"/>
              </w:rPr>
            </w:pPr>
          </w:p>
        </w:tc>
      </w:tr>
      <w:tr w14:paraId="3F4B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5" w:type="pct"/>
            <w:tcMar>
              <w:top w:w="0" w:type="dxa"/>
              <w:left w:w="28" w:type="dxa"/>
              <w:bottom w:w="0" w:type="dxa"/>
              <w:right w:w="28" w:type="dxa"/>
            </w:tcMar>
            <w:vAlign w:val="center"/>
          </w:tcPr>
          <w:p w14:paraId="236467D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4</w:t>
            </w:r>
          </w:p>
        </w:tc>
        <w:tc>
          <w:tcPr>
            <w:tcW w:w="2092" w:type="pct"/>
            <w:tcMar>
              <w:top w:w="0" w:type="dxa"/>
              <w:left w:w="28" w:type="dxa"/>
              <w:bottom w:w="0" w:type="dxa"/>
              <w:right w:w="28" w:type="dxa"/>
            </w:tcMar>
            <w:vAlign w:val="center"/>
          </w:tcPr>
          <w:p w14:paraId="1212000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A65~A67号塔间线路下方</w:t>
            </w:r>
          </w:p>
        </w:tc>
        <w:tc>
          <w:tcPr>
            <w:tcW w:w="862" w:type="pct"/>
            <w:tcMar>
              <w:top w:w="0" w:type="dxa"/>
              <w:left w:w="28" w:type="dxa"/>
              <w:bottom w:w="0" w:type="dxa"/>
              <w:right w:w="28" w:type="dxa"/>
            </w:tcMar>
            <w:vAlign w:val="center"/>
          </w:tcPr>
          <w:p w14:paraId="2C491D5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300.0</w:t>
            </w:r>
          </w:p>
        </w:tc>
        <w:tc>
          <w:tcPr>
            <w:tcW w:w="963" w:type="pct"/>
            <w:tcMar>
              <w:top w:w="0" w:type="dxa"/>
              <w:left w:w="28" w:type="dxa"/>
              <w:bottom w:w="0" w:type="dxa"/>
              <w:right w:w="28" w:type="dxa"/>
            </w:tcMar>
            <w:vAlign w:val="center"/>
          </w:tcPr>
          <w:p w14:paraId="6972BED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0.106</w:t>
            </w:r>
          </w:p>
        </w:tc>
        <w:tc>
          <w:tcPr>
            <w:tcW w:w="716" w:type="pct"/>
            <w:vMerge w:val="continue"/>
            <w:tcMar>
              <w:top w:w="0" w:type="dxa"/>
              <w:left w:w="28" w:type="dxa"/>
              <w:bottom w:w="0" w:type="dxa"/>
              <w:right w:w="28" w:type="dxa"/>
            </w:tcMar>
            <w:vAlign w:val="center"/>
          </w:tcPr>
          <w:p w14:paraId="4A0E341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cs="Times New Roman"/>
                <w:color w:val="000000"/>
                <w:kern w:val="2"/>
                <w:sz w:val="21"/>
                <w:szCs w:val="21"/>
                <w:highlight w:val="none"/>
                <w:lang w:val="en-US" w:eastAsia="zh-CN" w:bidi="ar-SA"/>
              </w:rPr>
            </w:pPr>
          </w:p>
        </w:tc>
      </w:tr>
    </w:tbl>
    <w:p w14:paraId="0ED3E957">
      <w:pPr>
        <w:pageBreakBefore w:val="0"/>
        <w:widowControl w:val="0"/>
        <w:kinsoku/>
        <w:wordWrap/>
        <w:overflowPunct/>
        <w:topLinePunct w:val="0"/>
        <w:bidi w:val="0"/>
        <w:adjustRightInd w:val="0"/>
        <w:snapToGrid/>
        <w:spacing w:line="440" w:lineRule="exact"/>
        <w:ind w:firstLine="480" w:firstLineChars="200"/>
        <w:textAlignment w:val="auto"/>
        <w:rPr>
          <w:rFonts w:hint="default" w:ascii="Times New Roman" w:hAnsi="Times New Roman" w:eastAsia="宋体" w:cs="Times New Roman"/>
          <w:color w:val="000000"/>
          <w:spacing w:val="4"/>
          <w:sz w:val="24"/>
          <w:szCs w:val="24"/>
          <w:highlight w:val="none"/>
        </w:rPr>
      </w:pPr>
      <w:r>
        <w:rPr>
          <w:rFonts w:hint="default" w:ascii="Times New Roman" w:hAnsi="Times New Roman" w:eastAsia="宋体" w:cs="Times New Roman"/>
          <w:color w:val="000000"/>
          <w:sz w:val="24"/>
          <w:szCs w:val="24"/>
          <w:highlight w:val="none"/>
        </w:rPr>
        <w:t>由上表可知，拟建</w:t>
      </w:r>
      <w:r>
        <w:rPr>
          <w:rFonts w:hint="default" w:ascii="Times New Roman" w:hAnsi="Times New Roman" w:eastAsia="宋体" w:cs="Times New Roman"/>
          <w:color w:val="000000"/>
          <w:sz w:val="24"/>
          <w:szCs w:val="24"/>
          <w:highlight w:val="none"/>
          <w:lang w:eastAsia="zh-CN"/>
        </w:rPr>
        <w:t>线路</w:t>
      </w:r>
      <w:r>
        <w:rPr>
          <w:rFonts w:hint="eastAsia" w:ascii="Times New Roman" w:hAnsi="Times New Roman" w:eastAsia="宋体" w:cs="Times New Roman"/>
          <w:color w:val="000000"/>
          <w:sz w:val="24"/>
          <w:szCs w:val="24"/>
          <w:highlight w:val="none"/>
          <w:lang w:val="en-US" w:eastAsia="zh-CN"/>
        </w:rPr>
        <w:t>下方</w:t>
      </w:r>
      <w:r>
        <w:rPr>
          <w:rFonts w:hint="default" w:ascii="Times New Roman" w:hAnsi="Times New Roman" w:eastAsia="宋体" w:cs="Times New Roman"/>
          <w:color w:val="000000"/>
          <w:sz w:val="24"/>
          <w:szCs w:val="24"/>
          <w:highlight w:val="none"/>
        </w:rPr>
        <w:t>工频电场强度为</w:t>
      </w:r>
      <w:r>
        <w:rPr>
          <w:rFonts w:hint="eastAsia" w:ascii="Times New Roman" w:hAnsi="Times New Roman" w:eastAsia="宋体" w:cs="Times New Roman"/>
          <w:color w:val="000000"/>
          <w:sz w:val="24"/>
          <w:szCs w:val="24"/>
          <w:highlight w:val="none"/>
          <w:lang w:val="en-US" w:eastAsia="zh-CN"/>
        </w:rPr>
        <w:t>35.85</w:t>
      </w:r>
      <w:r>
        <w:rPr>
          <w:rFonts w:hint="default" w:ascii="Times New Roman" w:hAnsi="Times New Roman" w:eastAsia="宋体" w:cs="Times New Roman"/>
          <w:color w:val="000000"/>
          <w:sz w:val="24"/>
          <w:szCs w:val="24"/>
          <w:highlight w:val="none"/>
        </w:rPr>
        <w:t>V/m~</w:t>
      </w:r>
      <w:r>
        <w:rPr>
          <w:rFonts w:hint="eastAsia" w:ascii="Times New Roman" w:hAnsi="Times New Roman" w:eastAsia="宋体" w:cs="Times New Roman"/>
          <w:color w:val="000000"/>
          <w:sz w:val="24"/>
          <w:szCs w:val="24"/>
          <w:highlight w:val="none"/>
          <w:lang w:val="en-US" w:eastAsia="zh-CN"/>
        </w:rPr>
        <w:t>300.0</w:t>
      </w:r>
      <w:r>
        <w:rPr>
          <w:rFonts w:hint="default" w:ascii="Times New Roman" w:hAnsi="Times New Roman" w:eastAsia="宋体" w:cs="Times New Roman"/>
          <w:color w:val="000000"/>
          <w:sz w:val="24"/>
          <w:szCs w:val="24"/>
          <w:highlight w:val="none"/>
        </w:rPr>
        <w:t>V/m，工频磁感应强度为</w:t>
      </w:r>
      <w:r>
        <w:rPr>
          <w:rFonts w:hint="eastAsia" w:ascii="Times New Roman" w:hAnsi="Times New Roman" w:eastAsia="宋体" w:cs="Times New Roman"/>
          <w:color w:val="000000"/>
          <w:sz w:val="24"/>
          <w:szCs w:val="24"/>
          <w:highlight w:val="none"/>
          <w:lang w:val="en-US" w:eastAsia="zh-CN"/>
        </w:rPr>
        <w:t>0.106</w:t>
      </w:r>
      <w:r>
        <w:rPr>
          <w:rFonts w:hint="default" w:ascii="Times New Roman" w:hAnsi="Times New Roman" w:eastAsia="宋体" w:cs="Times New Roman"/>
          <w:color w:val="000000"/>
          <w:sz w:val="24"/>
          <w:szCs w:val="24"/>
          <w:highlight w:val="none"/>
        </w:rPr>
        <w:t>μT~0.</w:t>
      </w:r>
      <w:r>
        <w:rPr>
          <w:rFonts w:hint="eastAsia" w:ascii="Times New Roman" w:hAnsi="Times New Roman" w:eastAsia="宋体" w:cs="Times New Roman"/>
          <w:color w:val="000000"/>
          <w:sz w:val="24"/>
          <w:szCs w:val="24"/>
          <w:highlight w:val="none"/>
          <w:lang w:val="en-US" w:eastAsia="zh-CN"/>
        </w:rPr>
        <w:t>219</w:t>
      </w:r>
      <w:r>
        <w:rPr>
          <w:rFonts w:hint="default" w:ascii="Times New Roman" w:hAnsi="Times New Roman" w:eastAsia="宋体" w:cs="Times New Roman"/>
          <w:color w:val="000000"/>
          <w:sz w:val="24"/>
          <w:szCs w:val="24"/>
          <w:highlight w:val="none"/>
        </w:rPr>
        <w:t>μT</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电磁环境敏感目标处工频电场强度</w:t>
      </w:r>
      <w:r>
        <w:rPr>
          <w:rFonts w:hint="default" w:ascii="Times New Roman" w:hAnsi="Times New Roman" w:eastAsia="宋体" w:cs="Times New Roman"/>
          <w:color w:val="000000"/>
          <w:sz w:val="24"/>
          <w:szCs w:val="24"/>
          <w:highlight w:val="none"/>
        </w:rPr>
        <w:t>为</w:t>
      </w:r>
      <w:r>
        <w:rPr>
          <w:rFonts w:hint="eastAsia" w:ascii="Times New Roman" w:hAnsi="Times New Roman" w:eastAsia="宋体" w:cs="Times New Roman"/>
          <w:color w:val="000000"/>
          <w:sz w:val="24"/>
          <w:szCs w:val="24"/>
          <w:highlight w:val="none"/>
          <w:lang w:val="en-US" w:eastAsia="zh-CN"/>
        </w:rPr>
        <w:t>119.4</w:t>
      </w:r>
      <w:r>
        <w:rPr>
          <w:rFonts w:hint="default" w:ascii="Times New Roman" w:hAnsi="Times New Roman" w:eastAsia="宋体" w:cs="Times New Roman"/>
          <w:color w:val="000000"/>
          <w:sz w:val="24"/>
          <w:szCs w:val="24"/>
          <w:highlight w:val="none"/>
        </w:rPr>
        <w:t>V/m</w:t>
      </w:r>
      <w:r>
        <w:rPr>
          <w:rFonts w:hint="eastAsia" w:ascii="Times New Roman" w:hAnsi="Times New Roman" w:eastAsia="宋体" w:cs="Times New Roman"/>
          <w:color w:val="000000"/>
          <w:sz w:val="24"/>
          <w:szCs w:val="24"/>
          <w:highlight w:val="none"/>
          <w:lang w:val="en-US" w:eastAsia="zh-CN"/>
        </w:rPr>
        <w:t>~190.5</w:t>
      </w:r>
      <w:r>
        <w:rPr>
          <w:rFonts w:hint="default" w:ascii="Times New Roman" w:hAnsi="Times New Roman" w:eastAsia="宋体" w:cs="Times New Roman"/>
          <w:color w:val="000000"/>
          <w:sz w:val="24"/>
          <w:szCs w:val="24"/>
          <w:highlight w:val="none"/>
        </w:rPr>
        <w:t>V/m，工频磁感应强度为</w:t>
      </w:r>
      <w:r>
        <w:rPr>
          <w:rFonts w:hint="eastAsia" w:ascii="Times New Roman" w:hAnsi="Times New Roman" w:eastAsia="宋体" w:cs="Times New Roman"/>
          <w:color w:val="000000"/>
          <w:sz w:val="24"/>
          <w:szCs w:val="24"/>
          <w:highlight w:val="none"/>
          <w:lang w:val="en-US" w:eastAsia="zh-CN"/>
        </w:rPr>
        <w:t>0.064</w:t>
      </w:r>
      <w:r>
        <w:rPr>
          <w:rFonts w:hint="default" w:ascii="Times New Roman" w:hAnsi="Times New Roman" w:eastAsia="宋体" w:cs="Times New Roman"/>
          <w:color w:val="000000"/>
          <w:sz w:val="24"/>
          <w:szCs w:val="24"/>
          <w:highlight w:val="none"/>
        </w:rPr>
        <w:t>μT</w:t>
      </w:r>
      <w:r>
        <w:rPr>
          <w:rFonts w:hint="eastAsia" w:ascii="Times New Roman" w:hAnsi="Times New Roman" w:eastAsia="宋体" w:cs="Times New Roman"/>
          <w:color w:val="000000"/>
          <w:sz w:val="24"/>
          <w:szCs w:val="24"/>
          <w:highlight w:val="none"/>
          <w:lang w:val="en-US" w:eastAsia="zh-CN"/>
        </w:rPr>
        <w:t>~0.065</w:t>
      </w:r>
      <w:r>
        <w:rPr>
          <w:rFonts w:hint="default" w:ascii="Times New Roman" w:hAnsi="Times New Roman" w:eastAsia="宋体" w:cs="Times New Roman"/>
          <w:color w:val="000000"/>
          <w:sz w:val="24"/>
          <w:szCs w:val="24"/>
          <w:highlight w:val="none"/>
        </w:rPr>
        <w:t>μT</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监测结果均符合《电磁环境控制限值》(GB8702-2014)中规定的4kV/m和100μT公众曝露控制限值要求。</w:t>
      </w:r>
    </w:p>
    <w:p w14:paraId="051FAF1B">
      <w:pPr>
        <w:adjustRightInd w:val="0"/>
        <w:spacing w:line="480" w:lineRule="exact"/>
        <w:ind w:firstLine="496" w:firstLineChars="200"/>
        <w:rPr>
          <w:rFonts w:hint="default" w:ascii="Times New Roman" w:hAnsi="Times New Roman" w:eastAsia="宋体" w:cs="Times New Roman"/>
          <w:color w:val="000000"/>
          <w:spacing w:val="4"/>
          <w:sz w:val="24"/>
          <w:szCs w:val="24"/>
          <w:highlight w:val="none"/>
        </w:rPr>
      </w:pPr>
    </w:p>
    <w:p w14:paraId="17865AB2">
      <w:pPr>
        <w:widowControl w:val="0"/>
        <w:tabs>
          <w:tab w:val="left" w:pos="2520"/>
        </w:tabs>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p>
    <w:p w14:paraId="5EB96A19">
      <w:pPr>
        <w:widowControl w:val="0"/>
        <w:tabs>
          <w:tab w:val="left" w:pos="2520"/>
        </w:tabs>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p>
    <w:p w14:paraId="73F504FF">
      <w:pPr>
        <w:widowControl w:val="0"/>
        <w:tabs>
          <w:tab w:val="left" w:pos="2520"/>
        </w:tabs>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p>
    <w:p w14:paraId="14A112FC">
      <w:pPr>
        <w:widowControl/>
        <w:spacing w:line="460" w:lineRule="exact"/>
        <w:ind w:firstLine="480"/>
        <w:jc w:val="both"/>
        <w:rPr>
          <w:rFonts w:hint="default" w:ascii="Times New Roman" w:hAnsi="Times New Roman" w:cs="Times New Roman"/>
          <w:color w:val="000000"/>
          <w:highlight w:val="none"/>
        </w:rPr>
        <w:sectPr>
          <w:footerReference r:id="rId10" w:type="default"/>
          <w:pgSz w:w="11906" w:h="16838"/>
          <w:pgMar w:top="1440" w:right="1689" w:bottom="1440" w:left="1689" w:header="851" w:footer="992" w:gutter="0"/>
          <w:cols w:space="425" w:num="1"/>
          <w:docGrid w:type="lines" w:linePitch="312" w:charSpace="0"/>
        </w:sectPr>
      </w:pPr>
    </w:p>
    <w:p w14:paraId="2923587C">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0"/>
          <w:sz w:val="32"/>
          <w:szCs w:val="44"/>
          <w:highlight w:val="none"/>
          <w:lang w:val="en-US" w:eastAsia="zh-CN" w:bidi="ar-SA"/>
        </w:rPr>
      </w:pPr>
      <w:bookmarkStart w:id="47" w:name="_Toc26975"/>
      <w:r>
        <w:rPr>
          <w:rFonts w:hint="default" w:ascii="Times New Roman" w:hAnsi="Times New Roman" w:eastAsia="宋体" w:cs="Times New Roman"/>
          <w:b/>
          <w:bCs/>
          <w:color w:val="000000"/>
          <w:kern w:val="0"/>
          <w:sz w:val="32"/>
          <w:szCs w:val="44"/>
          <w:highlight w:val="none"/>
          <w:lang w:val="en-US" w:eastAsia="zh-CN" w:bidi="ar-SA"/>
        </w:rPr>
        <w:t>5 电磁环境影响评价</w:t>
      </w:r>
      <w:bookmarkEnd w:id="47"/>
    </w:p>
    <w:p w14:paraId="45599378">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bookmarkStart w:id="48" w:name="_Toc27226"/>
      <w:r>
        <w:rPr>
          <w:rFonts w:hint="default" w:ascii="Times New Roman" w:hAnsi="Times New Roman" w:eastAsia="宋体" w:cs="Times New Roman"/>
          <w:b/>
          <w:bCs/>
          <w:color w:val="000000"/>
          <w:kern w:val="0"/>
          <w:sz w:val="30"/>
          <w:szCs w:val="30"/>
          <w:highlight w:val="none"/>
          <w:lang w:val="en-US" w:eastAsia="zh-CN" w:bidi="ar-SA"/>
        </w:rPr>
        <w:t>5.1. 评价因子</w:t>
      </w:r>
      <w:bookmarkEnd w:id="48"/>
    </w:p>
    <w:p w14:paraId="4FA2248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kern w:val="0"/>
          <w:sz w:val="24"/>
          <w:szCs w:val="22"/>
          <w:highlight w:val="none"/>
        </w:rPr>
      </w:pPr>
      <w:r>
        <w:rPr>
          <w:rFonts w:hint="default" w:ascii="Times New Roman" w:hAnsi="Times New Roman" w:cs="Times New Roman"/>
          <w:color w:val="000000"/>
          <w:kern w:val="0"/>
          <w:sz w:val="24"/>
          <w:szCs w:val="22"/>
          <w:highlight w:val="none"/>
          <w:lang w:eastAsia="zh-CN"/>
        </w:rPr>
        <w:t>本项目</w:t>
      </w:r>
      <w:r>
        <w:rPr>
          <w:rFonts w:hint="default" w:ascii="Times New Roman" w:hAnsi="Times New Roman" w:cs="Times New Roman"/>
          <w:color w:val="000000"/>
          <w:kern w:val="0"/>
          <w:sz w:val="24"/>
          <w:szCs w:val="22"/>
          <w:highlight w:val="none"/>
        </w:rPr>
        <w:t>施工期</w:t>
      </w:r>
      <w:r>
        <w:rPr>
          <w:rFonts w:hint="eastAsia" w:cs="Times New Roman"/>
          <w:color w:val="000000"/>
          <w:kern w:val="0"/>
          <w:sz w:val="24"/>
          <w:szCs w:val="22"/>
          <w:highlight w:val="none"/>
          <w:lang w:val="en-US" w:eastAsia="zh-CN"/>
        </w:rPr>
        <w:t>无</w:t>
      </w:r>
      <w:r>
        <w:rPr>
          <w:rFonts w:hint="default" w:ascii="Times New Roman" w:hAnsi="Times New Roman" w:cs="Times New Roman"/>
          <w:color w:val="000000"/>
          <w:kern w:val="0"/>
          <w:sz w:val="24"/>
          <w:szCs w:val="22"/>
          <w:highlight w:val="none"/>
        </w:rPr>
        <w:t>电磁环境影响问题，</w:t>
      </w:r>
      <w:r>
        <w:rPr>
          <w:rFonts w:hint="default" w:ascii="Times New Roman" w:hAnsi="Times New Roman" w:cs="Times New Roman"/>
          <w:color w:val="000000"/>
          <w:kern w:val="0"/>
          <w:sz w:val="24"/>
          <w:szCs w:val="22"/>
          <w:highlight w:val="none"/>
          <w:lang w:eastAsia="zh-CN"/>
        </w:rPr>
        <w:t>运行</w:t>
      </w:r>
      <w:r>
        <w:rPr>
          <w:rFonts w:hint="default" w:ascii="Times New Roman" w:hAnsi="Times New Roman" w:cs="Times New Roman"/>
          <w:color w:val="000000"/>
          <w:kern w:val="0"/>
          <w:sz w:val="24"/>
          <w:szCs w:val="22"/>
          <w:highlight w:val="none"/>
        </w:rPr>
        <w:t>期会产生电磁环境影响。电磁环境影响预测评价的因子为：工频电场、工频磁</w:t>
      </w:r>
      <w:r>
        <w:rPr>
          <w:rFonts w:hint="default" w:ascii="Times New Roman" w:hAnsi="Times New Roman" w:cs="Times New Roman"/>
          <w:color w:val="000000"/>
          <w:kern w:val="0"/>
          <w:sz w:val="24"/>
          <w:szCs w:val="22"/>
          <w:highlight w:val="none"/>
          <w:lang w:eastAsia="zh-CN"/>
        </w:rPr>
        <w:t>场</w:t>
      </w:r>
      <w:r>
        <w:rPr>
          <w:rFonts w:hint="default" w:ascii="Times New Roman" w:hAnsi="Times New Roman" w:cs="Times New Roman"/>
          <w:color w:val="000000"/>
          <w:kern w:val="0"/>
          <w:sz w:val="24"/>
          <w:szCs w:val="22"/>
          <w:highlight w:val="none"/>
        </w:rPr>
        <w:t>。</w:t>
      </w:r>
    </w:p>
    <w:p w14:paraId="45FB357E">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bookmarkStart w:id="49" w:name="_Toc12816"/>
      <w:r>
        <w:rPr>
          <w:rFonts w:hint="default" w:ascii="Times New Roman" w:hAnsi="Times New Roman" w:eastAsia="宋体" w:cs="Times New Roman"/>
          <w:b/>
          <w:bCs/>
          <w:color w:val="000000"/>
          <w:kern w:val="2"/>
          <w:sz w:val="30"/>
          <w:szCs w:val="32"/>
          <w:highlight w:val="none"/>
          <w:lang w:val="en-US" w:eastAsia="zh-CN" w:bidi="ar-SA"/>
        </w:rPr>
        <w:t>5.2 评价方法</w:t>
      </w:r>
      <w:bookmarkEnd w:id="49"/>
    </w:p>
    <w:p w14:paraId="261A7F6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sz w:val="24"/>
          <w:szCs w:val="21"/>
          <w:highlight w:val="none"/>
        </w:rPr>
      </w:pPr>
      <w:r>
        <w:rPr>
          <w:rFonts w:hint="default" w:ascii="Times New Roman" w:hAnsi="Times New Roman" w:eastAsia="宋体" w:cs="Times New Roman"/>
          <w:bCs/>
          <w:color w:val="000000"/>
          <w:sz w:val="24"/>
          <w:szCs w:val="24"/>
          <w:highlight w:val="none"/>
          <w:lang w:eastAsia="zh-CN"/>
        </w:rPr>
        <w:t>架空线路工频电场、工频磁场采用模式预测进行评价</w:t>
      </w:r>
      <w:r>
        <w:rPr>
          <w:rFonts w:hint="default" w:ascii="Times New Roman" w:hAnsi="Times New Roman" w:eastAsia="宋体" w:cs="Times New Roman"/>
          <w:bCs/>
          <w:color w:val="000000"/>
          <w:sz w:val="24"/>
          <w:szCs w:val="24"/>
          <w:highlight w:val="none"/>
        </w:rPr>
        <w:t>。</w:t>
      </w:r>
    </w:p>
    <w:p w14:paraId="1865CC75">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bookmarkStart w:id="50" w:name="_Toc20264"/>
      <w:r>
        <w:rPr>
          <w:rFonts w:hint="default" w:ascii="Times New Roman" w:hAnsi="Times New Roman" w:eastAsia="宋体" w:cs="Times New Roman"/>
          <w:b/>
          <w:bCs/>
          <w:color w:val="000000"/>
          <w:kern w:val="2"/>
          <w:sz w:val="30"/>
          <w:szCs w:val="32"/>
          <w:highlight w:val="none"/>
          <w:lang w:val="en-US" w:eastAsia="zh-CN" w:bidi="ar-SA"/>
        </w:rPr>
        <w:t>5.3</w:t>
      </w:r>
      <w:bookmarkEnd w:id="50"/>
      <w:r>
        <w:rPr>
          <w:rFonts w:hint="eastAsia" w:ascii="Times New Roman" w:hAnsi="Times New Roman" w:eastAsia="宋体" w:cs="Times New Roman"/>
          <w:b/>
          <w:bCs/>
          <w:color w:val="000000"/>
          <w:kern w:val="2"/>
          <w:sz w:val="30"/>
          <w:szCs w:val="32"/>
          <w:highlight w:val="none"/>
          <w:lang w:val="en-US" w:eastAsia="zh-CN" w:bidi="ar-SA"/>
        </w:rPr>
        <w:t xml:space="preserve"> </w:t>
      </w:r>
      <w:r>
        <w:rPr>
          <w:rFonts w:hint="default" w:ascii="Times New Roman" w:hAnsi="Times New Roman" w:eastAsia="宋体" w:cs="Times New Roman"/>
          <w:b/>
          <w:bCs/>
          <w:color w:val="000000"/>
          <w:kern w:val="2"/>
          <w:sz w:val="30"/>
          <w:szCs w:val="32"/>
          <w:highlight w:val="none"/>
          <w:lang w:val="en-US" w:eastAsia="zh-CN" w:bidi="ar-SA"/>
        </w:rPr>
        <w:t>架空线路电磁环境影响预测及评价</w:t>
      </w:r>
    </w:p>
    <w:p w14:paraId="55F3B44A">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w:t>
      </w:r>
      <w:r>
        <w:rPr>
          <w:rFonts w:hint="eastAsia" w:eastAsia="宋体" w:cs="Times New Roman"/>
          <w:color w:val="000000"/>
          <w:sz w:val="24"/>
          <w:szCs w:val="24"/>
          <w:highlight w:val="none"/>
          <w:lang w:val="en-US" w:eastAsia="zh-CN"/>
        </w:rPr>
        <w:t>单回</w:t>
      </w:r>
      <w:r>
        <w:rPr>
          <w:rFonts w:hint="eastAsia" w:ascii="Times New Roman" w:hAnsi="Times New Roman" w:eastAsia="宋体" w:cs="Times New Roman"/>
          <w:color w:val="000000"/>
          <w:sz w:val="24"/>
          <w:szCs w:val="24"/>
          <w:highlight w:val="none"/>
          <w:lang w:val="en-US" w:eastAsia="zh-CN"/>
        </w:rPr>
        <w:t>架空</w:t>
      </w:r>
      <w:r>
        <w:rPr>
          <w:rFonts w:hint="eastAsia" w:eastAsia="宋体" w:cs="Times New Roman"/>
          <w:color w:val="000000"/>
          <w:sz w:val="24"/>
          <w:szCs w:val="24"/>
          <w:highlight w:val="none"/>
          <w:lang w:val="en-US" w:eastAsia="zh-CN"/>
        </w:rPr>
        <w:t>110kV</w:t>
      </w:r>
      <w:r>
        <w:rPr>
          <w:rFonts w:hint="eastAsia" w:ascii="Times New Roman" w:hAnsi="Times New Roman" w:eastAsia="宋体" w:cs="Times New Roman"/>
          <w:color w:val="000000"/>
          <w:sz w:val="24"/>
          <w:szCs w:val="24"/>
          <w:highlight w:val="none"/>
          <w:lang w:val="en-US" w:eastAsia="zh-CN"/>
        </w:rPr>
        <w:t>线路电磁环境影响预测选择</w:t>
      </w:r>
      <w:r>
        <w:rPr>
          <w:rFonts w:hint="eastAsia" w:eastAsia="宋体" w:cs="Times New Roman"/>
          <w:color w:val="000000"/>
          <w:sz w:val="24"/>
          <w:szCs w:val="24"/>
          <w:highlight w:val="none"/>
          <w:lang w:val="en-US" w:eastAsia="zh-CN"/>
        </w:rPr>
        <w:t>导线对地距离最小的塔型（A83号110-DC22D-JC1型塔）进行预测，导线最小对地距离约为7.0m，工频电场、工频磁感应强度预测点位按照距地面1.5m高度处考虑。</w:t>
      </w:r>
      <w:r>
        <w:rPr>
          <w:rFonts w:hint="eastAsia" w:ascii="Times New Roman" w:hAnsi="Times New Roman" w:eastAsia="宋体" w:cs="Times New Roman"/>
          <w:color w:val="000000"/>
          <w:sz w:val="24"/>
          <w:szCs w:val="24"/>
          <w:highlight w:val="none"/>
          <w:lang w:val="en-US" w:eastAsia="zh-CN"/>
        </w:rPr>
        <w:t>预测评价采用参数见表5-1，预测塔型图见</w:t>
      </w:r>
      <w:r>
        <w:rPr>
          <w:rFonts w:hint="eastAsia" w:eastAsia="宋体" w:cs="Times New Roman"/>
          <w:color w:val="000000"/>
          <w:sz w:val="24"/>
          <w:szCs w:val="24"/>
          <w:highlight w:val="none"/>
          <w:lang w:val="en-US" w:eastAsia="zh-CN"/>
        </w:rPr>
        <w:t>附图8</w:t>
      </w:r>
      <w:r>
        <w:rPr>
          <w:rFonts w:hint="eastAsia" w:ascii="Times New Roman" w:hAnsi="Times New Roman" w:eastAsia="宋体" w:cs="Times New Roman"/>
          <w:color w:val="000000"/>
          <w:sz w:val="24"/>
          <w:szCs w:val="24"/>
          <w:highlight w:val="none"/>
          <w:lang w:val="en-US" w:eastAsia="zh-CN"/>
        </w:rPr>
        <w:t>。</w:t>
      </w:r>
    </w:p>
    <w:p w14:paraId="2EA010AA">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5-1</w:t>
      </w:r>
      <w:r>
        <w:rPr>
          <w:rFonts w:hint="default" w:ascii="Times New Roman" w:hAnsi="Times New Roman" w:eastAsia="宋体" w:cs="Times New Roman"/>
          <w:b/>
          <w:color w:val="000000"/>
          <w:sz w:val="21"/>
          <w:szCs w:val="21"/>
          <w:highlight w:val="none"/>
        </w:rPr>
        <w:t xml:space="preserve">  理论计算所用参数表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024"/>
      </w:tblGrid>
      <w:tr w14:paraId="0237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0C28D6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回路数</w:t>
            </w:r>
          </w:p>
        </w:tc>
        <w:tc>
          <w:tcPr>
            <w:tcW w:w="2361" w:type="pct"/>
            <w:vAlign w:val="center"/>
          </w:tcPr>
          <w:p w14:paraId="3992A60B">
            <w:pPr>
              <w:keepNext w:val="0"/>
              <w:keepLines w:val="0"/>
              <w:pageBreakBefore w:val="0"/>
              <w:tabs>
                <w:tab w:val="left" w:pos="700"/>
              </w:tabs>
              <w:kinsoku/>
              <w:wordWrap/>
              <w:overflowPunct/>
              <w:topLinePunct w:val="0"/>
              <w:autoSpaceDE/>
              <w:autoSpaceDN/>
              <w:bidi w:val="0"/>
              <w:adjustRightInd/>
              <w:snapToGrid/>
              <w:spacing w:line="300" w:lineRule="exact"/>
              <w:ind w:firstLine="0" w:firstLineChars="0"/>
              <w:jc w:val="center"/>
              <w:textAlignment w:val="auto"/>
              <w:rPr>
                <w:rFonts w:hint="eastAsia"/>
                <w:color w:val="000000"/>
                <w:sz w:val="21"/>
                <w:szCs w:val="21"/>
                <w:highlight w:val="none"/>
                <w:lang w:eastAsia="zh-CN"/>
              </w:rPr>
            </w:pPr>
            <w:r>
              <w:rPr>
                <w:rFonts w:hint="eastAsia" w:eastAsia="宋体"/>
                <w:color w:val="000000"/>
                <w:sz w:val="21"/>
                <w:szCs w:val="21"/>
                <w:highlight w:val="none"/>
                <w:lang w:eastAsia="zh-CN"/>
              </w:rPr>
              <w:t>单</w:t>
            </w:r>
            <w:r>
              <w:rPr>
                <w:rFonts w:hint="eastAsia"/>
                <w:color w:val="000000"/>
                <w:sz w:val="21"/>
                <w:szCs w:val="21"/>
                <w:highlight w:val="none"/>
              </w:rPr>
              <w:t>回路</w:t>
            </w:r>
          </w:p>
        </w:tc>
      </w:tr>
      <w:tr w14:paraId="0696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7B56DB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电压等级</w:t>
            </w:r>
          </w:p>
        </w:tc>
        <w:tc>
          <w:tcPr>
            <w:tcW w:w="2361" w:type="pct"/>
            <w:vAlign w:val="center"/>
          </w:tcPr>
          <w:p w14:paraId="52B39699">
            <w:pPr>
              <w:keepNext w:val="0"/>
              <w:keepLines w:val="0"/>
              <w:pageBreakBefore w:val="0"/>
              <w:tabs>
                <w:tab w:val="left" w:pos="700"/>
              </w:tabs>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b/>
                <w:color w:val="000000"/>
                <w:kern w:val="2"/>
                <w:sz w:val="21"/>
                <w:szCs w:val="21"/>
                <w:highlight w:val="none"/>
                <w:lang w:val="en-US" w:eastAsia="zh-CN" w:bidi="ar-SA"/>
              </w:rPr>
            </w:pPr>
            <w:r>
              <w:rPr>
                <w:rFonts w:hint="eastAsia" w:ascii="Times New Roman" w:eastAsia="宋体"/>
                <w:color w:val="000000"/>
                <w:sz w:val="21"/>
                <w:szCs w:val="21"/>
                <w:highlight w:val="none"/>
                <w:lang w:val="en-US" w:eastAsia="zh-CN"/>
              </w:rPr>
              <w:t>11</w:t>
            </w:r>
            <w:r>
              <w:rPr>
                <w:color w:val="000000"/>
                <w:sz w:val="21"/>
                <w:szCs w:val="21"/>
                <w:highlight w:val="none"/>
              </w:rPr>
              <w:t>0k</w:t>
            </w:r>
            <w:r>
              <w:rPr>
                <w:rFonts w:hint="eastAsia"/>
                <w:color w:val="000000"/>
                <w:sz w:val="21"/>
                <w:szCs w:val="21"/>
                <w:highlight w:val="none"/>
              </w:rPr>
              <w:t>V</w:t>
            </w:r>
          </w:p>
        </w:tc>
      </w:tr>
      <w:tr w14:paraId="64B8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0BCE04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杆塔类型</w:t>
            </w:r>
          </w:p>
        </w:tc>
        <w:tc>
          <w:tcPr>
            <w:tcW w:w="2361" w:type="pct"/>
            <w:vAlign w:val="center"/>
          </w:tcPr>
          <w:p w14:paraId="1D2087A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110-DC22D-</w:t>
            </w:r>
            <w:r>
              <w:rPr>
                <w:rFonts w:hint="eastAsia" w:eastAsia="宋体" w:cs="Times New Roman"/>
                <w:color w:val="000000"/>
                <w:kern w:val="2"/>
                <w:sz w:val="21"/>
                <w:szCs w:val="21"/>
                <w:highlight w:val="none"/>
                <w:lang w:val="en-US" w:eastAsia="zh-CN" w:bidi="ar-SA"/>
              </w:rPr>
              <w:t>JC1</w:t>
            </w:r>
          </w:p>
        </w:tc>
      </w:tr>
      <w:tr w14:paraId="1D5F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5E1463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导线型号</w:t>
            </w:r>
          </w:p>
        </w:tc>
        <w:tc>
          <w:tcPr>
            <w:tcW w:w="2361" w:type="pct"/>
            <w:vAlign w:val="center"/>
          </w:tcPr>
          <w:p w14:paraId="70E570B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JL/G1A-300/40</w:t>
            </w:r>
          </w:p>
        </w:tc>
      </w:tr>
      <w:tr w14:paraId="5145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7C45121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导线排列方式</w:t>
            </w:r>
          </w:p>
        </w:tc>
        <w:tc>
          <w:tcPr>
            <w:tcW w:w="2361" w:type="pct"/>
            <w:vAlign w:val="center"/>
          </w:tcPr>
          <w:p w14:paraId="38740F1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三角排列</w:t>
            </w:r>
          </w:p>
        </w:tc>
      </w:tr>
      <w:tr w14:paraId="62C1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2DDE2C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导线半径(mm)</w:t>
            </w:r>
          </w:p>
        </w:tc>
        <w:tc>
          <w:tcPr>
            <w:tcW w:w="2361" w:type="pct"/>
            <w:vAlign w:val="center"/>
          </w:tcPr>
          <w:p w14:paraId="1EBB3F3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11.95</w:t>
            </w:r>
          </w:p>
        </w:tc>
      </w:tr>
      <w:tr w14:paraId="4022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4BEDB0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分裂</w:t>
            </w:r>
          </w:p>
        </w:tc>
        <w:tc>
          <w:tcPr>
            <w:tcW w:w="2361" w:type="pct"/>
            <w:vAlign w:val="center"/>
          </w:tcPr>
          <w:p w14:paraId="2459075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不分裂</w:t>
            </w:r>
          </w:p>
        </w:tc>
      </w:tr>
      <w:tr w14:paraId="079E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5E21F7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rFonts w:hint="eastAsia"/>
                <w:color w:val="000000"/>
                <w:kern w:val="0"/>
                <w:sz w:val="21"/>
                <w:szCs w:val="21"/>
                <w:highlight w:val="none"/>
              </w:rPr>
              <w:t>线路</w:t>
            </w:r>
            <w:r>
              <w:rPr>
                <w:color w:val="000000"/>
                <w:kern w:val="0"/>
                <w:sz w:val="21"/>
                <w:szCs w:val="21"/>
                <w:highlight w:val="none"/>
              </w:rPr>
              <w:t>电流（A）</w:t>
            </w:r>
          </w:p>
        </w:tc>
        <w:tc>
          <w:tcPr>
            <w:tcW w:w="2361" w:type="pct"/>
            <w:vAlign w:val="center"/>
          </w:tcPr>
          <w:p w14:paraId="7B79EA7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570</w:t>
            </w:r>
          </w:p>
        </w:tc>
      </w:tr>
      <w:tr w14:paraId="33DC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660FB61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000000"/>
                <w:kern w:val="0"/>
                <w:sz w:val="21"/>
                <w:szCs w:val="21"/>
                <w:highlight w:val="none"/>
                <w:lang w:val="en-US" w:eastAsia="zh-CN"/>
              </w:rPr>
            </w:pPr>
            <w:r>
              <w:rPr>
                <w:rFonts w:hint="eastAsia" w:ascii="Times New Roman" w:eastAsia="宋体"/>
                <w:color w:val="000000"/>
                <w:kern w:val="0"/>
                <w:sz w:val="21"/>
                <w:szCs w:val="21"/>
                <w:highlight w:val="none"/>
                <w:lang w:val="en-US" w:eastAsia="zh-CN"/>
              </w:rPr>
              <w:t>导线坐标（m）</w:t>
            </w:r>
          </w:p>
        </w:tc>
        <w:tc>
          <w:tcPr>
            <w:tcW w:w="2361" w:type="pct"/>
            <w:vAlign w:val="center"/>
          </w:tcPr>
          <w:p w14:paraId="554D199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000000"/>
                <w:kern w:val="2"/>
                <w:sz w:val="24"/>
                <w:szCs w:val="22"/>
                <w:highlight w:val="none"/>
                <w:lang w:val="en-US" w:eastAsia="zh-CN" w:bidi="ar-SA"/>
              </w:rPr>
            </w:pPr>
            <w:r>
              <w:rPr>
                <w:rFonts w:hint="eastAsia"/>
                <w:bCs/>
                <w:color w:val="000000"/>
                <w:sz w:val="21"/>
                <w:szCs w:val="21"/>
                <w:highlight w:val="none"/>
              </w:rPr>
              <w:t>（-</w:t>
            </w:r>
            <w:r>
              <w:rPr>
                <w:rFonts w:hint="eastAsia" w:ascii="Times New Roman" w:eastAsia="宋体"/>
                <w:bCs/>
                <w:color w:val="000000"/>
                <w:sz w:val="21"/>
                <w:szCs w:val="21"/>
                <w:highlight w:val="none"/>
                <w:lang w:val="en-US" w:eastAsia="zh-CN"/>
              </w:rPr>
              <w:t>3.7</w:t>
            </w:r>
            <w:r>
              <w:rPr>
                <w:rFonts w:hint="eastAsia" w:eastAsia="宋体"/>
                <w:bCs/>
                <w:color w:val="000000"/>
                <w:sz w:val="21"/>
                <w:szCs w:val="21"/>
                <w:highlight w:val="none"/>
                <w:lang w:eastAsia="zh-CN"/>
              </w:rPr>
              <w:t>，</w:t>
            </w:r>
            <w:r>
              <w:rPr>
                <w:rFonts w:hint="eastAsia" w:ascii="Times New Roman" w:eastAsia="宋体"/>
                <w:bCs/>
                <w:color w:val="000000"/>
                <w:sz w:val="21"/>
                <w:szCs w:val="21"/>
                <w:highlight w:val="none"/>
                <w:lang w:val="en-US" w:eastAsia="zh-CN"/>
              </w:rPr>
              <w:t>7.0</w:t>
            </w:r>
            <w:r>
              <w:rPr>
                <w:rFonts w:hint="eastAsia"/>
                <w:bCs/>
                <w:color w:val="000000"/>
                <w:sz w:val="21"/>
                <w:szCs w:val="21"/>
                <w:highlight w:val="none"/>
              </w:rPr>
              <w:t>）</w:t>
            </w:r>
            <w:r>
              <w:rPr>
                <w:bCs/>
                <w:color w:val="000000"/>
                <w:sz w:val="21"/>
                <w:szCs w:val="21"/>
                <w:highlight w:val="none"/>
              </w:rPr>
              <w:t>/</w:t>
            </w:r>
            <w:r>
              <w:rPr>
                <w:rFonts w:hint="eastAsia"/>
                <w:color w:val="000000"/>
                <w:sz w:val="21"/>
                <w:szCs w:val="21"/>
                <w:highlight w:val="none"/>
              </w:rPr>
              <w:t>（</w:t>
            </w:r>
            <w:r>
              <w:rPr>
                <w:rFonts w:hint="eastAsia" w:ascii="Times New Roman" w:eastAsia="宋体"/>
                <w:color w:val="000000"/>
                <w:sz w:val="21"/>
                <w:szCs w:val="21"/>
                <w:highlight w:val="none"/>
                <w:lang w:val="en-US" w:eastAsia="zh-CN"/>
              </w:rPr>
              <w:t>0</w:t>
            </w:r>
            <w:r>
              <w:rPr>
                <w:rFonts w:hint="eastAsia" w:eastAsia="宋体"/>
                <w:color w:val="000000"/>
                <w:sz w:val="21"/>
                <w:szCs w:val="21"/>
                <w:highlight w:val="none"/>
                <w:lang w:eastAsia="zh-CN"/>
              </w:rPr>
              <w:t>，</w:t>
            </w:r>
            <w:r>
              <w:rPr>
                <w:rFonts w:hint="eastAsia" w:ascii="Times New Roman" w:eastAsia="宋体"/>
                <w:color w:val="000000"/>
                <w:sz w:val="21"/>
                <w:szCs w:val="21"/>
                <w:highlight w:val="none"/>
                <w:lang w:val="en-US" w:eastAsia="zh-CN"/>
              </w:rPr>
              <w:t>10.5</w:t>
            </w:r>
            <w:r>
              <w:rPr>
                <w:rFonts w:hint="eastAsia"/>
                <w:color w:val="000000"/>
                <w:sz w:val="21"/>
                <w:szCs w:val="21"/>
                <w:highlight w:val="none"/>
              </w:rPr>
              <w:t>）</w:t>
            </w:r>
            <w:r>
              <w:rPr>
                <w:bCs/>
                <w:color w:val="000000"/>
                <w:sz w:val="21"/>
                <w:szCs w:val="21"/>
                <w:highlight w:val="none"/>
              </w:rPr>
              <w:t>/</w:t>
            </w:r>
            <w:r>
              <w:rPr>
                <w:rFonts w:hint="eastAsia"/>
                <w:bCs/>
                <w:color w:val="000000"/>
                <w:sz w:val="21"/>
                <w:szCs w:val="21"/>
                <w:highlight w:val="none"/>
              </w:rPr>
              <w:t>（</w:t>
            </w:r>
            <w:r>
              <w:rPr>
                <w:rFonts w:hint="eastAsia" w:ascii="Times New Roman" w:eastAsia="宋体"/>
                <w:bCs/>
                <w:color w:val="000000"/>
                <w:sz w:val="21"/>
                <w:szCs w:val="21"/>
                <w:highlight w:val="none"/>
                <w:lang w:val="en-US" w:eastAsia="zh-CN"/>
              </w:rPr>
              <w:t>3.7</w:t>
            </w:r>
            <w:r>
              <w:rPr>
                <w:rFonts w:hint="eastAsia" w:eastAsia="宋体"/>
                <w:bCs/>
                <w:color w:val="000000"/>
                <w:sz w:val="21"/>
                <w:szCs w:val="21"/>
                <w:highlight w:val="none"/>
                <w:lang w:eastAsia="zh-CN"/>
              </w:rPr>
              <w:t>，</w:t>
            </w:r>
            <w:r>
              <w:rPr>
                <w:rFonts w:hint="eastAsia" w:ascii="Times New Roman" w:eastAsia="宋体"/>
                <w:bCs/>
                <w:color w:val="000000"/>
                <w:sz w:val="21"/>
                <w:szCs w:val="21"/>
                <w:highlight w:val="none"/>
                <w:lang w:val="en-US" w:eastAsia="zh-CN"/>
              </w:rPr>
              <w:t>7.0</w:t>
            </w:r>
            <w:r>
              <w:rPr>
                <w:rFonts w:hint="eastAsia"/>
                <w:bCs/>
                <w:color w:val="000000"/>
                <w:sz w:val="21"/>
                <w:szCs w:val="21"/>
                <w:highlight w:val="none"/>
              </w:rPr>
              <w:t>）</w:t>
            </w:r>
          </w:p>
        </w:tc>
      </w:tr>
      <w:tr w14:paraId="7D61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61627F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rFonts w:hint="eastAsia" w:ascii="Times New Roman" w:eastAsia="宋体"/>
                <w:color w:val="000000"/>
                <w:kern w:val="0"/>
                <w:sz w:val="21"/>
                <w:szCs w:val="21"/>
                <w:highlight w:val="none"/>
                <w:lang w:val="en-US" w:eastAsia="zh-CN"/>
              </w:rPr>
              <w:t>导线对地高度</w:t>
            </w:r>
            <w:r>
              <w:rPr>
                <w:color w:val="000000"/>
                <w:kern w:val="0"/>
                <w:sz w:val="21"/>
                <w:szCs w:val="21"/>
                <w:highlight w:val="none"/>
              </w:rPr>
              <w:t>(m)</w:t>
            </w:r>
          </w:p>
        </w:tc>
        <w:tc>
          <w:tcPr>
            <w:tcW w:w="2361" w:type="pct"/>
            <w:vAlign w:val="center"/>
          </w:tcPr>
          <w:p w14:paraId="16FF2CF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eastAsia="宋体"/>
                <w:color w:val="000000"/>
                <w:sz w:val="21"/>
                <w:szCs w:val="21"/>
                <w:highlight w:val="none"/>
                <w:lang w:val="en-US" w:eastAsia="zh-CN"/>
              </w:rPr>
              <w:t>7.0</w:t>
            </w:r>
          </w:p>
        </w:tc>
      </w:tr>
    </w:tbl>
    <w:p w14:paraId="143E531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color w:val="000000"/>
          <w:sz w:val="24"/>
          <w:szCs w:val="22"/>
          <w:highlight w:val="none"/>
          <w:lang w:val="en-US" w:eastAsia="zh-CN"/>
        </w:rPr>
      </w:pPr>
      <w:r>
        <w:rPr>
          <w:rFonts w:hint="eastAsia" w:eastAsia="宋体" w:cs="Times New Roman"/>
          <w:b w:val="0"/>
          <w:bCs/>
          <w:color w:val="000000"/>
          <w:sz w:val="24"/>
          <w:szCs w:val="22"/>
          <w:highlight w:val="none"/>
          <w:lang w:val="en-US" w:eastAsia="zh-CN"/>
        </w:rPr>
        <w:t>本项目预测线路中心线两侧各50m范围，预测范围涵盖评价范围。</w:t>
      </w:r>
    </w:p>
    <w:p w14:paraId="2EC33D4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color w:val="000000"/>
          <w:sz w:val="24"/>
          <w:szCs w:val="22"/>
          <w:highlight w:val="none"/>
        </w:rPr>
      </w:pPr>
      <w:r>
        <w:rPr>
          <w:rFonts w:hint="default" w:ascii="Times New Roman" w:hAnsi="Times New Roman" w:eastAsia="宋体" w:cs="Times New Roman"/>
          <w:b/>
          <w:color w:val="000000"/>
          <w:sz w:val="24"/>
          <w:szCs w:val="22"/>
          <w:highlight w:val="none"/>
        </w:rPr>
        <w:t>（1）</w:t>
      </w:r>
      <w:r>
        <w:rPr>
          <w:rFonts w:hint="eastAsia" w:eastAsia="宋体" w:cs="Times New Roman"/>
          <w:b/>
          <w:color w:val="000000"/>
          <w:sz w:val="24"/>
          <w:szCs w:val="22"/>
          <w:highlight w:val="none"/>
          <w:lang w:val="en-US" w:eastAsia="zh-CN"/>
        </w:rPr>
        <w:t>11</w:t>
      </w:r>
      <w:r>
        <w:rPr>
          <w:rFonts w:hint="default" w:ascii="Times New Roman" w:hAnsi="Times New Roman" w:eastAsia="宋体" w:cs="Times New Roman"/>
          <w:b/>
          <w:color w:val="000000"/>
          <w:sz w:val="24"/>
          <w:szCs w:val="22"/>
          <w:highlight w:val="none"/>
        </w:rPr>
        <w:t>0kV</w:t>
      </w:r>
      <w:r>
        <w:rPr>
          <w:rFonts w:hint="eastAsia" w:eastAsia="宋体" w:cs="Times New Roman"/>
          <w:b/>
          <w:color w:val="000000"/>
          <w:sz w:val="24"/>
          <w:szCs w:val="22"/>
          <w:highlight w:val="none"/>
          <w:lang w:val="en-US" w:eastAsia="zh-CN"/>
        </w:rPr>
        <w:t>单回</w:t>
      </w:r>
      <w:r>
        <w:rPr>
          <w:rFonts w:hint="default" w:ascii="Times New Roman" w:hAnsi="Times New Roman" w:eastAsia="宋体" w:cs="Times New Roman"/>
          <w:b/>
          <w:color w:val="000000"/>
          <w:sz w:val="24"/>
          <w:szCs w:val="22"/>
          <w:highlight w:val="none"/>
        </w:rPr>
        <w:t>线路</w:t>
      </w:r>
      <w:r>
        <w:rPr>
          <w:rFonts w:hint="eastAsia" w:eastAsia="宋体" w:cs="Times New Roman"/>
          <w:b/>
          <w:color w:val="000000"/>
          <w:sz w:val="24"/>
          <w:szCs w:val="22"/>
          <w:highlight w:val="none"/>
          <w:lang w:val="en-US" w:eastAsia="zh-CN"/>
        </w:rPr>
        <w:t>工频</w:t>
      </w:r>
      <w:r>
        <w:rPr>
          <w:rFonts w:hint="default" w:ascii="Times New Roman" w:hAnsi="Times New Roman" w:eastAsia="宋体" w:cs="Times New Roman"/>
          <w:b/>
          <w:color w:val="000000"/>
          <w:sz w:val="24"/>
          <w:szCs w:val="22"/>
          <w:highlight w:val="none"/>
        </w:rPr>
        <w:t>电场预测</w:t>
      </w:r>
    </w:p>
    <w:p w14:paraId="7637957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根据《环境影响评价技术导则 输变电》（HJ24-20</w:t>
      </w:r>
      <w:r>
        <w:rPr>
          <w:rFonts w:hint="default" w:ascii="Times New Roman" w:hAnsi="Times New Roman" w:eastAsia="宋体" w:cs="Times New Roman"/>
          <w:color w:val="000000"/>
          <w:sz w:val="24"/>
          <w:szCs w:val="22"/>
          <w:highlight w:val="none"/>
          <w:lang w:val="en-US" w:eastAsia="zh-CN"/>
        </w:rPr>
        <w:t>20</w:t>
      </w:r>
      <w:r>
        <w:rPr>
          <w:rFonts w:hint="default" w:ascii="Times New Roman" w:hAnsi="Times New Roman" w:eastAsia="宋体" w:cs="Times New Roman"/>
          <w:color w:val="000000"/>
          <w:sz w:val="24"/>
          <w:szCs w:val="22"/>
          <w:highlight w:val="none"/>
        </w:rPr>
        <w:t>）附录C推荐的计算模式进行。</w:t>
      </w:r>
    </w:p>
    <w:p w14:paraId="7DCB216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fldChar w:fldCharType="begin"/>
      </w:r>
      <w:r>
        <w:rPr>
          <w:rFonts w:hint="default" w:ascii="Times New Roman" w:hAnsi="Times New Roman" w:eastAsia="宋体" w:cs="Times New Roman"/>
          <w:color w:val="000000"/>
          <w:sz w:val="24"/>
          <w:szCs w:val="22"/>
          <w:highlight w:val="none"/>
        </w:rPr>
        <w:instrText xml:space="preserve"> = 1 \* GB3 </w:instrText>
      </w:r>
      <w:r>
        <w:rPr>
          <w:rFonts w:hint="default" w:ascii="Times New Roman" w:hAnsi="Times New Roman" w:eastAsia="宋体" w:cs="Times New Roman"/>
          <w:color w:val="000000"/>
          <w:sz w:val="24"/>
          <w:szCs w:val="22"/>
          <w:highlight w:val="none"/>
        </w:rPr>
        <w:fldChar w:fldCharType="separate"/>
      </w:r>
      <w:r>
        <w:rPr>
          <w:rFonts w:hint="default" w:ascii="Times New Roman" w:hAnsi="Times New Roman" w:eastAsia="宋体" w:cs="Times New Roman"/>
          <w:color w:val="000000"/>
          <w:sz w:val="24"/>
          <w:szCs w:val="22"/>
          <w:highlight w:val="none"/>
        </w:rPr>
        <w:t>①</w:t>
      </w:r>
      <w:r>
        <w:rPr>
          <w:rFonts w:hint="default" w:ascii="Times New Roman" w:hAnsi="Times New Roman" w:eastAsia="宋体" w:cs="Times New Roman"/>
          <w:color w:val="000000"/>
          <w:sz w:val="24"/>
          <w:szCs w:val="22"/>
          <w:highlight w:val="none"/>
        </w:rPr>
        <w:fldChar w:fldCharType="end"/>
      </w:r>
      <w:r>
        <w:rPr>
          <w:rFonts w:hint="default" w:ascii="Times New Roman" w:hAnsi="Times New Roman" w:eastAsia="宋体" w:cs="Times New Roman"/>
          <w:color w:val="000000"/>
          <w:sz w:val="24"/>
          <w:szCs w:val="22"/>
          <w:highlight w:val="none"/>
        </w:rPr>
        <w:t>单位长度导线下等效电荷的计算</w:t>
      </w:r>
    </w:p>
    <w:p w14:paraId="33B96A2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高压送电线上的等效电荷是线电荷，由于高压送电线半径r远小于架设高度h，因此等效电荷的位置可以认为是在送电导线的几何中心。</w:t>
      </w:r>
    </w:p>
    <w:p w14:paraId="6808BB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设送电线路为无限长并且平行于地面，地面可视为良导体，利用镜像法计算送电线上的等效电荷。</w:t>
      </w:r>
    </w:p>
    <w:p w14:paraId="5945E2F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多导线线路中导线上的等效电荷由下列矩阵方程计算：</w:t>
      </w:r>
    </w:p>
    <w:p w14:paraId="76EFAFEF">
      <w:pPr>
        <w:spacing w:before="240" w:after="240" w:line="540" w:lineRule="atLeast"/>
        <w:ind w:firstLine="1080" w:firstLineChars="45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66"/>
          <w:sz w:val="24"/>
          <w:szCs w:val="22"/>
          <w:highlight w:val="none"/>
        </w:rPr>
        <w:object>
          <v:shape id="_x0000_i1044" o:spt="75" type="#_x0000_t75" style="height:77.25pt;width:204.7pt;" o:ole="t" filled="f" o:preferrelative="t" stroked="f" coordsize="21600,21600">
            <v:path/>
            <v:fill on="f" focussize="0,0"/>
            <v:stroke on="f"/>
            <v:imagedata r:id="rId28" o:title=""/>
            <o:lock v:ext="edit" aspectratio="t"/>
            <w10:wrap type="none"/>
            <w10:anchorlock/>
          </v:shape>
          <o:OLEObject Type="Embed" ProgID="Equation.2" ShapeID="_x0000_i1044" DrawAspect="Content" ObjectID="_1468075725" r:id="rId27">
            <o:LockedField>false</o:LockedField>
          </o:OLEObject>
        </w:object>
      </w:r>
      <w:r>
        <w:rPr>
          <w:rFonts w:hint="default" w:ascii="Times New Roman" w:hAnsi="Times New Roman" w:eastAsia="宋体" w:cs="Times New Roman"/>
          <w:color w:val="000000"/>
          <w:sz w:val="24"/>
          <w:szCs w:val="22"/>
          <w:highlight w:val="none"/>
        </w:rPr>
        <w:t xml:space="preserve">  ..........（1）</w:t>
      </w:r>
    </w:p>
    <w:p w14:paraId="0CA1CF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式中：[u]--</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各导线对地电压的单列矩阵；</w:t>
      </w:r>
    </w:p>
    <w:p w14:paraId="41CA866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 xml:space="preserve">      [Q]--</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各导线上等效电荷的单列矩阵；</w:t>
      </w:r>
    </w:p>
    <w:p w14:paraId="5F3DB99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 xml:space="preserve">      [λ]--</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各导线的电位系数组成的n阶方阵</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n为导线数目</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w:t>
      </w:r>
    </w:p>
    <w:p w14:paraId="4B6657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式1中，[u]矩阵由送电线的电压和相位确定，并以额定电压的1.05倍作为计算电压。并由三相</w:t>
      </w:r>
      <w:r>
        <w:rPr>
          <w:rFonts w:hint="eastAsia" w:eastAsia="宋体" w:cs="Times New Roman"/>
          <w:color w:val="000000"/>
          <w:sz w:val="24"/>
          <w:szCs w:val="22"/>
          <w:highlight w:val="none"/>
          <w:lang w:val="en-US" w:eastAsia="zh-CN"/>
        </w:rPr>
        <w:t>11</w:t>
      </w:r>
      <w:r>
        <w:rPr>
          <w:rFonts w:hint="default" w:ascii="Times New Roman" w:hAnsi="Times New Roman" w:eastAsia="宋体" w:cs="Times New Roman"/>
          <w:color w:val="000000"/>
          <w:sz w:val="24"/>
          <w:szCs w:val="22"/>
          <w:highlight w:val="none"/>
        </w:rPr>
        <w:t>0kV（线间电压）回路各相的相位和分量，计算各导线对地电压为：</w:t>
      </w:r>
    </w:p>
    <w:p w14:paraId="7155652D">
      <w:pPr>
        <w:keepNext w:val="0"/>
        <w:keepLines w:val="0"/>
        <w:pageBreakBefore w:val="0"/>
        <w:widowControl w:val="0"/>
        <w:kinsoku/>
        <w:wordWrap/>
        <w:overflowPunct/>
        <w:topLinePunct w:val="0"/>
        <w:autoSpaceDE/>
        <w:autoSpaceDN/>
        <w:bidi w:val="0"/>
        <w:adjustRightInd/>
        <w:snapToGrid/>
        <w:spacing w:line="480" w:lineRule="atLeast"/>
        <w:ind w:firstLine="0" w:firstLineChars="0"/>
        <w:jc w:val="center"/>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64"/>
          <w:sz w:val="24"/>
          <w:szCs w:val="22"/>
          <w:highlight w:val="none"/>
        </w:rPr>
        <w:object>
          <v:shape id="_x0000_i1045" o:spt="75" type="#_x0000_t75" style="height:72pt;width:80.8pt;" o:ole="t" filled="f" o:preferrelative="t" stroked="f" coordsize="21600,21600">
            <v:path/>
            <v:fill on="f" focussize="0,0"/>
            <v:stroke on="f"/>
            <v:imagedata r:id="rId30" o:title=""/>
            <o:lock v:ext="edit" aspectratio="t"/>
            <w10:wrap type="none"/>
            <w10:anchorlock/>
          </v:shape>
          <o:OLEObject Type="Embed" ProgID="Equation.3" ShapeID="_x0000_i1045" DrawAspect="Content" ObjectID="_1468075726" r:id="rId29">
            <o:LockedField>false</o:LockedField>
          </o:OLEObject>
        </w:object>
      </w:r>
    </w:p>
    <w:p w14:paraId="56DF7090">
      <w:pPr>
        <w:spacing w:line="500" w:lineRule="exact"/>
        <w:ind w:firstLine="480" w:firstLineChars="20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各导线对地电压分量为：</w:t>
      </w:r>
    </w:p>
    <w:p w14:paraId="0DE37757">
      <w:pPr>
        <w:keepNext w:val="0"/>
        <w:keepLines w:val="0"/>
        <w:pageBreakBefore w:val="0"/>
        <w:widowControl w:val="0"/>
        <w:tabs>
          <w:tab w:val="left" w:pos="657"/>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U</w:t>
      </w:r>
      <w:r>
        <w:rPr>
          <w:rFonts w:hint="default" w:ascii="Times New Roman" w:hAnsi="Times New Roman" w:cs="Times New Roman"/>
          <w:color w:val="000000"/>
          <w:sz w:val="24"/>
          <w:szCs w:val="24"/>
          <w:highlight w:val="none"/>
          <w:vertAlign w:val="subscript"/>
        </w:rPr>
        <w:t>A</w:t>
      </w:r>
      <w:r>
        <w:rPr>
          <w:rFonts w:hint="default" w:ascii="Times New Roman" w:hAnsi="Times New Roman" w:cs="Times New Roman"/>
          <w:color w:val="000000"/>
          <w:sz w:val="24"/>
          <w:szCs w:val="24"/>
          <w:highlight w:val="none"/>
        </w:rPr>
        <w:t>=（66.7+j0）（kV）</w:t>
      </w:r>
    </w:p>
    <w:p w14:paraId="1B7038DE">
      <w:pPr>
        <w:keepNext w:val="0"/>
        <w:keepLines w:val="0"/>
        <w:pageBreakBefore w:val="0"/>
        <w:widowControl w:val="0"/>
        <w:tabs>
          <w:tab w:val="left" w:pos="657"/>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U</w:t>
      </w:r>
      <w:r>
        <w:rPr>
          <w:rFonts w:hint="default" w:ascii="Times New Roman" w:hAnsi="Times New Roman" w:cs="Times New Roman"/>
          <w:color w:val="000000"/>
          <w:sz w:val="24"/>
          <w:szCs w:val="24"/>
          <w:highlight w:val="none"/>
          <w:vertAlign w:val="subscript"/>
        </w:rPr>
        <w:t>B</w:t>
      </w:r>
      <w:r>
        <w:rPr>
          <w:rFonts w:hint="default" w:ascii="Times New Roman" w:hAnsi="Times New Roman" w:cs="Times New Roman"/>
          <w:color w:val="000000"/>
          <w:sz w:val="24"/>
          <w:szCs w:val="24"/>
          <w:highlight w:val="none"/>
        </w:rPr>
        <w:t>=（-33.3+j57.8）（kV）</w:t>
      </w:r>
    </w:p>
    <w:p w14:paraId="45E09115">
      <w:pPr>
        <w:keepNext w:val="0"/>
        <w:keepLines w:val="0"/>
        <w:pageBreakBefore w:val="0"/>
        <w:widowControl w:val="0"/>
        <w:tabs>
          <w:tab w:val="left" w:pos="657"/>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U</w:t>
      </w:r>
      <w:r>
        <w:rPr>
          <w:rFonts w:hint="default" w:ascii="Times New Roman" w:hAnsi="Times New Roman" w:cs="Times New Roman"/>
          <w:color w:val="000000"/>
          <w:sz w:val="24"/>
          <w:szCs w:val="24"/>
          <w:highlight w:val="none"/>
          <w:vertAlign w:val="subscript"/>
        </w:rPr>
        <w:t>C</w:t>
      </w:r>
      <w:r>
        <w:rPr>
          <w:rFonts w:hint="default" w:ascii="Times New Roman" w:hAnsi="Times New Roman" w:cs="Times New Roman"/>
          <w:color w:val="000000"/>
          <w:sz w:val="24"/>
          <w:szCs w:val="24"/>
          <w:highlight w:val="none"/>
        </w:rPr>
        <w:t>=（-33.3+j57.8）（kV）</w:t>
      </w:r>
    </w:p>
    <w:p w14:paraId="1140047B">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center"/>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drawing>
          <wp:inline distT="0" distB="0" distL="114300" distR="114300">
            <wp:extent cx="2816860" cy="2318385"/>
            <wp:effectExtent l="0" t="0" r="2540" b="5715"/>
            <wp:docPr id="30" name="图片 4" descr="QQ截图2015111719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QQ截图20151117193418"/>
                    <pic:cNvPicPr>
                      <a:picLocks noChangeAspect="1"/>
                    </pic:cNvPicPr>
                  </pic:nvPicPr>
                  <pic:blipFill>
                    <a:blip r:embed="rId31"/>
                    <a:srcRect l="11142" r="7779" b="1244"/>
                    <a:stretch>
                      <a:fillRect/>
                    </a:stretch>
                  </pic:blipFill>
                  <pic:spPr>
                    <a:xfrm>
                      <a:off x="0" y="0"/>
                      <a:ext cx="2816860" cy="2318385"/>
                    </a:xfrm>
                    <a:prstGeom prst="rect">
                      <a:avLst/>
                    </a:prstGeom>
                    <a:noFill/>
                    <a:ln>
                      <a:noFill/>
                    </a:ln>
                  </pic:spPr>
                </pic:pic>
              </a:graphicData>
            </a:graphic>
          </wp:inline>
        </w:drawing>
      </w:r>
    </w:p>
    <w:p w14:paraId="604E288C">
      <w:pPr>
        <w:keepNext w:val="0"/>
        <w:keepLines w:val="0"/>
        <w:pageBreakBefore w:val="0"/>
        <w:widowControl w:val="0"/>
        <w:tabs>
          <w:tab w:val="left" w:pos="700"/>
        </w:tabs>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图</w:t>
      </w:r>
      <w:r>
        <w:rPr>
          <w:rFonts w:hint="default" w:ascii="Times New Roman" w:hAnsi="Times New Roman" w:eastAsia="宋体" w:cs="Times New Roman"/>
          <w:b/>
          <w:color w:val="000000"/>
          <w:sz w:val="21"/>
          <w:szCs w:val="21"/>
          <w:highlight w:val="none"/>
          <w:lang w:val="en-US" w:eastAsia="zh-CN"/>
        </w:rPr>
        <w:t>5-1</w:t>
      </w:r>
      <w:r>
        <w:rPr>
          <w:rFonts w:hint="default" w:ascii="Times New Roman" w:hAnsi="Times New Roman" w:eastAsia="宋体" w:cs="Times New Roman"/>
          <w:b/>
          <w:color w:val="000000"/>
          <w:sz w:val="21"/>
          <w:szCs w:val="21"/>
          <w:highlight w:val="none"/>
        </w:rPr>
        <w:t xml:space="preserve">  对地电压计算图</w:t>
      </w:r>
    </w:p>
    <w:p w14:paraId="6DE720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式1中，[λ]矩阵由镜像原理求得。地面为电位等于零的平面，地面的感应电荷可由对应地面导线的镜像电荷代替，用i，j……表示相互平行的实际导线，用i＇，j＇……表示它们的镜像，则电位系数为：</w:t>
      </w:r>
    </w:p>
    <w:p w14:paraId="4DD2F0DC">
      <w:pPr>
        <w:spacing w:before="120" w:line="540" w:lineRule="atLeast"/>
        <w:ind w:firstLine="480" w:firstLineChars="20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28"/>
          <w:sz w:val="24"/>
          <w:szCs w:val="22"/>
          <w:highlight w:val="none"/>
        </w:rPr>
        <w:object>
          <v:shape id="_x0000_i1046" o:spt="75" type="#_x0000_t75" style="height:35.25pt;width:88.5pt;" o:ole="t" filled="f" o:preferrelative="t" stroked="f" coordsize="21600,21600">
            <v:path/>
            <v:fill on="f" focussize="0,0"/>
            <v:stroke on="f"/>
            <v:imagedata r:id="rId33" o:title=""/>
            <o:lock v:ext="edit" aspectratio="t"/>
            <w10:wrap type="none"/>
            <w10:anchorlock/>
          </v:shape>
          <o:OLEObject Type="Embed" ProgID="Equation.2" ShapeID="_x0000_i1046" DrawAspect="Content" ObjectID="_1468075727" r:id="rId32">
            <o:LockedField>false</o:LockedField>
          </o:OLEObject>
        </w:object>
      </w:r>
      <w:r>
        <w:rPr>
          <w:rFonts w:hint="default" w:ascii="Times New Roman" w:hAnsi="Times New Roman" w:eastAsia="宋体" w:cs="Times New Roman"/>
          <w:color w:val="000000"/>
          <w:sz w:val="24"/>
          <w:szCs w:val="22"/>
          <w:highlight w:val="none"/>
        </w:rPr>
        <w:t>........(2)</w:t>
      </w:r>
    </w:p>
    <w:p w14:paraId="131768D5">
      <w:pPr>
        <w:spacing w:before="120" w:after="120" w:line="540" w:lineRule="atLeast"/>
        <w:ind w:firstLine="480" w:firstLineChars="20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30"/>
          <w:sz w:val="24"/>
          <w:szCs w:val="22"/>
          <w:highlight w:val="none"/>
        </w:rPr>
        <w:object>
          <v:shape id="_x0000_i1047" o:spt="75" type="#_x0000_t75" style="height:41.95pt;width:84.75pt;" o:ole="t" filled="f" o:preferrelative="t" stroked="f" coordsize="21600,21600">
            <v:path/>
            <v:fill on="f" focussize="0,0"/>
            <v:stroke on="f"/>
            <v:imagedata r:id="rId35" o:title=""/>
            <o:lock v:ext="edit" aspectratio="t"/>
            <w10:wrap type="none"/>
            <w10:anchorlock/>
          </v:shape>
          <o:OLEObject Type="Embed" ProgID="Equation.2" ShapeID="_x0000_i1047" DrawAspect="Content" ObjectID="_1468075728" r:id="rId34">
            <o:LockedField>false</o:LockedField>
          </o:OLEObject>
        </w:object>
      </w:r>
      <w:r>
        <w:rPr>
          <w:rFonts w:hint="default" w:ascii="Times New Roman" w:hAnsi="Times New Roman" w:eastAsia="宋体" w:cs="Times New Roman"/>
          <w:color w:val="000000"/>
          <w:sz w:val="24"/>
          <w:szCs w:val="22"/>
          <w:highlight w:val="none"/>
        </w:rPr>
        <w:t>.........(3)</w:t>
      </w:r>
    </w:p>
    <w:p w14:paraId="16498641">
      <w:pPr>
        <w:spacing w:after="120" w:line="540" w:lineRule="atLeast"/>
        <w:ind w:firstLine="480" w:firstLineChars="20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14"/>
          <w:sz w:val="24"/>
          <w:szCs w:val="22"/>
          <w:highlight w:val="none"/>
        </w:rPr>
        <w:object>
          <v:shape id="_x0000_i1048" o:spt="75" type="#_x0000_t75" style="height:20.25pt;width:51.75pt;" o:ole="t" filled="f" o:preferrelative="t" stroked="f" coordsize="21600,21600">
            <v:path/>
            <v:fill on="f" focussize="0,0"/>
            <v:stroke on="f"/>
            <v:imagedata r:id="rId37" o:title=""/>
            <o:lock v:ext="edit" aspectratio="t"/>
            <w10:wrap type="none"/>
            <w10:anchorlock/>
          </v:shape>
          <o:OLEObject Type="Embed" ProgID="Equation.2" ShapeID="_x0000_i1048" DrawAspect="Content" ObjectID="_1468075729" r:id="rId36">
            <o:LockedField>false</o:LockedField>
          </o:OLEObject>
        </w:object>
      </w:r>
      <w:r>
        <w:rPr>
          <w:rFonts w:hint="default" w:ascii="Times New Roman" w:hAnsi="Times New Roman" w:eastAsia="宋体" w:cs="Times New Roman"/>
          <w:color w:val="000000"/>
          <w:sz w:val="24"/>
          <w:szCs w:val="22"/>
          <w:highlight w:val="none"/>
        </w:rPr>
        <w:t xml:space="preserve">     .........(4)</w:t>
      </w:r>
    </w:p>
    <w:p w14:paraId="22181425">
      <w:pPr>
        <w:spacing w:line="500" w:lineRule="atLeast"/>
        <w:ind w:firstLine="480" w:firstLineChars="20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上式中：</w:t>
      </w:r>
      <w:r>
        <w:rPr>
          <w:rFonts w:hint="default" w:ascii="Times New Roman" w:hAnsi="Times New Roman" w:eastAsia="宋体" w:cs="Times New Roman"/>
          <w:color w:val="000000"/>
          <w:spacing w:val="-54"/>
          <w:sz w:val="24"/>
          <w:szCs w:val="22"/>
          <w:highlight w:val="none"/>
        </w:rPr>
        <w:t>ε</w:t>
      </w:r>
      <w:r>
        <w:rPr>
          <w:rFonts w:hint="default" w:ascii="Times New Roman" w:hAnsi="Times New Roman" w:eastAsia="宋体" w:cs="Times New Roman"/>
          <w:color w:val="000000"/>
          <w:spacing w:val="-40"/>
          <w:sz w:val="24"/>
          <w:szCs w:val="22"/>
          <w:highlight w:val="none"/>
          <w:vertAlign w:val="subscript"/>
        </w:rPr>
        <w:t xml:space="preserve">o  </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lang w:eastAsia="zh-CN"/>
        </w:rPr>
        <w:t>真空</w:t>
      </w:r>
      <w:r>
        <w:rPr>
          <w:rFonts w:hint="default" w:ascii="Times New Roman" w:hAnsi="Times New Roman" w:eastAsia="宋体" w:cs="Times New Roman"/>
          <w:color w:val="000000"/>
          <w:sz w:val="24"/>
          <w:szCs w:val="22"/>
          <w:highlight w:val="none"/>
        </w:rPr>
        <w:t>介电常数（</w:t>
      </w:r>
      <w:r>
        <w:rPr>
          <w:rFonts w:hint="default" w:ascii="Times New Roman" w:hAnsi="Times New Roman" w:eastAsia="宋体" w:cs="Times New Roman"/>
          <w:color w:val="000000"/>
          <w:position w:val="-22"/>
          <w:sz w:val="24"/>
          <w:szCs w:val="22"/>
          <w:highlight w:val="none"/>
        </w:rPr>
        <w:object>
          <v:shape id="_x0000_i1049" o:spt="75" type="#_x0000_t75" style="height:33.75pt;width:114pt;" o:ole="t" filled="f" o:preferrelative="t" stroked="f" coordsize="21600,21600">
            <v:path/>
            <v:fill on="f" focussize="0,0"/>
            <v:stroke on="f"/>
            <v:imagedata r:id="rId39" o:title=""/>
            <o:lock v:ext="edit" aspectratio="t"/>
            <w10:wrap type="none"/>
            <w10:anchorlock/>
          </v:shape>
          <o:OLEObject Type="Embed" ProgID="Equation.2" ShapeID="_x0000_i1049" DrawAspect="Content" ObjectID="_1468075730" r:id="rId38">
            <o:LockedField>false</o:LockedField>
          </o:OLEObject>
        </w:object>
      </w:r>
      <w:r>
        <w:rPr>
          <w:rFonts w:hint="default" w:ascii="Times New Roman" w:hAnsi="Times New Roman" w:eastAsia="宋体" w:cs="Times New Roman"/>
          <w:color w:val="000000"/>
          <w:sz w:val="24"/>
          <w:szCs w:val="22"/>
          <w:highlight w:val="none"/>
        </w:rPr>
        <w:t>）；</w:t>
      </w:r>
    </w:p>
    <w:p w14:paraId="39AE554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 xml:space="preserve">            R</w:t>
      </w:r>
      <w:r>
        <w:rPr>
          <w:rFonts w:hint="default" w:ascii="Times New Roman" w:hAnsi="Times New Roman" w:eastAsia="宋体" w:cs="Times New Roman"/>
          <w:color w:val="000000"/>
          <w:sz w:val="24"/>
          <w:szCs w:val="22"/>
          <w:highlight w:val="none"/>
          <w:vertAlign w:val="subscript"/>
        </w:rPr>
        <w:t>i</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导线半径，对于分裂导线用等效单根导线半径代入。</w:t>
      </w:r>
    </w:p>
    <w:p w14:paraId="26EDFE13">
      <w:pPr>
        <w:spacing w:before="120" w:after="120" w:line="540" w:lineRule="atLeast"/>
        <w:ind w:firstLine="600" w:firstLineChars="25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24"/>
          <w:sz w:val="24"/>
          <w:szCs w:val="22"/>
          <w:highlight w:val="none"/>
        </w:rPr>
        <w:object>
          <v:shape id="_x0000_i1050" o:spt="75" type="#_x0000_t75" style="height:40.5pt;width:84.7pt;" o:ole="t" filled="f" o:preferrelative="t" stroked="f" coordsize="21600,21600">
            <v:path/>
            <v:fill on="f" focussize="0,0"/>
            <v:stroke on="f"/>
            <v:imagedata r:id="rId41" o:title=""/>
            <o:lock v:ext="edit" aspectratio="t"/>
            <w10:wrap type="none"/>
            <w10:anchorlock/>
          </v:shape>
          <o:OLEObject Type="Embed" ProgID="Equation.2" ShapeID="_x0000_i1050" DrawAspect="Content" ObjectID="_1468075731" r:id="rId40">
            <o:LockedField>false</o:LockedField>
          </o:OLEObject>
        </w:object>
      </w:r>
      <w:r>
        <w:rPr>
          <w:rFonts w:hint="default" w:ascii="Times New Roman" w:hAnsi="Times New Roman" w:eastAsia="宋体" w:cs="Times New Roman"/>
          <w:color w:val="000000"/>
          <w:sz w:val="24"/>
          <w:szCs w:val="22"/>
          <w:highlight w:val="none"/>
        </w:rPr>
        <w:t xml:space="preserve"> ..........(5)</w:t>
      </w:r>
    </w:p>
    <w:p w14:paraId="1C50B10C">
      <w:pPr>
        <w:keepNext w:val="0"/>
        <w:keepLines w:val="0"/>
        <w:pageBreakBefore w:val="0"/>
        <w:widowControl w:val="0"/>
        <w:kinsoku/>
        <w:wordWrap/>
        <w:overflowPunct/>
        <w:topLinePunct w:val="0"/>
        <w:autoSpaceDE/>
        <w:autoSpaceDN/>
        <w:bidi w:val="0"/>
        <w:adjustRightInd/>
        <w:snapToGrid/>
        <w:spacing w:line="440" w:lineRule="atLeast"/>
        <w:ind w:firstLine="600" w:firstLineChars="2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式5中，R--</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分裂导线半径；</w:t>
      </w:r>
    </w:p>
    <w:p w14:paraId="45B7A370">
      <w:pPr>
        <w:keepNext w:val="0"/>
        <w:keepLines w:val="0"/>
        <w:pageBreakBefore w:val="0"/>
        <w:widowControl w:val="0"/>
        <w:kinsoku/>
        <w:wordWrap/>
        <w:overflowPunct/>
        <w:topLinePunct w:val="0"/>
        <w:autoSpaceDE/>
        <w:autoSpaceDN/>
        <w:bidi w:val="0"/>
        <w:adjustRightInd/>
        <w:snapToGrid/>
        <w:spacing w:line="440" w:lineRule="atLeast"/>
        <w:ind w:firstLine="1560" w:firstLineChars="6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η---次导线根数；</w:t>
      </w:r>
    </w:p>
    <w:p w14:paraId="31D56BEC">
      <w:pPr>
        <w:keepNext w:val="0"/>
        <w:keepLines w:val="0"/>
        <w:pageBreakBefore w:val="0"/>
        <w:widowControl w:val="0"/>
        <w:kinsoku/>
        <w:wordWrap/>
        <w:overflowPunct/>
        <w:topLinePunct w:val="0"/>
        <w:autoSpaceDE/>
        <w:autoSpaceDN/>
        <w:bidi w:val="0"/>
        <w:adjustRightInd/>
        <w:snapToGrid/>
        <w:spacing w:line="440" w:lineRule="atLeast"/>
        <w:ind w:firstLine="1560" w:firstLineChars="6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r---次导线半径。</w:t>
      </w:r>
    </w:p>
    <w:p w14:paraId="1E4A076F">
      <w:pPr>
        <w:keepNext w:val="0"/>
        <w:keepLines w:val="0"/>
        <w:pageBreakBefore w:val="0"/>
        <w:widowControl w:val="0"/>
        <w:tabs>
          <w:tab w:val="left" w:pos="7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sz w:val="24"/>
          <w:szCs w:val="21"/>
          <w:highlight w:val="none"/>
          <w:lang w:eastAsia="zh-CN"/>
        </w:rPr>
      </w:pPr>
      <w:r>
        <w:rPr>
          <w:rFonts w:hint="default" w:ascii="Times New Roman" w:hAnsi="Times New Roman" w:eastAsia="宋体" w:cs="Times New Roman"/>
          <w:b/>
          <w:color w:val="000000"/>
          <w:sz w:val="24"/>
          <w:szCs w:val="21"/>
          <w:highlight w:val="none"/>
          <w:lang w:eastAsia="zh-CN"/>
        </w:rPr>
        <w:drawing>
          <wp:inline distT="0" distB="0" distL="114300" distR="114300">
            <wp:extent cx="2284730" cy="2446655"/>
            <wp:effectExtent l="0" t="0" r="1270" b="0"/>
            <wp:docPr id="3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42"/>
                    <a:stretch>
                      <a:fillRect/>
                    </a:stretch>
                  </pic:blipFill>
                  <pic:spPr>
                    <a:xfrm>
                      <a:off x="0" y="0"/>
                      <a:ext cx="2284730" cy="2446655"/>
                    </a:xfrm>
                    <a:prstGeom prst="rect">
                      <a:avLst/>
                    </a:prstGeom>
                  </pic:spPr>
                </pic:pic>
              </a:graphicData>
            </a:graphic>
          </wp:inline>
        </w:drawing>
      </w:r>
    </w:p>
    <w:p w14:paraId="74F7DDA8">
      <w:pPr>
        <w:keepNext w:val="0"/>
        <w:keepLines w:val="0"/>
        <w:pageBreakBefore w:val="0"/>
        <w:widowControl w:val="0"/>
        <w:tabs>
          <w:tab w:val="left" w:pos="700"/>
        </w:tabs>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color w:val="000000"/>
          <w:sz w:val="21"/>
          <w:szCs w:val="21"/>
          <w:highlight w:val="none"/>
        </w:rPr>
        <w:t>图</w:t>
      </w:r>
      <w:r>
        <w:rPr>
          <w:rFonts w:hint="default" w:ascii="Times New Roman" w:hAnsi="Times New Roman" w:eastAsia="宋体" w:cs="Times New Roman"/>
          <w:b/>
          <w:color w:val="000000"/>
          <w:sz w:val="21"/>
          <w:szCs w:val="21"/>
          <w:highlight w:val="none"/>
          <w:lang w:val="en-US" w:eastAsia="zh-CN"/>
        </w:rPr>
        <w:t>5-2</w:t>
      </w:r>
      <w:r>
        <w:rPr>
          <w:rFonts w:hint="default" w:ascii="Times New Roman" w:hAnsi="Times New Roman" w:eastAsia="宋体" w:cs="Times New Roman"/>
          <w:b/>
          <w:color w:val="000000"/>
          <w:sz w:val="21"/>
          <w:szCs w:val="21"/>
          <w:highlight w:val="none"/>
        </w:rPr>
        <w:t xml:space="preserve">  电位系数计算图</w:t>
      </w:r>
    </w:p>
    <w:p w14:paraId="72B9CBAD">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对于三相交流线路，由于电压为时间向量，计算各相导线的电压时用复数表示为：</w:t>
      </w:r>
    </w:p>
    <w:p w14:paraId="5B7C6DDF">
      <w:pPr>
        <w:keepNext w:val="0"/>
        <w:keepLines w:val="0"/>
        <w:pageBreakBefore w:val="0"/>
        <w:widowControl w:val="0"/>
        <w:kinsoku/>
        <w:wordWrap/>
        <w:overflowPunct/>
        <w:topLinePunct w:val="0"/>
        <w:autoSpaceDE/>
        <w:autoSpaceDN/>
        <w:bidi w:val="0"/>
        <w:adjustRightInd/>
        <w:snapToGrid/>
        <w:spacing w:before="120" w:after="12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10"/>
          <w:sz w:val="24"/>
          <w:szCs w:val="22"/>
          <w:highlight w:val="none"/>
        </w:rPr>
        <w:object>
          <v:shape id="_x0000_i1051" o:spt="75" type="#_x0000_t75" style="height:20.25pt;width:87pt;" o:ole="t" filled="f" o:preferrelative="t" stroked="f" coordsize="21600,21600">
            <v:path/>
            <v:fill on="f" focussize="0,0"/>
            <v:stroke on="f"/>
            <v:imagedata r:id="rId44" o:title=""/>
            <o:lock v:ext="edit" aspectratio="t"/>
            <w10:wrap type="none"/>
            <w10:anchorlock/>
          </v:shape>
          <o:OLEObject Type="Embed" ProgID="Equation.2" ShapeID="_x0000_i1051" DrawAspect="Content" ObjectID="_1468075732" r:id="rId43">
            <o:LockedField>false</o:LockedField>
          </o:OLEObject>
        </w:object>
      </w:r>
      <w:r>
        <w:rPr>
          <w:rFonts w:hint="default" w:ascii="Times New Roman" w:hAnsi="Times New Roman" w:eastAsia="宋体" w:cs="Times New Roman"/>
          <w:color w:val="000000"/>
          <w:sz w:val="24"/>
          <w:szCs w:val="22"/>
          <w:highlight w:val="none"/>
        </w:rPr>
        <w:t>...........(6)</w:t>
      </w:r>
    </w:p>
    <w:p w14:paraId="5686CBC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相应地电荷也是复数量：</w:t>
      </w:r>
    </w:p>
    <w:p w14:paraId="1C771E8F">
      <w:pPr>
        <w:keepNext w:val="0"/>
        <w:keepLines w:val="0"/>
        <w:pageBreakBefore w:val="0"/>
        <w:widowControl w:val="0"/>
        <w:kinsoku/>
        <w:wordWrap/>
        <w:overflowPunct/>
        <w:topLinePunct w:val="0"/>
        <w:autoSpaceDE/>
        <w:autoSpaceDN/>
        <w:bidi w:val="0"/>
        <w:adjustRightInd/>
        <w:snapToGrid/>
        <w:spacing w:before="120" w:after="12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10"/>
          <w:sz w:val="24"/>
          <w:szCs w:val="22"/>
          <w:highlight w:val="none"/>
        </w:rPr>
        <w:object>
          <v:shape id="_x0000_i1052" o:spt="75" type="#_x0000_t75" style="height:20.25pt;width:81.05pt;" o:ole="t" filled="f" o:preferrelative="t" stroked="f" coordsize="21600,21600">
            <v:path/>
            <v:fill on="f" focussize="0,0"/>
            <v:stroke on="f"/>
            <v:imagedata r:id="rId46" o:title=""/>
            <o:lock v:ext="edit" aspectratio="t"/>
            <w10:wrap type="none"/>
            <w10:anchorlock/>
          </v:shape>
          <o:OLEObject Type="Embed" ProgID="Equation.2" ShapeID="_x0000_i1052" DrawAspect="Content" ObjectID="_1468075733" r:id="rId45">
            <o:LockedField>false</o:LockedField>
          </o:OLEObject>
        </w:objec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7)</w:t>
      </w:r>
    </w:p>
    <w:p w14:paraId="79EE6F52">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式1矩阵关系即分别表示了复数量的实数和虚数两部分：</w:t>
      </w:r>
    </w:p>
    <w:p w14:paraId="05E81EBB">
      <w:pPr>
        <w:keepNext w:val="0"/>
        <w:keepLines w:val="0"/>
        <w:pageBreakBefore w:val="0"/>
        <w:widowControl w:val="0"/>
        <w:kinsoku/>
        <w:wordWrap/>
        <w:overflowPunct/>
        <w:topLinePunct w:val="0"/>
        <w:autoSpaceDE/>
        <w:autoSpaceDN/>
        <w:bidi w:val="0"/>
        <w:adjustRightInd/>
        <w:snapToGrid/>
        <w:spacing w:before="120" w:after="12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10"/>
          <w:sz w:val="24"/>
          <w:szCs w:val="22"/>
          <w:highlight w:val="none"/>
        </w:rPr>
        <w:object>
          <v:shape id="_x0000_i1053" o:spt="75" type="#_x0000_t75" style="height:16.5pt;width:87pt;" o:ole="t" filled="f" o:preferrelative="t" stroked="f" coordsize="21600,21600">
            <v:path/>
            <v:fill on="f" focussize="0,0"/>
            <v:stroke on="f"/>
            <v:imagedata r:id="rId48" o:title=""/>
            <o:lock v:ext="edit" aspectratio="t"/>
            <w10:wrap type="none"/>
            <w10:anchorlock/>
          </v:shape>
          <o:OLEObject Type="Embed" ProgID="Equation.2" ShapeID="_x0000_i1053" DrawAspect="Content" ObjectID="_1468075734" r:id="rId47">
            <o:LockedField>false</o:LockedField>
          </o:OLEObject>
        </w:object>
      </w:r>
      <w:r>
        <w:rPr>
          <w:rFonts w:hint="default" w:ascii="Times New Roman" w:hAnsi="Times New Roman" w:eastAsia="宋体" w:cs="Times New Roman"/>
          <w:color w:val="000000"/>
          <w:sz w:val="24"/>
          <w:szCs w:val="22"/>
          <w:highlight w:val="none"/>
        </w:rPr>
        <w:t>...........(8)</w:t>
      </w:r>
    </w:p>
    <w:p w14:paraId="7A20E167">
      <w:pPr>
        <w:keepNext w:val="0"/>
        <w:keepLines w:val="0"/>
        <w:pageBreakBefore w:val="0"/>
        <w:widowControl w:val="0"/>
        <w:kinsoku/>
        <w:wordWrap/>
        <w:overflowPunct/>
        <w:topLinePunct w:val="0"/>
        <w:autoSpaceDE/>
        <w:autoSpaceDN/>
        <w:bidi w:val="0"/>
        <w:adjustRightInd/>
        <w:snapToGrid/>
        <w:spacing w:before="120" w:after="12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10"/>
          <w:sz w:val="24"/>
          <w:szCs w:val="22"/>
          <w:highlight w:val="none"/>
        </w:rPr>
        <w:object>
          <v:shape id="_x0000_i1054" o:spt="75" type="#_x0000_t75" style="height:16.5pt;width:88.45pt;" o:ole="t" filled="f" o:preferrelative="t" stroked="f" coordsize="21600,21600">
            <v:path/>
            <v:fill on="f" focussize="0,0"/>
            <v:stroke on="f"/>
            <v:imagedata r:id="rId50" o:title=""/>
            <o:lock v:ext="edit" aspectratio="t"/>
            <w10:wrap type="none"/>
            <w10:anchorlock/>
          </v:shape>
          <o:OLEObject Type="Embed" ProgID="Equation.2" ShapeID="_x0000_i1054" DrawAspect="Content" ObjectID="_1468075735" r:id="rId49">
            <o:LockedField>false</o:LockedField>
          </o:OLEObject>
        </w:object>
      </w:r>
      <w:r>
        <w:rPr>
          <w:rFonts w:hint="default" w:ascii="Times New Roman" w:hAnsi="Times New Roman" w:eastAsia="宋体" w:cs="Times New Roman"/>
          <w:color w:val="000000"/>
          <w:sz w:val="24"/>
          <w:szCs w:val="22"/>
          <w:highlight w:val="none"/>
        </w:rPr>
        <w:t>...........(9)</w:t>
      </w:r>
    </w:p>
    <w:p w14:paraId="154172C6">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fldChar w:fldCharType="begin"/>
      </w:r>
      <w:r>
        <w:rPr>
          <w:rFonts w:hint="default" w:ascii="Times New Roman" w:hAnsi="Times New Roman" w:eastAsia="宋体" w:cs="Times New Roman"/>
          <w:color w:val="000000"/>
          <w:sz w:val="24"/>
          <w:szCs w:val="22"/>
          <w:highlight w:val="none"/>
        </w:rPr>
        <w:instrText xml:space="preserve"> = 2 \* GB3 </w:instrText>
      </w:r>
      <w:r>
        <w:rPr>
          <w:rFonts w:hint="default" w:ascii="Times New Roman" w:hAnsi="Times New Roman" w:eastAsia="宋体" w:cs="Times New Roman"/>
          <w:color w:val="000000"/>
          <w:sz w:val="24"/>
          <w:szCs w:val="22"/>
          <w:highlight w:val="none"/>
        </w:rPr>
        <w:fldChar w:fldCharType="separate"/>
      </w:r>
      <w:r>
        <w:rPr>
          <w:rFonts w:hint="default" w:ascii="Times New Roman" w:hAnsi="Times New Roman" w:eastAsia="宋体" w:cs="Times New Roman"/>
          <w:color w:val="000000"/>
          <w:sz w:val="24"/>
          <w:szCs w:val="22"/>
          <w:highlight w:val="none"/>
        </w:rPr>
        <w:t>②</w:t>
      </w:r>
      <w:r>
        <w:rPr>
          <w:rFonts w:hint="default" w:ascii="Times New Roman" w:hAnsi="Times New Roman" w:eastAsia="宋体" w:cs="Times New Roman"/>
          <w:color w:val="000000"/>
          <w:sz w:val="24"/>
          <w:szCs w:val="22"/>
          <w:highlight w:val="none"/>
        </w:rPr>
        <w:fldChar w:fldCharType="end"/>
      </w:r>
      <w:r>
        <w:rPr>
          <w:rFonts w:hint="default" w:ascii="Times New Roman" w:hAnsi="Times New Roman" w:eastAsia="宋体" w:cs="Times New Roman"/>
          <w:color w:val="000000"/>
          <w:sz w:val="24"/>
          <w:szCs w:val="22"/>
          <w:highlight w:val="none"/>
        </w:rPr>
        <w:t>等效电荷产生的电场计算</w:t>
      </w:r>
    </w:p>
    <w:p w14:paraId="286C26F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空间任意一点（档距中央）的电场强度根据叠加原理求得，在（x,y）点的电场强度Ex和Ey分别为：</w:t>
      </w:r>
    </w:p>
    <w:p w14:paraId="4E557B10">
      <w:pPr>
        <w:keepNext w:val="0"/>
        <w:keepLines w:val="0"/>
        <w:pageBreakBefore w:val="0"/>
        <w:widowControl w:val="0"/>
        <w:kinsoku/>
        <w:wordWrap/>
        <w:overflowPunct/>
        <w:topLinePunct w:val="0"/>
        <w:autoSpaceDE/>
        <w:autoSpaceDN/>
        <w:bidi w:val="0"/>
        <w:adjustRightInd/>
        <w:snapToGrid/>
        <w:spacing w:before="120" w:after="12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28"/>
          <w:sz w:val="24"/>
          <w:szCs w:val="22"/>
          <w:highlight w:val="none"/>
        </w:rPr>
        <w:object>
          <v:shape id="_x0000_i1055" o:spt="75" type="#_x0000_t75" style="height:44.3pt;width:194.2pt;" o:ole="t" filled="f" o:preferrelative="t" stroked="f" coordsize="21600,21600">
            <v:path/>
            <v:fill on="f" focussize="0,0"/>
            <v:stroke on="f"/>
            <v:imagedata r:id="rId52" o:title=""/>
            <o:lock v:ext="edit" aspectratio="t"/>
            <w10:wrap type="none"/>
            <w10:anchorlock/>
          </v:shape>
          <o:OLEObject Type="Embed" ProgID="Equation.2" ShapeID="_x0000_i1055" DrawAspect="Content" ObjectID="_1468075736" r:id="rId51">
            <o:LockedField>false</o:LockedField>
          </o:OLEObject>
        </w:object>
      </w:r>
      <w:r>
        <w:rPr>
          <w:rFonts w:hint="default" w:ascii="Times New Roman" w:hAnsi="Times New Roman" w:eastAsia="宋体" w:cs="Times New Roman"/>
          <w:color w:val="000000"/>
          <w:sz w:val="24"/>
          <w:szCs w:val="22"/>
          <w:highlight w:val="none"/>
        </w:rPr>
        <w:t>...........(10)</w:t>
      </w:r>
    </w:p>
    <w:p w14:paraId="0AE5EE12">
      <w:pPr>
        <w:keepNext w:val="0"/>
        <w:keepLines w:val="0"/>
        <w:pageBreakBefore w:val="0"/>
        <w:widowControl w:val="0"/>
        <w:kinsoku/>
        <w:wordWrap/>
        <w:overflowPunct/>
        <w:topLinePunct w:val="0"/>
        <w:autoSpaceDE/>
        <w:autoSpaceDN/>
        <w:bidi w:val="0"/>
        <w:adjustRightInd/>
        <w:snapToGrid/>
        <w:spacing w:before="120" w:after="12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30"/>
          <w:sz w:val="24"/>
          <w:szCs w:val="22"/>
          <w:highlight w:val="none"/>
        </w:rPr>
        <w:object>
          <v:shape id="_x0000_i1056" o:spt="75" type="#_x0000_t75" style="height:44.3pt;width:200.95pt;" o:ole="t" filled="f" o:preferrelative="t" stroked="f" coordsize="21600,21600">
            <v:path/>
            <v:fill on="f" focussize="0,0"/>
            <v:stroke on="f"/>
            <v:imagedata r:id="rId54" o:title=""/>
            <o:lock v:ext="edit" aspectratio="t"/>
            <w10:wrap type="none"/>
            <w10:anchorlock/>
          </v:shape>
          <o:OLEObject Type="Embed" ProgID="Equation.2" ShapeID="_x0000_i1056" DrawAspect="Content" ObjectID="_1468075737" r:id="rId53">
            <o:LockedField>false</o:LockedField>
          </o:OLEObject>
        </w:object>
      </w:r>
      <w:r>
        <w:rPr>
          <w:rFonts w:hint="default" w:ascii="Times New Roman" w:hAnsi="Times New Roman" w:eastAsia="宋体" w:cs="Times New Roman"/>
          <w:color w:val="000000"/>
          <w:sz w:val="24"/>
          <w:szCs w:val="22"/>
          <w:highlight w:val="none"/>
        </w:rPr>
        <w:t>...........(11)</w:t>
      </w:r>
    </w:p>
    <w:p w14:paraId="1DDA7E51">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式中：x</w:t>
      </w:r>
      <w:r>
        <w:rPr>
          <w:rFonts w:hint="default" w:ascii="Times New Roman" w:hAnsi="Times New Roman" w:eastAsia="宋体" w:cs="Times New Roman"/>
          <w:color w:val="000000"/>
          <w:sz w:val="24"/>
          <w:szCs w:val="22"/>
          <w:highlight w:val="none"/>
          <w:vertAlign w:val="subscript"/>
        </w:rPr>
        <w:t>i</w:t>
      </w:r>
      <w:r>
        <w:rPr>
          <w:rFonts w:hint="default" w:ascii="Times New Roman" w:hAnsi="Times New Roman" w:eastAsia="宋体" w:cs="Times New Roman"/>
          <w:color w:val="000000"/>
          <w:sz w:val="24"/>
          <w:szCs w:val="22"/>
          <w:highlight w:val="none"/>
        </w:rPr>
        <w:t>、y</w:t>
      </w:r>
      <w:r>
        <w:rPr>
          <w:rFonts w:hint="default" w:ascii="Times New Roman" w:hAnsi="Times New Roman" w:eastAsia="宋体" w:cs="Times New Roman"/>
          <w:color w:val="000000"/>
          <w:sz w:val="24"/>
          <w:szCs w:val="22"/>
          <w:highlight w:val="none"/>
          <w:vertAlign w:val="subscript"/>
        </w:rPr>
        <w:t>j</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导线i的坐标（i=1,2,......m）；</w:t>
      </w:r>
    </w:p>
    <w:p w14:paraId="6146E1E9">
      <w:pPr>
        <w:keepNext w:val="0"/>
        <w:keepLines w:val="0"/>
        <w:pageBreakBefore w:val="0"/>
        <w:widowControl w:val="0"/>
        <w:kinsoku/>
        <w:wordWrap/>
        <w:overflowPunct/>
        <w:topLinePunct w:val="0"/>
        <w:autoSpaceDE/>
        <w:autoSpaceDN/>
        <w:bidi w:val="0"/>
        <w:adjustRightInd/>
        <w:snapToGrid/>
        <w:spacing w:line="312" w:lineRule="auto"/>
        <w:ind w:firstLine="1200" w:firstLineChars="5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m--</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导线数目；</w:t>
      </w:r>
    </w:p>
    <w:p w14:paraId="27374AF7">
      <w:pPr>
        <w:keepNext w:val="0"/>
        <w:keepLines w:val="0"/>
        <w:pageBreakBefore w:val="0"/>
        <w:widowControl w:val="0"/>
        <w:kinsoku/>
        <w:wordWrap/>
        <w:overflowPunct/>
        <w:topLinePunct w:val="0"/>
        <w:autoSpaceDE/>
        <w:autoSpaceDN/>
        <w:bidi w:val="0"/>
        <w:adjustRightInd/>
        <w:snapToGrid/>
        <w:spacing w:line="312" w:lineRule="auto"/>
        <w:ind w:firstLine="1200" w:firstLineChars="5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L</w:t>
      </w:r>
      <w:r>
        <w:rPr>
          <w:rFonts w:hint="default" w:ascii="Times New Roman" w:hAnsi="Times New Roman" w:eastAsia="宋体" w:cs="Times New Roman"/>
          <w:color w:val="000000"/>
          <w:sz w:val="24"/>
          <w:szCs w:val="22"/>
          <w:highlight w:val="none"/>
          <w:vertAlign w:val="subscript"/>
        </w:rPr>
        <w:t>i</w:t>
      </w:r>
      <w:r>
        <w:rPr>
          <w:rFonts w:hint="default" w:ascii="Times New Roman" w:hAnsi="Times New Roman" w:eastAsia="宋体" w:cs="Times New Roman"/>
          <w:color w:val="000000"/>
          <w:sz w:val="24"/>
          <w:szCs w:val="22"/>
          <w:highlight w:val="none"/>
        </w:rPr>
        <w:t>，L</w:t>
      </w:r>
      <w:r>
        <w:rPr>
          <w:rFonts w:hint="default" w:ascii="Times New Roman" w:hAnsi="Times New Roman" w:eastAsia="宋体" w:cs="Times New Roman"/>
          <w:color w:val="000000"/>
          <w:spacing w:val="-144"/>
          <w:sz w:val="24"/>
          <w:szCs w:val="22"/>
          <w:highlight w:val="none"/>
        </w:rPr>
        <w:t>＇</w:t>
      </w:r>
      <w:r>
        <w:rPr>
          <w:rFonts w:hint="default" w:ascii="Times New Roman" w:hAnsi="Times New Roman" w:eastAsia="宋体" w:cs="Times New Roman"/>
          <w:color w:val="000000"/>
          <w:sz w:val="24"/>
          <w:szCs w:val="22"/>
          <w:highlight w:val="none"/>
          <w:vertAlign w:val="subscript"/>
        </w:rPr>
        <w:t>ij</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分别为导线i及其镜像至计算点的距离。</w:t>
      </w:r>
    </w:p>
    <w:p w14:paraId="371DCD61">
      <w:pPr>
        <w:keepNext w:val="0"/>
        <w:keepLines w:val="0"/>
        <w:pageBreakBefore w:val="0"/>
        <w:widowControl w:val="0"/>
        <w:kinsoku/>
        <w:wordWrap/>
        <w:overflowPunct/>
        <w:topLinePunct w:val="0"/>
        <w:autoSpaceDE/>
        <w:autoSpaceDN/>
        <w:bidi w:val="0"/>
        <w:adjustRightInd/>
        <w:snapToGrid/>
        <w:spacing w:line="312" w:lineRule="auto"/>
        <w:ind w:firstLine="600" w:firstLineChars="2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对于本项目</w:t>
      </w:r>
      <w:r>
        <w:rPr>
          <w:rFonts w:hint="eastAsia" w:eastAsia="宋体" w:cs="Times New Roman"/>
          <w:color w:val="000000"/>
          <w:sz w:val="24"/>
          <w:szCs w:val="22"/>
          <w:highlight w:val="none"/>
          <w:lang w:val="en-US" w:eastAsia="zh-CN"/>
        </w:rPr>
        <w:t>11</w:t>
      </w:r>
      <w:r>
        <w:rPr>
          <w:rFonts w:hint="default" w:ascii="Times New Roman" w:hAnsi="Times New Roman" w:eastAsia="宋体" w:cs="Times New Roman"/>
          <w:color w:val="000000"/>
          <w:sz w:val="24"/>
          <w:szCs w:val="22"/>
          <w:highlight w:val="none"/>
        </w:rPr>
        <w:t>0kV三相交流线路，根据式8和9求得的电荷计算空间任一点电场强度的水平和垂直分量为：</w:t>
      </w:r>
    </w:p>
    <w:p w14:paraId="588FFDF4">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44"/>
          <w:sz w:val="24"/>
          <w:szCs w:val="22"/>
          <w:highlight w:val="none"/>
        </w:rPr>
        <w:object>
          <v:shape id="_x0000_i1057" o:spt="75" type="#_x0000_t75" style="height:64.5pt;width:145.55pt;" o:ole="t" filled="f" o:preferrelative="t" stroked="f" coordsize="21600,21600">
            <v:path/>
            <v:fill on="f" focussize="0,0"/>
            <v:stroke on="f"/>
            <v:imagedata r:id="rId56" o:title=""/>
            <o:lock v:ext="edit" aspectratio="t"/>
            <w10:wrap type="none"/>
            <w10:anchorlock/>
          </v:shape>
          <o:OLEObject Type="Embed" ProgID="Equation.2" ShapeID="_x0000_i1057" DrawAspect="Content" ObjectID="_1468075738" r:id="rId55">
            <o:LockedField>false</o:LockedField>
          </o:OLEObject>
        </w:object>
      </w:r>
      <w:r>
        <w:rPr>
          <w:rFonts w:hint="default" w:ascii="Times New Roman" w:hAnsi="Times New Roman" w:eastAsia="宋体" w:cs="Times New Roman"/>
          <w:color w:val="000000"/>
          <w:sz w:val="24"/>
          <w:szCs w:val="22"/>
          <w:highlight w:val="none"/>
        </w:rPr>
        <w:t xml:space="preserve">    ...........(12)</w:t>
      </w:r>
    </w:p>
    <w:p w14:paraId="19ACC5E9">
      <w:pPr>
        <w:keepNext w:val="0"/>
        <w:keepLines w:val="0"/>
        <w:pageBreakBefore w:val="0"/>
        <w:widowControl w:val="0"/>
        <w:kinsoku/>
        <w:wordWrap/>
        <w:overflowPunct/>
        <w:topLinePunct w:val="0"/>
        <w:autoSpaceDE/>
        <w:autoSpaceDN/>
        <w:bidi w:val="0"/>
        <w:adjustRightInd/>
        <w:snapToGrid/>
        <w:spacing w:before="24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48"/>
          <w:sz w:val="24"/>
          <w:szCs w:val="22"/>
          <w:highlight w:val="none"/>
        </w:rPr>
        <w:object>
          <v:shape id="_x0000_i1058" o:spt="75" type="#_x0000_t75" style="height:70.5pt;width:142.55pt;" o:ole="t" filled="f" o:preferrelative="t" stroked="f" coordsize="21600,21600">
            <v:path/>
            <v:fill on="f" focussize="0,0"/>
            <v:stroke on="f"/>
            <v:imagedata r:id="rId58" o:title=""/>
            <o:lock v:ext="edit" aspectratio="t"/>
            <w10:wrap type="none"/>
            <w10:anchorlock/>
          </v:shape>
          <o:OLEObject Type="Embed" ProgID="Equation.3" ShapeID="_x0000_i1058" DrawAspect="Content" ObjectID="_1468075739" r:id="rId57">
            <o:LockedField>false</o:LockedField>
          </o:OLEObject>
        </w:object>
      </w:r>
      <w:r>
        <w:rPr>
          <w:rFonts w:hint="default" w:ascii="Times New Roman" w:hAnsi="Times New Roman" w:eastAsia="宋体" w:cs="Times New Roman"/>
          <w:color w:val="000000"/>
          <w:sz w:val="24"/>
          <w:szCs w:val="22"/>
          <w:highlight w:val="none"/>
        </w:rPr>
        <w:t xml:space="preserve">    ...........(13)</w:t>
      </w:r>
    </w:p>
    <w:p w14:paraId="20A72F91">
      <w:pPr>
        <w:keepNext w:val="0"/>
        <w:keepLines w:val="0"/>
        <w:pageBreakBefore w:val="0"/>
        <w:widowControl w:val="0"/>
        <w:kinsoku/>
        <w:wordWrap/>
        <w:overflowPunct/>
        <w:topLinePunct w:val="0"/>
        <w:autoSpaceDE/>
        <w:autoSpaceDN/>
        <w:bidi w:val="0"/>
        <w:adjustRightInd/>
        <w:snapToGrid/>
        <w:spacing w:line="312" w:lineRule="auto"/>
        <w:ind w:firstLine="600" w:firstLineChars="2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式中：E</w:t>
      </w:r>
      <w:r>
        <w:rPr>
          <w:rFonts w:hint="default" w:ascii="Times New Roman" w:hAnsi="Times New Roman" w:eastAsia="宋体" w:cs="Times New Roman"/>
          <w:color w:val="000000"/>
          <w:sz w:val="24"/>
          <w:szCs w:val="22"/>
          <w:highlight w:val="none"/>
          <w:vertAlign w:val="subscript"/>
        </w:rPr>
        <w:t>XR</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由各导线的实部电荷在该点产生的场强的水平分量；</w:t>
      </w:r>
    </w:p>
    <w:p w14:paraId="38D8B79C">
      <w:pPr>
        <w:keepNext w:val="0"/>
        <w:keepLines w:val="0"/>
        <w:pageBreakBefore w:val="0"/>
        <w:widowControl w:val="0"/>
        <w:kinsoku/>
        <w:wordWrap/>
        <w:overflowPunct/>
        <w:topLinePunct w:val="0"/>
        <w:autoSpaceDE/>
        <w:autoSpaceDN/>
        <w:bidi w:val="0"/>
        <w:adjustRightInd/>
        <w:snapToGrid/>
        <w:spacing w:line="312" w:lineRule="auto"/>
        <w:ind w:firstLine="1320" w:firstLineChars="5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E</w:t>
      </w:r>
      <w:r>
        <w:rPr>
          <w:rFonts w:hint="default" w:ascii="Times New Roman" w:hAnsi="Times New Roman" w:eastAsia="宋体" w:cs="Times New Roman"/>
          <w:color w:val="000000"/>
          <w:sz w:val="24"/>
          <w:szCs w:val="22"/>
          <w:highlight w:val="none"/>
          <w:vertAlign w:val="subscript"/>
        </w:rPr>
        <w:t>XI</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由各导线的虚部电荷在该点产生的场强的水平分量；</w:t>
      </w:r>
    </w:p>
    <w:p w14:paraId="0E78BAF0">
      <w:pPr>
        <w:keepNext w:val="0"/>
        <w:keepLines w:val="0"/>
        <w:pageBreakBefore w:val="0"/>
        <w:widowControl w:val="0"/>
        <w:kinsoku/>
        <w:wordWrap/>
        <w:overflowPunct/>
        <w:topLinePunct w:val="0"/>
        <w:autoSpaceDE/>
        <w:autoSpaceDN/>
        <w:bidi w:val="0"/>
        <w:adjustRightInd/>
        <w:snapToGrid/>
        <w:spacing w:line="312" w:lineRule="auto"/>
        <w:ind w:firstLine="1320" w:firstLineChars="5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E</w:t>
      </w:r>
      <w:r>
        <w:rPr>
          <w:rFonts w:hint="default" w:ascii="Times New Roman" w:hAnsi="Times New Roman" w:eastAsia="宋体" w:cs="Times New Roman"/>
          <w:color w:val="000000"/>
          <w:sz w:val="24"/>
          <w:szCs w:val="22"/>
          <w:highlight w:val="none"/>
          <w:vertAlign w:val="subscript"/>
        </w:rPr>
        <w:t>YR</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由各导线的实部电荷在该点产生场强的垂直分量；</w:t>
      </w:r>
    </w:p>
    <w:p w14:paraId="2F8C86C4">
      <w:pPr>
        <w:keepNext w:val="0"/>
        <w:keepLines w:val="0"/>
        <w:pageBreakBefore w:val="0"/>
        <w:widowControl w:val="0"/>
        <w:kinsoku/>
        <w:wordWrap/>
        <w:overflowPunct/>
        <w:topLinePunct w:val="0"/>
        <w:autoSpaceDE/>
        <w:autoSpaceDN/>
        <w:bidi w:val="0"/>
        <w:adjustRightInd/>
        <w:snapToGrid/>
        <w:spacing w:line="312" w:lineRule="auto"/>
        <w:ind w:firstLine="1320" w:firstLineChars="5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E</w:t>
      </w:r>
      <w:r>
        <w:rPr>
          <w:rFonts w:hint="default" w:ascii="Times New Roman" w:hAnsi="Times New Roman" w:eastAsia="宋体" w:cs="Times New Roman"/>
          <w:color w:val="000000"/>
          <w:sz w:val="24"/>
          <w:szCs w:val="22"/>
          <w:highlight w:val="none"/>
          <w:vertAlign w:val="subscript"/>
        </w:rPr>
        <w:t>YI</w:t>
      </w:r>
      <w:r>
        <w:rPr>
          <w:rFonts w:hint="default" w:ascii="Times New Roman" w:hAnsi="Times New Roman" w:eastAsia="宋体" w:cs="Times New Roman"/>
          <w:color w:val="000000"/>
          <w:sz w:val="24"/>
          <w:szCs w:val="22"/>
          <w:highlight w:val="none"/>
        </w:rPr>
        <w: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由各导线的虚部电荷在该点产生场强的垂直分量。</w:t>
      </w:r>
    </w:p>
    <w:p w14:paraId="45F145A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（x,y）点的合成场强为：</w:t>
      </w:r>
    </w:p>
    <w:p w14:paraId="4A00C98B">
      <w:pPr>
        <w:keepNext w:val="0"/>
        <w:keepLines w:val="0"/>
        <w:pageBreakBefore w:val="0"/>
        <w:widowControl w:val="0"/>
        <w:kinsoku/>
        <w:wordWrap/>
        <w:overflowPunct/>
        <w:topLinePunct w:val="0"/>
        <w:autoSpaceDE/>
        <w:autoSpaceDN/>
        <w:bidi w:val="0"/>
        <w:adjustRightInd/>
        <w:snapToGrid/>
        <w:spacing w:before="120" w:after="120"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10"/>
          <w:sz w:val="24"/>
          <w:szCs w:val="22"/>
          <w:highlight w:val="none"/>
        </w:rPr>
        <w:object>
          <v:shape id="_x0000_i1059" o:spt="75" type="#_x0000_t75" style="height:22.45pt;width:270pt;" o:ole="t" filled="f" o:preferrelative="t" stroked="f" coordsize="21600,21600">
            <v:path/>
            <v:fill on="f" focussize="0,0"/>
            <v:stroke on="f"/>
            <v:imagedata r:id="rId60" o:title=""/>
            <o:lock v:ext="edit" aspectratio="t"/>
            <w10:wrap type="none"/>
            <w10:anchorlock/>
          </v:shape>
          <o:OLEObject Type="Embed" ProgID="Equation.3" ShapeID="_x0000_i1059" DrawAspect="Content" ObjectID="_1468075740" r:id="rId59">
            <o:LockedField>false</o:LockedField>
          </o:OLEObject>
        </w:object>
      </w:r>
      <w:r>
        <w:rPr>
          <w:rFonts w:hint="default" w:ascii="Times New Roman" w:hAnsi="Times New Roman" w:eastAsia="宋体" w:cs="Times New Roman"/>
          <w:color w:val="000000"/>
          <w:sz w:val="24"/>
          <w:szCs w:val="22"/>
          <w:highlight w:val="none"/>
        </w:rPr>
        <w:t>.........(14)</w:t>
      </w:r>
    </w:p>
    <w:p w14:paraId="291B8A93">
      <w:pPr>
        <w:keepNext w:val="0"/>
        <w:keepLines w:val="0"/>
        <w:pageBreakBefore w:val="0"/>
        <w:widowControl w:val="0"/>
        <w:kinsoku/>
        <w:wordWrap/>
        <w:overflowPunct/>
        <w:topLinePunct w:val="0"/>
        <w:autoSpaceDE/>
        <w:autoSpaceDN/>
        <w:bidi w:val="0"/>
        <w:adjustRightInd/>
        <w:snapToGrid/>
        <w:spacing w:before="120" w:after="120" w:line="312" w:lineRule="auto"/>
        <w:ind w:firstLine="600" w:firstLineChars="25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式中：</w:t>
      </w:r>
      <w:r>
        <w:rPr>
          <w:rFonts w:hint="default" w:ascii="Times New Roman" w:hAnsi="Times New Roman" w:eastAsia="宋体" w:cs="Times New Roman"/>
          <w:color w:val="000000"/>
          <w:position w:val="-12"/>
          <w:sz w:val="24"/>
          <w:szCs w:val="22"/>
          <w:highlight w:val="none"/>
        </w:rPr>
        <w:object>
          <v:shape id="_x0000_i1060" o:spt="75" type="#_x0000_t75" style="height:26.25pt;width:108.7pt;" o:ole="t" filled="f" o:preferrelative="t" stroked="f" coordsize="21600,21600">
            <v:path/>
            <v:fill on="f" focussize="0,0"/>
            <v:stroke on="f"/>
            <v:imagedata r:id="rId62" o:title=""/>
            <o:lock v:ext="edit" aspectratio="t"/>
            <w10:wrap type="none"/>
            <w10:anchorlock/>
          </v:shape>
          <o:OLEObject Type="Embed" ProgID="Equation.3" ShapeID="_x0000_i1060" DrawAspect="Content" ObjectID="_1468075741" r:id="rId61">
            <o:LockedField>false</o:LockedField>
          </o:OLEObject>
        </w:object>
      </w:r>
      <w:r>
        <w:rPr>
          <w:rFonts w:hint="default" w:ascii="Times New Roman" w:hAnsi="Times New Roman" w:eastAsia="宋体" w:cs="Times New Roman"/>
          <w:color w:val="000000"/>
          <w:sz w:val="24"/>
          <w:szCs w:val="22"/>
          <w:highlight w:val="none"/>
        </w:rPr>
        <w:t xml:space="preserve">                ..........(15)</w:t>
      </w:r>
    </w:p>
    <w:p w14:paraId="0886394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12"/>
          <w:sz w:val="24"/>
          <w:szCs w:val="22"/>
          <w:highlight w:val="none"/>
        </w:rPr>
        <w:object>
          <v:shape id="_x0000_i1061" o:spt="75" type="#_x0000_t75" style="height:26.25pt;width:99.7pt;" o:ole="t" filled="f" o:preferrelative="t" stroked="f" coordsize="21600,21600">
            <v:path/>
            <v:fill on="f" focussize="0,0"/>
            <v:stroke on="f"/>
            <v:imagedata r:id="rId64" o:title=""/>
            <o:lock v:ext="edit" aspectratio="t"/>
            <w10:wrap type="none"/>
            <w10:anchorlock/>
          </v:shape>
          <o:OLEObject Type="Embed" ProgID="Equation.3" ShapeID="_x0000_i1061" DrawAspect="Content" ObjectID="_1468075742" r:id="rId63">
            <o:LockedField>false</o:LockedField>
          </o:OLEObject>
        </w:object>
      </w:r>
      <w:r>
        <w:rPr>
          <w:rFonts w:hint="default" w:ascii="Times New Roman" w:hAnsi="Times New Roman" w:eastAsia="宋体" w:cs="Times New Roman"/>
          <w:color w:val="000000"/>
          <w:sz w:val="24"/>
          <w:szCs w:val="22"/>
          <w:highlight w:val="none"/>
        </w:rPr>
        <w:t xml:space="preserve">                 ..........(16)</w:t>
      </w:r>
    </w:p>
    <w:p w14:paraId="0F09AD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在地面处（y=0时）电场强度的水平分量取E</w:t>
      </w:r>
      <w:r>
        <w:rPr>
          <w:rFonts w:hint="default" w:ascii="Times New Roman" w:hAnsi="Times New Roman" w:eastAsia="宋体" w:cs="Times New Roman"/>
          <w:color w:val="000000"/>
          <w:sz w:val="24"/>
          <w:szCs w:val="22"/>
          <w:highlight w:val="none"/>
          <w:vertAlign w:val="subscript"/>
        </w:rPr>
        <w:t>X</w:t>
      </w:r>
      <w:r>
        <w:rPr>
          <w:rFonts w:hint="default" w:ascii="Times New Roman" w:hAnsi="Times New Roman" w:eastAsia="宋体" w:cs="Times New Roman"/>
          <w:color w:val="000000"/>
          <w:sz w:val="24"/>
          <w:szCs w:val="22"/>
          <w:highlight w:val="none"/>
        </w:rPr>
        <w:t>=0。</w:t>
      </w:r>
    </w:p>
    <w:p w14:paraId="40384B43">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工频电场强度计算结果见表</w:t>
      </w:r>
      <w:r>
        <w:rPr>
          <w:rFonts w:hint="default" w:ascii="Times New Roman" w:hAnsi="Times New Roman" w:eastAsia="宋体" w:cs="Times New Roman"/>
          <w:color w:val="000000"/>
          <w:sz w:val="24"/>
          <w:szCs w:val="22"/>
          <w:highlight w:val="none"/>
          <w:lang w:val="en-US" w:eastAsia="zh-CN"/>
        </w:rPr>
        <w:t>5-</w:t>
      </w:r>
      <w:r>
        <w:rPr>
          <w:rFonts w:hint="eastAsia" w:eastAsia="宋体" w:cs="Times New Roman"/>
          <w:color w:val="000000"/>
          <w:sz w:val="24"/>
          <w:szCs w:val="22"/>
          <w:highlight w:val="none"/>
          <w:lang w:val="en-US" w:eastAsia="zh-CN"/>
        </w:rPr>
        <w:t>2</w:t>
      </w:r>
      <w:r>
        <w:rPr>
          <w:rFonts w:hint="default" w:ascii="Times New Roman" w:hAnsi="Times New Roman" w:eastAsia="宋体" w:cs="Times New Roman"/>
          <w:color w:val="000000"/>
          <w:sz w:val="24"/>
          <w:szCs w:val="22"/>
          <w:highlight w:val="none"/>
        </w:rPr>
        <w:t>及图</w:t>
      </w:r>
      <w:r>
        <w:rPr>
          <w:rFonts w:hint="default" w:ascii="Times New Roman" w:hAnsi="Times New Roman" w:eastAsia="宋体" w:cs="Times New Roman"/>
          <w:color w:val="000000"/>
          <w:sz w:val="24"/>
          <w:szCs w:val="22"/>
          <w:highlight w:val="none"/>
          <w:lang w:val="en-US" w:eastAsia="zh-CN"/>
        </w:rPr>
        <w:t>5-3</w:t>
      </w:r>
      <w:r>
        <w:rPr>
          <w:rFonts w:hint="default" w:ascii="Times New Roman" w:hAnsi="Times New Roman" w:eastAsia="宋体" w:cs="Times New Roman"/>
          <w:color w:val="000000"/>
          <w:sz w:val="24"/>
          <w:szCs w:val="22"/>
          <w:highlight w:val="none"/>
        </w:rPr>
        <w:t>。</w:t>
      </w:r>
    </w:p>
    <w:p w14:paraId="483C7BA9">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2</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JC1型塔</w:t>
      </w:r>
      <w:r>
        <w:rPr>
          <w:rFonts w:hint="default" w:ascii="Times New Roman" w:hAnsi="Times New Roman" w:eastAsia="宋体" w:cs="Times New Roman"/>
          <w:b/>
          <w:color w:val="000000"/>
          <w:sz w:val="21"/>
          <w:szCs w:val="21"/>
          <w:highlight w:val="none"/>
        </w:rPr>
        <w:t>工频电场强度计算结果</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31"/>
        <w:gridCol w:w="2131"/>
        <w:gridCol w:w="2132"/>
      </w:tblGrid>
      <w:tr w14:paraId="468B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noWrap w:val="0"/>
            <w:vAlign w:val="center"/>
          </w:tcPr>
          <w:p w14:paraId="35FC143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0" w:type="pct"/>
            <w:noWrap w:val="0"/>
            <w:vAlign w:val="center"/>
          </w:tcPr>
          <w:p w14:paraId="4D58BC0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1.5米高处电场的综合量(kV/m)</w:t>
            </w:r>
          </w:p>
        </w:tc>
        <w:tc>
          <w:tcPr>
            <w:tcW w:w="1250" w:type="pct"/>
            <w:noWrap w:val="0"/>
            <w:vAlign w:val="center"/>
          </w:tcPr>
          <w:p w14:paraId="23B64C4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1" w:type="pct"/>
            <w:noWrap w:val="0"/>
            <w:vAlign w:val="center"/>
          </w:tcPr>
          <w:p w14:paraId="614BEDB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1.5米高处电场的综合量(kV/m)</w:t>
            </w:r>
          </w:p>
        </w:tc>
      </w:tr>
      <w:tr w14:paraId="7D02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722D83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-50</w:t>
            </w:r>
          </w:p>
        </w:tc>
        <w:tc>
          <w:tcPr>
            <w:tcW w:w="1250" w:type="pct"/>
            <w:noWrap w:val="0"/>
            <w:vAlign w:val="center"/>
          </w:tcPr>
          <w:p w14:paraId="2AAED4D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0.026</w:t>
            </w:r>
          </w:p>
        </w:tc>
        <w:tc>
          <w:tcPr>
            <w:tcW w:w="1250" w:type="pct"/>
            <w:shd w:val="clear" w:color="auto" w:fill="auto"/>
            <w:noWrap w:val="0"/>
            <w:vAlign w:val="center"/>
          </w:tcPr>
          <w:p w14:paraId="39CBB29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50</w:t>
            </w:r>
          </w:p>
        </w:tc>
        <w:tc>
          <w:tcPr>
            <w:tcW w:w="1251" w:type="pct"/>
            <w:shd w:val="clear" w:color="auto" w:fill="auto"/>
            <w:noWrap w:val="0"/>
            <w:vAlign w:val="center"/>
          </w:tcPr>
          <w:p w14:paraId="763E760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0.026</w:t>
            </w:r>
          </w:p>
        </w:tc>
      </w:tr>
      <w:tr w14:paraId="0844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103863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-49</w:t>
            </w:r>
          </w:p>
        </w:tc>
        <w:tc>
          <w:tcPr>
            <w:tcW w:w="1250" w:type="pct"/>
            <w:noWrap w:val="0"/>
            <w:vAlign w:val="center"/>
          </w:tcPr>
          <w:p w14:paraId="5379762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0.027</w:t>
            </w:r>
          </w:p>
        </w:tc>
        <w:tc>
          <w:tcPr>
            <w:tcW w:w="1250" w:type="pct"/>
            <w:shd w:val="clear" w:color="auto" w:fill="auto"/>
            <w:noWrap w:val="0"/>
            <w:vAlign w:val="center"/>
          </w:tcPr>
          <w:p w14:paraId="008AB76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49</w:t>
            </w:r>
          </w:p>
        </w:tc>
        <w:tc>
          <w:tcPr>
            <w:tcW w:w="1251" w:type="pct"/>
            <w:shd w:val="clear" w:color="auto" w:fill="auto"/>
            <w:noWrap w:val="0"/>
            <w:vAlign w:val="center"/>
          </w:tcPr>
          <w:p w14:paraId="4DFD655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0.027</w:t>
            </w:r>
          </w:p>
        </w:tc>
      </w:tr>
      <w:tr w14:paraId="785E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D119F4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-48</w:t>
            </w:r>
          </w:p>
        </w:tc>
        <w:tc>
          <w:tcPr>
            <w:tcW w:w="1250" w:type="pct"/>
            <w:noWrap w:val="0"/>
            <w:vAlign w:val="center"/>
          </w:tcPr>
          <w:p w14:paraId="3449243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0.028</w:t>
            </w:r>
          </w:p>
        </w:tc>
        <w:tc>
          <w:tcPr>
            <w:tcW w:w="1250" w:type="pct"/>
            <w:shd w:val="clear" w:color="auto" w:fill="auto"/>
            <w:noWrap w:val="0"/>
            <w:vAlign w:val="center"/>
          </w:tcPr>
          <w:p w14:paraId="265A6C3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48</w:t>
            </w:r>
          </w:p>
        </w:tc>
        <w:tc>
          <w:tcPr>
            <w:tcW w:w="1251" w:type="pct"/>
            <w:shd w:val="clear" w:color="auto" w:fill="auto"/>
            <w:noWrap w:val="0"/>
            <w:vAlign w:val="center"/>
          </w:tcPr>
          <w:p w14:paraId="38FF6A5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0.028</w:t>
            </w:r>
          </w:p>
        </w:tc>
      </w:tr>
      <w:tr w14:paraId="0D68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CB52DE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-47</w:t>
            </w:r>
          </w:p>
        </w:tc>
        <w:tc>
          <w:tcPr>
            <w:tcW w:w="1250" w:type="pct"/>
            <w:noWrap w:val="0"/>
            <w:vAlign w:val="center"/>
          </w:tcPr>
          <w:p w14:paraId="1FCCF0D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0.029</w:t>
            </w:r>
          </w:p>
        </w:tc>
        <w:tc>
          <w:tcPr>
            <w:tcW w:w="1250" w:type="pct"/>
            <w:shd w:val="clear" w:color="auto" w:fill="auto"/>
            <w:noWrap w:val="0"/>
            <w:vAlign w:val="center"/>
          </w:tcPr>
          <w:p w14:paraId="75E20DA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47</w:t>
            </w:r>
          </w:p>
        </w:tc>
        <w:tc>
          <w:tcPr>
            <w:tcW w:w="1251" w:type="pct"/>
            <w:shd w:val="clear" w:color="auto" w:fill="auto"/>
            <w:noWrap w:val="0"/>
            <w:vAlign w:val="center"/>
          </w:tcPr>
          <w:p w14:paraId="09C1FCC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0.029</w:t>
            </w:r>
          </w:p>
        </w:tc>
      </w:tr>
      <w:tr w14:paraId="49BB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C7E8B8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-46</w:t>
            </w:r>
          </w:p>
        </w:tc>
        <w:tc>
          <w:tcPr>
            <w:tcW w:w="1250" w:type="pct"/>
            <w:noWrap w:val="0"/>
            <w:vAlign w:val="center"/>
          </w:tcPr>
          <w:p w14:paraId="0D2B2C3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0.031</w:t>
            </w:r>
          </w:p>
        </w:tc>
        <w:tc>
          <w:tcPr>
            <w:tcW w:w="1250" w:type="pct"/>
            <w:shd w:val="clear" w:color="auto" w:fill="auto"/>
            <w:noWrap w:val="0"/>
            <w:vAlign w:val="center"/>
          </w:tcPr>
          <w:p w14:paraId="2AE9E9D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46</w:t>
            </w:r>
          </w:p>
        </w:tc>
        <w:tc>
          <w:tcPr>
            <w:tcW w:w="1251" w:type="pct"/>
            <w:shd w:val="clear" w:color="auto" w:fill="auto"/>
            <w:noWrap w:val="0"/>
            <w:vAlign w:val="center"/>
          </w:tcPr>
          <w:p w14:paraId="4FCA3A7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0.031</w:t>
            </w:r>
          </w:p>
        </w:tc>
      </w:tr>
      <w:tr w14:paraId="5378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C681BA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-45</w:t>
            </w:r>
          </w:p>
        </w:tc>
        <w:tc>
          <w:tcPr>
            <w:tcW w:w="1250" w:type="pct"/>
            <w:noWrap w:val="0"/>
            <w:vAlign w:val="center"/>
          </w:tcPr>
          <w:p w14:paraId="1414066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0.032</w:t>
            </w:r>
          </w:p>
        </w:tc>
        <w:tc>
          <w:tcPr>
            <w:tcW w:w="1250" w:type="pct"/>
            <w:shd w:val="clear" w:color="auto" w:fill="auto"/>
            <w:noWrap w:val="0"/>
            <w:vAlign w:val="center"/>
          </w:tcPr>
          <w:p w14:paraId="4C621C6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45</w:t>
            </w:r>
          </w:p>
        </w:tc>
        <w:tc>
          <w:tcPr>
            <w:tcW w:w="1251" w:type="pct"/>
            <w:shd w:val="clear" w:color="auto" w:fill="auto"/>
            <w:noWrap w:val="0"/>
            <w:vAlign w:val="center"/>
          </w:tcPr>
          <w:p w14:paraId="28A12AE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0.032</w:t>
            </w:r>
          </w:p>
        </w:tc>
      </w:tr>
      <w:tr w14:paraId="7BB5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7" w:type="pct"/>
            <w:shd w:val="clear" w:color="auto" w:fill="auto"/>
            <w:noWrap w:val="0"/>
            <w:vAlign w:val="center"/>
          </w:tcPr>
          <w:p w14:paraId="28CD16E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-44</w:t>
            </w:r>
          </w:p>
        </w:tc>
        <w:tc>
          <w:tcPr>
            <w:tcW w:w="1250" w:type="pct"/>
            <w:noWrap w:val="0"/>
            <w:vAlign w:val="center"/>
          </w:tcPr>
          <w:p w14:paraId="2C2257E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0.034</w:t>
            </w:r>
          </w:p>
        </w:tc>
        <w:tc>
          <w:tcPr>
            <w:tcW w:w="1250" w:type="pct"/>
            <w:shd w:val="clear" w:color="auto" w:fill="auto"/>
            <w:noWrap w:val="0"/>
            <w:vAlign w:val="center"/>
          </w:tcPr>
          <w:p w14:paraId="285DA1A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44</w:t>
            </w:r>
          </w:p>
        </w:tc>
        <w:tc>
          <w:tcPr>
            <w:tcW w:w="1251" w:type="pct"/>
            <w:shd w:val="clear" w:color="auto" w:fill="auto"/>
            <w:noWrap w:val="0"/>
            <w:vAlign w:val="center"/>
          </w:tcPr>
          <w:p w14:paraId="0453E3C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0.034</w:t>
            </w:r>
          </w:p>
        </w:tc>
      </w:tr>
      <w:tr w14:paraId="54B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86925E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-43</w:t>
            </w:r>
          </w:p>
        </w:tc>
        <w:tc>
          <w:tcPr>
            <w:tcW w:w="1250" w:type="pct"/>
            <w:noWrap w:val="0"/>
            <w:vAlign w:val="center"/>
          </w:tcPr>
          <w:p w14:paraId="019E1EF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0.035</w:t>
            </w:r>
          </w:p>
        </w:tc>
        <w:tc>
          <w:tcPr>
            <w:tcW w:w="1250" w:type="pct"/>
            <w:shd w:val="clear" w:color="auto" w:fill="auto"/>
            <w:noWrap w:val="0"/>
            <w:vAlign w:val="center"/>
          </w:tcPr>
          <w:p w14:paraId="0DE5054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43</w:t>
            </w:r>
          </w:p>
        </w:tc>
        <w:tc>
          <w:tcPr>
            <w:tcW w:w="1251" w:type="pct"/>
            <w:shd w:val="clear" w:color="auto" w:fill="auto"/>
            <w:noWrap w:val="0"/>
            <w:vAlign w:val="center"/>
          </w:tcPr>
          <w:p w14:paraId="57459DF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0.035</w:t>
            </w:r>
          </w:p>
        </w:tc>
      </w:tr>
      <w:tr w14:paraId="0B0A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CD6536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-42</w:t>
            </w:r>
          </w:p>
        </w:tc>
        <w:tc>
          <w:tcPr>
            <w:tcW w:w="1250" w:type="pct"/>
            <w:noWrap w:val="0"/>
            <w:vAlign w:val="center"/>
          </w:tcPr>
          <w:p w14:paraId="5910A56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0.037</w:t>
            </w:r>
          </w:p>
        </w:tc>
        <w:tc>
          <w:tcPr>
            <w:tcW w:w="1250" w:type="pct"/>
            <w:shd w:val="clear" w:color="auto" w:fill="auto"/>
            <w:noWrap w:val="0"/>
            <w:vAlign w:val="center"/>
          </w:tcPr>
          <w:p w14:paraId="3041B81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42</w:t>
            </w:r>
          </w:p>
        </w:tc>
        <w:tc>
          <w:tcPr>
            <w:tcW w:w="1251" w:type="pct"/>
            <w:shd w:val="clear" w:color="auto" w:fill="auto"/>
            <w:noWrap w:val="0"/>
            <w:vAlign w:val="center"/>
          </w:tcPr>
          <w:p w14:paraId="01DE78C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0.037</w:t>
            </w:r>
          </w:p>
        </w:tc>
      </w:tr>
      <w:tr w14:paraId="7843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806D17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-41</w:t>
            </w:r>
          </w:p>
        </w:tc>
        <w:tc>
          <w:tcPr>
            <w:tcW w:w="1250" w:type="pct"/>
            <w:noWrap w:val="0"/>
            <w:vAlign w:val="center"/>
          </w:tcPr>
          <w:p w14:paraId="623D865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0.039</w:t>
            </w:r>
          </w:p>
        </w:tc>
        <w:tc>
          <w:tcPr>
            <w:tcW w:w="1250" w:type="pct"/>
            <w:shd w:val="clear" w:color="auto" w:fill="auto"/>
            <w:noWrap w:val="0"/>
            <w:vAlign w:val="center"/>
          </w:tcPr>
          <w:p w14:paraId="79A2520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41</w:t>
            </w:r>
          </w:p>
        </w:tc>
        <w:tc>
          <w:tcPr>
            <w:tcW w:w="1251" w:type="pct"/>
            <w:shd w:val="clear" w:color="auto" w:fill="auto"/>
            <w:noWrap w:val="0"/>
            <w:vAlign w:val="center"/>
          </w:tcPr>
          <w:p w14:paraId="5BF107B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0.039</w:t>
            </w:r>
          </w:p>
        </w:tc>
      </w:tr>
      <w:tr w14:paraId="3939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5821A2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-40</w:t>
            </w:r>
          </w:p>
        </w:tc>
        <w:tc>
          <w:tcPr>
            <w:tcW w:w="1250" w:type="pct"/>
            <w:noWrap w:val="0"/>
            <w:vAlign w:val="center"/>
          </w:tcPr>
          <w:p w14:paraId="47B91E8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0.041</w:t>
            </w:r>
          </w:p>
        </w:tc>
        <w:tc>
          <w:tcPr>
            <w:tcW w:w="1250" w:type="pct"/>
            <w:shd w:val="clear" w:color="auto" w:fill="auto"/>
            <w:noWrap w:val="0"/>
            <w:vAlign w:val="center"/>
          </w:tcPr>
          <w:p w14:paraId="78A1C33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40</w:t>
            </w:r>
          </w:p>
        </w:tc>
        <w:tc>
          <w:tcPr>
            <w:tcW w:w="1251" w:type="pct"/>
            <w:shd w:val="clear" w:color="auto" w:fill="auto"/>
            <w:noWrap w:val="0"/>
            <w:vAlign w:val="center"/>
          </w:tcPr>
          <w:p w14:paraId="52BA5DB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0.041</w:t>
            </w:r>
          </w:p>
        </w:tc>
      </w:tr>
      <w:tr w14:paraId="1F74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C4F46C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-39</w:t>
            </w:r>
          </w:p>
        </w:tc>
        <w:tc>
          <w:tcPr>
            <w:tcW w:w="1250" w:type="pct"/>
            <w:noWrap w:val="0"/>
            <w:vAlign w:val="center"/>
          </w:tcPr>
          <w:p w14:paraId="323E71D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0.043</w:t>
            </w:r>
          </w:p>
        </w:tc>
        <w:tc>
          <w:tcPr>
            <w:tcW w:w="1250" w:type="pct"/>
            <w:shd w:val="clear" w:color="auto" w:fill="auto"/>
            <w:noWrap w:val="0"/>
            <w:vAlign w:val="center"/>
          </w:tcPr>
          <w:p w14:paraId="3FD5802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39</w:t>
            </w:r>
          </w:p>
        </w:tc>
        <w:tc>
          <w:tcPr>
            <w:tcW w:w="1251" w:type="pct"/>
            <w:shd w:val="clear" w:color="auto" w:fill="auto"/>
            <w:noWrap w:val="0"/>
            <w:vAlign w:val="center"/>
          </w:tcPr>
          <w:p w14:paraId="42ECC92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0.043</w:t>
            </w:r>
          </w:p>
        </w:tc>
      </w:tr>
      <w:tr w14:paraId="16EE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2F2F3A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-38</w:t>
            </w:r>
          </w:p>
        </w:tc>
        <w:tc>
          <w:tcPr>
            <w:tcW w:w="1250" w:type="pct"/>
            <w:noWrap w:val="0"/>
            <w:vAlign w:val="center"/>
          </w:tcPr>
          <w:p w14:paraId="6B3B79E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0.046</w:t>
            </w:r>
          </w:p>
        </w:tc>
        <w:tc>
          <w:tcPr>
            <w:tcW w:w="1250" w:type="pct"/>
            <w:shd w:val="clear" w:color="auto" w:fill="auto"/>
            <w:noWrap w:val="0"/>
            <w:vAlign w:val="center"/>
          </w:tcPr>
          <w:p w14:paraId="0AF76F0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38</w:t>
            </w:r>
          </w:p>
        </w:tc>
        <w:tc>
          <w:tcPr>
            <w:tcW w:w="1251" w:type="pct"/>
            <w:shd w:val="clear" w:color="auto" w:fill="auto"/>
            <w:noWrap w:val="0"/>
            <w:vAlign w:val="center"/>
          </w:tcPr>
          <w:p w14:paraId="5A8F478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0.046</w:t>
            </w:r>
          </w:p>
        </w:tc>
      </w:tr>
      <w:tr w14:paraId="5E73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2BF1D4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-37</w:t>
            </w:r>
          </w:p>
        </w:tc>
        <w:tc>
          <w:tcPr>
            <w:tcW w:w="1250" w:type="pct"/>
            <w:noWrap w:val="0"/>
            <w:vAlign w:val="center"/>
          </w:tcPr>
          <w:p w14:paraId="2CAE20E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0.049</w:t>
            </w:r>
          </w:p>
        </w:tc>
        <w:tc>
          <w:tcPr>
            <w:tcW w:w="1250" w:type="pct"/>
            <w:shd w:val="clear" w:color="auto" w:fill="auto"/>
            <w:noWrap w:val="0"/>
            <w:vAlign w:val="center"/>
          </w:tcPr>
          <w:p w14:paraId="4D10952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37</w:t>
            </w:r>
          </w:p>
        </w:tc>
        <w:tc>
          <w:tcPr>
            <w:tcW w:w="1251" w:type="pct"/>
            <w:shd w:val="clear" w:color="auto" w:fill="auto"/>
            <w:noWrap w:val="0"/>
            <w:vAlign w:val="center"/>
          </w:tcPr>
          <w:p w14:paraId="6444607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0.049</w:t>
            </w:r>
          </w:p>
        </w:tc>
      </w:tr>
      <w:tr w14:paraId="646D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81E726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-36</w:t>
            </w:r>
          </w:p>
        </w:tc>
        <w:tc>
          <w:tcPr>
            <w:tcW w:w="1250" w:type="pct"/>
            <w:noWrap w:val="0"/>
            <w:vAlign w:val="center"/>
          </w:tcPr>
          <w:p w14:paraId="4CCC4ED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0.052</w:t>
            </w:r>
          </w:p>
        </w:tc>
        <w:tc>
          <w:tcPr>
            <w:tcW w:w="1250" w:type="pct"/>
            <w:shd w:val="clear" w:color="auto" w:fill="auto"/>
            <w:noWrap w:val="0"/>
            <w:vAlign w:val="center"/>
          </w:tcPr>
          <w:p w14:paraId="20E0757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36</w:t>
            </w:r>
          </w:p>
        </w:tc>
        <w:tc>
          <w:tcPr>
            <w:tcW w:w="1251" w:type="pct"/>
            <w:shd w:val="clear" w:color="auto" w:fill="auto"/>
            <w:noWrap w:val="0"/>
            <w:vAlign w:val="center"/>
          </w:tcPr>
          <w:p w14:paraId="30A506F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0.052</w:t>
            </w:r>
          </w:p>
        </w:tc>
      </w:tr>
      <w:tr w14:paraId="62D5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267DBC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-35</w:t>
            </w:r>
          </w:p>
        </w:tc>
        <w:tc>
          <w:tcPr>
            <w:tcW w:w="1250" w:type="pct"/>
            <w:noWrap w:val="0"/>
            <w:vAlign w:val="center"/>
          </w:tcPr>
          <w:p w14:paraId="5EBE991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0.055</w:t>
            </w:r>
          </w:p>
        </w:tc>
        <w:tc>
          <w:tcPr>
            <w:tcW w:w="1250" w:type="pct"/>
            <w:shd w:val="clear" w:color="auto" w:fill="auto"/>
            <w:noWrap w:val="0"/>
            <w:vAlign w:val="center"/>
          </w:tcPr>
          <w:p w14:paraId="5D8FA74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35</w:t>
            </w:r>
          </w:p>
        </w:tc>
        <w:tc>
          <w:tcPr>
            <w:tcW w:w="1251" w:type="pct"/>
            <w:shd w:val="clear" w:color="auto" w:fill="auto"/>
            <w:noWrap w:val="0"/>
            <w:vAlign w:val="center"/>
          </w:tcPr>
          <w:p w14:paraId="646CC4A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0.055</w:t>
            </w:r>
          </w:p>
        </w:tc>
      </w:tr>
      <w:tr w14:paraId="2A43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074044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-34</w:t>
            </w:r>
          </w:p>
        </w:tc>
        <w:tc>
          <w:tcPr>
            <w:tcW w:w="1250" w:type="pct"/>
            <w:noWrap w:val="0"/>
            <w:vAlign w:val="center"/>
          </w:tcPr>
          <w:p w14:paraId="2DE0F70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0.059</w:t>
            </w:r>
          </w:p>
        </w:tc>
        <w:tc>
          <w:tcPr>
            <w:tcW w:w="1250" w:type="pct"/>
            <w:shd w:val="clear" w:color="auto" w:fill="auto"/>
            <w:noWrap w:val="0"/>
            <w:vAlign w:val="center"/>
          </w:tcPr>
          <w:p w14:paraId="3F79220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34</w:t>
            </w:r>
          </w:p>
        </w:tc>
        <w:tc>
          <w:tcPr>
            <w:tcW w:w="1251" w:type="pct"/>
            <w:shd w:val="clear" w:color="auto" w:fill="auto"/>
            <w:noWrap w:val="0"/>
            <w:vAlign w:val="center"/>
          </w:tcPr>
          <w:p w14:paraId="13E59FF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0.059</w:t>
            </w:r>
          </w:p>
        </w:tc>
      </w:tr>
      <w:tr w14:paraId="4FAD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26160A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-33</w:t>
            </w:r>
          </w:p>
        </w:tc>
        <w:tc>
          <w:tcPr>
            <w:tcW w:w="1250" w:type="pct"/>
            <w:noWrap w:val="0"/>
            <w:vAlign w:val="center"/>
          </w:tcPr>
          <w:p w14:paraId="1C10CD0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0.063</w:t>
            </w:r>
          </w:p>
        </w:tc>
        <w:tc>
          <w:tcPr>
            <w:tcW w:w="1250" w:type="pct"/>
            <w:shd w:val="clear" w:color="auto" w:fill="auto"/>
            <w:noWrap w:val="0"/>
            <w:vAlign w:val="center"/>
          </w:tcPr>
          <w:p w14:paraId="54781A1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33</w:t>
            </w:r>
          </w:p>
        </w:tc>
        <w:tc>
          <w:tcPr>
            <w:tcW w:w="1251" w:type="pct"/>
            <w:shd w:val="clear" w:color="auto" w:fill="auto"/>
            <w:noWrap w:val="0"/>
            <w:vAlign w:val="center"/>
          </w:tcPr>
          <w:p w14:paraId="0297EFA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0.063</w:t>
            </w:r>
          </w:p>
        </w:tc>
      </w:tr>
      <w:tr w14:paraId="7C48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D86EA4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-32</w:t>
            </w:r>
          </w:p>
        </w:tc>
        <w:tc>
          <w:tcPr>
            <w:tcW w:w="1250" w:type="pct"/>
            <w:noWrap w:val="0"/>
            <w:vAlign w:val="center"/>
          </w:tcPr>
          <w:p w14:paraId="4DDC164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0.067</w:t>
            </w:r>
          </w:p>
        </w:tc>
        <w:tc>
          <w:tcPr>
            <w:tcW w:w="1250" w:type="pct"/>
            <w:shd w:val="clear" w:color="auto" w:fill="auto"/>
            <w:noWrap w:val="0"/>
            <w:vAlign w:val="center"/>
          </w:tcPr>
          <w:p w14:paraId="76F9B86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32</w:t>
            </w:r>
          </w:p>
        </w:tc>
        <w:tc>
          <w:tcPr>
            <w:tcW w:w="1251" w:type="pct"/>
            <w:shd w:val="clear" w:color="auto" w:fill="auto"/>
            <w:noWrap w:val="0"/>
            <w:vAlign w:val="center"/>
          </w:tcPr>
          <w:p w14:paraId="12EB47F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0.067</w:t>
            </w:r>
          </w:p>
        </w:tc>
      </w:tr>
      <w:tr w14:paraId="2225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85FEE3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-31</w:t>
            </w:r>
          </w:p>
        </w:tc>
        <w:tc>
          <w:tcPr>
            <w:tcW w:w="1250" w:type="pct"/>
            <w:noWrap w:val="0"/>
            <w:vAlign w:val="center"/>
          </w:tcPr>
          <w:p w14:paraId="2756DEA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0.072</w:t>
            </w:r>
          </w:p>
        </w:tc>
        <w:tc>
          <w:tcPr>
            <w:tcW w:w="1250" w:type="pct"/>
            <w:shd w:val="clear" w:color="auto" w:fill="auto"/>
            <w:noWrap w:val="0"/>
            <w:vAlign w:val="center"/>
          </w:tcPr>
          <w:p w14:paraId="623A59B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31</w:t>
            </w:r>
          </w:p>
        </w:tc>
        <w:tc>
          <w:tcPr>
            <w:tcW w:w="1251" w:type="pct"/>
            <w:shd w:val="clear" w:color="auto" w:fill="auto"/>
            <w:noWrap w:val="0"/>
            <w:vAlign w:val="center"/>
          </w:tcPr>
          <w:p w14:paraId="01A104A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0.072</w:t>
            </w:r>
          </w:p>
        </w:tc>
      </w:tr>
      <w:tr w14:paraId="3E28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52465C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-30</w:t>
            </w:r>
          </w:p>
        </w:tc>
        <w:tc>
          <w:tcPr>
            <w:tcW w:w="1250" w:type="pct"/>
            <w:noWrap w:val="0"/>
            <w:vAlign w:val="center"/>
          </w:tcPr>
          <w:p w14:paraId="0CD291F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0.078</w:t>
            </w:r>
          </w:p>
        </w:tc>
        <w:tc>
          <w:tcPr>
            <w:tcW w:w="1250" w:type="pct"/>
            <w:shd w:val="clear" w:color="auto" w:fill="auto"/>
            <w:noWrap w:val="0"/>
            <w:vAlign w:val="center"/>
          </w:tcPr>
          <w:p w14:paraId="539DCC6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30</w:t>
            </w:r>
          </w:p>
        </w:tc>
        <w:tc>
          <w:tcPr>
            <w:tcW w:w="1251" w:type="pct"/>
            <w:shd w:val="clear" w:color="auto" w:fill="auto"/>
            <w:noWrap w:val="0"/>
            <w:vAlign w:val="center"/>
          </w:tcPr>
          <w:p w14:paraId="66FC070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0.078</w:t>
            </w:r>
          </w:p>
        </w:tc>
      </w:tr>
      <w:tr w14:paraId="5129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EDCB65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-29</w:t>
            </w:r>
          </w:p>
        </w:tc>
        <w:tc>
          <w:tcPr>
            <w:tcW w:w="1250" w:type="pct"/>
            <w:noWrap w:val="0"/>
            <w:vAlign w:val="center"/>
          </w:tcPr>
          <w:p w14:paraId="7C7A136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0.084</w:t>
            </w:r>
          </w:p>
        </w:tc>
        <w:tc>
          <w:tcPr>
            <w:tcW w:w="1250" w:type="pct"/>
            <w:shd w:val="clear" w:color="auto" w:fill="auto"/>
            <w:noWrap w:val="0"/>
            <w:vAlign w:val="center"/>
          </w:tcPr>
          <w:p w14:paraId="2530D38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29</w:t>
            </w:r>
          </w:p>
        </w:tc>
        <w:tc>
          <w:tcPr>
            <w:tcW w:w="1251" w:type="pct"/>
            <w:shd w:val="clear" w:color="auto" w:fill="auto"/>
            <w:noWrap w:val="0"/>
            <w:vAlign w:val="center"/>
          </w:tcPr>
          <w:p w14:paraId="7F1B1AC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0.084</w:t>
            </w:r>
          </w:p>
        </w:tc>
      </w:tr>
      <w:tr w14:paraId="3F77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43F5A3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-28</w:t>
            </w:r>
          </w:p>
        </w:tc>
        <w:tc>
          <w:tcPr>
            <w:tcW w:w="1250" w:type="pct"/>
            <w:noWrap w:val="0"/>
            <w:vAlign w:val="center"/>
          </w:tcPr>
          <w:p w14:paraId="3A147DF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0.091</w:t>
            </w:r>
          </w:p>
        </w:tc>
        <w:tc>
          <w:tcPr>
            <w:tcW w:w="1250" w:type="pct"/>
            <w:shd w:val="clear" w:color="auto" w:fill="auto"/>
            <w:noWrap w:val="0"/>
            <w:vAlign w:val="center"/>
          </w:tcPr>
          <w:p w14:paraId="38DAC67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28</w:t>
            </w:r>
          </w:p>
        </w:tc>
        <w:tc>
          <w:tcPr>
            <w:tcW w:w="1251" w:type="pct"/>
            <w:shd w:val="clear" w:color="auto" w:fill="auto"/>
            <w:noWrap w:val="0"/>
            <w:vAlign w:val="center"/>
          </w:tcPr>
          <w:p w14:paraId="47802D5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0.091</w:t>
            </w:r>
          </w:p>
        </w:tc>
      </w:tr>
      <w:tr w14:paraId="29D1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7AB21F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-27</w:t>
            </w:r>
          </w:p>
        </w:tc>
        <w:tc>
          <w:tcPr>
            <w:tcW w:w="1250" w:type="pct"/>
            <w:noWrap w:val="0"/>
            <w:vAlign w:val="center"/>
          </w:tcPr>
          <w:p w14:paraId="3D21142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0.099</w:t>
            </w:r>
          </w:p>
        </w:tc>
        <w:tc>
          <w:tcPr>
            <w:tcW w:w="1250" w:type="pct"/>
            <w:shd w:val="clear" w:color="auto" w:fill="auto"/>
            <w:noWrap w:val="0"/>
            <w:vAlign w:val="center"/>
          </w:tcPr>
          <w:p w14:paraId="63038B7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27</w:t>
            </w:r>
          </w:p>
        </w:tc>
        <w:tc>
          <w:tcPr>
            <w:tcW w:w="1251" w:type="pct"/>
            <w:shd w:val="clear" w:color="auto" w:fill="auto"/>
            <w:noWrap w:val="0"/>
            <w:vAlign w:val="center"/>
          </w:tcPr>
          <w:p w14:paraId="127F14D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0.099</w:t>
            </w:r>
          </w:p>
        </w:tc>
      </w:tr>
      <w:tr w14:paraId="022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84AD7F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-26</w:t>
            </w:r>
          </w:p>
        </w:tc>
        <w:tc>
          <w:tcPr>
            <w:tcW w:w="1250" w:type="pct"/>
            <w:noWrap w:val="0"/>
            <w:vAlign w:val="center"/>
          </w:tcPr>
          <w:p w14:paraId="178731F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0.108</w:t>
            </w:r>
          </w:p>
        </w:tc>
        <w:tc>
          <w:tcPr>
            <w:tcW w:w="1250" w:type="pct"/>
            <w:shd w:val="clear" w:color="auto" w:fill="auto"/>
            <w:noWrap w:val="0"/>
            <w:vAlign w:val="center"/>
          </w:tcPr>
          <w:p w14:paraId="59912A6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26</w:t>
            </w:r>
          </w:p>
        </w:tc>
        <w:tc>
          <w:tcPr>
            <w:tcW w:w="1251" w:type="pct"/>
            <w:shd w:val="clear" w:color="auto" w:fill="auto"/>
            <w:noWrap w:val="0"/>
            <w:vAlign w:val="center"/>
          </w:tcPr>
          <w:p w14:paraId="0931481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0.108</w:t>
            </w:r>
          </w:p>
        </w:tc>
      </w:tr>
      <w:tr w14:paraId="5D32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D620FB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-25</w:t>
            </w:r>
          </w:p>
        </w:tc>
        <w:tc>
          <w:tcPr>
            <w:tcW w:w="1250" w:type="pct"/>
            <w:noWrap w:val="0"/>
            <w:vAlign w:val="center"/>
          </w:tcPr>
          <w:p w14:paraId="4AEC68D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0.118</w:t>
            </w:r>
          </w:p>
        </w:tc>
        <w:tc>
          <w:tcPr>
            <w:tcW w:w="1250" w:type="pct"/>
            <w:shd w:val="clear" w:color="auto" w:fill="auto"/>
            <w:noWrap w:val="0"/>
            <w:vAlign w:val="center"/>
          </w:tcPr>
          <w:p w14:paraId="679F61F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25</w:t>
            </w:r>
          </w:p>
        </w:tc>
        <w:tc>
          <w:tcPr>
            <w:tcW w:w="1251" w:type="pct"/>
            <w:shd w:val="clear" w:color="auto" w:fill="auto"/>
            <w:noWrap w:val="0"/>
            <w:vAlign w:val="center"/>
          </w:tcPr>
          <w:p w14:paraId="6248B00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0.118</w:t>
            </w:r>
          </w:p>
        </w:tc>
      </w:tr>
      <w:tr w14:paraId="4500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71AB50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-24</w:t>
            </w:r>
          </w:p>
        </w:tc>
        <w:tc>
          <w:tcPr>
            <w:tcW w:w="1250" w:type="pct"/>
            <w:noWrap w:val="0"/>
            <w:vAlign w:val="center"/>
          </w:tcPr>
          <w:p w14:paraId="4223604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0.130</w:t>
            </w:r>
          </w:p>
        </w:tc>
        <w:tc>
          <w:tcPr>
            <w:tcW w:w="1250" w:type="pct"/>
            <w:shd w:val="clear" w:color="auto" w:fill="auto"/>
            <w:noWrap w:val="0"/>
            <w:vAlign w:val="center"/>
          </w:tcPr>
          <w:p w14:paraId="178F5D0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24</w:t>
            </w:r>
          </w:p>
        </w:tc>
        <w:tc>
          <w:tcPr>
            <w:tcW w:w="1251" w:type="pct"/>
            <w:shd w:val="clear" w:color="auto" w:fill="auto"/>
            <w:noWrap w:val="0"/>
            <w:vAlign w:val="center"/>
          </w:tcPr>
          <w:p w14:paraId="6EDD545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0.130</w:t>
            </w:r>
          </w:p>
        </w:tc>
      </w:tr>
      <w:tr w14:paraId="7C07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71AF8F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-23</w:t>
            </w:r>
          </w:p>
        </w:tc>
        <w:tc>
          <w:tcPr>
            <w:tcW w:w="1250" w:type="pct"/>
            <w:noWrap w:val="0"/>
            <w:vAlign w:val="center"/>
          </w:tcPr>
          <w:p w14:paraId="59971F6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0.144</w:t>
            </w:r>
          </w:p>
        </w:tc>
        <w:tc>
          <w:tcPr>
            <w:tcW w:w="1250" w:type="pct"/>
            <w:shd w:val="clear" w:color="auto" w:fill="auto"/>
            <w:noWrap w:val="0"/>
            <w:vAlign w:val="center"/>
          </w:tcPr>
          <w:p w14:paraId="1D16981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23</w:t>
            </w:r>
          </w:p>
        </w:tc>
        <w:tc>
          <w:tcPr>
            <w:tcW w:w="1251" w:type="pct"/>
            <w:shd w:val="clear" w:color="auto" w:fill="auto"/>
            <w:noWrap w:val="0"/>
            <w:vAlign w:val="center"/>
          </w:tcPr>
          <w:p w14:paraId="38FECFE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0.144</w:t>
            </w:r>
          </w:p>
        </w:tc>
      </w:tr>
      <w:tr w14:paraId="1EF1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BD40E4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-22</w:t>
            </w:r>
          </w:p>
        </w:tc>
        <w:tc>
          <w:tcPr>
            <w:tcW w:w="1250" w:type="pct"/>
            <w:noWrap w:val="0"/>
            <w:vAlign w:val="center"/>
          </w:tcPr>
          <w:p w14:paraId="4ED45B2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0.160</w:t>
            </w:r>
          </w:p>
        </w:tc>
        <w:tc>
          <w:tcPr>
            <w:tcW w:w="1250" w:type="pct"/>
            <w:shd w:val="clear" w:color="auto" w:fill="auto"/>
            <w:noWrap w:val="0"/>
            <w:vAlign w:val="center"/>
          </w:tcPr>
          <w:p w14:paraId="7A2D412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22</w:t>
            </w:r>
          </w:p>
        </w:tc>
        <w:tc>
          <w:tcPr>
            <w:tcW w:w="1251" w:type="pct"/>
            <w:shd w:val="clear" w:color="auto" w:fill="auto"/>
            <w:noWrap w:val="0"/>
            <w:vAlign w:val="center"/>
          </w:tcPr>
          <w:p w14:paraId="25D9416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0.160</w:t>
            </w:r>
          </w:p>
        </w:tc>
      </w:tr>
      <w:tr w14:paraId="4F00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288963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-21</w:t>
            </w:r>
          </w:p>
        </w:tc>
        <w:tc>
          <w:tcPr>
            <w:tcW w:w="1250" w:type="pct"/>
            <w:noWrap w:val="0"/>
            <w:vAlign w:val="center"/>
          </w:tcPr>
          <w:p w14:paraId="1DE1F53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0.179</w:t>
            </w:r>
          </w:p>
        </w:tc>
        <w:tc>
          <w:tcPr>
            <w:tcW w:w="1250" w:type="pct"/>
            <w:shd w:val="clear" w:color="auto" w:fill="auto"/>
            <w:noWrap w:val="0"/>
            <w:vAlign w:val="center"/>
          </w:tcPr>
          <w:p w14:paraId="4B71970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21</w:t>
            </w:r>
          </w:p>
        </w:tc>
        <w:tc>
          <w:tcPr>
            <w:tcW w:w="1251" w:type="pct"/>
            <w:shd w:val="clear" w:color="auto" w:fill="auto"/>
            <w:noWrap w:val="0"/>
            <w:vAlign w:val="center"/>
          </w:tcPr>
          <w:p w14:paraId="078C3A7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0.179</w:t>
            </w:r>
          </w:p>
        </w:tc>
      </w:tr>
      <w:tr w14:paraId="2270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D20CF2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0" w:type="pct"/>
            <w:noWrap w:val="0"/>
            <w:vAlign w:val="center"/>
          </w:tcPr>
          <w:p w14:paraId="14589CF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0.202</w:t>
            </w:r>
          </w:p>
        </w:tc>
        <w:tc>
          <w:tcPr>
            <w:tcW w:w="1250" w:type="pct"/>
            <w:shd w:val="clear" w:color="auto" w:fill="auto"/>
            <w:noWrap w:val="0"/>
            <w:vAlign w:val="center"/>
          </w:tcPr>
          <w:p w14:paraId="383C482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1" w:type="pct"/>
            <w:shd w:val="clear" w:color="auto" w:fill="auto"/>
            <w:noWrap w:val="0"/>
            <w:vAlign w:val="center"/>
          </w:tcPr>
          <w:p w14:paraId="16C5D05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0.202</w:t>
            </w:r>
          </w:p>
        </w:tc>
      </w:tr>
      <w:tr w14:paraId="1F16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9A8614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0" w:type="pct"/>
            <w:noWrap w:val="0"/>
            <w:vAlign w:val="center"/>
          </w:tcPr>
          <w:p w14:paraId="688120B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0.229</w:t>
            </w:r>
          </w:p>
        </w:tc>
        <w:tc>
          <w:tcPr>
            <w:tcW w:w="1250" w:type="pct"/>
            <w:shd w:val="clear" w:color="auto" w:fill="auto"/>
            <w:noWrap w:val="0"/>
            <w:vAlign w:val="center"/>
          </w:tcPr>
          <w:p w14:paraId="4D7999C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1" w:type="pct"/>
            <w:shd w:val="clear" w:color="auto" w:fill="auto"/>
            <w:noWrap w:val="0"/>
            <w:vAlign w:val="center"/>
          </w:tcPr>
          <w:p w14:paraId="304EDA9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0.229</w:t>
            </w:r>
          </w:p>
        </w:tc>
      </w:tr>
      <w:tr w14:paraId="3524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23CBE1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0" w:type="pct"/>
            <w:noWrap w:val="0"/>
            <w:vAlign w:val="center"/>
          </w:tcPr>
          <w:p w14:paraId="2041494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0.261</w:t>
            </w:r>
          </w:p>
        </w:tc>
        <w:tc>
          <w:tcPr>
            <w:tcW w:w="1250" w:type="pct"/>
            <w:shd w:val="clear" w:color="auto" w:fill="auto"/>
            <w:noWrap w:val="0"/>
            <w:vAlign w:val="center"/>
          </w:tcPr>
          <w:p w14:paraId="5DDA433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1" w:type="pct"/>
            <w:shd w:val="clear" w:color="auto" w:fill="auto"/>
            <w:noWrap w:val="0"/>
            <w:vAlign w:val="center"/>
          </w:tcPr>
          <w:p w14:paraId="1CAF79D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0.261</w:t>
            </w:r>
          </w:p>
        </w:tc>
      </w:tr>
      <w:tr w14:paraId="3CB7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BE21F3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0" w:type="pct"/>
            <w:noWrap w:val="0"/>
            <w:vAlign w:val="center"/>
          </w:tcPr>
          <w:p w14:paraId="79BB23F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0.299</w:t>
            </w:r>
          </w:p>
        </w:tc>
        <w:tc>
          <w:tcPr>
            <w:tcW w:w="1250" w:type="pct"/>
            <w:shd w:val="clear" w:color="auto" w:fill="auto"/>
            <w:noWrap w:val="0"/>
            <w:vAlign w:val="center"/>
          </w:tcPr>
          <w:p w14:paraId="7E43D5C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1" w:type="pct"/>
            <w:shd w:val="clear" w:color="auto" w:fill="auto"/>
            <w:noWrap w:val="0"/>
            <w:vAlign w:val="center"/>
          </w:tcPr>
          <w:p w14:paraId="34A8C22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0.299</w:t>
            </w:r>
          </w:p>
        </w:tc>
      </w:tr>
      <w:tr w14:paraId="4AFF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6AB91D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0" w:type="pct"/>
            <w:noWrap w:val="0"/>
            <w:vAlign w:val="center"/>
          </w:tcPr>
          <w:p w14:paraId="016D1A3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0.346</w:t>
            </w:r>
          </w:p>
        </w:tc>
        <w:tc>
          <w:tcPr>
            <w:tcW w:w="1250" w:type="pct"/>
            <w:shd w:val="clear" w:color="auto" w:fill="auto"/>
            <w:noWrap w:val="0"/>
            <w:vAlign w:val="center"/>
          </w:tcPr>
          <w:p w14:paraId="402E178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1" w:type="pct"/>
            <w:shd w:val="clear" w:color="auto" w:fill="auto"/>
            <w:noWrap w:val="0"/>
            <w:vAlign w:val="center"/>
          </w:tcPr>
          <w:p w14:paraId="5E7A04A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0.346</w:t>
            </w:r>
          </w:p>
        </w:tc>
      </w:tr>
      <w:tr w14:paraId="6079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67B4DB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0" w:type="pct"/>
            <w:noWrap w:val="0"/>
            <w:vAlign w:val="center"/>
          </w:tcPr>
          <w:p w14:paraId="0A115F5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0.403</w:t>
            </w:r>
          </w:p>
        </w:tc>
        <w:tc>
          <w:tcPr>
            <w:tcW w:w="1250" w:type="pct"/>
            <w:shd w:val="clear" w:color="auto" w:fill="auto"/>
            <w:noWrap w:val="0"/>
            <w:vAlign w:val="center"/>
          </w:tcPr>
          <w:p w14:paraId="5BFA074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1" w:type="pct"/>
            <w:shd w:val="clear" w:color="auto" w:fill="auto"/>
            <w:noWrap w:val="0"/>
            <w:vAlign w:val="center"/>
          </w:tcPr>
          <w:p w14:paraId="4ED3CEF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0.403</w:t>
            </w:r>
          </w:p>
        </w:tc>
      </w:tr>
      <w:tr w14:paraId="4929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B0631E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0" w:type="pct"/>
            <w:noWrap w:val="0"/>
            <w:vAlign w:val="center"/>
          </w:tcPr>
          <w:p w14:paraId="6A1A932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0.473</w:t>
            </w:r>
          </w:p>
        </w:tc>
        <w:tc>
          <w:tcPr>
            <w:tcW w:w="1250" w:type="pct"/>
            <w:shd w:val="clear" w:color="auto" w:fill="auto"/>
            <w:noWrap w:val="0"/>
            <w:vAlign w:val="center"/>
          </w:tcPr>
          <w:p w14:paraId="1FA799E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1" w:type="pct"/>
            <w:shd w:val="clear" w:color="auto" w:fill="auto"/>
            <w:noWrap w:val="0"/>
            <w:vAlign w:val="center"/>
          </w:tcPr>
          <w:p w14:paraId="287755A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0.473</w:t>
            </w:r>
          </w:p>
        </w:tc>
      </w:tr>
      <w:tr w14:paraId="11FF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CC2202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0" w:type="pct"/>
            <w:noWrap w:val="0"/>
            <w:vAlign w:val="center"/>
          </w:tcPr>
          <w:p w14:paraId="49A4EE2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0.558</w:t>
            </w:r>
          </w:p>
        </w:tc>
        <w:tc>
          <w:tcPr>
            <w:tcW w:w="1250" w:type="pct"/>
            <w:shd w:val="clear" w:color="auto" w:fill="auto"/>
            <w:noWrap w:val="0"/>
            <w:vAlign w:val="center"/>
          </w:tcPr>
          <w:p w14:paraId="4D7C9A0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1" w:type="pct"/>
            <w:shd w:val="clear" w:color="auto" w:fill="auto"/>
            <w:noWrap w:val="0"/>
            <w:vAlign w:val="center"/>
          </w:tcPr>
          <w:p w14:paraId="6E56E30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0.558</w:t>
            </w:r>
          </w:p>
        </w:tc>
      </w:tr>
      <w:tr w14:paraId="6DFC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59DD46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0" w:type="pct"/>
            <w:noWrap w:val="0"/>
            <w:vAlign w:val="center"/>
          </w:tcPr>
          <w:p w14:paraId="567009D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0.662</w:t>
            </w:r>
          </w:p>
        </w:tc>
        <w:tc>
          <w:tcPr>
            <w:tcW w:w="1250" w:type="pct"/>
            <w:shd w:val="clear" w:color="auto" w:fill="auto"/>
            <w:noWrap w:val="0"/>
            <w:vAlign w:val="center"/>
          </w:tcPr>
          <w:p w14:paraId="564FEF9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1" w:type="pct"/>
            <w:shd w:val="clear" w:color="auto" w:fill="auto"/>
            <w:noWrap w:val="0"/>
            <w:vAlign w:val="center"/>
          </w:tcPr>
          <w:p w14:paraId="520DF78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0.662</w:t>
            </w:r>
          </w:p>
        </w:tc>
      </w:tr>
      <w:tr w14:paraId="28BF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C209CD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0" w:type="pct"/>
            <w:noWrap w:val="0"/>
            <w:vAlign w:val="center"/>
          </w:tcPr>
          <w:p w14:paraId="79E8205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0.788</w:t>
            </w:r>
          </w:p>
        </w:tc>
        <w:tc>
          <w:tcPr>
            <w:tcW w:w="1250" w:type="pct"/>
            <w:shd w:val="clear" w:color="auto" w:fill="auto"/>
            <w:noWrap w:val="0"/>
            <w:vAlign w:val="center"/>
          </w:tcPr>
          <w:p w14:paraId="13E6A40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1" w:type="pct"/>
            <w:shd w:val="clear" w:color="auto" w:fill="auto"/>
            <w:noWrap w:val="0"/>
            <w:vAlign w:val="center"/>
          </w:tcPr>
          <w:p w14:paraId="6ABFCEF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0.788</w:t>
            </w:r>
          </w:p>
        </w:tc>
      </w:tr>
      <w:tr w14:paraId="0D6B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C0FD99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0" w:type="pct"/>
            <w:noWrap w:val="0"/>
            <w:vAlign w:val="center"/>
          </w:tcPr>
          <w:p w14:paraId="02D6A08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0.938</w:t>
            </w:r>
          </w:p>
        </w:tc>
        <w:tc>
          <w:tcPr>
            <w:tcW w:w="1250" w:type="pct"/>
            <w:shd w:val="clear" w:color="auto" w:fill="auto"/>
            <w:noWrap w:val="0"/>
            <w:vAlign w:val="center"/>
          </w:tcPr>
          <w:p w14:paraId="292FD24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1" w:type="pct"/>
            <w:shd w:val="clear" w:color="auto" w:fill="auto"/>
            <w:noWrap w:val="0"/>
            <w:vAlign w:val="center"/>
          </w:tcPr>
          <w:p w14:paraId="7BA9D44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0.938</w:t>
            </w:r>
          </w:p>
        </w:tc>
      </w:tr>
      <w:tr w14:paraId="0BE6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5316D5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0" w:type="pct"/>
            <w:noWrap w:val="0"/>
            <w:vAlign w:val="center"/>
          </w:tcPr>
          <w:p w14:paraId="7DED9BD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1.113</w:t>
            </w:r>
          </w:p>
        </w:tc>
        <w:tc>
          <w:tcPr>
            <w:tcW w:w="1250" w:type="pct"/>
            <w:shd w:val="clear" w:color="auto" w:fill="auto"/>
            <w:noWrap w:val="0"/>
            <w:vAlign w:val="center"/>
          </w:tcPr>
          <w:p w14:paraId="71CC551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1" w:type="pct"/>
            <w:shd w:val="clear" w:color="auto" w:fill="auto"/>
            <w:noWrap w:val="0"/>
            <w:vAlign w:val="center"/>
          </w:tcPr>
          <w:p w14:paraId="2964889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1.113</w:t>
            </w:r>
          </w:p>
        </w:tc>
      </w:tr>
      <w:tr w14:paraId="15A5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CD0C6D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0" w:type="pct"/>
            <w:noWrap w:val="0"/>
            <w:vAlign w:val="center"/>
          </w:tcPr>
          <w:p w14:paraId="7F35824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1.306</w:t>
            </w:r>
          </w:p>
        </w:tc>
        <w:tc>
          <w:tcPr>
            <w:tcW w:w="1250" w:type="pct"/>
            <w:shd w:val="clear" w:color="auto" w:fill="auto"/>
            <w:noWrap w:val="0"/>
            <w:vAlign w:val="center"/>
          </w:tcPr>
          <w:p w14:paraId="205F60F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1" w:type="pct"/>
            <w:shd w:val="clear" w:color="auto" w:fill="auto"/>
            <w:noWrap w:val="0"/>
            <w:vAlign w:val="center"/>
          </w:tcPr>
          <w:p w14:paraId="35FDAB3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1.306</w:t>
            </w:r>
          </w:p>
        </w:tc>
      </w:tr>
      <w:tr w14:paraId="52C2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A1F33B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0" w:type="pct"/>
            <w:noWrap w:val="0"/>
            <w:vAlign w:val="center"/>
          </w:tcPr>
          <w:p w14:paraId="238FC1C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1.501</w:t>
            </w:r>
          </w:p>
        </w:tc>
        <w:tc>
          <w:tcPr>
            <w:tcW w:w="1250" w:type="pct"/>
            <w:shd w:val="clear" w:color="auto" w:fill="auto"/>
            <w:noWrap w:val="0"/>
            <w:vAlign w:val="center"/>
          </w:tcPr>
          <w:p w14:paraId="5F1204B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1" w:type="pct"/>
            <w:shd w:val="clear" w:color="auto" w:fill="auto"/>
            <w:noWrap w:val="0"/>
            <w:vAlign w:val="center"/>
          </w:tcPr>
          <w:p w14:paraId="211AE58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1.501</w:t>
            </w:r>
          </w:p>
        </w:tc>
      </w:tr>
      <w:tr w14:paraId="64ED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3A775E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0" w:type="pct"/>
            <w:noWrap w:val="0"/>
            <w:vAlign w:val="center"/>
          </w:tcPr>
          <w:p w14:paraId="3EAAC5C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1.669</w:t>
            </w:r>
          </w:p>
        </w:tc>
        <w:tc>
          <w:tcPr>
            <w:tcW w:w="1250" w:type="pct"/>
            <w:shd w:val="clear" w:color="auto" w:fill="auto"/>
            <w:noWrap w:val="0"/>
            <w:vAlign w:val="center"/>
          </w:tcPr>
          <w:p w14:paraId="094F2E0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1" w:type="pct"/>
            <w:shd w:val="clear" w:color="auto" w:fill="auto"/>
            <w:noWrap w:val="0"/>
            <w:vAlign w:val="center"/>
          </w:tcPr>
          <w:p w14:paraId="1C645F2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1.669</w:t>
            </w:r>
          </w:p>
        </w:tc>
      </w:tr>
      <w:tr w14:paraId="1C6E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6611E9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0" w:type="pct"/>
            <w:noWrap w:val="0"/>
            <w:vAlign w:val="center"/>
          </w:tcPr>
          <w:p w14:paraId="08752A0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1.766</w:t>
            </w:r>
          </w:p>
        </w:tc>
        <w:tc>
          <w:tcPr>
            <w:tcW w:w="1250" w:type="pct"/>
            <w:shd w:val="clear" w:color="auto" w:fill="auto"/>
            <w:noWrap w:val="0"/>
            <w:vAlign w:val="center"/>
          </w:tcPr>
          <w:p w14:paraId="4568782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1" w:type="pct"/>
            <w:shd w:val="clear" w:color="auto" w:fill="auto"/>
            <w:noWrap w:val="0"/>
            <w:vAlign w:val="center"/>
          </w:tcPr>
          <w:p w14:paraId="07164E9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1.766</w:t>
            </w:r>
          </w:p>
        </w:tc>
      </w:tr>
      <w:tr w14:paraId="4B51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879E6B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0" w:type="pct"/>
            <w:noWrap w:val="0"/>
            <w:vAlign w:val="center"/>
          </w:tcPr>
          <w:p w14:paraId="74F9865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1.749</w:t>
            </w:r>
          </w:p>
        </w:tc>
        <w:tc>
          <w:tcPr>
            <w:tcW w:w="1250" w:type="pct"/>
            <w:shd w:val="clear" w:color="auto" w:fill="auto"/>
            <w:noWrap w:val="0"/>
            <w:vAlign w:val="center"/>
          </w:tcPr>
          <w:p w14:paraId="103207A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1" w:type="pct"/>
            <w:shd w:val="clear" w:color="auto" w:fill="auto"/>
            <w:noWrap w:val="0"/>
            <w:vAlign w:val="center"/>
          </w:tcPr>
          <w:p w14:paraId="542C510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1.749</w:t>
            </w:r>
          </w:p>
        </w:tc>
      </w:tr>
      <w:tr w14:paraId="2900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66A4DD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0" w:type="pct"/>
            <w:noWrap w:val="0"/>
            <w:vAlign w:val="center"/>
          </w:tcPr>
          <w:p w14:paraId="68C24B6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1.598</w:t>
            </w:r>
          </w:p>
        </w:tc>
        <w:tc>
          <w:tcPr>
            <w:tcW w:w="1250" w:type="pct"/>
            <w:shd w:val="clear" w:color="auto" w:fill="auto"/>
            <w:noWrap w:val="0"/>
            <w:vAlign w:val="center"/>
          </w:tcPr>
          <w:p w14:paraId="3ECE8A7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1" w:type="pct"/>
            <w:shd w:val="clear" w:color="auto" w:fill="auto"/>
            <w:noWrap w:val="0"/>
            <w:vAlign w:val="center"/>
          </w:tcPr>
          <w:p w14:paraId="76FC124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1.598</w:t>
            </w:r>
          </w:p>
        </w:tc>
      </w:tr>
      <w:tr w14:paraId="1DE1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A1F400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0" w:type="pct"/>
            <w:noWrap w:val="0"/>
            <w:vAlign w:val="center"/>
          </w:tcPr>
          <w:p w14:paraId="49BE66D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1.341</w:t>
            </w:r>
          </w:p>
        </w:tc>
        <w:tc>
          <w:tcPr>
            <w:tcW w:w="1250" w:type="pct"/>
            <w:shd w:val="clear" w:color="auto" w:fill="auto"/>
            <w:noWrap w:val="0"/>
            <w:vAlign w:val="center"/>
          </w:tcPr>
          <w:p w14:paraId="4C56C32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1" w:type="pct"/>
            <w:shd w:val="clear" w:color="auto" w:fill="auto"/>
            <w:noWrap w:val="0"/>
            <w:vAlign w:val="center"/>
          </w:tcPr>
          <w:p w14:paraId="49AA118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1.341</w:t>
            </w:r>
          </w:p>
        </w:tc>
      </w:tr>
      <w:tr w14:paraId="5A96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2C6E1A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0" w:type="pct"/>
            <w:noWrap w:val="0"/>
            <w:vAlign w:val="center"/>
          </w:tcPr>
          <w:p w14:paraId="0F5DFB3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1.070</w:t>
            </w:r>
          </w:p>
        </w:tc>
        <w:tc>
          <w:tcPr>
            <w:tcW w:w="1250" w:type="pct"/>
            <w:shd w:val="clear" w:color="auto" w:fill="auto"/>
            <w:noWrap w:val="0"/>
            <w:vAlign w:val="center"/>
          </w:tcPr>
          <w:p w14:paraId="5E4D87E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1" w:type="pct"/>
            <w:shd w:val="clear" w:color="auto" w:fill="auto"/>
            <w:noWrap w:val="0"/>
            <w:vAlign w:val="center"/>
          </w:tcPr>
          <w:p w14:paraId="7A6E9F0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1.070</w:t>
            </w:r>
          </w:p>
        </w:tc>
      </w:tr>
      <w:tr w14:paraId="4FBE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2648CC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0" w:type="pct"/>
            <w:noWrap w:val="0"/>
            <w:vAlign w:val="center"/>
          </w:tcPr>
          <w:p w14:paraId="6B34E46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0.944</w:t>
            </w:r>
          </w:p>
        </w:tc>
        <w:tc>
          <w:tcPr>
            <w:tcW w:w="1250" w:type="pct"/>
            <w:shd w:val="clear" w:color="auto" w:fill="auto"/>
            <w:noWrap w:val="0"/>
            <w:vAlign w:val="center"/>
          </w:tcPr>
          <w:p w14:paraId="303A8F0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1" w:type="pct"/>
            <w:shd w:val="clear" w:color="auto" w:fill="auto"/>
            <w:noWrap w:val="0"/>
            <w:vAlign w:val="center"/>
          </w:tcPr>
          <w:p w14:paraId="5D436CD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0.944</w:t>
            </w:r>
          </w:p>
        </w:tc>
      </w:tr>
    </w:tbl>
    <w:p w14:paraId="1E632F8D">
      <w:pPr>
        <w:keepNext w:val="0"/>
        <w:keepLines w:val="0"/>
        <w:pageBreakBefore w:val="0"/>
        <w:widowControl w:val="0"/>
        <w:tabs>
          <w:tab w:val="left" w:pos="70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000000"/>
          <w:sz w:val="21"/>
          <w:szCs w:val="21"/>
          <w:highlight w:val="none"/>
          <w:lang w:eastAsia="zh-CN"/>
        </w:rPr>
      </w:pPr>
      <w:r>
        <w:rPr>
          <w:rFonts w:hint="eastAsia" w:ascii="Times New Roman" w:hAnsi="Times New Roman" w:eastAsia="宋体" w:cs="Times New Roman"/>
          <w:b/>
          <w:color w:val="000000"/>
          <w:sz w:val="21"/>
          <w:szCs w:val="21"/>
          <w:highlight w:val="none"/>
          <w:lang w:eastAsia="zh-CN"/>
        </w:rPr>
        <w:drawing>
          <wp:inline distT="0" distB="0" distL="114300" distR="114300">
            <wp:extent cx="5271135" cy="3811270"/>
            <wp:effectExtent l="0" t="0" r="5715" b="17780"/>
            <wp:docPr id="32" name="图片 32" descr="1743151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43151109421"/>
                    <pic:cNvPicPr>
                      <a:picLocks noChangeAspect="1"/>
                    </pic:cNvPicPr>
                  </pic:nvPicPr>
                  <pic:blipFill>
                    <a:blip r:embed="rId65"/>
                    <a:stretch>
                      <a:fillRect/>
                    </a:stretch>
                  </pic:blipFill>
                  <pic:spPr>
                    <a:xfrm>
                      <a:off x="0" y="0"/>
                      <a:ext cx="5271135" cy="3811270"/>
                    </a:xfrm>
                    <a:prstGeom prst="rect">
                      <a:avLst/>
                    </a:prstGeom>
                  </pic:spPr>
                </pic:pic>
              </a:graphicData>
            </a:graphic>
          </wp:inline>
        </w:drawing>
      </w:r>
    </w:p>
    <w:p w14:paraId="3F8BDAFF">
      <w:pPr>
        <w:keepNext w:val="0"/>
        <w:keepLines w:val="0"/>
        <w:pageBreakBefore w:val="0"/>
        <w:widowControl w:val="0"/>
        <w:tabs>
          <w:tab w:val="left" w:pos="7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图</w:t>
      </w:r>
      <w:r>
        <w:rPr>
          <w:rFonts w:hint="default" w:ascii="Times New Roman" w:hAnsi="Times New Roman" w:eastAsia="宋体" w:cs="Times New Roman"/>
          <w:b/>
          <w:color w:val="000000"/>
          <w:sz w:val="21"/>
          <w:szCs w:val="21"/>
          <w:highlight w:val="none"/>
          <w:lang w:val="en-US" w:eastAsia="zh-CN"/>
        </w:rPr>
        <w:t>5-3</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JC1型塔</w:t>
      </w:r>
      <w:r>
        <w:rPr>
          <w:rFonts w:hint="default" w:ascii="Times New Roman" w:hAnsi="Times New Roman" w:eastAsia="宋体" w:cs="Times New Roman"/>
          <w:b/>
          <w:color w:val="000000"/>
          <w:sz w:val="21"/>
          <w:szCs w:val="21"/>
          <w:highlight w:val="none"/>
        </w:rPr>
        <w:t>工频电场强度的总体分布情况</w:t>
      </w:r>
    </w:p>
    <w:p w14:paraId="082394E5">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olor w:val="000000"/>
          <w:sz w:val="24"/>
          <w:szCs w:val="22"/>
          <w:highlight w:val="none"/>
        </w:rPr>
      </w:pPr>
      <w:r>
        <w:rPr>
          <w:rFonts w:hint="default" w:ascii="Times New Roman" w:hAnsi="Times New Roman" w:eastAsia="宋体" w:cs="Times New Roman"/>
          <w:color w:val="000000"/>
          <w:sz w:val="24"/>
          <w:szCs w:val="22"/>
          <w:highlight w:val="none"/>
        </w:rPr>
        <w:t>由表</w:t>
      </w:r>
      <w:r>
        <w:rPr>
          <w:rFonts w:hint="default" w:ascii="Times New Roman" w:hAnsi="Times New Roman" w:eastAsia="宋体" w:cs="Times New Roman"/>
          <w:color w:val="000000"/>
          <w:sz w:val="24"/>
          <w:szCs w:val="22"/>
          <w:highlight w:val="none"/>
          <w:lang w:val="en-US" w:eastAsia="zh-CN"/>
        </w:rPr>
        <w:t>5-</w:t>
      </w:r>
      <w:r>
        <w:rPr>
          <w:rFonts w:hint="eastAsia" w:eastAsia="宋体" w:cs="Times New Roman"/>
          <w:color w:val="000000"/>
          <w:sz w:val="24"/>
          <w:szCs w:val="22"/>
          <w:highlight w:val="none"/>
          <w:lang w:val="en-US" w:eastAsia="zh-CN"/>
        </w:rPr>
        <w:t>2</w:t>
      </w:r>
      <w:r>
        <w:rPr>
          <w:rFonts w:hint="default" w:ascii="Times New Roman" w:hAnsi="Times New Roman" w:eastAsia="宋体" w:cs="Times New Roman"/>
          <w:color w:val="000000"/>
          <w:sz w:val="24"/>
          <w:szCs w:val="22"/>
          <w:highlight w:val="none"/>
        </w:rPr>
        <w:t>及图</w:t>
      </w:r>
      <w:r>
        <w:rPr>
          <w:rFonts w:hint="default" w:ascii="Times New Roman" w:hAnsi="Times New Roman" w:eastAsia="宋体" w:cs="Times New Roman"/>
          <w:color w:val="000000"/>
          <w:sz w:val="24"/>
          <w:szCs w:val="22"/>
          <w:highlight w:val="none"/>
          <w:lang w:val="en-US" w:eastAsia="zh-CN"/>
        </w:rPr>
        <w:t>5-3</w:t>
      </w:r>
      <w:r>
        <w:rPr>
          <w:rFonts w:hint="default" w:ascii="Times New Roman" w:hAnsi="Times New Roman" w:eastAsia="宋体" w:cs="Times New Roman"/>
          <w:color w:val="000000"/>
          <w:sz w:val="24"/>
          <w:szCs w:val="22"/>
          <w:highlight w:val="none"/>
        </w:rPr>
        <w:t>可以看出，</w:t>
      </w:r>
      <w:r>
        <w:rPr>
          <w:rFonts w:hint="eastAsia" w:eastAsia="宋体" w:cs="Times New Roman"/>
          <w:color w:val="000000"/>
          <w:sz w:val="24"/>
          <w:szCs w:val="22"/>
          <w:highlight w:val="none"/>
          <w:lang w:val="en-US" w:eastAsia="zh-CN"/>
        </w:rPr>
        <w:t>7.0m架线高度时，</w:t>
      </w:r>
      <w:r>
        <w:rPr>
          <w:rFonts w:hint="default" w:ascii="Times New Roman" w:hAnsi="Times New Roman" w:eastAsia="宋体" w:cs="Times New Roman"/>
          <w:color w:val="000000"/>
          <w:sz w:val="24"/>
          <w:szCs w:val="22"/>
          <w:highlight w:val="none"/>
        </w:rPr>
        <w:t>工频</w:t>
      </w:r>
      <w:r>
        <w:rPr>
          <w:rFonts w:hint="eastAsia" w:eastAsia="宋体" w:cs="Times New Roman"/>
          <w:color w:val="000000"/>
          <w:sz w:val="24"/>
          <w:szCs w:val="22"/>
          <w:highlight w:val="none"/>
          <w:lang w:eastAsia="zh-CN"/>
        </w:rPr>
        <w:t>电场</w:t>
      </w:r>
      <w:r>
        <w:rPr>
          <w:rFonts w:hint="default" w:ascii="Times New Roman" w:hAnsi="Times New Roman" w:eastAsia="宋体" w:cs="Times New Roman"/>
          <w:color w:val="000000"/>
          <w:sz w:val="24"/>
          <w:szCs w:val="22"/>
          <w:highlight w:val="none"/>
        </w:rPr>
        <w:t>强度最大值出现在距线路中心线投影</w:t>
      </w:r>
      <w:r>
        <w:rPr>
          <w:rFonts w:hint="eastAsia" w:eastAsia="宋体" w:cs="Times New Roman"/>
          <w:color w:val="000000"/>
          <w:sz w:val="24"/>
          <w:szCs w:val="22"/>
          <w:highlight w:val="none"/>
          <w:lang w:val="en-US" w:eastAsia="zh-CN"/>
        </w:rPr>
        <w:t>5</w:t>
      </w:r>
      <w:r>
        <w:rPr>
          <w:rFonts w:hint="default" w:ascii="Times New Roman" w:hAnsi="Times New Roman" w:eastAsia="宋体" w:cs="Times New Roman"/>
          <w:color w:val="000000"/>
          <w:sz w:val="24"/>
          <w:szCs w:val="22"/>
          <w:highlight w:val="none"/>
        </w:rPr>
        <w:t>m处，为</w:t>
      </w:r>
      <w:r>
        <w:rPr>
          <w:rFonts w:hint="eastAsia" w:ascii="Times New Roman" w:eastAsia="宋体"/>
          <w:color w:val="000000"/>
          <w:sz w:val="24"/>
          <w:szCs w:val="22"/>
          <w:highlight w:val="none"/>
          <w:lang w:val="en-US" w:eastAsia="zh-CN"/>
        </w:rPr>
        <w:t>1.766kV/m，</w:t>
      </w:r>
      <w:r>
        <w:rPr>
          <w:rFonts w:hint="default" w:ascii="Times New Roman" w:hAnsi="Times New Roman" w:eastAsia="宋体" w:cs="Times New Roman"/>
          <w:color w:val="000000"/>
          <w:sz w:val="24"/>
          <w:szCs w:val="22"/>
          <w:highlight w:val="none"/>
        </w:rPr>
        <w:t>之后随与此点距离的增加，其值逐步降低</w:t>
      </w:r>
      <w:r>
        <w:rPr>
          <w:rFonts w:hint="eastAsia" w:eastAsia="宋体" w:cs="Times New Roman"/>
          <w:color w:val="000000"/>
          <w:sz w:val="24"/>
          <w:szCs w:val="22"/>
          <w:highlight w:val="none"/>
          <w:lang w:val="en-US" w:eastAsia="zh-CN"/>
        </w:rPr>
        <w:t>,</w:t>
      </w:r>
      <w:r>
        <w:rPr>
          <w:rFonts w:hint="default" w:ascii="Times New Roman" w:hAnsi="Times New Roman" w:eastAsia="宋体" w:cs="Times New Roman"/>
          <w:color w:val="000000"/>
          <w:sz w:val="24"/>
          <w:szCs w:val="22"/>
          <w:highlight w:val="none"/>
        </w:rPr>
        <w:t>所有点位的工频</w:t>
      </w:r>
      <w:r>
        <w:rPr>
          <w:rFonts w:hint="eastAsia" w:eastAsia="宋体" w:cs="Times New Roman"/>
          <w:color w:val="000000"/>
          <w:sz w:val="24"/>
          <w:szCs w:val="22"/>
          <w:highlight w:val="none"/>
          <w:lang w:eastAsia="zh-CN"/>
        </w:rPr>
        <w:t>电场</w:t>
      </w:r>
      <w:r>
        <w:rPr>
          <w:rFonts w:hint="default" w:ascii="Times New Roman" w:hAnsi="Times New Roman" w:eastAsia="宋体" w:cs="Times New Roman"/>
          <w:color w:val="000000"/>
          <w:sz w:val="24"/>
          <w:szCs w:val="22"/>
          <w:highlight w:val="none"/>
        </w:rPr>
        <w:t>强度均</w:t>
      </w:r>
      <w:r>
        <w:rPr>
          <w:rFonts w:hint="eastAsia" w:eastAsia="宋体" w:cs="Times New Roman"/>
          <w:color w:val="000000"/>
          <w:sz w:val="24"/>
          <w:szCs w:val="22"/>
          <w:highlight w:val="none"/>
          <w:lang w:val="en-US" w:eastAsia="zh-CN"/>
        </w:rPr>
        <w:t>满足</w:t>
      </w:r>
      <w:r>
        <w:rPr>
          <w:rFonts w:hint="default" w:ascii="Times New Roman" w:hAnsi="Times New Roman" w:eastAsia="宋体" w:cs="Times New Roman"/>
          <w:color w:val="000000"/>
          <w:sz w:val="24"/>
          <w:szCs w:val="24"/>
          <w:highlight w:val="none"/>
          <w:lang w:eastAsia="zh-CN"/>
        </w:rPr>
        <w:t>《电磁环境控制限值》(GB8702-2014）中规定</w:t>
      </w:r>
      <w:r>
        <w:rPr>
          <w:rFonts w:hint="eastAsia" w:eastAsia="宋体" w:cs="Times New Roman"/>
          <w:color w:val="000000"/>
          <w:sz w:val="24"/>
          <w:szCs w:val="24"/>
          <w:highlight w:val="none"/>
          <w:lang w:val="en-US" w:eastAsia="zh-CN"/>
        </w:rPr>
        <w:t>的</w:t>
      </w:r>
      <w:r>
        <w:rPr>
          <w:rFonts w:hint="default" w:ascii="Times New Roman" w:hAnsi="Times New Roman" w:eastAsia="宋体" w:cs="Times New Roman"/>
          <w:color w:val="000000"/>
          <w:sz w:val="24"/>
          <w:szCs w:val="22"/>
          <w:highlight w:val="none"/>
        </w:rPr>
        <w:t>4kV/m</w:t>
      </w:r>
      <w:r>
        <w:rPr>
          <w:rFonts w:hint="eastAsia"/>
          <w:color w:val="000000"/>
          <w:sz w:val="24"/>
          <w:szCs w:val="22"/>
          <w:highlight w:val="none"/>
        </w:rPr>
        <w:t>公众曝露控制限值要求</w:t>
      </w:r>
      <w:r>
        <w:rPr>
          <w:rFonts w:hint="eastAsia" w:eastAsia="宋体"/>
          <w:color w:val="000000"/>
          <w:sz w:val="24"/>
          <w:szCs w:val="22"/>
          <w:highlight w:val="none"/>
          <w:lang w:eastAsia="zh-CN"/>
        </w:rPr>
        <w:t>（</w:t>
      </w:r>
      <w:r>
        <w:rPr>
          <w:rFonts w:hint="eastAsia" w:ascii="Times New Roman" w:hAnsi="Times New Roman" w:eastAsia="宋体" w:cs="Times New Roman"/>
          <w:color w:val="000000"/>
          <w:sz w:val="24"/>
          <w:szCs w:val="24"/>
          <w:highlight w:val="none"/>
          <w:lang w:val="en-US" w:eastAsia="zh-CN"/>
        </w:rPr>
        <w:t>其中</w:t>
      </w:r>
      <w:r>
        <w:rPr>
          <w:rFonts w:hint="default" w:ascii="Times New Roman" w:hAnsi="Times New Roman" w:eastAsia="宋体" w:cs="Times New Roman"/>
          <w:color w:val="000000"/>
          <w:sz w:val="24"/>
          <w:szCs w:val="24"/>
          <w:highlight w:val="none"/>
          <w:lang w:eastAsia="zh-CN"/>
        </w:rPr>
        <w:t>架空输电线路线下的耕地、园地、牧草地、畜禽饲养地、养殖水面、道路等场所，电场强度</w:t>
      </w:r>
      <w:r>
        <w:rPr>
          <w:rFonts w:hint="eastAsia" w:ascii="Times New Roman" w:hAnsi="Times New Roman" w:eastAsia="宋体" w:cs="Times New Roman"/>
          <w:color w:val="000000"/>
          <w:sz w:val="24"/>
          <w:szCs w:val="24"/>
          <w:highlight w:val="none"/>
          <w:lang w:val="en-US" w:eastAsia="zh-CN"/>
        </w:rPr>
        <w:t>满足</w:t>
      </w:r>
      <w:r>
        <w:rPr>
          <w:rFonts w:hint="default" w:ascii="Times New Roman" w:hAnsi="Times New Roman" w:eastAsia="宋体" w:cs="Times New Roman"/>
          <w:color w:val="000000"/>
          <w:sz w:val="24"/>
          <w:szCs w:val="24"/>
          <w:highlight w:val="none"/>
          <w:lang w:eastAsia="zh-CN"/>
        </w:rPr>
        <w:t>10kV/m</w:t>
      </w:r>
      <w:r>
        <w:rPr>
          <w:rFonts w:hint="eastAsia"/>
          <w:color w:val="000000"/>
          <w:sz w:val="24"/>
          <w:szCs w:val="22"/>
          <w:highlight w:val="none"/>
        </w:rPr>
        <w:t>公众曝露控制限值要求</w:t>
      </w:r>
      <w:r>
        <w:rPr>
          <w:rFonts w:hint="eastAsia" w:eastAsia="宋体"/>
          <w:color w:val="000000"/>
          <w:sz w:val="24"/>
          <w:szCs w:val="22"/>
          <w:highlight w:val="none"/>
          <w:lang w:eastAsia="zh-CN"/>
        </w:rPr>
        <w:t>）</w:t>
      </w:r>
      <w:r>
        <w:rPr>
          <w:rFonts w:hint="default" w:ascii="Times New Roman" w:hAnsi="Times New Roman" w:eastAsia="宋体" w:cs="Times New Roman"/>
          <w:color w:val="000000"/>
          <w:sz w:val="24"/>
          <w:szCs w:val="24"/>
          <w:highlight w:val="none"/>
          <w:lang w:eastAsia="zh-CN"/>
        </w:rPr>
        <w:t>。</w:t>
      </w:r>
    </w:p>
    <w:p w14:paraId="6FF37CF6">
      <w:pPr>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default" w:ascii="Times New Roman" w:hAnsi="Times New Roman" w:eastAsia="宋体" w:cs="Times New Roman"/>
          <w:b/>
          <w:bCs/>
          <w:color w:val="000000"/>
          <w:sz w:val="24"/>
          <w:szCs w:val="22"/>
          <w:highlight w:val="none"/>
        </w:rPr>
      </w:pPr>
      <w:r>
        <w:rPr>
          <w:rFonts w:hint="default" w:ascii="Times New Roman" w:hAnsi="Times New Roman" w:eastAsia="宋体" w:cs="Times New Roman"/>
          <w:b/>
          <w:bCs/>
          <w:color w:val="000000"/>
          <w:sz w:val="24"/>
          <w:szCs w:val="22"/>
          <w:highlight w:val="none"/>
        </w:rPr>
        <w:t>（2）</w:t>
      </w:r>
      <w:r>
        <w:rPr>
          <w:rFonts w:hint="eastAsia" w:eastAsia="宋体" w:cs="Times New Roman"/>
          <w:b/>
          <w:bCs/>
          <w:color w:val="000000"/>
          <w:sz w:val="24"/>
          <w:szCs w:val="22"/>
          <w:highlight w:val="none"/>
          <w:lang w:val="en-US" w:eastAsia="zh-CN"/>
        </w:rPr>
        <w:t>11</w:t>
      </w:r>
      <w:r>
        <w:rPr>
          <w:rFonts w:hint="default" w:ascii="Times New Roman" w:hAnsi="Times New Roman" w:eastAsia="宋体" w:cs="Times New Roman"/>
          <w:b/>
          <w:bCs/>
          <w:color w:val="000000"/>
          <w:sz w:val="24"/>
          <w:szCs w:val="22"/>
          <w:highlight w:val="none"/>
        </w:rPr>
        <w:t>0kV</w:t>
      </w:r>
      <w:r>
        <w:rPr>
          <w:rFonts w:hint="eastAsia" w:eastAsia="宋体" w:cs="Times New Roman"/>
          <w:b/>
          <w:color w:val="000000"/>
          <w:sz w:val="24"/>
          <w:szCs w:val="22"/>
          <w:highlight w:val="none"/>
          <w:lang w:val="en-US" w:eastAsia="zh-CN"/>
        </w:rPr>
        <w:t>单回</w:t>
      </w:r>
      <w:r>
        <w:rPr>
          <w:rFonts w:hint="default" w:ascii="Times New Roman" w:hAnsi="Times New Roman" w:eastAsia="宋体" w:cs="Times New Roman"/>
          <w:b/>
          <w:bCs/>
          <w:color w:val="000000"/>
          <w:sz w:val="24"/>
          <w:szCs w:val="22"/>
          <w:highlight w:val="none"/>
        </w:rPr>
        <w:t>线路</w:t>
      </w:r>
      <w:r>
        <w:rPr>
          <w:rFonts w:hint="eastAsia" w:eastAsia="宋体" w:cs="Times New Roman"/>
          <w:b/>
          <w:bCs/>
          <w:color w:val="000000"/>
          <w:sz w:val="24"/>
          <w:szCs w:val="22"/>
          <w:highlight w:val="none"/>
          <w:lang w:val="en-US" w:eastAsia="zh-CN"/>
        </w:rPr>
        <w:t>工频</w:t>
      </w:r>
      <w:r>
        <w:rPr>
          <w:rFonts w:hint="default" w:ascii="Times New Roman" w:hAnsi="Times New Roman" w:eastAsia="宋体" w:cs="Times New Roman"/>
          <w:b/>
          <w:bCs/>
          <w:color w:val="000000"/>
          <w:sz w:val="24"/>
          <w:szCs w:val="22"/>
          <w:highlight w:val="none"/>
        </w:rPr>
        <w:t>磁场预测</w:t>
      </w:r>
    </w:p>
    <w:p w14:paraId="7378D0D1">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Times New Roman"/>
          <w:color w:val="000000"/>
          <w:sz w:val="24"/>
          <w:szCs w:val="22"/>
          <w:highlight w:val="none"/>
          <w:lang w:eastAsia="zh-CN"/>
        </w:rPr>
      </w:pPr>
      <w:r>
        <w:rPr>
          <w:rFonts w:hint="default" w:ascii="Times New Roman" w:hAnsi="Times New Roman" w:eastAsia="宋体" w:cs="Times New Roman"/>
          <w:color w:val="000000"/>
          <w:sz w:val="24"/>
          <w:szCs w:val="22"/>
          <w:highlight w:val="none"/>
        </w:rPr>
        <w:t>根据《环境影响评价技术导则 输变电》（HJ24-20</w:t>
      </w:r>
      <w:r>
        <w:rPr>
          <w:rFonts w:hint="default" w:ascii="Times New Roman" w:hAnsi="Times New Roman" w:eastAsia="宋体" w:cs="Times New Roman"/>
          <w:color w:val="000000"/>
          <w:sz w:val="24"/>
          <w:szCs w:val="22"/>
          <w:highlight w:val="none"/>
          <w:lang w:val="en-US" w:eastAsia="zh-CN"/>
        </w:rPr>
        <w:t>20</w:t>
      </w:r>
      <w:r>
        <w:rPr>
          <w:rFonts w:hint="default" w:ascii="Times New Roman" w:hAnsi="Times New Roman" w:eastAsia="宋体" w:cs="Times New Roman"/>
          <w:color w:val="000000"/>
          <w:sz w:val="24"/>
          <w:szCs w:val="22"/>
          <w:highlight w:val="none"/>
        </w:rPr>
        <w:t>）推荐的附录</w:t>
      </w:r>
      <w:r>
        <w:rPr>
          <w:rFonts w:hint="default" w:ascii="Times New Roman" w:hAnsi="Times New Roman" w:eastAsia="宋体" w:cs="Times New Roman"/>
          <w:color w:val="000000"/>
          <w:sz w:val="24"/>
          <w:szCs w:val="22"/>
          <w:highlight w:val="none"/>
          <w:lang w:val="en-US" w:eastAsia="zh-CN"/>
        </w:rPr>
        <w:t>D</w:t>
      </w:r>
      <w:r>
        <w:rPr>
          <w:rFonts w:hint="default" w:ascii="Times New Roman" w:hAnsi="Times New Roman" w:eastAsia="宋体" w:cs="Times New Roman"/>
          <w:color w:val="000000"/>
          <w:sz w:val="24"/>
          <w:szCs w:val="22"/>
          <w:highlight w:val="none"/>
        </w:rPr>
        <w:t>模式进行预测计算</w:t>
      </w:r>
      <w:r>
        <w:rPr>
          <w:rFonts w:hint="eastAsia" w:eastAsia="宋体" w:cs="Times New Roman"/>
          <w:bCs/>
          <w:color w:val="000000"/>
          <w:sz w:val="24"/>
          <w:szCs w:val="22"/>
          <w:highlight w:val="none"/>
          <w:lang w:val="en-US" w:eastAsia="zh-CN"/>
        </w:rPr>
        <w:t>11</w:t>
      </w:r>
      <w:r>
        <w:rPr>
          <w:rFonts w:hint="default" w:ascii="Times New Roman" w:hAnsi="Times New Roman" w:eastAsia="宋体" w:cs="Times New Roman"/>
          <w:bCs/>
          <w:color w:val="000000"/>
          <w:sz w:val="24"/>
          <w:szCs w:val="22"/>
          <w:highlight w:val="none"/>
        </w:rPr>
        <w:t>0kV</w:t>
      </w:r>
      <w:r>
        <w:rPr>
          <w:rFonts w:hint="default" w:ascii="Times New Roman" w:hAnsi="Times New Roman" w:eastAsia="宋体" w:cs="Times New Roman"/>
          <w:color w:val="000000"/>
          <w:sz w:val="24"/>
          <w:szCs w:val="22"/>
          <w:highlight w:val="none"/>
        </w:rPr>
        <w:t>导线下方A点处的磁场强度：</w:t>
      </w:r>
    </w:p>
    <w:p w14:paraId="5B7DA9F6">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position w:val="-30"/>
          <w:sz w:val="24"/>
          <w:szCs w:val="22"/>
          <w:highlight w:val="none"/>
        </w:rPr>
        <w:object>
          <v:shape id="_x0000_i1062" o:spt="75" type="#_x0000_t75" style="height:44.25pt;width:107.25pt;" o:ole="t" filled="f" o:preferrelative="t" stroked="f" coordsize="21600,21600">
            <v:path/>
            <v:fill on="f" focussize="0,0"/>
            <v:stroke on="f"/>
            <v:imagedata r:id="rId67" o:title=""/>
            <o:lock v:ext="edit" aspectratio="t"/>
            <w10:wrap type="none"/>
            <w10:anchorlock/>
          </v:shape>
          <o:OLEObject Type="Embed" ProgID="Equation.3" ShapeID="_x0000_i1062" DrawAspect="Content" ObjectID="_1468075743" r:id="rId66">
            <o:LockedField>false</o:LockedField>
          </o:OLEObject>
        </w:object>
      </w:r>
    </w:p>
    <w:p w14:paraId="5F79EA8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式中：I--</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导线i中的电流值；</w:t>
      </w:r>
    </w:p>
    <w:p w14:paraId="0A2A9019">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h--</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计算A点距导线的垂直高度；</w:t>
      </w:r>
    </w:p>
    <w:p w14:paraId="794003B2">
      <w:pPr>
        <w:keepNext w:val="0"/>
        <w:keepLines w:val="0"/>
        <w:pageBreakBefore w:val="0"/>
        <w:widowControl w:val="0"/>
        <w:kinsoku/>
        <w:wordWrap/>
        <w:overflowPunct/>
        <w:topLinePunct w:val="0"/>
        <w:autoSpaceDE/>
        <w:autoSpaceDN/>
        <w:bidi w:val="0"/>
        <w:adjustRightInd/>
        <w:snapToGrid/>
        <w:spacing w:line="440" w:lineRule="exact"/>
        <w:ind w:firstLine="1140" w:firstLineChars="475"/>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L--</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计算A点距导线的水平距离。</w:t>
      </w:r>
    </w:p>
    <w:p w14:paraId="4E35433E">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为了与环境标准相适应，需要将磁场强度转换为磁感应强度，转换公式如下：</w:t>
      </w:r>
    </w:p>
    <w:p w14:paraId="11CBC1B7">
      <w:pPr>
        <w:keepNext w:val="0"/>
        <w:keepLines w:val="0"/>
        <w:pageBreakBefore w:val="0"/>
        <w:widowControl w:val="0"/>
        <w:kinsoku/>
        <w:wordWrap/>
        <w:overflowPunct/>
        <w:topLinePunct w:val="0"/>
        <w:autoSpaceDE/>
        <w:autoSpaceDN/>
        <w:bidi w:val="0"/>
        <w:adjustRightInd/>
        <w:snapToGrid/>
        <w:spacing w:line="440" w:lineRule="exact"/>
        <w:ind w:firstLine="780" w:firstLineChars="325"/>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B=µ</w:t>
      </w:r>
      <w:r>
        <w:rPr>
          <w:rFonts w:hint="default" w:ascii="Times New Roman" w:hAnsi="Times New Roman" w:eastAsia="宋体" w:cs="Times New Roman"/>
          <w:color w:val="000000"/>
          <w:sz w:val="24"/>
          <w:szCs w:val="22"/>
          <w:highlight w:val="none"/>
          <w:vertAlign w:val="subscript"/>
        </w:rPr>
        <w:t>0</w:t>
      </w:r>
      <w:r>
        <w:rPr>
          <w:rFonts w:hint="default" w:ascii="Times New Roman" w:hAnsi="Times New Roman" w:eastAsia="宋体" w:cs="Times New Roman"/>
          <w:color w:val="000000"/>
          <w:sz w:val="24"/>
          <w:szCs w:val="22"/>
          <w:highlight w:val="none"/>
        </w:rPr>
        <w:t>H</w:t>
      </w:r>
    </w:p>
    <w:p w14:paraId="64DC32FF">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default" w:ascii="Times New Roman" w:hAnsi="Times New Roman" w:eastAsia="宋体" w:cs="Times New Roman"/>
          <w:color w:val="000000"/>
          <w:sz w:val="24"/>
          <w:szCs w:val="22"/>
          <w:highlight w:val="none"/>
          <w:lang w:val="en-US" w:eastAsia="zh-CN"/>
        </w:rPr>
      </w:pPr>
      <w:r>
        <w:rPr>
          <w:rFonts w:hint="default" w:ascii="Times New Roman" w:hAnsi="Times New Roman" w:eastAsia="宋体" w:cs="Times New Roman"/>
          <w:color w:val="000000"/>
          <w:sz w:val="24"/>
          <w:szCs w:val="22"/>
          <w:highlight w:val="none"/>
        </w:rPr>
        <w:t>B：磁感应强度</w:t>
      </w:r>
    </w:p>
    <w:p w14:paraId="2741245B">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H：磁场强度</w:t>
      </w:r>
    </w:p>
    <w:p w14:paraId="263E3BCA">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µ</w:t>
      </w:r>
      <w:r>
        <w:rPr>
          <w:rFonts w:hint="default" w:ascii="Times New Roman" w:hAnsi="Times New Roman" w:eastAsia="宋体" w:cs="Times New Roman"/>
          <w:color w:val="000000"/>
          <w:sz w:val="24"/>
          <w:szCs w:val="22"/>
          <w:highlight w:val="none"/>
          <w:vertAlign w:val="subscript"/>
        </w:rPr>
        <w:t>0</w:t>
      </w:r>
      <w:r>
        <w:rPr>
          <w:rFonts w:hint="default" w:ascii="Times New Roman" w:hAnsi="Times New Roman" w:eastAsia="宋体" w:cs="Times New Roman"/>
          <w:color w:val="000000"/>
          <w:sz w:val="24"/>
          <w:szCs w:val="22"/>
          <w:highlight w:val="none"/>
        </w:rPr>
        <w:t>：真空中相对磁导率（µ</w:t>
      </w:r>
      <w:r>
        <w:rPr>
          <w:rFonts w:hint="default" w:ascii="Times New Roman" w:hAnsi="Times New Roman" w:eastAsia="宋体" w:cs="Times New Roman"/>
          <w:color w:val="000000"/>
          <w:sz w:val="24"/>
          <w:szCs w:val="22"/>
          <w:highlight w:val="none"/>
          <w:vertAlign w:val="subscript"/>
        </w:rPr>
        <w:t>0</w:t>
      </w:r>
      <w:r>
        <w:rPr>
          <w:rFonts w:hint="default" w:ascii="Times New Roman" w:hAnsi="Times New Roman" w:eastAsia="宋体" w:cs="Times New Roman"/>
          <w:color w:val="000000"/>
          <w:sz w:val="24"/>
          <w:szCs w:val="22"/>
          <w:highlight w:val="none"/>
        </w:rPr>
        <w:t>=4π×10</w:t>
      </w:r>
      <w:r>
        <w:rPr>
          <w:rFonts w:hint="eastAsia" w:eastAsia="宋体" w:cs="Times New Roman"/>
          <w:color w:val="000000"/>
          <w:sz w:val="24"/>
          <w:szCs w:val="22"/>
          <w:highlight w:val="none"/>
          <w:vertAlign w:val="superscript"/>
          <w:lang w:eastAsia="zh-CN"/>
        </w:rPr>
        <w:t>-</w:t>
      </w:r>
      <w:r>
        <w:rPr>
          <w:rFonts w:hint="default" w:ascii="Times New Roman" w:hAnsi="Times New Roman" w:eastAsia="宋体" w:cs="Times New Roman"/>
          <w:color w:val="000000"/>
          <w:sz w:val="24"/>
          <w:szCs w:val="22"/>
          <w:highlight w:val="none"/>
          <w:vertAlign w:val="superscript"/>
        </w:rPr>
        <w:t>7</w:t>
      </w:r>
      <w:r>
        <w:rPr>
          <w:rFonts w:hint="default" w:ascii="Times New Roman" w:hAnsi="Times New Roman" w:eastAsia="宋体" w:cs="Times New Roman"/>
          <w:color w:val="000000"/>
          <w:sz w:val="24"/>
          <w:szCs w:val="22"/>
          <w:highlight w:val="none"/>
        </w:rPr>
        <w:t>H/m）。</w:t>
      </w:r>
    </w:p>
    <w:p w14:paraId="71DC920E">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工频磁感应强度计算结果见</w:t>
      </w:r>
      <w:r>
        <w:rPr>
          <w:rFonts w:hint="eastAsia" w:eastAsia="宋体" w:cs="Times New Roman"/>
          <w:color w:val="000000"/>
          <w:sz w:val="24"/>
          <w:szCs w:val="22"/>
          <w:highlight w:val="none"/>
          <w:lang w:val="en-US" w:eastAsia="zh-CN"/>
        </w:rPr>
        <w:t>下表</w:t>
      </w:r>
      <w:r>
        <w:rPr>
          <w:rFonts w:hint="default" w:ascii="Times New Roman" w:hAnsi="Times New Roman" w:eastAsia="宋体" w:cs="Times New Roman"/>
          <w:color w:val="000000"/>
          <w:sz w:val="24"/>
          <w:szCs w:val="22"/>
          <w:highlight w:val="none"/>
        </w:rPr>
        <w:t>及图</w:t>
      </w:r>
      <w:r>
        <w:rPr>
          <w:rFonts w:hint="default" w:ascii="Times New Roman" w:hAnsi="Times New Roman" w:eastAsia="宋体" w:cs="Times New Roman"/>
          <w:color w:val="000000"/>
          <w:sz w:val="24"/>
          <w:szCs w:val="22"/>
          <w:highlight w:val="none"/>
          <w:lang w:val="en-US" w:eastAsia="zh-CN"/>
        </w:rPr>
        <w:t>5-</w:t>
      </w:r>
      <w:r>
        <w:rPr>
          <w:rFonts w:hint="eastAsia" w:eastAsia="宋体" w:cs="Times New Roman"/>
          <w:color w:val="000000"/>
          <w:sz w:val="24"/>
          <w:szCs w:val="22"/>
          <w:highlight w:val="none"/>
          <w:lang w:val="en-US" w:eastAsia="zh-CN"/>
        </w:rPr>
        <w:t>5</w:t>
      </w:r>
      <w:r>
        <w:rPr>
          <w:rFonts w:hint="default" w:ascii="Times New Roman" w:hAnsi="Times New Roman" w:eastAsia="宋体" w:cs="Times New Roman"/>
          <w:color w:val="000000"/>
          <w:sz w:val="24"/>
          <w:szCs w:val="22"/>
          <w:highlight w:val="none"/>
        </w:rPr>
        <w:t>。</w:t>
      </w:r>
    </w:p>
    <w:p w14:paraId="4E8AEAB7">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3</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JC1型塔</w:t>
      </w:r>
      <w:r>
        <w:rPr>
          <w:rFonts w:hint="default" w:ascii="Times New Roman" w:hAnsi="Times New Roman" w:eastAsia="宋体" w:cs="Times New Roman"/>
          <w:b/>
          <w:color w:val="000000"/>
          <w:sz w:val="21"/>
          <w:szCs w:val="21"/>
          <w:highlight w:val="none"/>
        </w:rPr>
        <w:t>工频磁感应强度计算结果</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31"/>
        <w:gridCol w:w="2131"/>
        <w:gridCol w:w="2132"/>
      </w:tblGrid>
      <w:tr w14:paraId="7B33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noWrap w:val="0"/>
            <w:vAlign w:val="center"/>
          </w:tcPr>
          <w:p w14:paraId="4467EA2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0" w:type="pct"/>
            <w:noWrap w:val="0"/>
            <w:vAlign w:val="top"/>
          </w:tcPr>
          <w:p w14:paraId="47A37392">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1.5米高处磁场的综合量(μT)</w:t>
            </w:r>
          </w:p>
        </w:tc>
        <w:tc>
          <w:tcPr>
            <w:tcW w:w="1250" w:type="pct"/>
            <w:noWrap w:val="0"/>
            <w:vAlign w:val="center"/>
          </w:tcPr>
          <w:p w14:paraId="1544891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1" w:type="pct"/>
            <w:noWrap w:val="0"/>
            <w:vAlign w:val="top"/>
          </w:tcPr>
          <w:p w14:paraId="3E89A0A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1.5米高处磁场的综合量(μT)</w:t>
            </w:r>
          </w:p>
        </w:tc>
      </w:tr>
      <w:tr w14:paraId="770A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7881955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-50</w:t>
            </w:r>
          </w:p>
        </w:tc>
        <w:tc>
          <w:tcPr>
            <w:tcW w:w="1250" w:type="pct"/>
            <w:noWrap w:val="0"/>
            <w:vAlign w:val="top"/>
          </w:tcPr>
          <w:p w14:paraId="7E933C64">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3.941</w:t>
            </w:r>
          </w:p>
        </w:tc>
        <w:tc>
          <w:tcPr>
            <w:tcW w:w="1250" w:type="pct"/>
            <w:shd w:val="clear" w:color="auto" w:fill="auto"/>
            <w:noWrap w:val="0"/>
            <w:vAlign w:val="center"/>
          </w:tcPr>
          <w:p w14:paraId="3A43551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50</w:t>
            </w:r>
          </w:p>
        </w:tc>
        <w:tc>
          <w:tcPr>
            <w:tcW w:w="1251" w:type="pct"/>
            <w:shd w:val="clear" w:color="auto" w:fill="auto"/>
            <w:noWrap w:val="0"/>
            <w:vAlign w:val="top"/>
          </w:tcPr>
          <w:p w14:paraId="497AA3A9">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3.941</w:t>
            </w:r>
          </w:p>
        </w:tc>
      </w:tr>
      <w:tr w14:paraId="44AC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08AFA51">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-49</w:t>
            </w:r>
          </w:p>
        </w:tc>
        <w:tc>
          <w:tcPr>
            <w:tcW w:w="1250" w:type="pct"/>
            <w:noWrap w:val="0"/>
            <w:vAlign w:val="top"/>
          </w:tcPr>
          <w:p w14:paraId="35A44E2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4.021</w:t>
            </w:r>
          </w:p>
        </w:tc>
        <w:tc>
          <w:tcPr>
            <w:tcW w:w="1250" w:type="pct"/>
            <w:shd w:val="clear" w:color="auto" w:fill="auto"/>
            <w:noWrap w:val="0"/>
            <w:vAlign w:val="center"/>
          </w:tcPr>
          <w:p w14:paraId="3D563F06">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49</w:t>
            </w:r>
          </w:p>
        </w:tc>
        <w:tc>
          <w:tcPr>
            <w:tcW w:w="1251" w:type="pct"/>
            <w:shd w:val="clear" w:color="auto" w:fill="auto"/>
            <w:noWrap w:val="0"/>
            <w:vAlign w:val="top"/>
          </w:tcPr>
          <w:p w14:paraId="217E90C2">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4.021</w:t>
            </w:r>
          </w:p>
        </w:tc>
      </w:tr>
      <w:tr w14:paraId="5AEE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0CD4844B">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-48</w:t>
            </w:r>
          </w:p>
        </w:tc>
        <w:tc>
          <w:tcPr>
            <w:tcW w:w="1250" w:type="pct"/>
            <w:noWrap w:val="0"/>
            <w:vAlign w:val="top"/>
          </w:tcPr>
          <w:p w14:paraId="4629BE9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4.104</w:t>
            </w:r>
          </w:p>
        </w:tc>
        <w:tc>
          <w:tcPr>
            <w:tcW w:w="1250" w:type="pct"/>
            <w:shd w:val="clear" w:color="auto" w:fill="auto"/>
            <w:noWrap w:val="0"/>
            <w:vAlign w:val="center"/>
          </w:tcPr>
          <w:p w14:paraId="2A3B508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48</w:t>
            </w:r>
          </w:p>
        </w:tc>
        <w:tc>
          <w:tcPr>
            <w:tcW w:w="1251" w:type="pct"/>
            <w:shd w:val="clear" w:color="auto" w:fill="auto"/>
            <w:noWrap w:val="0"/>
            <w:vAlign w:val="top"/>
          </w:tcPr>
          <w:p w14:paraId="67ABF290">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4.104</w:t>
            </w:r>
          </w:p>
        </w:tc>
      </w:tr>
      <w:tr w14:paraId="7846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2FD6D657">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-47</w:t>
            </w:r>
          </w:p>
        </w:tc>
        <w:tc>
          <w:tcPr>
            <w:tcW w:w="1250" w:type="pct"/>
            <w:noWrap w:val="0"/>
            <w:vAlign w:val="top"/>
          </w:tcPr>
          <w:p w14:paraId="1D830838">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4.191</w:t>
            </w:r>
          </w:p>
        </w:tc>
        <w:tc>
          <w:tcPr>
            <w:tcW w:w="1250" w:type="pct"/>
            <w:shd w:val="clear" w:color="auto" w:fill="auto"/>
            <w:noWrap w:val="0"/>
            <w:vAlign w:val="center"/>
          </w:tcPr>
          <w:p w14:paraId="1FC7627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47</w:t>
            </w:r>
          </w:p>
        </w:tc>
        <w:tc>
          <w:tcPr>
            <w:tcW w:w="1251" w:type="pct"/>
            <w:shd w:val="clear" w:color="auto" w:fill="auto"/>
            <w:noWrap w:val="0"/>
            <w:vAlign w:val="top"/>
          </w:tcPr>
          <w:p w14:paraId="39ABF61C">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4.191</w:t>
            </w:r>
          </w:p>
        </w:tc>
      </w:tr>
      <w:tr w14:paraId="3EDD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726852BE">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-46</w:t>
            </w:r>
          </w:p>
        </w:tc>
        <w:tc>
          <w:tcPr>
            <w:tcW w:w="1250" w:type="pct"/>
            <w:noWrap w:val="0"/>
            <w:vAlign w:val="top"/>
          </w:tcPr>
          <w:p w14:paraId="35D2FB1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4.282</w:t>
            </w:r>
          </w:p>
        </w:tc>
        <w:tc>
          <w:tcPr>
            <w:tcW w:w="1250" w:type="pct"/>
            <w:shd w:val="clear" w:color="auto" w:fill="auto"/>
            <w:noWrap w:val="0"/>
            <w:vAlign w:val="center"/>
          </w:tcPr>
          <w:p w14:paraId="6BDAC36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46</w:t>
            </w:r>
          </w:p>
        </w:tc>
        <w:tc>
          <w:tcPr>
            <w:tcW w:w="1251" w:type="pct"/>
            <w:shd w:val="clear" w:color="auto" w:fill="auto"/>
            <w:noWrap w:val="0"/>
            <w:vAlign w:val="top"/>
          </w:tcPr>
          <w:p w14:paraId="476588A9">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4.282</w:t>
            </w:r>
          </w:p>
        </w:tc>
      </w:tr>
      <w:tr w14:paraId="332F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C66ECA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-45</w:t>
            </w:r>
          </w:p>
        </w:tc>
        <w:tc>
          <w:tcPr>
            <w:tcW w:w="1250" w:type="pct"/>
            <w:noWrap w:val="0"/>
            <w:vAlign w:val="top"/>
          </w:tcPr>
          <w:p w14:paraId="6AB0D114">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4.377</w:t>
            </w:r>
          </w:p>
        </w:tc>
        <w:tc>
          <w:tcPr>
            <w:tcW w:w="1250" w:type="pct"/>
            <w:shd w:val="clear" w:color="auto" w:fill="auto"/>
            <w:noWrap w:val="0"/>
            <w:vAlign w:val="center"/>
          </w:tcPr>
          <w:p w14:paraId="4E63B704">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45</w:t>
            </w:r>
          </w:p>
        </w:tc>
        <w:tc>
          <w:tcPr>
            <w:tcW w:w="1251" w:type="pct"/>
            <w:shd w:val="clear" w:color="auto" w:fill="auto"/>
            <w:noWrap w:val="0"/>
            <w:vAlign w:val="top"/>
          </w:tcPr>
          <w:p w14:paraId="319E564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4.377</w:t>
            </w:r>
          </w:p>
        </w:tc>
      </w:tr>
      <w:tr w14:paraId="7193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151D24A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-44</w:t>
            </w:r>
          </w:p>
        </w:tc>
        <w:tc>
          <w:tcPr>
            <w:tcW w:w="1250" w:type="pct"/>
            <w:noWrap w:val="0"/>
            <w:vAlign w:val="top"/>
          </w:tcPr>
          <w:p w14:paraId="34BD736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4.476</w:t>
            </w:r>
          </w:p>
        </w:tc>
        <w:tc>
          <w:tcPr>
            <w:tcW w:w="1250" w:type="pct"/>
            <w:shd w:val="clear" w:color="auto" w:fill="auto"/>
            <w:noWrap w:val="0"/>
            <w:vAlign w:val="center"/>
          </w:tcPr>
          <w:p w14:paraId="1D6F416D">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44</w:t>
            </w:r>
          </w:p>
        </w:tc>
        <w:tc>
          <w:tcPr>
            <w:tcW w:w="1251" w:type="pct"/>
            <w:shd w:val="clear" w:color="auto" w:fill="auto"/>
            <w:noWrap w:val="0"/>
            <w:vAlign w:val="top"/>
          </w:tcPr>
          <w:p w14:paraId="717A257F">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4.476</w:t>
            </w:r>
          </w:p>
        </w:tc>
      </w:tr>
      <w:tr w14:paraId="0F86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4509E22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-43</w:t>
            </w:r>
          </w:p>
        </w:tc>
        <w:tc>
          <w:tcPr>
            <w:tcW w:w="1250" w:type="pct"/>
            <w:noWrap w:val="0"/>
            <w:vAlign w:val="top"/>
          </w:tcPr>
          <w:p w14:paraId="751A3ED1">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4.580</w:t>
            </w:r>
          </w:p>
        </w:tc>
        <w:tc>
          <w:tcPr>
            <w:tcW w:w="1250" w:type="pct"/>
            <w:shd w:val="clear" w:color="auto" w:fill="auto"/>
            <w:noWrap w:val="0"/>
            <w:vAlign w:val="center"/>
          </w:tcPr>
          <w:p w14:paraId="7469B4F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43</w:t>
            </w:r>
          </w:p>
        </w:tc>
        <w:tc>
          <w:tcPr>
            <w:tcW w:w="1251" w:type="pct"/>
            <w:shd w:val="clear" w:color="auto" w:fill="auto"/>
            <w:noWrap w:val="0"/>
            <w:vAlign w:val="top"/>
          </w:tcPr>
          <w:p w14:paraId="008487C1">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4.580</w:t>
            </w:r>
          </w:p>
        </w:tc>
      </w:tr>
      <w:tr w14:paraId="08CF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B33D6F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-42</w:t>
            </w:r>
          </w:p>
        </w:tc>
        <w:tc>
          <w:tcPr>
            <w:tcW w:w="1250" w:type="pct"/>
            <w:noWrap w:val="0"/>
            <w:vAlign w:val="top"/>
          </w:tcPr>
          <w:p w14:paraId="30E3C704">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4.689</w:t>
            </w:r>
          </w:p>
        </w:tc>
        <w:tc>
          <w:tcPr>
            <w:tcW w:w="1250" w:type="pct"/>
            <w:shd w:val="clear" w:color="auto" w:fill="auto"/>
            <w:noWrap w:val="0"/>
            <w:vAlign w:val="center"/>
          </w:tcPr>
          <w:p w14:paraId="4D0B6273">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42</w:t>
            </w:r>
          </w:p>
        </w:tc>
        <w:tc>
          <w:tcPr>
            <w:tcW w:w="1251" w:type="pct"/>
            <w:shd w:val="clear" w:color="auto" w:fill="auto"/>
            <w:noWrap w:val="0"/>
            <w:vAlign w:val="top"/>
          </w:tcPr>
          <w:p w14:paraId="71B07DA8">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4.689</w:t>
            </w:r>
          </w:p>
        </w:tc>
      </w:tr>
      <w:tr w14:paraId="3CF5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083832C7">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-41</w:t>
            </w:r>
          </w:p>
        </w:tc>
        <w:tc>
          <w:tcPr>
            <w:tcW w:w="1250" w:type="pct"/>
            <w:noWrap w:val="0"/>
            <w:vAlign w:val="top"/>
          </w:tcPr>
          <w:p w14:paraId="39C0B443">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4.803</w:t>
            </w:r>
          </w:p>
        </w:tc>
        <w:tc>
          <w:tcPr>
            <w:tcW w:w="1250" w:type="pct"/>
            <w:shd w:val="clear" w:color="auto" w:fill="auto"/>
            <w:noWrap w:val="0"/>
            <w:vAlign w:val="center"/>
          </w:tcPr>
          <w:p w14:paraId="6EED7B18">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41</w:t>
            </w:r>
          </w:p>
        </w:tc>
        <w:tc>
          <w:tcPr>
            <w:tcW w:w="1251" w:type="pct"/>
            <w:shd w:val="clear" w:color="auto" w:fill="auto"/>
            <w:noWrap w:val="0"/>
            <w:vAlign w:val="top"/>
          </w:tcPr>
          <w:p w14:paraId="564B86E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4.803</w:t>
            </w:r>
          </w:p>
        </w:tc>
      </w:tr>
      <w:tr w14:paraId="4E0A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1793876">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-40</w:t>
            </w:r>
          </w:p>
        </w:tc>
        <w:tc>
          <w:tcPr>
            <w:tcW w:w="1250" w:type="pct"/>
            <w:noWrap w:val="0"/>
            <w:vAlign w:val="top"/>
          </w:tcPr>
          <w:p w14:paraId="087BE02C">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4.922</w:t>
            </w:r>
          </w:p>
        </w:tc>
        <w:tc>
          <w:tcPr>
            <w:tcW w:w="1250" w:type="pct"/>
            <w:shd w:val="clear" w:color="auto" w:fill="auto"/>
            <w:noWrap w:val="0"/>
            <w:vAlign w:val="center"/>
          </w:tcPr>
          <w:p w14:paraId="495A880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40</w:t>
            </w:r>
          </w:p>
        </w:tc>
        <w:tc>
          <w:tcPr>
            <w:tcW w:w="1251" w:type="pct"/>
            <w:shd w:val="clear" w:color="auto" w:fill="auto"/>
            <w:noWrap w:val="0"/>
            <w:vAlign w:val="top"/>
          </w:tcPr>
          <w:p w14:paraId="629FB8A0">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4.922</w:t>
            </w:r>
          </w:p>
        </w:tc>
      </w:tr>
      <w:tr w14:paraId="5AA8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37FE6353">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-39</w:t>
            </w:r>
          </w:p>
        </w:tc>
        <w:tc>
          <w:tcPr>
            <w:tcW w:w="1250" w:type="pct"/>
            <w:noWrap w:val="0"/>
            <w:vAlign w:val="top"/>
          </w:tcPr>
          <w:p w14:paraId="37057C6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5.048</w:t>
            </w:r>
          </w:p>
        </w:tc>
        <w:tc>
          <w:tcPr>
            <w:tcW w:w="1250" w:type="pct"/>
            <w:shd w:val="clear" w:color="auto" w:fill="auto"/>
            <w:noWrap w:val="0"/>
            <w:vAlign w:val="center"/>
          </w:tcPr>
          <w:p w14:paraId="5375980B">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39</w:t>
            </w:r>
          </w:p>
        </w:tc>
        <w:tc>
          <w:tcPr>
            <w:tcW w:w="1251" w:type="pct"/>
            <w:shd w:val="clear" w:color="auto" w:fill="auto"/>
            <w:noWrap w:val="0"/>
            <w:vAlign w:val="top"/>
          </w:tcPr>
          <w:p w14:paraId="4772099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5.048</w:t>
            </w:r>
          </w:p>
        </w:tc>
      </w:tr>
      <w:tr w14:paraId="2DD3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0CEB2A4A">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-38</w:t>
            </w:r>
          </w:p>
        </w:tc>
        <w:tc>
          <w:tcPr>
            <w:tcW w:w="1250" w:type="pct"/>
            <w:noWrap w:val="0"/>
            <w:vAlign w:val="top"/>
          </w:tcPr>
          <w:p w14:paraId="6982874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5.180</w:t>
            </w:r>
          </w:p>
        </w:tc>
        <w:tc>
          <w:tcPr>
            <w:tcW w:w="1250" w:type="pct"/>
            <w:shd w:val="clear" w:color="auto" w:fill="auto"/>
            <w:noWrap w:val="0"/>
            <w:vAlign w:val="center"/>
          </w:tcPr>
          <w:p w14:paraId="3FB23FD7">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38</w:t>
            </w:r>
          </w:p>
        </w:tc>
        <w:tc>
          <w:tcPr>
            <w:tcW w:w="1251" w:type="pct"/>
            <w:shd w:val="clear" w:color="auto" w:fill="auto"/>
            <w:noWrap w:val="0"/>
            <w:vAlign w:val="top"/>
          </w:tcPr>
          <w:p w14:paraId="3C1BBC0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5.180</w:t>
            </w:r>
          </w:p>
        </w:tc>
      </w:tr>
      <w:tr w14:paraId="5E03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31EACA3E">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-37</w:t>
            </w:r>
          </w:p>
        </w:tc>
        <w:tc>
          <w:tcPr>
            <w:tcW w:w="1250" w:type="pct"/>
            <w:noWrap w:val="0"/>
            <w:vAlign w:val="top"/>
          </w:tcPr>
          <w:p w14:paraId="5ABF3144">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5.320</w:t>
            </w:r>
          </w:p>
        </w:tc>
        <w:tc>
          <w:tcPr>
            <w:tcW w:w="1250" w:type="pct"/>
            <w:shd w:val="clear" w:color="auto" w:fill="auto"/>
            <w:noWrap w:val="0"/>
            <w:vAlign w:val="center"/>
          </w:tcPr>
          <w:p w14:paraId="7D6F086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37</w:t>
            </w:r>
          </w:p>
        </w:tc>
        <w:tc>
          <w:tcPr>
            <w:tcW w:w="1251" w:type="pct"/>
            <w:shd w:val="clear" w:color="auto" w:fill="auto"/>
            <w:noWrap w:val="0"/>
            <w:vAlign w:val="top"/>
          </w:tcPr>
          <w:p w14:paraId="60B1D7AD">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5.320</w:t>
            </w:r>
          </w:p>
        </w:tc>
      </w:tr>
      <w:tr w14:paraId="6B0D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5103AFE">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-36</w:t>
            </w:r>
          </w:p>
        </w:tc>
        <w:tc>
          <w:tcPr>
            <w:tcW w:w="1250" w:type="pct"/>
            <w:noWrap w:val="0"/>
            <w:vAlign w:val="top"/>
          </w:tcPr>
          <w:p w14:paraId="012B60B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5.467</w:t>
            </w:r>
          </w:p>
        </w:tc>
        <w:tc>
          <w:tcPr>
            <w:tcW w:w="1250" w:type="pct"/>
            <w:shd w:val="clear" w:color="auto" w:fill="auto"/>
            <w:noWrap w:val="0"/>
            <w:vAlign w:val="center"/>
          </w:tcPr>
          <w:p w14:paraId="732C581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36</w:t>
            </w:r>
          </w:p>
        </w:tc>
        <w:tc>
          <w:tcPr>
            <w:tcW w:w="1251" w:type="pct"/>
            <w:shd w:val="clear" w:color="auto" w:fill="auto"/>
            <w:noWrap w:val="0"/>
            <w:vAlign w:val="top"/>
          </w:tcPr>
          <w:p w14:paraId="18AE9FE4">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5.467</w:t>
            </w:r>
          </w:p>
        </w:tc>
      </w:tr>
      <w:tr w14:paraId="379A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3750497B">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-35</w:t>
            </w:r>
          </w:p>
        </w:tc>
        <w:tc>
          <w:tcPr>
            <w:tcW w:w="1250" w:type="pct"/>
            <w:noWrap w:val="0"/>
            <w:vAlign w:val="top"/>
          </w:tcPr>
          <w:p w14:paraId="55A9D52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5.622</w:t>
            </w:r>
          </w:p>
        </w:tc>
        <w:tc>
          <w:tcPr>
            <w:tcW w:w="1250" w:type="pct"/>
            <w:shd w:val="clear" w:color="auto" w:fill="auto"/>
            <w:noWrap w:val="0"/>
            <w:vAlign w:val="center"/>
          </w:tcPr>
          <w:p w14:paraId="6A521391">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35</w:t>
            </w:r>
          </w:p>
        </w:tc>
        <w:tc>
          <w:tcPr>
            <w:tcW w:w="1251" w:type="pct"/>
            <w:shd w:val="clear" w:color="auto" w:fill="auto"/>
            <w:noWrap w:val="0"/>
            <w:vAlign w:val="top"/>
          </w:tcPr>
          <w:p w14:paraId="0D9A1A25">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5.622</w:t>
            </w:r>
          </w:p>
        </w:tc>
      </w:tr>
      <w:tr w14:paraId="6648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9E81793">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-34</w:t>
            </w:r>
          </w:p>
        </w:tc>
        <w:tc>
          <w:tcPr>
            <w:tcW w:w="1250" w:type="pct"/>
            <w:noWrap w:val="0"/>
            <w:vAlign w:val="top"/>
          </w:tcPr>
          <w:p w14:paraId="26949DC2">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5.787</w:t>
            </w:r>
          </w:p>
        </w:tc>
        <w:tc>
          <w:tcPr>
            <w:tcW w:w="1250" w:type="pct"/>
            <w:shd w:val="clear" w:color="auto" w:fill="auto"/>
            <w:noWrap w:val="0"/>
            <w:vAlign w:val="center"/>
          </w:tcPr>
          <w:p w14:paraId="78D71657">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34</w:t>
            </w:r>
          </w:p>
        </w:tc>
        <w:tc>
          <w:tcPr>
            <w:tcW w:w="1251" w:type="pct"/>
            <w:shd w:val="clear" w:color="auto" w:fill="auto"/>
            <w:noWrap w:val="0"/>
            <w:vAlign w:val="top"/>
          </w:tcPr>
          <w:p w14:paraId="45513D5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5.787</w:t>
            </w:r>
          </w:p>
        </w:tc>
      </w:tr>
      <w:tr w14:paraId="1080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7D60A679">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-33</w:t>
            </w:r>
          </w:p>
        </w:tc>
        <w:tc>
          <w:tcPr>
            <w:tcW w:w="1250" w:type="pct"/>
            <w:noWrap w:val="0"/>
            <w:vAlign w:val="top"/>
          </w:tcPr>
          <w:p w14:paraId="42D63D1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5.961</w:t>
            </w:r>
          </w:p>
        </w:tc>
        <w:tc>
          <w:tcPr>
            <w:tcW w:w="1250" w:type="pct"/>
            <w:shd w:val="clear" w:color="auto" w:fill="auto"/>
            <w:noWrap w:val="0"/>
            <w:vAlign w:val="center"/>
          </w:tcPr>
          <w:p w14:paraId="0B132150">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33</w:t>
            </w:r>
          </w:p>
        </w:tc>
        <w:tc>
          <w:tcPr>
            <w:tcW w:w="1251" w:type="pct"/>
            <w:shd w:val="clear" w:color="auto" w:fill="auto"/>
            <w:noWrap w:val="0"/>
            <w:vAlign w:val="top"/>
          </w:tcPr>
          <w:p w14:paraId="6F04A981">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5.961</w:t>
            </w:r>
          </w:p>
        </w:tc>
      </w:tr>
      <w:tr w14:paraId="19E4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12C8883">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-32</w:t>
            </w:r>
          </w:p>
        </w:tc>
        <w:tc>
          <w:tcPr>
            <w:tcW w:w="1250" w:type="pct"/>
            <w:noWrap w:val="0"/>
            <w:vAlign w:val="top"/>
          </w:tcPr>
          <w:p w14:paraId="6E599E21">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6.146</w:t>
            </w:r>
          </w:p>
        </w:tc>
        <w:tc>
          <w:tcPr>
            <w:tcW w:w="1250" w:type="pct"/>
            <w:shd w:val="clear" w:color="auto" w:fill="auto"/>
            <w:noWrap w:val="0"/>
            <w:vAlign w:val="center"/>
          </w:tcPr>
          <w:p w14:paraId="485CC9B9">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32</w:t>
            </w:r>
          </w:p>
        </w:tc>
        <w:tc>
          <w:tcPr>
            <w:tcW w:w="1251" w:type="pct"/>
            <w:shd w:val="clear" w:color="auto" w:fill="auto"/>
            <w:noWrap w:val="0"/>
            <w:vAlign w:val="top"/>
          </w:tcPr>
          <w:p w14:paraId="205A4F4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6.146</w:t>
            </w:r>
          </w:p>
        </w:tc>
      </w:tr>
      <w:tr w14:paraId="71B6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52D771BA">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-31</w:t>
            </w:r>
          </w:p>
        </w:tc>
        <w:tc>
          <w:tcPr>
            <w:tcW w:w="1250" w:type="pct"/>
            <w:noWrap w:val="0"/>
            <w:vAlign w:val="top"/>
          </w:tcPr>
          <w:p w14:paraId="5E9D217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6.343</w:t>
            </w:r>
          </w:p>
        </w:tc>
        <w:tc>
          <w:tcPr>
            <w:tcW w:w="1250" w:type="pct"/>
            <w:shd w:val="clear" w:color="auto" w:fill="auto"/>
            <w:noWrap w:val="0"/>
            <w:vAlign w:val="center"/>
          </w:tcPr>
          <w:p w14:paraId="251A5179">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31</w:t>
            </w:r>
          </w:p>
        </w:tc>
        <w:tc>
          <w:tcPr>
            <w:tcW w:w="1251" w:type="pct"/>
            <w:shd w:val="clear" w:color="auto" w:fill="auto"/>
            <w:noWrap w:val="0"/>
            <w:vAlign w:val="top"/>
          </w:tcPr>
          <w:p w14:paraId="54DADE73">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6.343</w:t>
            </w:r>
          </w:p>
        </w:tc>
      </w:tr>
      <w:tr w14:paraId="2C9C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3B0745D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-30</w:t>
            </w:r>
          </w:p>
        </w:tc>
        <w:tc>
          <w:tcPr>
            <w:tcW w:w="1250" w:type="pct"/>
            <w:noWrap w:val="0"/>
            <w:vAlign w:val="top"/>
          </w:tcPr>
          <w:p w14:paraId="0F07453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6.553</w:t>
            </w:r>
          </w:p>
        </w:tc>
        <w:tc>
          <w:tcPr>
            <w:tcW w:w="1250" w:type="pct"/>
            <w:shd w:val="clear" w:color="auto" w:fill="auto"/>
            <w:noWrap w:val="0"/>
            <w:vAlign w:val="center"/>
          </w:tcPr>
          <w:p w14:paraId="6C82301A">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30</w:t>
            </w:r>
          </w:p>
        </w:tc>
        <w:tc>
          <w:tcPr>
            <w:tcW w:w="1251" w:type="pct"/>
            <w:shd w:val="clear" w:color="auto" w:fill="auto"/>
            <w:noWrap w:val="0"/>
            <w:vAlign w:val="top"/>
          </w:tcPr>
          <w:p w14:paraId="357F8A2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6.553</w:t>
            </w:r>
          </w:p>
        </w:tc>
      </w:tr>
      <w:tr w14:paraId="3487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F78F0EA">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-29</w:t>
            </w:r>
          </w:p>
        </w:tc>
        <w:tc>
          <w:tcPr>
            <w:tcW w:w="1250" w:type="pct"/>
            <w:noWrap w:val="0"/>
            <w:vAlign w:val="top"/>
          </w:tcPr>
          <w:p w14:paraId="515A4504">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6.777</w:t>
            </w:r>
          </w:p>
        </w:tc>
        <w:tc>
          <w:tcPr>
            <w:tcW w:w="1250" w:type="pct"/>
            <w:shd w:val="clear" w:color="auto" w:fill="auto"/>
            <w:noWrap w:val="0"/>
            <w:vAlign w:val="center"/>
          </w:tcPr>
          <w:p w14:paraId="0236C45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29</w:t>
            </w:r>
          </w:p>
        </w:tc>
        <w:tc>
          <w:tcPr>
            <w:tcW w:w="1251" w:type="pct"/>
            <w:shd w:val="clear" w:color="auto" w:fill="auto"/>
            <w:noWrap w:val="0"/>
            <w:vAlign w:val="top"/>
          </w:tcPr>
          <w:p w14:paraId="09CFBFF1">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6.777</w:t>
            </w:r>
          </w:p>
        </w:tc>
      </w:tr>
      <w:tr w14:paraId="26EB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0426183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-28</w:t>
            </w:r>
          </w:p>
        </w:tc>
        <w:tc>
          <w:tcPr>
            <w:tcW w:w="1250" w:type="pct"/>
            <w:noWrap w:val="0"/>
            <w:vAlign w:val="top"/>
          </w:tcPr>
          <w:p w14:paraId="22FA10E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7.017</w:t>
            </w:r>
          </w:p>
        </w:tc>
        <w:tc>
          <w:tcPr>
            <w:tcW w:w="1250" w:type="pct"/>
            <w:shd w:val="clear" w:color="auto" w:fill="auto"/>
            <w:noWrap w:val="0"/>
            <w:vAlign w:val="center"/>
          </w:tcPr>
          <w:p w14:paraId="2BA5956B">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28</w:t>
            </w:r>
          </w:p>
        </w:tc>
        <w:tc>
          <w:tcPr>
            <w:tcW w:w="1251" w:type="pct"/>
            <w:shd w:val="clear" w:color="auto" w:fill="auto"/>
            <w:noWrap w:val="0"/>
            <w:vAlign w:val="top"/>
          </w:tcPr>
          <w:p w14:paraId="49BF704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7.017</w:t>
            </w:r>
          </w:p>
        </w:tc>
      </w:tr>
      <w:tr w14:paraId="3443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322CB948">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-27</w:t>
            </w:r>
          </w:p>
        </w:tc>
        <w:tc>
          <w:tcPr>
            <w:tcW w:w="1250" w:type="pct"/>
            <w:noWrap w:val="0"/>
            <w:vAlign w:val="top"/>
          </w:tcPr>
          <w:p w14:paraId="68015EF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7.274</w:t>
            </w:r>
          </w:p>
        </w:tc>
        <w:tc>
          <w:tcPr>
            <w:tcW w:w="1250" w:type="pct"/>
            <w:shd w:val="clear" w:color="auto" w:fill="auto"/>
            <w:noWrap w:val="0"/>
            <w:vAlign w:val="center"/>
          </w:tcPr>
          <w:p w14:paraId="3302CA51">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27</w:t>
            </w:r>
          </w:p>
        </w:tc>
        <w:tc>
          <w:tcPr>
            <w:tcW w:w="1251" w:type="pct"/>
            <w:shd w:val="clear" w:color="auto" w:fill="auto"/>
            <w:noWrap w:val="0"/>
            <w:vAlign w:val="top"/>
          </w:tcPr>
          <w:p w14:paraId="5168C03D">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7.274</w:t>
            </w:r>
          </w:p>
        </w:tc>
      </w:tr>
      <w:tr w14:paraId="156A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1196700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-26</w:t>
            </w:r>
          </w:p>
        </w:tc>
        <w:tc>
          <w:tcPr>
            <w:tcW w:w="1250" w:type="pct"/>
            <w:noWrap w:val="0"/>
            <w:vAlign w:val="top"/>
          </w:tcPr>
          <w:p w14:paraId="7F6C3B2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7.550</w:t>
            </w:r>
          </w:p>
        </w:tc>
        <w:tc>
          <w:tcPr>
            <w:tcW w:w="1250" w:type="pct"/>
            <w:shd w:val="clear" w:color="auto" w:fill="auto"/>
            <w:noWrap w:val="0"/>
            <w:vAlign w:val="center"/>
          </w:tcPr>
          <w:p w14:paraId="06503CFE">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26</w:t>
            </w:r>
          </w:p>
        </w:tc>
        <w:tc>
          <w:tcPr>
            <w:tcW w:w="1251" w:type="pct"/>
            <w:shd w:val="clear" w:color="auto" w:fill="auto"/>
            <w:noWrap w:val="0"/>
            <w:vAlign w:val="top"/>
          </w:tcPr>
          <w:p w14:paraId="5CFC28F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7.550</w:t>
            </w:r>
          </w:p>
        </w:tc>
      </w:tr>
      <w:tr w14:paraId="0DBB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2021202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-25</w:t>
            </w:r>
          </w:p>
        </w:tc>
        <w:tc>
          <w:tcPr>
            <w:tcW w:w="1250" w:type="pct"/>
            <w:noWrap w:val="0"/>
            <w:vAlign w:val="top"/>
          </w:tcPr>
          <w:p w14:paraId="0AE6DF8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7.848</w:t>
            </w:r>
          </w:p>
        </w:tc>
        <w:tc>
          <w:tcPr>
            <w:tcW w:w="1250" w:type="pct"/>
            <w:shd w:val="clear" w:color="auto" w:fill="auto"/>
            <w:noWrap w:val="0"/>
            <w:vAlign w:val="center"/>
          </w:tcPr>
          <w:p w14:paraId="55B6C16E">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25</w:t>
            </w:r>
          </w:p>
        </w:tc>
        <w:tc>
          <w:tcPr>
            <w:tcW w:w="1251" w:type="pct"/>
            <w:shd w:val="clear" w:color="auto" w:fill="auto"/>
            <w:noWrap w:val="0"/>
            <w:vAlign w:val="top"/>
          </w:tcPr>
          <w:p w14:paraId="3D5944F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7.848</w:t>
            </w:r>
          </w:p>
        </w:tc>
      </w:tr>
      <w:tr w14:paraId="3B31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1067F6FE">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-24</w:t>
            </w:r>
          </w:p>
        </w:tc>
        <w:tc>
          <w:tcPr>
            <w:tcW w:w="1250" w:type="pct"/>
            <w:noWrap w:val="0"/>
            <w:vAlign w:val="top"/>
          </w:tcPr>
          <w:p w14:paraId="7856FD6C">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8.171</w:t>
            </w:r>
          </w:p>
        </w:tc>
        <w:tc>
          <w:tcPr>
            <w:tcW w:w="1250" w:type="pct"/>
            <w:shd w:val="clear" w:color="auto" w:fill="auto"/>
            <w:noWrap w:val="0"/>
            <w:vAlign w:val="center"/>
          </w:tcPr>
          <w:p w14:paraId="7C96F68B">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24</w:t>
            </w:r>
          </w:p>
        </w:tc>
        <w:tc>
          <w:tcPr>
            <w:tcW w:w="1251" w:type="pct"/>
            <w:shd w:val="clear" w:color="auto" w:fill="auto"/>
            <w:noWrap w:val="0"/>
            <w:vAlign w:val="top"/>
          </w:tcPr>
          <w:p w14:paraId="6026C55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8.171</w:t>
            </w:r>
          </w:p>
        </w:tc>
      </w:tr>
      <w:tr w14:paraId="7564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17D1D1F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-23</w:t>
            </w:r>
          </w:p>
        </w:tc>
        <w:tc>
          <w:tcPr>
            <w:tcW w:w="1250" w:type="pct"/>
            <w:noWrap w:val="0"/>
            <w:vAlign w:val="top"/>
          </w:tcPr>
          <w:p w14:paraId="316D39B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8.520</w:t>
            </w:r>
          </w:p>
        </w:tc>
        <w:tc>
          <w:tcPr>
            <w:tcW w:w="1250" w:type="pct"/>
            <w:shd w:val="clear" w:color="auto" w:fill="auto"/>
            <w:noWrap w:val="0"/>
            <w:vAlign w:val="center"/>
          </w:tcPr>
          <w:p w14:paraId="2EFE9AB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23</w:t>
            </w:r>
          </w:p>
        </w:tc>
        <w:tc>
          <w:tcPr>
            <w:tcW w:w="1251" w:type="pct"/>
            <w:shd w:val="clear" w:color="auto" w:fill="auto"/>
            <w:noWrap w:val="0"/>
            <w:vAlign w:val="top"/>
          </w:tcPr>
          <w:p w14:paraId="66018A79">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8.520</w:t>
            </w:r>
          </w:p>
        </w:tc>
      </w:tr>
      <w:tr w14:paraId="25C5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5816B5A2">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-22</w:t>
            </w:r>
          </w:p>
        </w:tc>
        <w:tc>
          <w:tcPr>
            <w:tcW w:w="1250" w:type="pct"/>
            <w:noWrap w:val="0"/>
            <w:vAlign w:val="top"/>
          </w:tcPr>
          <w:p w14:paraId="5491078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8.900</w:t>
            </w:r>
          </w:p>
        </w:tc>
        <w:tc>
          <w:tcPr>
            <w:tcW w:w="1250" w:type="pct"/>
            <w:shd w:val="clear" w:color="auto" w:fill="auto"/>
            <w:noWrap w:val="0"/>
            <w:vAlign w:val="center"/>
          </w:tcPr>
          <w:p w14:paraId="29345D48">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22</w:t>
            </w:r>
          </w:p>
        </w:tc>
        <w:tc>
          <w:tcPr>
            <w:tcW w:w="1251" w:type="pct"/>
            <w:shd w:val="clear" w:color="auto" w:fill="auto"/>
            <w:noWrap w:val="0"/>
            <w:vAlign w:val="top"/>
          </w:tcPr>
          <w:p w14:paraId="2AFD326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8.900</w:t>
            </w:r>
          </w:p>
        </w:tc>
      </w:tr>
      <w:tr w14:paraId="261C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501AC4A4">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-21</w:t>
            </w:r>
          </w:p>
        </w:tc>
        <w:tc>
          <w:tcPr>
            <w:tcW w:w="1250" w:type="pct"/>
            <w:noWrap w:val="0"/>
            <w:vAlign w:val="top"/>
          </w:tcPr>
          <w:p w14:paraId="339FC5C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9.314</w:t>
            </w:r>
          </w:p>
        </w:tc>
        <w:tc>
          <w:tcPr>
            <w:tcW w:w="1250" w:type="pct"/>
            <w:shd w:val="clear" w:color="auto" w:fill="auto"/>
            <w:noWrap w:val="0"/>
            <w:vAlign w:val="center"/>
          </w:tcPr>
          <w:p w14:paraId="78E53EC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21</w:t>
            </w:r>
          </w:p>
        </w:tc>
        <w:tc>
          <w:tcPr>
            <w:tcW w:w="1251" w:type="pct"/>
            <w:shd w:val="clear" w:color="auto" w:fill="auto"/>
            <w:noWrap w:val="0"/>
            <w:vAlign w:val="top"/>
          </w:tcPr>
          <w:p w14:paraId="4717FAB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9.314</w:t>
            </w:r>
          </w:p>
        </w:tc>
      </w:tr>
      <w:tr w14:paraId="3563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5E8CF053">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0" w:type="pct"/>
            <w:noWrap w:val="0"/>
            <w:vAlign w:val="top"/>
          </w:tcPr>
          <w:p w14:paraId="2C5886C3">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9.767</w:t>
            </w:r>
          </w:p>
        </w:tc>
        <w:tc>
          <w:tcPr>
            <w:tcW w:w="1250" w:type="pct"/>
            <w:shd w:val="clear" w:color="auto" w:fill="auto"/>
            <w:noWrap w:val="0"/>
            <w:vAlign w:val="center"/>
          </w:tcPr>
          <w:p w14:paraId="68075E71">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1" w:type="pct"/>
            <w:shd w:val="clear" w:color="auto" w:fill="auto"/>
            <w:noWrap w:val="0"/>
            <w:vAlign w:val="top"/>
          </w:tcPr>
          <w:p w14:paraId="3FDC2B82">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9.767</w:t>
            </w:r>
          </w:p>
        </w:tc>
      </w:tr>
      <w:tr w14:paraId="4AC1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8EBDED6">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0" w:type="pct"/>
            <w:noWrap w:val="0"/>
            <w:vAlign w:val="top"/>
          </w:tcPr>
          <w:p w14:paraId="7FD706B5">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10.266</w:t>
            </w:r>
          </w:p>
        </w:tc>
        <w:tc>
          <w:tcPr>
            <w:tcW w:w="1250" w:type="pct"/>
            <w:shd w:val="clear" w:color="auto" w:fill="auto"/>
            <w:noWrap w:val="0"/>
            <w:vAlign w:val="center"/>
          </w:tcPr>
          <w:p w14:paraId="5E7BB978">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1" w:type="pct"/>
            <w:shd w:val="clear" w:color="auto" w:fill="auto"/>
            <w:noWrap w:val="0"/>
            <w:vAlign w:val="top"/>
          </w:tcPr>
          <w:p w14:paraId="1661AD5D">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10.266</w:t>
            </w:r>
          </w:p>
        </w:tc>
      </w:tr>
      <w:tr w14:paraId="6638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10C594CB">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0" w:type="pct"/>
            <w:noWrap w:val="0"/>
            <w:vAlign w:val="top"/>
          </w:tcPr>
          <w:p w14:paraId="40631DB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10.815</w:t>
            </w:r>
          </w:p>
        </w:tc>
        <w:tc>
          <w:tcPr>
            <w:tcW w:w="1250" w:type="pct"/>
            <w:shd w:val="clear" w:color="auto" w:fill="auto"/>
            <w:noWrap w:val="0"/>
            <w:vAlign w:val="center"/>
          </w:tcPr>
          <w:p w14:paraId="5865BD52">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1" w:type="pct"/>
            <w:shd w:val="clear" w:color="auto" w:fill="auto"/>
            <w:noWrap w:val="0"/>
            <w:vAlign w:val="top"/>
          </w:tcPr>
          <w:p w14:paraId="64A79095">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10.815</w:t>
            </w:r>
          </w:p>
        </w:tc>
      </w:tr>
      <w:tr w14:paraId="16D6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57F545A0">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0" w:type="pct"/>
            <w:noWrap w:val="0"/>
            <w:vAlign w:val="top"/>
          </w:tcPr>
          <w:p w14:paraId="715299B8">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11.423</w:t>
            </w:r>
          </w:p>
        </w:tc>
        <w:tc>
          <w:tcPr>
            <w:tcW w:w="1250" w:type="pct"/>
            <w:shd w:val="clear" w:color="auto" w:fill="auto"/>
            <w:noWrap w:val="0"/>
            <w:vAlign w:val="center"/>
          </w:tcPr>
          <w:p w14:paraId="307DFDC2">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1" w:type="pct"/>
            <w:shd w:val="clear" w:color="auto" w:fill="auto"/>
            <w:noWrap w:val="0"/>
            <w:vAlign w:val="top"/>
          </w:tcPr>
          <w:p w14:paraId="57EA0533">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11.423</w:t>
            </w:r>
          </w:p>
        </w:tc>
      </w:tr>
      <w:tr w14:paraId="3F04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3E2C72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0" w:type="pct"/>
            <w:noWrap w:val="0"/>
            <w:vAlign w:val="top"/>
          </w:tcPr>
          <w:p w14:paraId="473EB6B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12.099</w:t>
            </w:r>
          </w:p>
        </w:tc>
        <w:tc>
          <w:tcPr>
            <w:tcW w:w="1250" w:type="pct"/>
            <w:shd w:val="clear" w:color="auto" w:fill="auto"/>
            <w:noWrap w:val="0"/>
            <w:vAlign w:val="center"/>
          </w:tcPr>
          <w:p w14:paraId="57AF2D91">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1" w:type="pct"/>
            <w:shd w:val="clear" w:color="auto" w:fill="auto"/>
            <w:noWrap w:val="0"/>
            <w:vAlign w:val="top"/>
          </w:tcPr>
          <w:p w14:paraId="20267C5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12.099</w:t>
            </w:r>
          </w:p>
        </w:tc>
      </w:tr>
      <w:tr w14:paraId="0374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94B26C0">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0" w:type="pct"/>
            <w:noWrap w:val="0"/>
            <w:vAlign w:val="top"/>
          </w:tcPr>
          <w:p w14:paraId="5C1C171D">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12.853</w:t>
            </w:r>
          </w:p>
        </w:tc>
        <w:tc>
          <w:tcPr>
            <w:tcW w:w="1250" w:type="pct"/>
            <w:shd w:val="clear" w:color="auto" w:fill="auto"/>
            <w:noWrap w:val="0"/>
            <w:vAlign w:val="center"/>
          </w:tcPr>
          <w:p w14:paraId="12EC53C9">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1" w:type="pct"/>
            <w:shd w:val="clear" w:color="auto" w:fill="auto"/>
            <w:noWrap w:val="0"/>
            <w:vAlign w:val="top"/>
          </w:tcPr>
          <w:p w14:paraId="18348869">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12.853</w:t>
            </w:r>
          </w:p>
        </w:tc>
      </w:tr>
      <w:tr w14:paraId="7D2B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590CDB9">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0" w:type="pct"/>
            <w:noWrap w:val="0"/>
            <w:vAlign w:val="top"/>
          </w:tcPr>
          <w:p w14:paraId="630C0DB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13.697</w:t>
            </w:r>
          </w:p>
        </w:tc>
        <w:tc>
          <w:tcPr>
            <w:tcW w:w="1250" w:type="pct"/>
            <w:shd w:val="clear" w:color="auto" w:fill="auto"/>
            <w:noWrap w:val="0"/>
            <w:vAlign w:val="center"/>
          </w:tcPr>
          <w:p w14:paraId="6E22132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1" w:type="pct"/>
            <w:shd w:val="clear" w:color="auto" w:fill="auto"/>
            <w:noWrap w:val="0"/>
            <w:vAlign w:val="top"/>
          </w:tcPr>
          <w:p w14:paraId="2D2699E3">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13.697</w:t>
            </w:r>
          </w:p>
        </w:tc>
      </w:tr>
      <w:tr w14:paraId="0F98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7AD60D6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0" w:type="pct"/>
            <w:noWrap w:val="0"/>
            <w:vAlign w:val="top"/>
          </w:tcPr>
          <w:p w14:paraId="50E4A74F">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14.643</w:t>
            </w:r>
          </w:p>
        </w:tc>
        <w:tc>
          <w:tcPr>
            <w:tcW w:w="1250" w:type="pct"/>
            <w:shd w:val="clear" w:color="auto" w:fill="auto"/>
            <w:noWrap w:val="0"/>
            <w:vAlign w:val="center"/>
          </w:tcPr>
          <w:p w14:paraId="0382C67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1" w:type="pct"/>
            <w:shd w:val="clear" w:color="auto" w:fill="auto"/>
            <w:noWrap w:val="0"/>
            <w:vAlign w:val="top"/>
          </w:tcPr>
          <w:p w14:paraId="4F9332D9">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14.643</w:t>
            </w:r>
          </w:p>
        </w:tc>
      </w:tr>
      <w:tr w14:paraId="1B9E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2C22F849">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0" w:type="pct"/>
            <w:noWrap w:val="0"/>
            <w:vAlign w:val="top"/>
          </w:tcPr>
          <w:p w14:paraId="1A996605">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15.705</w:t>
            </w:r>
          </w:p>
        </w:tc>
        <w:tc>
          <w:tcPr>
            <w:tcW w:w="1250" w:type="pct"/>
            <w:shd w:val="clear" w:color="auto" w:fill="auto"/>
            <w:noWrap w:val="0"/>
            <w:vAlign w:val="center"/>
          </w:tcPr>
          <w:p w14:paraId="4C9892D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1" w:type="pct"/>
            <w:shd w:val="clear" w:color="auto" w:fill="auto"/>
            <w:noWrap w:val="0"/>
            <w:vAlign w:val="top"/>
          </w:tcPr>
          <w:p w14:paraId="514933F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15.705</w:t>
            </w:r>
          </w:p>
        </w:tc>
      </w:tr>
      <w:tr w14:paraId="0CE6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137D27F0">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0" w:type="pct"/>
            <w:noWrap w:val="0"/>
            <w:vAlign w:val="top"/>
          </w:tcPr>
          <w:p w14:paraId="61040258">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16.894</w:t>
            </w:r>
          </w:p>
        </w:tc>
        <w:tc>
          <w:tcPr>
            <w:tcW w:w="1250" w:type="pct"/>
            <w:shd w:val="clear" w:color="auto" w:fill="auto"/>
            <w:noWrap w:val="0"/>
            <w:vAlign w:val="center"/>
          </w:tcPr>
          <w:p w14:paraId="2F49C637">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1" w:type="pct"/>
            <w:shd w:val="clear" w:color="auto" w:fill="auto"/>
            <w:noWrap w:val="0"/>
            <w:vAlign w:val="top"/>
          </w:tcPr>
          <w:p w14:paraId="354917A1">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16.894</w:t>
            </w:r>
          </w:p>
        </w:tc>
      </w:tr>
      <w:tr w14:paraId="722A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AEF8849">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0" w:type="pct"/>
            <w:noWrap w:val="0"/>
            <w:vAlign w:val="top"/>
          </w:tcPr>
          <w:p w14:paraId="1CDA8A3C">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18.215</w:t>
            </w:r>
          </w:p>
        </w:tc>
        <w:tc>
          <w:tcPr>
            <w:tcW w:w="1250" w:type="pct"/>
            <w:shd w:val="clear" w:color="auto" w:fill="auto"/>
            <w:noWrap w:val="0"/>
            <w:vAlign w:val="center"/>
          </w:tcPr>
          <w:p w14:paraId="5C984628">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1" w:type="pct"/>
            <w:shd w:val="clear" w:color="auto" w:fill="auto"/>
            <w:noWrap w:val="0"/>
            <w:vAlign w:val="top"/>
          </w:tcPr>
          <w:p w14:paraId="59BF6BB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18.215</w:t>
            </w:r>
          </w:p>
        </w:tc>
      </w:tr>
      <w:tr w14:paraId="570E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1E6A237A">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0" w:type="pct"/>
            <w:noWrap w:val="0"/>
            <w:vAlign w:val="top"/>
          </w:tcPr>
          <w:p w14:paraId="7023C6E8">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19.661</w:t>
            </w:r>
          </w:p>
        </w:tc>
        <w:tc>
          <w:tcPr>
            <w:tcW w:w="1250" w:type="pct"/>
            <w:shd w:val="clear" w:color="auto" w:fill="auto"/>
            <w:noWrap w:val="0"/>
            <w:vAlign w:val="center"/>
          </w:tcPr>
          <w:p w14:paraId="5299E63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1" w:type="pct"/>
            <w:shd w:val="clear" w:color="auto" w:fill="auto"/>
            <w:noWrap w:val="0"/>
            <w:vAlign w:val="top"/>
          </w:tcPr>
          <w:p w14:paraId="0E05C5B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19.661</w:t>
            </w:r>
          </w:p>
        </w:tc>
      </w:tr>
      <w:tr w14:paraId="4EED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2CBB1802">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0" w:type="pct"/>
            <w:noWrap w:val="0"/>
            <w:vAlign w:val="top"/>
          </w:tcPr>
          <w:p w14:paraId="033CDA55">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21.193</w:t>
            </w:r>
          </w:p>
        </w:tc>
        <w:tc>
          <w:tcPr>
            <w:tcW w:w="1250" w:type="pct"/>
            <w:shd w:val="clear" w:color="auto" w:fill="auto"/>
            <w:noWrap w:val="0"/>
            <w:vAlign w:val="center"/>
          </w:tcPr>
          <w:p w14:paraId="2C11340B">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1" w:type="pct"/>
            <w:shd w:val="clear" w:color="auto" w:fill="auto"/>
            <w:noWrap w:val="0"/>
            <w:vAlign w:val="top"/>
          </w:tcPr>
          <w:p w14:paraId="44885715">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21.193</w:t>
            </w:r>
          </w:p>
        </w:tc>
      </w:tr>
      <w:tr w14:paraId="4F31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4D703CDD">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0" w:type="pct"/>
            <w:noWrap w:val="0"/>
            <w:vAlign w:val="top"/>
          </w:tcPr>
          <w:p w14:paraId="10128329">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22.730</w:t>
            </w:r>
          </w:p>
        </w:tc>
        <w:tc>
          <w:tcPr>
            <w:tcW w:w="1250" w:type="pct"/>
            <w:shd w:val="clear" w:color="auto" w:fill="auto"/>
            <w:noWrap w:val="0"/>
            <w:vAlign w:val="center"/>
          </w:tcPr>
          <w:p w14:paraId="48C3B3C1">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1" w:type="pct"/>
            <w:shd w:val="clear" w:color="auto" w:fill="auto"/>
            <w:noWrap w:val="0"/>
            <w:vAlign w:val="top"/>
          </w:tcPr>
          <w:p w14:paraId="0888D38F">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22.730</w:t>
            </w:r>
          </w:p>
        </w:tc>
      </w:tr>
      <w:tr w14:paraId="2135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7FFA37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0" w:type="pct"/>
            <w:noWrap w:val="0"/>
            <w:vAlign w:val="top"/>
          </w:tcPr>
          <w:p w14:paraId="293C099B">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24.122</w:t>
            </w:r>
          </w:p>
        </w:tc>
        <w:tc>
          <w:tcPr>
            <w:tcW w:w="1250" w:type="pct"/>
            <w:shd w:val="clear" w:color="auto" w:fill="auto"/>
            <w:noWrap w:val="0"/>
            <w:vAlign w:val="center"/>
          </w:tcPr>
          <w:p w14:paraId="777E00C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1" w:type="pct"/>
            <w:shd w:val="clear" w:color="auto" w:fill="auto"/>
            <w:noWrap w:val="0"/>
            <w:vAlign w:val="top"/>
          </w:tcPr>
          <w:p w14:paraId="443E6709">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24.122</w:t>
            </w:r>
          </w:p>
        </w:tc>
      </w:tr>
      <w:tr w14:paraId="7614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29E930DA">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0" w:type="pct"/>
            <w:noWrap w:val="0"/>
            <w:vAlign w:val="top"/>
          </w:tcPr>
          <w:p w14:paraId="0D1F3F8E">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25.172</w:t>
            </w:r>
          </w:p>
        </w:tc>
        <w:tc>
          <w:tcPr>
            <w:tcW w:w="1250" w:type="pct"/>
            <w:shd w:val="clear" w:color="auto" w:fill="auto"/>
            <w:noWrap w:val="0"/>
            <w:vAlign w:val="center"/>
          </w:tcPr>
          <w:p w14:paraId="3E674A52">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1" w:type="pct"/>
            <w:shd w:val="clear" w:color="auto" w:fill="auto"/>
            <w:noWrap w:val="0"/>
            <w:vAlign w:val="top"/>
          </w:tcPr>
          <w:p w14:paraId="6773937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25.172</w:t>
            </w:r>
          </w:p>
        </w:tc>
      </w:tr>
      <w:tr w14:paraId="242A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328C7C9A">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0" w:type="pct"/>
            <w:noWrap w:val="0"/>
            <w:vAlign w:val="top"/>
          </w:tcPr>
          <w:p w14:paraId="3C3225BD">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25.701</w:t>
            </w:r>
          </w:p>
        </w:tc>
        <w:tc>
          <w:tcPr>
            <w:tcW w:w="1250" w:type="pct"/>
            <w:shd w:val="clear" w:color="auto" w:fill="auto"/>
            <w:noWrap w:val="0"/>
            <w:vAlign w:val="center"/>
          </w:tcPr>
          <w:p w14:paraId="50208A6F">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1" w:type="pct"/>
            <w:shd w:val="clear" w:color="auto" w:fill="auto"/>
            <w:noWrap w:val="0"/>
            <w:vAlign w:val="top"/>
          </w:tcPr>
          <w:p w14:paraId="7BCE8D02">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25.701</w:t>
            </w:r>
          </w:p>
        </w:tc>
      </w:tr>
      <w:tr w14:paraId="774C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51FC4905">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0" w:type="pct"/>
            <w:noWrap w:val="0"/>
            <w:vAlign w:val="top"/>
          </w:tcPr>
          <w:p w14:paraId="23395B43">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25.675</w:t>
            </w:r>
          </w:p>
        </w:tc>
        <w:tc>
          <w:tcPr>
            <w:tcW w:w="1250" w:type="pct"/>
            <w:shd w:val="clear" w:color="auto" w:fill="auto"/>
            <w:noWrap w:val="0"/>
            <w:vAlign w:val="center"/>
          </w:tcPr>
          <w:p w14:paraId="52978614">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1" w:type="pct"/>
            <w:shd w:val="clear" w:color="auto" w:fill="auto"/>
            <w:noWrap w:val="0"/>
            <w:vAlign w:val="top"/>
          </w:tcPr>
          <w:p w14:paraId="16B3254F">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25.675</w:t>
            </w:r>
          </w:p>
        </w:tc>
      </w:tr>
      <w:tr w14:paraId="483C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5AB243DC">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0" w:type="pct"/>
            <w:noWrap w:val="0"/>
            <w:vAlign w:val="top"/>
          </w:tcPr>
          <w:p w14:paraId="5961FF6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25.276</w:t>
            </w:r>
          </w:p>
        </w:tc>
        <w:tc>
          <w:tcPr>
            <w:tcW w:w="1250" w:type="pct"/>
            <w:shd w:val="clear" w:color="auto" w:fill="auto"/>
            <w:noWrap w:val="0"/>
            <w:vAlign w:val="center"/>
          </w:tcPr>
          <w:p w14:paraId="30777D73">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1" w:type="pct"/>
            <w:shd w:val="clear" w:color="auto" w:fill="auto"/>
            <w:noWrap w:val="0"/>
            <w:vAlign w:val="top"/>
          </w:tcPr>
          <w:p w14:paraId="4DE76EE7">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25.276</w:t>
            </w:r>
          </w:p>
        </w:tc>
      </w:tr>
      <w:tr w14:paraId="0B35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4DDC9AE0">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0" w:type="pct"/>
            <w:noWrap w:val="0"/>
            <w:vAlign w:val="top"/>
          </w:tcPr>
          <w:p w14:paraId="0256476A">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24.835</w:t>
            </w:r>
          </w:p>
        </w:tc>
        <w:tc>
          <w:tcPr>
            <w:tcW w:w="1250" w:type="pct"/>
            <w:shd w:val="clear" w:color="auto" w:fill="auto"/>
            <w:noWrap w:val="0"/>
            <w:vAlign w:val="center"/>
          </w:tcPr>
          <w:p w14:paraId="21EE85ED">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1" w:type="pct"/>
            <w:shd w:val="clear" w:color="auto" w:fill="auto"/>
            <w:noWrap w:val="0"/>
            <w:vAlign w:val="top"/>
          </w:tcPr>
          <w:p w14:paraId="63D21C56">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24.835</w:t>
            </w:r>
          </w:p>
        </w:tc>
      </w:tr>
      <w:tr w14:paraId="1392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shd w:val="clear" w:color="auto" w:fill="auto"/>
            <w:noWrap w:val="0"/>
            <w:vAlign w:val="center"/>
          </w:tcPr>
          <w:p w14:paraId="6EC40013">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0" w:type="pct"/>
            <w:noWrap w:val="0"/>
            <w:vAlign w:val="top"/>
          </w:tcPr>
          <w:p w14:paraId="49AC19A1">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24.649</w:t>
            </w:r>
          </w:p>
        </w:tc>
        <w:tc>
          <w:tcPr>
            <w:tcW w:w="1250" w:type="pct"/>
            <w:shd w:val="clear" w:color="auto" w:fill="auto"/>
            <w:noWrap w:val="0"/>
            <w:vAlign w:val="center"/>
          </w:tcPr>
          <w:p w14:paraId="6B4D7D57">
            <w:pPr>
              <w:keepNext w:val="0"/>
              <w:keepLines w:val="0"/>
              <w:pageBreakBefore w:val="0"/>
              <w:widowControl/>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1" w:type="pct"/>
            <w:shd w:val="clear" w:color="auto" w:fill="auto"/>
            <w:noWrap w:val="0"/>
            <w:vAlign w:val="top"/>
          </w:tcPr>
          <w:p w14:paraId="4EA35112">
            <w:pPr>
              <w:keepNext w:val="0"/>
              <w:keepLines w:val="0"/>
              <w:pageBreakBefore w:val="0"/>
              <w:kinsoku/>
              <w:wordWrap/>
              <w:overflowPunct/>
              <w:topLinePunct w:val="0"/>
              <w:autoSpaceDE/>
              <w:autoSpaceDN/>
              <w:bidi w:val="0"/>
              <w:adjustRightIn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24.649</w:t>
            </w:r>
          </w:p>
        </w:tc>
      </w:tr>
    </w:tbl>
    <w:p w14:paraId="79DBC2AB">
      <w:pPr>
        <w:keepNext w:val="0"/>
        <w:keepLines w:val="0"/>
        <w:pageBreakBefore w:val="0"/>
        <w:widowControl w:val="0"/>
        <w:tabs>
          <w:tab w:val="left" w:pos="70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000000"/>
          <w:sz w:val="21"/>
          <w:szCs w:val="21"/>
          <w:highlight w:val="none"/>
          <w:lang w:eastAsia="zh-CN"/>
        </w:rPr>
      </w:pPr>
      <w:r>
        <w:rPr>
          <w:rFonts w:hint="eastAsia" w:ascii="Times New Roman" w:hAnsi="Times New Roman" w:eastAsia="宋体" w:cs="Times New Roman"/>
          <w:b/>
          <w:color w:val="000000"/>
          <w:sz w:val="21"/>
          <w:szCs w:val="21"/>
          <w:highlight w:val="none"/>
          <w:lang w:eastAsia="zh-CN"/>
        </w:rPr>
        <w:drawing>
          <wp:inline distT="0" distB="0" distL="114300" distR="114300">
            <wp:extent cx="5273675" cy="3848735"/>
            <wp:effectExtent l="0" t="0" r="3175" b="18415"/>
            <wp:docPr id="33" name="图片 33" descr="174315149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43151498171"/>
                    <pic:cNvPicPr>
                      <a:picLocks noChangeAspect="1"/>
                    </pic:cNvPicPr>
                  </pic:nvPicPr>
                  <pic:blipFill>
                    <a:blip r:embed="rId68"/>
                    <a:stretch>
                      <a:fillRect/>
                    </a:stretch>
                  </pic:blipFill>
                  <pic:spPr>
                    <a:xfrm>
                      <a:off x="0" y="0"/>
                      <a:ext cx="5273675" cy="3848735"/>
                    </a:xfrm>
                    <a:prstGeom prst="rect">
                      <a:avLst/>
                    </a:prstGeom>
                  </pic:spPr>
                </pic:pic>
              </a:graphicData>
            </a:graphic>
          </wp:inline>
        </w:drawing>
      </w:r>
    </w:p>
    <w:p w14:paraId="4FE85AA9">
      <w:pPr>
        <w:keepNext w:val="0"/>
        <w:keepLines w:val="0"/>
        <w:pageBreakBefore w:val="0"/>
        <w:widowControl w:val="0"/>
        <w:tabs>
          <w:tab w:val="left" w:pos="70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图</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JC1型塔</w:t>
      </w:r>
      <w:r>
        <w:rPr>
          <w:rFonts w:hint="default" w:ascii="Times New Roman" w:hAnsi="Times New Roman" w:eastAsia="宋体" w:cs="Times New Roman"/>
          <w:b/>
          <w:color w:val="000000"/>
          <w:sz w:val="21"/>
          <w:szCs w:val="21"/>
          <w:highlight w:val="none"/>
        </w:rPr>
        <w:t>工频磁感应强度的总体分布情况</w:t>
      </w:r>
    </w:p>
    <w:p w14:paraId="0B41D92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由表</w:t>
      </w:r>
      <w:r>
        <w:rPr>
          <w:rFonts w:hint="default" w:ascii="Times New Roman" w:hAnsi="Times New Roman" w:eastAsia="宋体" w:cs="Times New Roman"/>
          <w:color w:val="000000"/>
          <w:sz w:val="24"/>
          <w:szCs w:val="22"/>
          <w:highlight w:val="none"/>
          <w:lang w:val="en-US" w:eastAsia="zh-CN"/>
        </w:rPr>
        <w:t>5-</w:t>
      </w:r>
      <w:r>
        <w:rPr>
          <w:rFonts w:hint="eastAsia" w:eastAsia="宋体" w:cs="Times New Roman"/>
          <w:color w:val="000000"/>
          <w:sz w:val="24"/>
          <w:szCs w:val="22"/>
          <w:highlight w:val="none"/>
          <w:lang w:val="en-US" w:eastAsia="zh-CN"/>
        </w:rPr>
        <w:t>3</w:t>
      </w:r>
      <w:r>
        <w:rPr>
          <w:rFonts w:hint="default" w:ascii="Times New Roman" w:hAnsi="Times New Roman" w:eastAsia="宋体" w:cs="Times New Roman"/>
          <w:color w:val="000000"/>
          <w:sz w:val="24"/>
          <w:szCs w:val="22"/>
          <w:highlight w:val="none"/>
        </w:rPr>
        <w:t>及图</w:t>
      </w:r>
      <w:r>
        <w:rPr>
          <w:rFonts w:hint="default" w:ascii="Times New Roman" w:hAnsi="Times New Roman" w:eastAsia="宋体" w:cs="Times New Roman"/>
          <w:color w:val="000000"/>
          <w:sz w:val="24"/>
          <w:szCs w:val="22"/>
          <w:highlight w:val="none"/>
          <w:lang w:val="en-US" w:eastAsia="zh-CN"/>
        </w:rPr>
        <w:t>5-</w:t>
      </w:r>
      <w:r>
        <w:rPr>
          <w:rFonts w:hint="eastAsia" w:eastAsia="宋体" w:cs="Times New Roman"/>
          <w:color w:val="000000"/>
          <w:sz w:val="24"/>
          <w:szCs w:val="22"/>
          <w:highlight w:val="none"/>
          <w:lang w:val="en-US" w:eastAsia="zh-CN"/>
        </w:rPr>
        <w:t>5</w:t>
      </w:r>
      <w:r>
        <w:rPr>
          <w:rFonts w:hint="default" w:ascii="Times New Roman" w:hAnsi="Times New Roman" w:eastAsia="宋体" w:cs="Times New Roman"/>
          <w:color w:val="000000"/>
          <w:sz w:val="24"/>
          <w:szCs w:val="22"/>
          <w:highlight w:val="none"/>
        </w:rPr>
        <w:t>可以看出，</w:t>
      </w:r>
      <w:r>
        <w:rPr>
          <w:rFonts w:hint="eastAsia" w:eastAsia="宋体" w:cs="Times New Roman"/>
          <w:color w:val="000000"/>
          <w:sz w:val="24"/>
          <w:szCs w:val="22"/>
          <w:highlight w:val="none"/>
          <w:lang w:val="en-US" w:eastAsia="zh-CN"/>
        </w:rPr>
        <w:t>7.0m架线高度时，</w:t>
      </w:r>
      <w:r>
        <w:rPr>
          <w:rFonts w:hint="default" w:ascii="Times New Roman" w:hAnsi="Times New Roman" w:eastAsia="宋体" w:cs="Times New Roman"/>
          <w:color w:val="000000"/>
          <w:sz w:val="24"/>
          <w:szCs w:val="22"/>
          <w:highlight w:val="none"/>
        </w:rPr>
        <w:t>工频</w:t>
      </w:r>
      <w:r>
        <w:rPr>
          <w:rFonts w:hint="eastAsia" w:eastAsia="宋体" w:cs="Times New Roman"/>
          <w:color w:val="000000"/>
          <w:sz w:val="24"/>
          <w:szCs w:val="22"/>
          <w:highlight w:val="none"/>
          <w:lang w:val="en-US" w:eastAsia="zh-CN"/>
        </w:rPr>
        <w:t>磁感应</w:t>
      </w:r>
      <w:r>
        <w:rPr>
          <w:rFonts w:hint="default" w:ascii="Times New Roman" w:hAnsi="Times New Roman" w:eastAsia="宋体" w:cs="Times New Roman"/>
          <w:color w:val="000000"/>
          <w:sz w:val="24"/>
          <w:szCs w:val="22"/>
          <w:highlight w:val="none"/>
        </w:rPr>
        <w:t>强度最大值出现在距线路中心线投影</w:t>
      </w:r>
      <w:r>
        <w:rPr>
          <w:rFonts w:hint="eastAsia" w:eastAsia="宋体" w:cs="Times New Roman"/>
          <w:color w:val="000000"/>
          <w:sz w:val="24"/>
          <w:szCs w:val="22"/>
          <w:highlight w:val="none"/>
          <w:lang w:val="en-US" w:eastAsia="zh-CN"/>
        </w:rPr>
        <w:t>4</w:t>
      </w:r>
      <w:r>
        <w:rPr>
          <w:rFonts w:hint="default" w:ascii="Times New Roman" w:hAnsi="Times New Roman" w:eastAsia="宋体" w:cs="Times New Roman"/>
          <w:color w:val="000000"/>
          <w:sz w:val="24"/>
          <w:szCs w:val="22"/>
          <w:highlight w:val="none"/>
        </w:rPr>
        <w:t>m处，为</w:t>
      </w:r>
      <w:r>
        <w:rPr>
          <w:rFonts w:hint="eastAsia" w:eastAsia="宋体" w:cs="Times New Roman"/>
          <w:color w:val="000000"/>
          <w:sz w:val="24"/>
          <w:szCs w:val="22"/>
          <w:highlight w:val="none"/>
          <w:lang w:val="en-US" w:eastAsia="zh-CN"/>
        </w:rPr>
        <w:t>25.701</w:t>
      </w:r>
      <w:r>
        <w:rPr>
          <w:rFonts w:hint="default" w:ascii="Times New Roman" w:hAnsi="Times New Roman" w:eastAsia="宋体" w:cs="Times New Roman"/>
          <w:color w:val="000000"/>
          <w:sz w:val="24"/>
          <w:szCs w:val="22"/>
          <w:highlight w:val="none"/>
        </w:rPr>
        <w:t>μT</w:t>
      </w:r>
      <w:r>
        <w:rPr>
          <w:rFonts w:hint="eastAsia"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之后随与此点距离的增加，其值逐步降低，所有点位的工频磁感应强度均符合</w:t>
      </w:r>
      <w:r>
        <w:rPr>
          <w:rFonts w:hint="default" w:ascii="Times New Roman" w:hAnsi="Times New Roman" w:eastAsia="宋体" w:cs="Times New Roman"/>
          <w:color w:val="000000"/>
          <w:sz w:val="24"/>
          <w:szCs w:val="24"/>
          <w:highlight w:val="none"/>
          <w:lang w:eastAsia="zh-CN"/>
        </w:rPr>
        <w:t>《电磁环境控制限值》(GB8702-2014）中规定</w:t>
      </w:r>
      <w:r>
        <w:rPr>
          <w:rFonts w:hint="default" w:ascii="Times New Roman" w:hAnsi="Times New Roman" w:eastAsia="宋体" w:cs="Times New Roman"/>
          <w:color w:val="000000"/>
          <w:sz w:val="24"/>
          <w:szCs w:val="22"/>
          <w:highlight w:val="none"/>
        </w:rPr>
        <w:t>100μT的评价标准。</w:t>
      </w:r>
    </w:p>
    <w:p w14:paraId="6A47220B">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5.</w:t>
      </w:r>
      <w:r>
        <w:rPr>
          <w:rFonts w:hint="eastAsia" w:ascii="Times New Roman" w:hAnsi="Times New Roman" w:eastAsia="宋体" w:cs="Times New Roman"/>
          <w:b/>
          <w:bCs/>
          <w:color w:val="000000"/>
          <w:kern w:val="2"/>
          <w:sz w:val="30"/>
          <w:szCs w:val="32"/>
          <w:highlight w:val="none"/>
          <w:lang w:val="en-US" w:eastAsia="zh-CN" w:bidi="ar-SA"/>
        </w:rPr>
        <w:t>4电磁环境敏感目标处影响分析</w:t>
      </w:r>
    </w:p>
    <w:p w14:paraId="5C624953">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default" w:ascii="Times New Roman" w:hAnsi="Times New Roman" w:eastAsia="宋体" w:cs="Times New Roman"/>
          <w:color w:val="000000"/>
          <w:sz w:val="24"/>
          <w:szCs w:val="24"/>
          <w:highlight w:val="none"/>
          <w:lang w:eastAsia="zh-CN"/>
        </w:rPr>
      </w:pPr>
      <w:r>
        <w:rPr>
          <w:rFonts w:hint="eastAsia" w:cs="Times New Roman"/>
          <w:color w:val="000000"/>
          <w:sz w:val="24"/>
          <w:szCs w:val="24"/>
          <w:highlight w:val="none"/>
          <w:lang w:val="en-US" w:eastAsia="zh-CN"/>
        </w:rPr>
        <w:t>本项目</w:t>
      </w:r>
      <w:r>
        <w:rPr>
          <w:rFonts w:hint="eastAsia" w:ascii="Times New Roman" w:hAnsi="Times New Roman" w:eastAsia="宋体" w:cs="Times New Roman"/>
          <w:color w:val="000000"/>
          <w:sz w:val="24"/>
          <w:szCs w:val="24"/>
          <w:highlight w:val="none"/>
          <w:lang w:val="en-US" w:eastAsia="zh-CN"/>
        </w:rPr>
        <w:t>线路边导线地面投影外两侧各30m电磁环境影响评价范围内</w:t>
      </w:r>
      <w:r>
        <w:rPr>
          <w:rFonts w:hint="default" w:ascii="Times New Roman" w:hAnsi="Times New Roman" w:eastAsia="宋体" w:cs="Times New Roman"/>
          <w:color w:val="000000"/>
          <w:sz w:val="24"/>
          <w:szCs w:val="24"/>
          <w:highlight w:val="none"/>
          <w:lang w:eastAsia="zh-CN"/>
        </w:rPr>
        <w:t>电磁环境</w:t>
      </w:r>
      <w:r>
        <w:rPr>
          <w:rFonts w:hint="eastAsia" w:ascii="Times New Roman" w:hAnsi="Times New Roman" w:eastAsia="宋体" w:cs="Times New Roman"/>
          <w:color w:val="000000"/>
          <w:sz w:val="24"/>
          <w:szCs w:val="24"/>
          <w:highlight w:val="none"/>
          <w:lang w:val="en-US" w:eastAsia="zh-CN"/>
        </w:rPr>
        <w:t>敏感</w:t>
      </w:r>
      <w:r>
        <w:rPr>
          <w:rFonts w:hint="default" w:ascii="Times New Roman" w:hAnsi="Times New Roman" w:eastAsia="宋体" w:cs="Times New Roman"/>
          <w:color w:val="000000"/>
          <w:sz w:val="24"/>
          <w:szCs w:val="24"/>
          <w:highlight w:val="none"/>
          <w:lang w:eastAsia="zh-CN"/>
        </w:rPr>
        <w:t>目标为</w:t>
      </w:r>
      <w:r>
        <w:rPr>
          <w:rFonts w:hint="default" w:ascii="Times New Roman" w:hAnsi="Times New Roman" w:eastAsia="宋体" w:cs="Times New Roman"/>
          <w:color w:val="000000"/>
          <w:sz w:val="24"/>
          <w:szCs w:val="24"/>
          <w:highlight w:val="none"/>
          <w:lang w:val="en-US" w:eastAsia="zh-CN"/>
        </w:rPr>
        <w:t>A02号塔位西北侧四把伙村</w:t>
      </w:r>
      <w:r>
        <w:rPr>
          <w:rFonts w:hint="eastAsia" w:cs="Times New Roman"/>
          <w:color w:val="000000"/>
          <w:sz w:val="24"/>
          <w:szCs w:val="24"/>
          <w:highlight w:val="none"/>
          <w:lang w:val="en-US" w:eastAsia="zh-CN"/>
        </w:rPr>
        <w:t>、A48~A49号塔之间线路东侧下常乐店</w:t>
      </w:r>
      <w:r>
        <w:rPr>
          <w:rFonts w:hint="default" w:ascii="Times New Roman" w:hAnsi="Times New Roman" w:eastAsia="宋体" w:cs="Times New Roman"/>
          <w:color w:val="000000"/>
          <w:sz w:val="24"/>
          <w:szCs w:val="24"/>
          <w:highlight w:val="none"/>
          <w:lang w:eastAsia="zh-CN"/>
        </w:rPr>
        <w:t>。</w:t>
      </w:r>
    </w:p>
    <w:p w14:paraId="0347E0A4">
      <w:pPr>
        <w:keepNext w:val="0"/>
        <w:keepLines w:val="0"/>
        <w:pageBreakBefore w:val="0"/>
        <w:widowControl w:val="0"/>
        <w:kinsoku/>
        <w:wordWrap/>
        <w:overflowPunct/>
        <w:topLinePunct w:val="0"/>
        <w:autoSpaceDE w:val="0"/>
        <w:autoSpaceDN w:val="0"/>
        <w:bidi w:val="0"/>
        <w:spacing w:line="440" w:lineRule="exact"/>
        <w:ind w:firstLine="482" w:firstLineChars="200"/>
        <w:jc w:val="both"/>
        <w:textAlignment w:val="auto"/>
        <w:rPr>
          <w:rFonts w:hint="default" w:ascii="Times New Roman" w:hAnsi="Times New Roman" w:eastAsia="宋体" w:cs="Times New Roman"/>
          <w:b/>
          <w:bCs/>
          <w:color w:val="000000"/>
          <w:kern w:val="0"/>
          <w:sz w:val="24"/>
          <w:szCs w:val="24"/>
          <w:highlight w:val="none"/>
          <w:lang w:val="en-US" w:eastAsia="zh-CN" w:bidi="ar-SA"/>
        </w:rPr>
      </w:pPr>
      <w:r>
        <w:rPr>
          <w:rFonts w:hint="eastAsia" w:ascii="Times New Roman" w:hAnsi="Times New Roman" w:eastAsia="宋体" w:cs="Times New Roman"/>
          <w:b/>
          <w:bCs/>
          <w:color w:val="000000"/>
          <w:kern w:val="0"/>
          <w:sz w:val="24"/>
          <w:szCs w:val="24"/>
          <w:highlight w:val="none"/>
          <w:lang w:val="en-US" w:eastAsia="zh-CN" w:bidi="ar-SA"/>
        </w:rPr>
        <w:t>1、四把伙村电磁环境影响预测</w:t>
      </w:r>
    </w:p>
    <w:p w14:paraId="4A492043">
      <w:pPr>
        <w:keepNext w:val="0"/>
        <w:keepLines w:val="0"/>
        <w:pageBreakBefore w:val="0"/>
        <w:widowControl w:val="0"/>
        <w:kinsoku/>
        <w:wordWrap/>
        <w:overflowPunct/>
        <w:topLinePunct w:val="0"/>
        <w:autoSpaceDE w:val="0"/>
        <w:autoSpaceDN w:val="0"/>
        <w:bidi w:val="0"/>
        <w:spacing w:line="440" w:lineRule="exact"/>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四把伙村位于本项目A02号塔西北侧，A02号塔型为110-DC22D-JC3，导线最小对地距离约为17.5m，</w:t>
      </w:r>
      <w:r>
        <w:rPr>
          <w:rFonts w:hint="eastAsia" w:ascii="Noto Sans Mono CJK JP Bold" w:hAnsi="Noto Sans Mono CJK JP Bold" w:eastAsia="宋体" w:cs="Times New Roman"/>
          <w:color w:val="000000"/>
          <w:kern w:val="0"/>
          <w:sz w:val="24"/>
          <w:szCs w:val="24"/>
          <w:highlight w:val="none"/>
          <w:lang w:val="en-US" w:eastAsia="zh-CN" w:bidi="ar-SA"/>
        </w:rPr>
        <w:t>工频电场、工频磁感应强度预测点位按照距地面</w:t>
      </w:r>
      <w:r>
        <w:rPr>
          <w:rFonts w:hint="default" w:ascii="Times New Roman" w:hAnsi="Times New Roman" w:eastAsia="宋体" w:cs="Times New Roman"/>
          <w:color w:val="000000"/>
          <w:kern w:val="0"/>
          <w:sz w:val="24"/>
          <w:szCs w:val="24"/>
          <w:highlight w:val="none"/>
          <w:lang w:val="en-US" w:eastAsia="zh-CN" w:bidi="ar-SA"/>
        </w:rPr>
        <w:t>1.5m</w:t>
      </w:r>
      <w:r>
        <w:rPr>
          <w:rFonts w:hint="eastAsia" w:ascii="Noto Sans Mono CJK JP Bold" w:hAnsi="Noto Sans Mono CJK JP Bold" w:eastAsia="宋体" w:cs="Times New Roman"/>
          <w:color w:val="000000"/>
          <w:kern w:val="0"/>
          <w:sz w:val="24"/>
          <w:szCs w:val="24"/>
          <w:highlight w:val="none"/>
          <w:lang w:val="en-US" w:eastAsia="zh-CN" w:bidi="ar-SA"/>
        </w:rPr>
        <w:t>高度处考虑。</w:t>
      </w:r>
      <w:r>
        <w:rPr>
          <w:rFonts w:hint="eastAsia" w:ascii="Times New Roman" w:hAnsi="Times New Roman" w:eastAsia="宋体" w:cs="Times New Roman"/>
          <w:color w:val="000000"/>
          <w:kern w:val="0"/>
          <w:sz w:val="24"/>
          <w:szCs w:val="24"/>
          <w:highlight w:val="none"/>
          <w:lang w:val="en-US" w:eastAsia="zh-CN" w:bidi="ar-SA"/>
        </w:rPr>
        <w:t>预测评价采用参数见表5-</w:t>
      </w:r>
      <w:r>
        <w:rPr>
          <w:rFonts w:hint="eastAsia" w:ascii="Noto Sans Mono CJK JP Bold" w:hAnsi="Noto Sans Mono CJK JP Bold" w:eastAsia="宋体" w:cs="Times New Roman"/>
          <w:color w:val="000000"/>
          <w:kern w:val="0"/>
          <w:sz w:val="24"/>
          <w:szCs w:val="24"/>
          <w:highlight w:val="none"/>
          <w:lang w:val="en-US" w:eastAsia="zh-CN" w:bidi="ar-SA"/>
        </w:rPr>
        <w:t>4</w:t>
      </w:r>
      <w:r>
        <w:rPr>
          <w:rFonts w:hint="eastAsia" w:ascii="Times New Roman" w:hAnsi="Times New Roman" w:eastAsia="宋体" w:cs="Times New Roman"/>
          <w:color w:val="000000"/>
          <w:kern w:val="0"/>
          <w:sz w:val="24"/>
          <w:szCs w:val="24"/>
          <w:highlight w:val="none"/>
          <w:lang w:val="en-US" w:eastAsia="zh-CN" w:bidi="ar-SA"/>
        </w:rPr>
        <w:t>，预测塔型图</w:t>
      </w:r>
      <w:r>
        <w:rPr>
          <w:rFonts w:hint="default" w:ascii="Times New Roman" w:hAnsi="Times New Roman" w:eastAsia="宋体" w:cs="Times New Roman"/>
          <w:color w:val="000000"/>
          <w:kern w:val="0"/>
          <w:sz w:val="24"/>
          <w:szCs w:val="24"/>
          <w:highlight w:val="none"/>
          <w:lang w:val="en-US" w:eastAsia="zh-CN" w:bidi="ar-SA"/>
        </w:rPr>
        <w:t>见附图8。</w:t>
      </w:r>
    </w:p>
    <w:p w14:paraId="6D92A527">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4</w:t>
      </w:r>
      <w:r>
        <w:rPr>
          <w:rFonts w:hint="default" w:ascii="Times New Roman" w:hAnsi="Times New Roman" w:eastAsia="宋体" w:cs="Times New Roman"/>
          <w:b/>
          <w:color w:val="000000"/>
          <w:sz w:val="21"/>
          <w:szCs w:val="21"/>
          <w:highlight w:val="none"/>
        </w:rPr>
        <w:t xml:space="preserve">  理论计算所用参数表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024"/>
      </w:tblGrid>
      <w:tr w14:paraId="3BFD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6C9160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回路数</w:t>
            </w:r>
          </w:p>
        </w:tc>
        <w:tc>
          <w:tcPr>
            <w:tcW w:w="2361" w:type="pct"/>
            <w:vAlign w:val="center"/>
          </w:tcPr>
          <w:p w14:paraId="4160E102">
            <w:pPr>
              <w:keepNext w:val="0"/>
              <w:keepLines w:val="0"/>
              <w:pageBreakBefore w:val="0"/>
              <w:tabs>
                <w:tab w:val="left" w:pos="700"/>
              </w:tabs>
              <w:kinsoku/>
              <w:wordWrap/>
              <w:overflowPunct/>
              <w:topLinePunct w:val="0"/>
              <w:autoSpaceDE/>
              <w:autoSpaceDN/>
              <w:bidi w:val="0"/>
              <w:adjustRightInd/>
              <w:snapToGrid/>
              <w:spacing w:line="300" w:lineRule="exact"/>
              <w:ind w:firstLine="0" w:firstLineChars="0"/>
              <w:jc w:val="center"/>
              <w:textAlignment w:val="auto"/>
              <w:rPr>
                <w:rFonts w:hint="eastAsia"/>
                <w:color w:val="000000"/>
                <w:sz w:val="21"/>
                <w:szCs w:val="21"/>
                <w:highlight w:val="none"/>
                <w:lang w:eastAsia="zh-CN"/>
              </w:rPr>
            </w:pPr>
            <w:r>
              <w:rPr>
                <w:rFonts w:hint="eastAsia" w:eastAsia="宋体"/>
                <w:color w:val="000000"/>
                <w:sz w:val="21"/>
                <w:szCs w:val="21"/>
                <w:highlight w:val="none"/>
                <w:lang w:eastAsia="zh-CN"/>
              </w:rPr>
              <w:t>单</w:t>
            </w:r>
            <w:r>
              <w:rPr>
                <w:rFonts w:hint="eastAsia"/>
                <w:color w:val="000000"/>
                <w:sz w:val="21"/>
                <w:szCs w:val="21"/>
                <w:highlight w:val="none"/>
              </w:rPr>
              <w:t>回路</w:t>
            </w:r>
          </w:p>
        </w:tc>
      </w:tr>
      <w:tr w14:paraId="4455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21EFF3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电压等级</w:t>
            </w:r>
          </w:p>
        </w:tc>
        <w:tc>
          <w:tcPr>
            <w:tcW w:w="2361" w:type="pct"/>
            <w:vAlign w:val="center"/>
          </w:tcPr>
          <w:p w14:paraId="1734A659">
            <w:pPr>
              <w:keepNext w:val="0"/>
              <w:keepLines w:val="0"/>
              <w:pageBreakBefore w:val="0"/>
              <w:tabs>
                <w:tab w:val="left" w:pos="700"/>
              </w:tabs>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b/>
                <w:color w:val="000000"/>
                <w:kern w:val="2"/>
                <w:sz w:val="21"/>
                <w:szCs w:val="21"/>
                <w:highlight w:val="none"/>
                <w:lang w:val="en-US" w:eastAsia="zh-CN" w:bidi="ar-SA"/>
              </w:rPr>
            </w:pPr>
            <w:r>
              <w:rPr>
                <w:rFonts w:hint="eastAsia" w:ascii="Times New Roman" w:eastAsia="宋体"/>
                <w:color w:val="000000"/>
                <w:sz w:val="21"/>
                <w:szCs w:val="21"/>
                <w:highlight w:val="none"/>
                <w:lang w:val="en-US" w:eastAsia="zh-CN"/>
              </w:rPr>
              <w:t>11</w:t>
            </w:r>
            <w:r>
              <w:rPr>
                <w:color w:val="000000"/>
                <w:sz w:val="21"/>
                <w:szCs w:val="21"/>
                <w:highlight w:val="none"/>
              </w:rPr>
              <w:t>0k</w:t>
            </w:r>
            <w:r>
              <w:rPr>
                <w:rFonts w:hint="eastAsia"/>
                <w:color w:val="000000"/>
                <w:sz w:val="21"/>
                <w:szCs w:val="21"/>
                <w:highlight w:val="none"/>
              </w:rPr>
              <w:t>V</w:t>
            </w:r>
          </w:p>
        </w:tc>
      </w:tr>
      <w:tr w14:paraId="6BB4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57E9F0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杆塔类型</w:t>
            </w:r>
          </w:p>
        </w:tc>
        <w:tc>
          <w:tcPr>
            <w:tcW w:w="2361" w:type="pct"/>
            <w:vAlign w:val="center"/>
          </w:tcPr>
          <w:p w14:paraId="3E8FF63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110-DC22D-</w:t>
            </w:r>
            <w:r>
              <w:rPr>
                <w:rFonts w:hint="eastAsia" w:eastAsia="宋体" w:cs="Times New Roman"/>
                <w:color w:val="000000"/>
                <w:kern w:val="2"/>
                <w:sz w:val="21"/>
                <w:szCs w:val="21"/>
                <w:highlight w:val="none"/>
                <w:lang w:val="en-US" w:eastAsia="zh-CN" w:bidi="ar-SA"/>
              </w:rPr>
              <w:t>JC3</w:t>
            </w:r>
          </w:p>
        </w:tc>
      </w:tr>
      <w:tr w14:paraId="6B5E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7D0541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导线型号</w:t>
            </w:r>
          </w:p>
        </w:tc>
        <w:tc>
          <w:tcPr>
            <w:tcW w:w="2361" w:type="pct"/>
            <w:vAlign w:val="center"/>
          </w:tcPr>
          <w:p w14:paraId="6C818B0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JL/G1A-300/40</w:t>
            </w:r>
          </w:p>
        </w:tc>
      </w:tr>
      <w:tr w14:paraId="173D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7A1EAC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导线排列方式</w:t>
            </w:r>
          </w:p>
        </w:tc>
        <w:tc>
          <w:tcPr>
            <w:tcW w:w="2361" w:type="pct"/>
            <w:vAlign w:val="center"/>
          </w:tcPr>
          <w:p w14:paraId="2595AEC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三角排列</w:t>
            </w:r>
          </w:p>
        </w:tc>
      </w:tr>
      <w:tr w14:paraId="200B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1EA60C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导线半径(mm)</w:t>
            </w:r>
          </w:p>
        </w:tc>
        <w:tc>
          <w:tcPr>
            <w:tcW w:w="2361" w:type="pct"/>
            <w:vAlign w:val="center"/>
          </w:tcPr>
          <w:p w14:paraId="114CD80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11.95</w:t>
            </w:r>
          </w:p>
        </w:tc>
      </w:tr>
      <w:tr w14:paraId="41E3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080C1A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分裂</w:t>
            </w:r>
          </w:p>
        </w:tc>
        <w:tc>
          <w:tcPr>
            <w:tcW w:w="2361" w:type="pct"/>
            <w:vAlign w:val="center"/>
          </w:tcPr>
          <w:p w14:paraId="33CBA4C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不分裂</w:t>
            </w:r>
          </w:p>
        </w:tc>
      </w:tr>
      <w:tr w14:paraId="23E2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2A155AF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rFonts w:hint="eastAsia"/>
                <w:color w:val="000000"/>
                <w:kern w:val="0"/>
                <w:sz w:val="21"/>
                <w:szCs w:val="21"/>
                <w:highlight w:val="none"/>
              </w:rPr>
              <w:t>线路</w:t>
            </w:r>
            <w:r>
              <w:rPr>
                <w:color w:val="000000"/>
                <w:kern w:val="0"/>
                <w:sz w:val="21"/>
                <w:szCs w:val="21"/>
                <w:highlight w:val="none"/>
              </w:rPr>
              <w:t>电流（A）</w:t>
            </w:r>
          </w:p>
        </w:tc>
        <w:tc>
          <w:tcPr>
            <w:tcW w:w="2361" w:type="pct"/>
            <w:vAlign w:val="center"/>
          </w:tcPr>
          <w:p w14:paraId="0B3CCE3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570</w:t>
            </w:r>
          </w:p>
        </w:tc>
      </w:tr>
      <w:tr w14:paraId="6CB1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292A73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000000"/>
                <w:kern w:val="0"/>
                <w:sz w:val="21"/>
                <w:szCs w:val="21"/>
                <w:highlight w:val="none"/>
                <w:lang w:val="en-US" w:eastAsia="zh-CN"/>
              </w:rPr>
            </w:pPr>
            <w:r>
              <w:rPr>
                <w:rFonts w:hint="eastAsia" w:ascii="Times New Roman" w:eastAsia="宋体"/>
                <w:color w:val="000000"/>
                <w:kern w:val="0"/>
                <w:sz w:val="21"/>
                <w:szCs w:val="21"/>
                <w:highlight w:val="none"/>
                <w:lang w:val="en-US" w:eastAsia="zh-CN"/>
              </w:rPr>
              <w:t>导线坐标（m）</w:t>
            </w:r>
          </w:p>
        </w:tc>
        <w:tc>
          <w:tcPr>
            <w:tcW w:w="2361" w:type="pct"/>
            <w:vAlign w:val="center"/>
          </w:tcPr>
          <w:p w14:paraId="37053E1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000000"/>
                <w:kern w:val="2"/>
                <w:sz w:val="24"/>
                <w:szCs w:val="22"/>
                <w:highlight w:val="none"/>
                <w:lang w:val="en-US" w:eastAsia="zh-CN" w:bidi="ar-SA"/>
              </w:rPr>
            </w:pPr>
            <w:r>
              <w:rPr>
                <w:rFonts w:hint="eastAsia"/>
                <w:bCs/>
                <w:color w:val="000000"/>
                <w:sz w:val="21"/>
                <w:szCs w:val="21"/>
                <w:highlight w:val="none"/>
              </w:rPr>
              <w:t>（-</w:t>
            </w:r>
            <w:r>
              <w:rPr>
                <w:rFonts w:hint="eastAsia" w:ascii="Times New Roman" w:eastAsia="宋体"/>
                <w:bCs/>
                <w:color w:val="000000"/>
                <w:sz w:val="21"/>
                <w:szCs w:val="21"/>
                <w:highlight w:val="none"/>
                <w:lang w:val="en-US" w:eastAsia="zh-CN"/>
              </w:rPr>
              <w:t>4.3</w:t>
            </w:r>
            <w:r>
              <w:rPr>
                <w:rFonts w:hint="eastAsia" w:eastAsia="宋体"/>
                <w:bCs/>
                <w:color w:val="000000"/>
                <w:sz w:val="21"/>
                <w:szCs w:val="21"/>
                <w:highlight w:val="none"/>
                <w:lang w:eastAsia="zh-CN"/>
              </w:rPr>
              <w:t>，</w:t>
            </w:r>
            <w:r>
              <w:rPr>
                <w:rFonts w:hint="eastAsia" w:ascii="Times New Roman" w:eastAsia="宋体"/>
                <w:bCs/>
                <w:color w:val="000000"/>
                <w:sz w:val="21"/>
                <w:szCs w:val="21"/>
                <w:highlight w:val="none"/>
                <w:lang w:val="en-US" w:eastAsia="zh-CN"/>
              </w:rPr>
              <w:t>17.5</w:t>
            </w:r>
            <w:r>
              <w:rPr>
                <w:rFonts w:hint="eastAsia"/>
                <w:bCs/>
                <w:color w:val="000000"/>
                <w:sz w:val="21"/>
                <w:szCs w:val="21"/>
                <w:highlight w:val="none"/>
              </w:rPr>
              <w:t>）</w:t>
            </w:r>
            <w:r>
              <w:rPr>
                <w:bCs/>
                <w:color w:val="000000"/>
                <w:sz w:val="21"/>
                <w:szCs w:val="21"/>
                <w:highlight w:val="none"/>
              </w:rPr>
              <w:t>/</w:t>
            </w:r>
            <w:r>
              <w:rPr>
                <w:rFonts w:hint="eastAsia"/>
                <w:color w:val="000000"/>
                <w:sz w:val="21"/>
                <w:szCs w:val="21"/>
                <w:highlight w:val="none"/>
              </w:rPr>
              <w:t>（</w:t>
            </w:r>
            <w:r>
              <w:rPr>
                <w:rFonts w:hint="eastAsia" w:ascii="Times New Roman" w:eastAsia="宋体"/>
                <w:color w:val="000000"/>
                <w:sz w:val="21"/>
                <w:szCs w:val="21"/>
                <w:highlight w:val="none"/>
                <w:lang w:val="en-US" w:eastAsia="zh-CN"/>
              </w:rPr>
              <w:t>0</w:t>
            </w:r>
            <w:r>
              <w:rPr>
                <w:rFonts w:hint="eastAsia" w:eastAsia="宋体"/>
                <w:color w:val="000000"/>
                <w:sz w:val="21"/>
                <w:szCs w:val="21"/>
                <w:highlight w:val="none"/>
                <w:lang w:eastAsia="zh-CN"/>
              </w:rPr>
              <w:t>，</w:t>
            </w:r>
            <w:r>
              <w:rPr>
                <w:rFonts w:hint="eastAsia" w:ascii="Times New Roman" w:eastAsia="宋体"/>
                <w:color w:val="000000"/>
                <w:sz w:val="21"/>
                <w:szCs w:val="21"/>
                <w:highlight w:val="none"/>
                <w:lang w:val="en-US" w:eastAsia="zh-CN"/>
              </w:rPr>
              <w:t>21.0</w:t>
            </w:r>
            <w:r>
              <w:rPr>
                <w:rFonts w:hint="eastAsia"/>
                <w:color w:val="000000"/>
                <w:sz w:val="21"/>
                <w:szCs w:val="21"/>
                <w:highlight w:val="none"/>
              </w:rPr>
              <w:t>）</w:t>
            </w:r>
            <w:r>
              <w:rPr>
                <w:bCs/>
                <w:color w:val="000000"/>
                <w:sz w:val="21"/>
                <w:szCs w:val="21"/>
                <w:highlight w:val="none"/>
              </w:rPr>
              <w:t>/</w:t>
            </w:r>
            <w:r>
              <w:rPr>
                <w:rFonts w:hint="eastAsia"/>
                <w:bCs/>
                <w:color w:val="000000"/>
                <w:sz w:val="21"/>
                <w:szCs w:val="21"/>
                <w:highlight w:val="none"/>
              </w:rPr>
              <w:t>（</w:t>
            </w:r>
            <w:r>
              <w:rPr>
                <w:rFonts w:hint="eastAsia" w:ascii="Times New Roman" w:eastAsia="宋体"/>
                <w:bCs/>
                <w:color w:val="000000"/>
                <w:sz w:val="21"/>
                <w:szCs w:val="21"/>
                <w:highlight w:val="none"/>
                <w:lang w:val="en-US" w:eastAsia="zh-CN"/>
              </w:rPr>
              <w:t>3.7</w:t>
            </w:r>
            <w:r>
              <w:rPr>
                <w:rFonts w:hint="eastAsia" w:eastAsia="宋体"/>
                <w:bCs/>
                <w:color w:val="000000"/>
                <w:sz w:val="21"/>
                <w:szCs w:val="21"/>
                <w:highlight w:val="none"/>
                <w:lang w:eastAsia="zh-CN"/>
              </w:rPr>
              <w:t>，</w:t>
            </w:r>
            <w:r>
              <w:rPr>
                <w:rFonts w:hint="eastAsia" w:ascii="Times New Roman" w:eastAsia="宋体"/>
                <w:bCs/>
                <w:color w:val="000000"/>
                <w:sz w:val="21"/>
                <w:szCs w:val="21"/>
                <w:highlight w:val="none"/>
                <w:lang w:val="en-US" w:eastAsia="zh-CN"/>
              </w:rPr>
              <w:t>17.5</w:t>
            </w:r>
            <w:r>
              <w:rPr>
                <w:rFonts w:hint="eastAsia"/>
                <w:bCs/>
                <w:color w:val="000000"/>
                <w:sz w:val="21"/>
                <w:szCs w:val="21"/>
                <w:highlight w:val="none"/>
              </w:rPr>
              <w:t>）</w:t>
            </w:r>
          </w:p>
        </w:tc>
      </w:tr>
      <w:tr w14:paraId="3F8C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179F23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rFonts w:hint="eastAsia" w:ascii="Times New Roman" w:eastAsia="宋体"/>
                <w:color w:val="000000"/>
                <w:kern w:val="0"/>
                <w:sz w:val="21"/>
                <w:szCs w:val="21"/>
                <w:highlight w:val="none"/>
                <w:lang w:val="en-US" w:eastAsia="zh-CN"/>
              </w:rPr>
              <w:t>导线对地高度</w:t>
            </w:r>
            <w:r>
              <w:rPr>
                <w:color w:val="000000"/>
                <w:kern w:val="0"/>
                <w:sz w:val="21"/>
                <w:szCs w:val="21"/>
                <w:highlight w:val="none"/>
              </w:rPr>
              <w:t>(m)</w:t>
            </w:r>
          </w:p>
        </w:tc>
        <w:tc>
          <w:tcPr>
            <w:tcW w:w="2361" w:type="pct"/>
            <w:vAlign w:val="center"/>
          </w:tcPr>
          <w:p w14:paraId="763D067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eastAsia="宋体"/>
                <w:color w:val="000000"/>
                <w:sz w:val="21"/>
                <w:szCs w:val="21"/>
                <w:highlight w:val="none"/>
                <w:lang w:val="en-US" w:eastAsia="zh-CN"/>
              </w:rPr>
              <w:t>17.5</w:t>
            </w:r>
          </w:p>
        </w:tc>
      </w:tr>
    </w:tbl>
    <w:p w14:paraId="1C2F92F2">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b w:val="0"/>
          <w:bCs/>
          <w:color w:val="000000"/>
          <w:kern w:val="0"/>
          <w:sz w:val="24"/>
          <w:szCs w:val="22"/>
          <w:highlight w:val="none"/>
          <w:lang w:val="en-US" w:eastAsia="zh-CN" w:bidi="ar-SA"/>
        </w:rPr>
        <w:t>本项目预测线路中心线两侧各</w:t>
      </w:r>
      <w:r>
        <w:rPr>
          <w:rFonts w:hint="eastAsia" w:ascii="Times New Roman" w:hAnsi="Times New Roman" w:eastAsia="宋体" w:cs="Times New Roman"/>
          <w:b w:val="0"/>
          <w:bCs/>
          <w:color w:val="000000"/>
          <w:kern w:val="0"/>
          <w:sz w:val="24"/>
          <w:szCs w:val="22"/>
          <w:highlight w:val="none"/>
          <w:lang w:val="en-US" w:eastAsia="zh-CN" w:bidi="ar-SA"/>
        </w:rPr>
        <w:t>20</w:t>
      </w:r>
      <w:r>
        <w:rPr>
          <w:rFonts w:hint="default" w:ascii="Times New Roman" w:hAnsi="Times New Roman" w:eastAsia="宋体" w:cs="Times New Roman"/>
          <w:b w:val="0"/>
          <w:bCs/>
          <w:color w:val="000000"/>
          <w:kern w:val="0"/>
          <w:sz w:val="24"/>
          <w:szCs w:val="22"/>
          <w:highlight w:val="none"/>
          <w:lang w:val="en-US" w:eastAsia="zh-CN" w:bidi="ar-SA"/>
        </w:rPr>
        <w:t>m范围，预测范围涵盖</w:t>
      </w:r>
      <w:r>
        <w:rPr>
          <w:rFonts w:hint="eastAsia" w:ascii="Times New Roman" w:hAnsi="Times New Roman" w:eastAsia="宋体" w:cs="Times New Roman"/>
          <w:b w:val="0"/>
          <w:bCs/>
          <w:color w:val="000000"/>
          <w:kern w:val="0"/>
          <w:sz w:val="24"/>
          <w:szCs w:val="22"/>
          <w:highlight w:val="none"/>
          <w:lang w:val="en-US" w:eastAsia="zh-CN" w:bidi="ar-SA"/>
        </w:rPr>
        <w:t>四把伙村</w:t>
      </w:r>
      <w:r>
        <w:rPr>
          <w:rFonts w:hint="default" w:ascii="Times New Roman" w:hAnsi="Times New Roman" w:eastAsia="宋体" w:cs="Times New Roman"/>
          <w:b w:val="0"/>
          <w:bCs/>
          <w:color w:val="000000"/>
          <w:kern w:val="0"/>
          <w:sz w:val="24"/>
          <w:szCs w:val="22"/>
          <w:highlight w:val="none"/>
          <w:lang w:val="en-US" w:eastAsia="zh-CN" w:bidi="ar-SA"/>
        </w:rPr>
        <w:t>。</w:t>
      </w:r>
    </w:p>
    <w:p w14:paraId="59FA7D63">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eastAsia="宋体" w:cs="Times New Roman"/>
          <w:color w:val="000000"/>
          <w:sz w:val="24"/>
          <w:szCs w:val="22"/>
          <w:highlight w:val="none"/>
          <w:lang w:val="en-US" w:eastAsia="zh-CN"/>
        </w:rPr>
      </w:pPr>
      <w:r>
        <w:rPr>
          <w:rFonts w:hint="eastAsia" w:eastAsia="宋体" w:cs="Times New Roman"/>
          <w:color w:val="000000"/>
          <w:sz w:val="24"/>
          <w:szCs w:val="22"/>
          <w:highlight w:val="none"/>
          <w:lang w:val="en-US" w:eastAsia="zh-CN"/>
        </w:rPr>
        <w:t>（1）工频电场强度预测</w:t>
      </w:r>
    </w:p>
    <w:p w14:paraId="5BF58071">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000000"/>
          <w:sz w:val="24"/>
          <w:szCs w:val="22"/>
          <w:highlight w:val="none"/>
        </w:rPr>
      </w:pPr>
      <w:r>
        <w:rPr>
          <w:rFonts w:hint="eastAsia" w:eastAsia="宋体" w:cs="Times New Roman"/>
          <w:color w:val="000000"/>
          <w:sz w:val="24"/>
          <w:szCs w:val="22"/>
          <w:highlight w:val="none"/>
          <w:lang w:val="en-US" w:eastAsia="zh-CN"/>
        </w:rPr>
        <w:t>导线对地高度为17.5m时，110-DC22D-JC3型塔</w:t>
      </w:r>
      <w:r>
        <w:rPr>
          <w:rFonts w:hint="default" w:ascii="Times New Roman" w:hAnsi="Times New Roman" w:eastAsia="宋体" w:cs="Times New Roman"/>
          <w:color w:val="000000"/>
          <w:sz w:val="24"/>
          <w:szCs w:val="22"/>
          <w:highlight w:val="none"/>
        </w:rPr>
        <w:t>工频电场强度计算结果见</w:t>
      </w:r>
      <w:r>
        <w:rPr>
          <w:rFonts w:hint="eastAsia" w:eastAsia="宋体" w:cs="Times New Roman"/>
          <w:color w:val="000000"/>
          <w:sz w:val="24"/>
          <w:szCs w:val="22"/>
          <w:highlight w:val="none"/>
          <w:lang w:val="en-US" w:eastAsia="zh-CN"/>
        </w:rPr>
        <w:t>下表</w:t>
      </w:r>
      <w:r>
        <w:rPr>
          <w:rFonts w:hint="default" w:ascii="Times New Roman" w:hAnsi="Times New Roman" w:eastAsia="宋体" w:cs="Times New Roman"/>
          <w:color w:val="000000"/>
          <w:sz w:val="24"/>
          <w:szCs w:val="22"/>
          <w:highlight w:val="none"/>
        </w:rPr>
        <w:t>。</w:t>
      </w:r>
    </w:p>
    <w:p w14:paraId="755365D7">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JC3型塔</w:t>
      </w:r>
      <w:r>
        <w:rPr>
          <w:rFonts w:hint="default" w:ascii="Times New Roman" w:hAnsi="Times New Roman" w:eastAsia="宋体" w:cs="Times New Roman"/>
          <w:b/>
          <w:color w:val="000000"/>
          <w:sz w:val="21"/>
          <w:szCs w:val="21"/>
          <w:highlight w:val="none"/>
        </w:rPr>
        <w:t>工频电场强度计算结果</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31"/>
        <w:gridCol w:w="2131"/>
        <w:gridCol w:w="2132"/>
      </w:tblGrid>
      <w:tr w14:paraId="77FE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noWrap w:val="0"/>
            <w:vAlign w:val="center"/>
          </w:tcPr>
          <w:p w14:paraId="155D7E7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0" w:type="pct"/>
            <w:noWrap w:val="0"/>
            <w:vAlign w:val="center"/>
          </w:tcPr>
          <w:p w14:paraId="4140742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1.5米高处电场的综合量(kV/m)</w:t>
            </w:r>
          </w:p>
        </w:tc>
        <w:tc>
          <w:tcPr>
            <w:tcW w:w="1250" w:type="pct"/>
            <w:noWrap w:val="0"/>
            <w:vAlign w:val="center"/>
          </w:tcPr>
          <w:p w14:paraId="226F11C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1" w:type="pct"/>
            <w:noWrap w:val="0"/>
            <w:vAlign w:val="center"/>
          </w:tcPr>
          <w:p w14:paraId="4F1B8BE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1.5米高处电场的综合量(kV/m)</w:t>
            </w:r>
          </w:p>
        </w:tc>
      </w:tr>
      <w:tr w14:paraId="1229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D21FA3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0" w:type="pct"/>
            <w:noWrap w:val="0"/>
            <w:vAlign w:val="center"/>
          </w:tcPr>
          <w:p w14:paraId="1524461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0.215</w:t>
            </w:r>
          </w:p>
        </w:tc>
        <w:tc>
          <w:tcPr>
            <w:tcW w:w="1250" w:type="pct"/>
            <w:shd w:val="clear" w:color="auto" w:fill="auto"/>
            <w:noWrap w:val="0"/>
            <w:vAlign w:val="center"/>
          </w:tcPr>
          <w:p w14:paraId="2E4D05C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1" w:type="pct"/>
            <w:shd w:val="clear" w:color="auto" w:fill="auto"/>
            <w:noWrap w:val="0"/>
            <w:vAlign w:val="center"/>
          </w:tcPr>
          <w:p w14:paraId="1053416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0.198</w:t>
            </w:r>
          </w:p>
        </w:tc>
      </w:tr>
      <w:tr w14:paraId="2D15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D8B041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0" w:type="pct"/>
            <w:noWrap w:val="0"/>
            <w:vAlign w:val="center"/>
          </w:tcPr>
          <w:p w14:paraId="5437AD1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0.229</w:t>
            </w:r>
          </w:p>
        </w:tc>
        <w:tc>
          <w:tcPr>
            <w:tcW w:w="1250" w:type="pct"/>
            <w:shd w:val="clear" w:color="auto" w:fill="auto"/>
            <w:noWrap w:val="0"/>
            <w:vAlign w:val="center"/>
          </w:tcPr>
          <w:p w14:paraId="385BC22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1" w:type="pct"/>
            <w:shd w:val="clear" w:color="auto" w:fill="auto"/>
            <w:noWrap w:val="0"/>
            <w:vAlign w:val="center"/>
          </w:tcPr>
          <w:p w14:paraId="7ED7258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0.212</w:t>
            </w:r>
          </w:p>
        </w:tc>
      </w:tr>
      <w:tr w14:paraId="737B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602576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0" w:type="pct"/>
            <w:noWrap w:val="0"/>
            <w:vAlign w:val="center"/>
          </w:tcPr>
          <w:p w14:paraId="768D9B4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0.244</w:t>
            </w:r>
          </w:p>
        </w:tc>
        <w:tc>
          <w:tcPr>
            <w:tcW w:w="1250" w:type="pct"/>
            <w:shd w:val="clear" w:color="auto" w:fill="auto"/>
            <w:noWrap w:val="0"/>
            <w:vAlign w:val="center"/>
          </w:tcPr>
          <w:p w14:paraId="4ABAEB4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1" w:type="pct"/>
            <w:shd w:val="clear" w:color="auto" w:fill="auto"/>
            <w:noWrap w:val="0"/>
            <w:vAlign w:val="center"/>
          </w:tcPr>
          <w:p w14:paraId="1542CF3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0.226</w:t>
            </w:r>
          </w:p>
        </w:tc>
      </w:tr>
      <w:tr w14:paraId="4403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14C90A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0" w:type="pct"/>
            <w:noWrap w:val="0"/>
            <w:vAlign w:val="center"/>
          </w:tcPr>
          <w:p w14:paraId="7628739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0.259</w:t>
            </w:r>
          </w:p>
        </w:tc>
        <w:tc>
          <w:tcPr>
            <w:tcW w:w="1250" w:type="pct"/>
            <w:shd w:val="clear" w:color="auto" w:fill="auto"/>
            <w:noWrap w:val="0"/>
            <w:vAlign w:val="center"/>
          </w:tcPr>
          <w:p w14:paraId="0B83A48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1" w:type="pct"/>
            <w:shd w:val="clear" w:color="auto" w:fill="auto"/>
            <w:noWrap w:val="0"/>
            <w:vAlign w:val="center"/>
          </w:tcPr>
          <w:p w14:paraId="3A1BCB2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0.240</w:t>
            </w:r>
          </w:p>
        </w:tc>
      </w:tr>
      <w:tr w14:paraId="7D09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D02D62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0" w:type="pct"/>
            <w:noWrap w:val="0"/>
            <w:vAlign w:val="center"/>
          </w:tcPr>
          <w:p w14:paraId="6D806F8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0.274</w:t>
            </w:r>
          </w:p>
        </w:tc>
        <w:tc>
          <w:tcPr>
            <w:tcW w:w="1250" w:type="pct"/>
            <w:shd w:val="clear" w:color="auto" w:fill="auto"/>
            <w:noWrap w:val="0"/>
            <w:vAlign w:val="center"/>
          </w:tcPr>
          <w:p w14:paraId="01C0554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1" w:type="pct"/>
            <w:shd w:val="clear" w:color="auto" w:fill="auto"/>
            <w:noWrap w:val="0"/>
            <w:vAlign w:val="center"/>
          </w:tcPr>
          <w:p w14:paraId="54088B2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0.255</w:t>
            </w:r>
          </w:p>
        </w:tc>
      </w:tr>
      <w:tr w14:paraId="3429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F914BE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0" w:type="pct"/>
            <w:noWrap w:val="0"/>
            <w:vAlign w:val="center"/>
          </w:tcPr>
          <w:p w14:paraId="21E6EAB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0.289</w:t>
            </w:r>
          </w:p>
        </w:tc>
        <w:tc>
          <w:tcPr>
            <w:tcW w:w="1250" w:type="pct"/>
            <w:shd w:val="clear" w:color="auto" w:fill="auto"/>
            <w:noWrap w:val="0"/>
            <w:vAlign w:val="center"/>
          </w:tcPr>
          <w:p w14:paraId="24C3E62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1" w:type="pct"/>
            <w:shd w:val="clear" w:color="auto" w:fill="auto"/>
            <w:noWrap w:val="0"/>
            <w:vAlign w:val="center"/>
          </w:tcPr>
          <w:p w14:paraId="1B0DEB7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0.269</w:t>
            </w:r>
          </w:p>
        </w:tc>
      </w:tr>
      <w:tr w14:paraId="5CE8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3ACDAF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0" w:type="pct"/>
            <w:noWrap w:val="0"/>
            <w:vAlign w:val="center"/>
          </w:tcPr>
          <w:p w14:paraId="7B2130A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0.303</w:t>
            </w:r>
          </w:p>
        </w:tc>
        <w:tc>
          <w:tcPr>
            <w:tcW w:w="1250" w:type="pct"/>
            <w:shd w:val="clear" w:color="auto" w:fill="auto"/>
            <w:noWrap w:val="0"/>
            <w:vAlign w:val="center"/>
          </w:tcPr>
          <w:p w14:paraId="74638C0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1" w:type="pct"/>
            <w:shd w:val="clear" w:color="auto" w:fill="auto"/>
            <w:noWrap w:val="0"/>
            <w:vAlign w:val="center"/>
          </w:tcPr>
          <w:p w14:paraId="767D55E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0.283</w:t>
            </w:r>
          </w:p>
        </w:tc>
      </w:tr>
      <w:tr w14:paraId="1EBB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774B03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0" w:type="pct"/>
            <w:noWrap w:val="0"/>
            <w:vAlign w:val="center"/>
          </w:tcPr>
          <w:p w14:paraId="17F2130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0.315</w:t>
            </w:r>
          </w:p>
        </w:tc>
        <w:tc>
          <w:tcPr>
            <w:tcW w:w="1250" w:type="pct"/>
            <w:shd w:val="clear" w:color="auto" w:fill="auto"/>
            <w:noWrap w:val="0"/>
            <w:vAlign w:val="center"/>
          </w:tcPr>
          <w:p w14:paraId="237986E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1" w:type="pct"/>
            <w:shd w:val="clear" w:color="auto" w:fill="auto"/>
            <w:noWrap w:val="0"/>
            <w:vAlign w:val="center"/>
          </w:tcPr>
          <w:p w14:paraId="44D50C8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0.296</w:t>
            </w:r>
          </w:p>
        </w:tc>
      </w:tr>
      <w:tr w14:paraId="30A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C4122A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0" w:type="pct"/>
            <w:noWrap w:val="0"/>
            <w:vAlign w:val="center"/>
          </w:tcPr>
          <w:p w14:paraId="3476C5C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0.326</w:t>
            </w:r>
          </w:p>
        </w:tc>
        <w:tc>
          <w:tcPr>
            <w:tcW w:w="1250" w:type="pct"/>
            <w:shd w:val="clear" w:color="auto" w:fill="auto"/>
            <w:noWrap w:val="0"/>
            <w:vAlign w:val="center"/>
          </w:tcPr>
          <w:p w14:paraId="06EE63F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1" w:type="pct"/>
            <w:shd w:val="clear" w:color="auto" w:fill="auto"/>
            <w:noWrap w:val="0"/>
            <w:vAlign w:val="center"/>
          </w:tcPr>
          <w:p w14:paraId="47C447F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0.307</w:t>
            </w:r>
          </w:p>
        </w:tc>
      </w:tr>
      <w:tr w14:paraId="64F9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EFE4FE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0" w:type="pct"/>
            <w:noWrap w:val="0"/>
            <w:vAlign w:val="center"/>
          </w:tcPr>
          <w:p w14:paraId="00FD1A8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0.334</w:t>
            </w:r>
          </w:p>
        </w:tc>
        <w:tc>
          <w:tcPr>
            <w:tcW w:w="1250" w:type="pct"/>
            <w:shd w:val="clear" w:color="auto" w:fill="auto"/>
            <w:noWrap w:val="0"/>
            <w:vAlign w:val="center"/>
          </w:tcPr>
          <w:p w14:paraId="174C138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1" w:type="pct"/>
            <w:shd w:val="clear" w:color="auto" w:fill="auto"/>
            <w:noWrap w:val="0"/>
            <w:vAlign w:val="center"/>
          </w:tcPr>
          <w:p w14:paraId="2794FFC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0.316</w:t>
            </w:r>
          </w:p>
        </w:tc>
      </w:tr>
      <w:tr w14:paraId="1BA4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5E96DF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0" w:type="pct"/>
            <w:noWrap w:val="0"/>
            <w:vAlign w:val="center"/>
          </w:tcPr>
          <w:p w14:paraId="1B637EF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0.338</w:t>
            </w:r>
          </w:p>
        </w:tc>
        <w:tc>
          <w:tcPr>
            <w:tcW w:w="1250" w:type="pct"/>
            <w:shd w:val="clear" w:color="auto" w:fill="auto"/>
            <w:noWrap w:val="0"/>
            <w:vAlign w:val="center"/>
          </w:tcPr>
          <w:p w14:paraId="5AC607F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1" w:type="pct"/>
            <w:shd w:val="clear" w:color="auto" w:fill="auto"/>
            <w:noWrap w:val="0"/>
            <w:vAlign w:val="center"/>
          </w:tcPr>
          <w:p w14:paraId="4838F3C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0.322</w:t>
            </w:r>
          </w:p>
        </w:tc>
      </w:tr>
      <w:tr w14:paraId="168E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DAF54F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0" w:type="pct"/>
            <w:noWrap w:val="0"/>
            <w:vAlign w:val="center"/>
          </w:tcPr>
          <w:p w14:paraId="3950627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0.339</w:t>
            </w:r>
          </w:p>
        </w:tc>
        <w:tc>
          <w:tcPr>
            <w:tcW w:w="1250" w:type="pct"/>
            <w:shd w:val="clear" w:color="auto" w:fill="auto"/>
            <w:noWrap w:val="0"/>
            <w:vAlign w:val="center"/>
          </w:tcPr>
          <w:p w14:paraId="11D871C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1" w:type="pct"/>
            <w:shd w:val="clear" w:color="auto" w:fill="auto"/>
            <w:noWrap w:val="0"/>
            <w:vAlign w:val="center"/>
          </w:tcPr>
          <w:p w14:paraId="1D46726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0.325</w:t>
            </w:r>
          </w:p>
        </w:tc>
      </w:tr>
      <w:tr w14:paraId="71D5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B3AD2B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0" w:type="pct"/>
            <w:noWrap w:val="0"/>
            <w:vAlign w:val="center"/>
          </w:tcPr>
          <w:p w14:paraId="3B09113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0.336</w:t>
            </w:r>
          </w:p>
        </w:tc>
        <w:tc>
          <w:tcPr>
            <w:tcW w:w="1250" w:type="pct"/>
            <w:shd w:val="clear" w:color="auto" w:fill="auto"/>
            <w:noWrap w:val="0"/>
            <w:vAlign w:val="center"/>
          </w:tcPr>
          <w:p w14:paraId="6BF31A5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1" w:type="pct"/>
            <w:shd w:val="clear" w:color="auto" w:fill="auto"/>
            <w:noWrap w:val="0"/>
            <w:vAlign w:val="center"/>
          </w:tcPr>
          <w:p w14:paraId="6FD7780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0.324</w:t>
            </w:r>
          </w:p>
        </w:tc>
      </w:tr>
      <w:tr w14:paraId="721D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8F02E1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0" w:type="pct"/>
            <w:noWrap w:val="0"/>
            <w:vAlign w:val="center"/>
          </w:tcPr>
          <w:p w14:paraId="4CE007B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0.328</w:t>
            </w:r>
          </w:p>
        </w:tc>
        <w:tc>
          <w:tcPr>
            <w:tcW w:w="1250" w:type="pct"/>
            <w:shd w:val="clear" w:color="auto" w:fill="auto"/>
            <w:noWrap w:val="0"/>
            <w:vAlign w:val="center"/>
          </w:tcPr>
          <w:p w14:paraId="234025E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1" w:type="pct"/>
            <w:shd w:val="clear" w:color="auto" w:fill="auto"/>
            <w:noWrap w:val="0"/>
            <w:vAlign w:val="center"/>
          </w:tcPr>
          <w:p w14:paraId="28CDF53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0.319</w:t>
            </w:r>
          </w:p>
        </w:tc>
      </w:tr>
      <w:tr w14:paraId="2E24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A25AC3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0" w:type="pct"/>
            <w:noWrap w:val="0"/>
            <w:vAlign w:val="center"/>
          </w:tcPr>
          <w:p w14:paraId="402D1C1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0.315</w:t>
            </w:r>
          </w:p>
        </w:tc>
        <w:tc>
          <w:tcPr>
            <w:tcW w:w="1250" w:type="pct"/>
            <w:shd w:val="clear" w:color="auto" w:fill="auto"/>
            <w:noWrap w:val="0"/>
            <w:vAlign w:val="center"/>
          </w:tcPr>
          <w:p w14:paraId="2636EC7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1" w:type="pct"/>
            <w:shd w:val="clear" w:color="auto" w:fill="auto"/>
            <w:noWrap w:val="0"/>
            <w:vAlign w:val="center"/>
          </w:tcPr>
          <w:p w14:paraId="0FFF0BB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0.309</w:t>
            </w:r>
          </w:p>
        </w:tc>
      </w:tr>
      <w:tr w14:paraId="6AD8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DA2193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0" w:type="pct"/>
            <w:noWrap w:val="0"/>
            <w:vAlign w:val="center"/>
          </w:tcPr>
          <w:p w14:paraId="5D2BEDB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0.299</w:t>
            </w:r>
          </w:p>
        </w:tc>
        <w:tc>
          <w:tcPr>
            <w:tcW w:w="1250" w:type="pct"/>
            <w:shd w:val="clear" w:color="auto" w:fill="auto"/>
            <w:noWrap w:val="0"/>
            <w:vAlign w:val="center"/>
          </w:tcPr>
          <w:p w14:paraId="6E79A9F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1" w:type="pct"/>
            <w:shd w:val="clear" w:color="auto" w:fill="auto"/>
            <w:noWrap w:val="0"/>
            <w:vAlign w:val="center"/>
          </w:tcPr>
          <w:p w14:paraId="0A716E7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0.296</w:t>
            </w:r>
          </w:p>
        </w:tc>
      </w:tr>
      <w:tr w14:paraId="619F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ECB269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0" w:type="pct"/>
            <w:noWrap w:val="0"/>
            <w:vAlign w:val="center"/>
          </w:tcPr>
          <w:p w14:paraId="3B6EC87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0.281</w:t>
            </w:r>
          </w:p>
        </w:tc>
        <w:tc>
          <w:tcPr>
            <w:tcW w:w="1250" w:type="pct"/>
            <w:shd w:val="clear" w:color="auto" w:fill="auto"/>
            <w:noWrap w:val="0"/>
            <w:vAlign w:val="center"/>
          </w:tcPr>
          <w:p w14:paraId="033CBCC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1" w:type="pct"/>
            <w:shd w:val="clear" w:color="auto" w:fill="auto"/>
            <w:noWrap w:val="0"/>
            <w:vAlign w:val="center"/>
          </w:tcPr>
          <w:p w14:paraId="20734B0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0.280</w:t>
            </w:r>
          </w:p>
        </w:tc>
      </w:tr>
      <w:tr w14:paraId="1599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9B86B3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0" w:type="pct"/>
            <w:noWrap w:val="0"/>
            <w:vAlign w:val="center"/>
          </w:tcPr>
          <w:p w14:paraId="0BFB6A0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0.262</w:t>
            </w:r>
          </w:p>
        </w:tc>
        <w:tc>
          <w:tcPr>
            <w:tcW w:w="1250" w:type="pct"/>
            <w:shd w:val="clear" w:color="auto" w:fill="auto"/>
            <w:noWrap w:val="0"/>
            <w:vAlign w:val="center"/>
          </w:tcPr>
          <w:p w14:paraId="3811F00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1" w:type="pct"/>
            <w:shd w:val="clear" w:color="auto" w:fill="auto"/>
            <w:noWrap w:val="0"/>
            <w:vAlign w:val="center"/>
          </w:tcPr>
          <w:p w14:paraId="53DDDEF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0.262</w:t>
            </w:r>
          </w:p>
        </w:tc>
      </w:tr>
      <w:tr w14:paraId="5269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C236E4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0" w:type="pct"/>
            <w:noWrap w:val="0"/>
            <w:vAlign w:val="center"/>
          </w:tcPr>
          <w:p w14:paraId="3814F5C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0.245</w:t>
            </w:r>
          </w:p>
        </w:tc>
        <w:tc>
          <w:tcPr>
            <w:tcW w:w="1250" w:type="pct"/>
            <w:shd w:val="clear" w:color="auto" w:fill="auto"/>
            <w:noWrap w:val="0"/>
            <w:vAlign w:val="center"/>
          </w:tcPr>
          <w:p w14:paraId="625B4D3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1" w:type="pct"/>
            <w:shd w:val="clear" w:color="auto" w:fill="auto"/>
            <w:noWrap w:val="0"/>
            <w:vAlign w:val="center"/>
          </w:tcPr>
          <w:p w14:paraId="069502B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0.246</w:t>
            </w:r>
          </w:p>
        </w:tc>
      </w:tr>
      <w:tr w14:paraId="5A99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2E3AB5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0" w:type="pct"/>
            <w:noWrap w:val="0"/>
            <w:vAlign w:val="center"/>
          </w:tcPr>
          <w:p w14:paraId="7285350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0.234</w:t>
            </w:r>
          </w:p>
        </w:tc>
        <w:tc>
          <w:tcPr>
            <w:tcW w:w="1250" w:type="pct"/>
            <w:shd w:val="clear" w:color="auto" w:fill="auto"/>
            <w:noWrap w:val="0"/>
            <w:vAlign w:val="center"/>
          </w:tcPr>
          <w:p w14:paraId="436D55D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1" w:type="pct"/>
            <w:shd w:val="clear" w:color="auto" w:fill="auto"/>
            <w:noWrap w:val="0"/>
            <w:vAlign w:val="center"/>
          </w:tcPr>
          <w:p w14:paraId="333287E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0.235</w:t>
            </w:r>
          </w:p>
        </w:tc>
      </w:tr>
      <w:tr w14:paraId="02DF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0E513C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0" w:type="pct"/>
            <w:noWrap w:val="0"/>
            <w:vAlign w:val="center"/>
          </w:tcPr>
          <w:p w14:paraId="00A9DF8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0.230</w:t>
            </w:r>
          </w:p>
        </w:tc>
        <w:tc>
          <w:tcPr>
            <w:tcW w:w="1250" w:type="pct"/>
            <w:shd w:val="clear" w:color="auto" w:fill="auto"/>
            <w:noWrap w:val="0"/>
            <w:vAlign w:val="center"/>
          </w:tcPr>
          <w:p w14:paraId="333A617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1" w:type="pct"/>
            <w:shd w:val="clear" w:color="auto" w:fill="auto"/>
            <w:noWrap w:val="0"/>
            <w:vAlign w:val="center"/>
          </w:tcPr>
          <w:p w14:paraId="456DEFA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0.230</w:t>
            </w:r>
          </w:p>
        </w:tc>
      </w:tr>
    </w:tbl>
    <w:p w14:paraId="23E260A3">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本项目电磁环境敏感目标四把伙村距离架空线路边导线地面投影约为10m，距离线路中心投影约为13.7m。根据表5-5，四把伙村工频电场强度取距线路中心投影13m处最大预测结果，为0.315</w:t>
      </w:r>
      <w:r>
        <w:rPr>
          <w:rFonts w:hint="default" w:ascii="Times New Roman" w:hAnsi="Times New Roman" w:eastAsia="Noto Sans Mono CJK JP Bold" w:cs="Times New Roman"/>
          <w:color w:val="000000"/>
          <w:kern w:val="0"/>
          <w:sz w:val="24"/>
          <w:szCs w:val="22"/>
          <w:highlight w:val="none"/>
          <w:lang w:val="en-US" w:eastAsia="zh-CN" w:bidi="ar-SA"/>
        </w:rPr>
        <w:t>kV/m，</w:t>
      </w:r>
      <w:r>
        <w:rPr>
          <w:rFonts w:hint="eastAsia" w:ascii="Noto Sans Mono CJK JP Bold" w:hAnsi="Noto Sans Mono CJK JP Bold" w:eastAsia="宋体" w:cs="Times New Roman"/>
          <w:color w:val="000000"/>
          <w:kern w:val="0"/>
          <w:sz w:val="24"/>
          <w:szCs w:val="22"/>
          <w:highlight w:val="none"/>
          <w:lang w:val="en-US" w:eastAsia="zh-CN" w:bidi="ar-SA"/>
        </w:rPr>
        <w:t>满足</w:t>
      </w:r>
      <w:r>
        <w:rPr>
          <w:rFonts w:hint="default" w:ascii="Times New Roman" w:hAnsi="Times New Roman" w:eastAsia="宋体" w:cs="Times New Roman"/>
          <w:color w:val="000000"/>
          <w:kern w:val="0"/>
          <w:sz w:val="24"/>
          <w:szCs w:val="24"/>
          <w:highlight w:val="none"/>
          <w:lang w:val="en-US" w:eastAsia="zh-CN" w:bidi="ar-SA"/>
        </w:rPr>
        <w:t>《电磁环境控制限值》(GB8702-2014）中规定</w:t>
      </w:r>
      <w:r>
        <w:rPr>
          <w:rFonts w:hint="eastAsia" w:ascii="Noto Sans Mono CJK JP Bold" w:hAnsi="Noto Sans Mono CJK JP Bold" w:eastAsia="宋体" w:cs="Times New Roman"/>
          <w:color w:val="000000"/>
          <w:kern w:val="0"/>
          <w:sz w:val="24"/>
          <w:szCs w:val="24"/>
          <w:highlight w:val="none"/>
          <w:lang w:val="en-US" w:eastAsia="zh-CN" w:bidi="ar-SA"/>
        </w:rPr>
        <w:t>的</w:t>
      </w:r>
      <w:r>
        <w:rPr>
          <w:rFonts w:hint="default" w:ascii="Times New Roman" w:hAnsi="Times New Roman" w:eastAsia="宋体" w:cs="Times New Roman"/>
          <w:color w:val="000000"/>
          <w:kern w:val="0"/>
          <w:sz w:val="24"/>
          <w:szCs w:val="22"/>
          <w:highlight w:val="none"/>
          <w:lang w:val="en-US" w:eastAsia="zh-CN" w:bidi="ar-SA"/>
        </w:rPr>
        <w:t>4kV/m</w:t>
      </w:r>
      <w:r>
        <w:rPr>
          <w:rFonts w:hint="eastAsia" w:ascii="Noto Sans Mono CJK JP Bold" w:hAnsi="Noto Sans Mono CJK JP Bold" w:eastAsia="Noto Sans Mono CJK JP Bold" w:cs="Noto Sans Mono CJK JP Bold"/>
          <w:color w:val="000000"/>
          <w:kern w:val="0"/>
          <w:sz w:val="22"/>
          <w:szCs w:val="22"/>
          <w:highlight w:val="none"/>
          <w:lang w:val="en-US" w:eastAsia="zh-CN" w:bidi="ar-SA"/>
        </w:rPr>
        <w:t>公众曝露控制限值要求</w:t>
      </w:r>
      <w:r>
        <w:rPr>
          <w:rFonts w:hint="eastAsia" w:ascii="Noto Sans Mono CJK JP Bold" w:hAnsi="Noto Sans Mono CJK JP Bold" w:eastAsia="宋体" w:cs="Noto Sans Mono CJK JP Bold"/>
          <w:color w:val="000000"/>
          <w:kern w:val="0"/>
          <w:sz w:val="22"/>
          <w:szCs w:val="22"/>
          <w:highlight w:val="none"/>
          <w:lang w:val="en-US" w:eastAsia="zh-CN" w:bidi="ar-SA"/>
        </w:rPr>
        <w:t>。</w:t>
      </w:r>
    </w:p>
    <w:p w14:paraId="5207AA06">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（2）工频磁感应强度预测</w:t>
      </w:r>
    </w:p>
    <w:p w14:paraId="7EBA1C7F">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000000"/>
          <w:sz w:val="24"/>
          <w:szCs w:val="22"/>
          <w:highlight w:val="none"/>
        </w:rPr>
      </w:pPr>
      <w:r>
        <w:rPr>
          <w:rFonts w:hint="eastAsia" w:eastAsia="宋体" w:cs="Times New Roman"/>
          <w:color w:val="000000"/>
          <w:sz w:val="24"/>
          <w:szCs w:val="22"/>
          <w:highlight w:val="none"/>
          <w:lang w:val="en-US" w:eastAsia="zh-CN"/>
        </w:rPr>
        <w:t>导线对地高度为17.5m时，110-DC22D-JC3型塔</w:t>
      </w:r>
      <w:r>
        <w:rPr>
          <w:rFonts w:hint="default" w:ascii="Times New Roman" w:hAnsi="Times New Roman" w:eastAsia="宋体" w:cs="Times New Roman"/>
          <w:color w:val="000000"/>
          <w:sz w:val="24"/>
          <w:szCs w:val="22"/>
          <w:highlight w:val="none"/>
        </w:rPr>
        <w:t>工频</w:t>
      </w:r>
      <w:r>
        <w:rPr>
          <w:rFonts w:hint="eastAsia" w:eastAsia="宋体" w:cs="Times New Roman"/>
          <w:color w:val="000000"/>
          <w:sz w:val="24"/>
          <w:szCs w:val="22"/>
          <w:highlight w:val="none"/>
          <w:lang w:val="en-US" w:eastAsia="zh-CN"/>
        </w:rPr>
        <w:t>磁感应</w:t>
      </w:r>
      <w:r>
        <w:rPr>
          <w:rFonts w:hint="default" w:ascii="Times New Roman" w:hAnsi="Times New Roman" w:eastAsia="宋体" w:cs="Times New Roman"/>
          <w:color w:val="000000"/>
          <w:sz w:val="24"/>
          <w:szCs w:val="22"/>
          <w:highlight w:val="none"/>
        </w:rPr>
        <w:t>强度计算结果见</w:t>
      </w:r>
      <w:r>
        <w:rPr>
          <w:rFonts w:hint="eastAsia" w:eastAsia="宋体" w:cs="Times New Roman"/>
          <w:color w:val="000000"/>
          <w:sz w:val="24"/>
          <w:szCs w:val="22"/>
          <w:highlight w:val="none"/>
          <w:lang w:val="en-US" w:eastAsia="zh-CN"/>
        </w:rPr>
        <w:t>下表</w:t>
      </w:r>
      <w:r>
        <w:rPr>
          <w:rFonts w:hint="default" w:ascii="Times New Roman" w:hAnsi="Times New Roman" w:eastAsia="宋体" w:cs="Times New Roman"/>
          <w:color w:val="000000"/>
          <w:sz w:val="24"/>
          <w:szCs w:val="22"/>
          <w:highlight w:val="none"/>
        </w:rPr>
        <w:t>。</w:t>
      </w:r>
    </w:p>
    <w:p w14:paraId="25C4F273">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p>
    <w:p w14:paraId="71C4F26B">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6</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JC3型塔</w:t>
      </w:r>
      <w:r>
        <w:rPr>
          <w:rFonts w:hint="default" w:ascii="Times New Roman" w:hAnsi="Times New Roman" w:eastAsia="宋体" w:cs="Times New Roman"/>
          <w:b/>
          <w:color w:val="000000"/>
          <w:sz w:val="21"/>
          <w:szCs w:val="21"/>
          <w:highlight w:val="none"/>
        </w:rPr>
        <w:t>工频</w:t>
      </w:r>
      <w:r>
        <w:rPr>
          <w:rFonts w:hint="eastAsia" w:eastAsia="宋体" w:cs="Times New Roman"/>
          <w:b/>
          <w:color w:val="000000"/>
          <w:sz w:val="21"/>
          <w:szCs w:val="21"/>
          <w:highlight w:val="none"/>
          <w:lang w:val="en-US" w:eastAsia="zh-CN"/>
        </w:rPr>
        <w:t>磁感应</w:t>
      </w:r>
      <w:r>
        <w:rPr>
          <w:rFonts w:hint="default" w:ascii="Times New Roman" w:hAnsi="Times New Roman" w:eastAsia="宋体" w:cs="Times New Roman"/>
          <w:b/>
          <w:color w:val="000000"/>
          <w:sz w:val="21"/>
          <w:szCs w:val="21"/>
          <w:highlight w:val="none"/>
        </w:rPr>
        <w:t>强度计算结果</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31"/>
        <w:gridCol w:w="2131"/>
        <w:gridCol w:w="2132"/>
      </w:tblGrid>
      <w:tr w14:paraId="513A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noWrap w:val="0"/>
            <w:vAlign w:val="center"/>
          </w:tcPr>
          <w:p w14:paraId="15BCCF1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0" w:type="pct"/>
            <w:noWrap w:val="0"/>
            <w:vAlign w:val="center"/>
          </w:tcPr>
          <w:p w14:paraId="3CAC791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1.5米高处</w:t>
            </w:r>
            <w:r>
              <w:rPr>
                <w:rFonts w:hint="eastAsia" w:eastAsia="宋体" w:cs="Times New Roman"/>
                <w:color w:val="000000"/>
                <w:kern w:val="0"/>
                <w:sz w:val="21"/>
                <w:szCs w:val="21"/>
                <w:highlight w:val="none"/>
                <w:lang w:val="en-US" w:eastAsia="zh-CN"/>
              </w:rPr>
              <w:t>磁场</w:t>
            </w:r>
            <w:r>
              <w:rPr>
                <w:rFonts w:hint="default" w:ascii="Times New Roman" w:hAnsi="Times New Roman" w:eastAsia="宋体" w:cs="Times New Roman"/>
                <w:color w:val="000000"/>
                <w:kern w:val="0"/>
                <w:sz w:val="21"/>
                <w:szCs w:val="21"/>
                <w:highlight w:val="none"/>
                <w:lang w:val="en-US" w:eastAsia="zh-CN"/>
              </w:rPr>
              <w:t>的综合量(kV/m)</w:t>
            </w:r>
          </w:p>
        </w:tc>
        <w:tc>
          <w:tcPr>
            <w:tcW w:w="1250" w:type="pct"/>
            <w:noWrap w:val="0"/>
            <w:vAlign w:val="center"/>
          </w:tcPr>
          <w:p w14:paraId="6BA7540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1" w:type="pct"/>
            <w:noWrap w:val="0"/>
            <w:vAlign w:val="center"/>
          </w:tcPr>
          <w:p w14:paraId="6356BBA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1.5米高处</w:t>
            </w:r>
            <w:r>
              <w:rPr>
                <w:rFonts w:hint="eastAsia" w:eastAsia="宋体" w:cs="Times New Roman"/>
                <w:color w:val="000000"/>
                <w:kern w:val="0"/>
                <w:sz w:val="21"/>
                <w:szCs w:val="21"/>
                <w:highlight w:val="none"/>
                <w:lang w:val="en-US" w:eastAsia="zh-CN"/>
              </w:rPr>
              <w:t>磁场</w:t>
            </w:r>
            <w:r>
              <w:rPr>
                <w:rFonts w:hint="default" w:ascii="Times New Roman" w:hAnsi="Times New Roman" w:eastAsia="宋体" w:cs="Times New Roman"/>
                <w:color w:val="000000"/>
                <w:kern w:val="0"/>
                <w:sz w:val="21"/>
                <w:szCs w:val="21"/>
                <w:highlight w:val="none"/>
                <w:lang w:val="en-US" w:eastAsia="zh-CN"/>
              </w:rPr>
              <w:t>的综合量(kV/m)</w:t>
            </w:r>
          </w:p>
        </w:tc>
      </w:tr>
      <w:tr w14:paraId="1006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D5FEFA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0" w:type="pct"/>
            <w:noWrap w:val="0"/>
            <w:vAlign w:val="center"/>
          </w:tcPr>
          <w:p w14:paraId="127C6A9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7.775</w:t>
            </w:r>
          </w:p>
        </w:tc>
        <w:tc>
          <w:tcPr>
            <w:tcW w:w="1250" w:type="pct"/>
            <w:shd w:val="clear" w:color="auto" w:fill="auto"/>
            <w:noWrap w:val="0"/>
            <w:vAlign w:val="center"/>
          </w:tcPr>
          <w:p w14:paraId="45AF9AF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1" w:type="pct"/>
            <w:shd w:val="clear" w:color="auto" w:fill="auto"/>
            <w:noWrap w:val="0"/>
            <w:vAlign w:val="center"/>
          </w:tcPr>
          <w:p w14:paraId="57C506C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7.638</w:t>
            </w:r>
          </w:p>
        </w:tc>
      </w:tr>
      <w:tr w14:paraId="3651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ECB631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0" w:type="pct"/>
            <w:noWrap w:val="0"/>
            <w:vAlign w:val="center"/>
          </w:tcPr>
          <w:p w14:paraId="49BB2F2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8.009</w:t>
            </w:r>
          </w:p>
        </w:tc>
        <w:tc>
          <w:tcPr>
            <w:tcW w:w="1250" w:type="pct"/>
            <w:shd w:val="clear" w:color="auto" w:fill="auto"/>
            <w:noWrap w:val="0"/>
            <w:vAlign w:val="center"/>
          </w:tcPr>
          <w:p w14:paraId="0028F4A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1" w:type="pct"/>
            <w:shd w:val="clear" w:color="auto" w:fill="auto"/>
            <w:noWrap w:val="0"/>
            <w:vAlign w:val="center"/>
          </w:tcPr>
          <w:p w14:paraId="600779C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7.868</w:t>
            </w:r>
          </w:p>
        </w:tc>
      </w:tr>
      <w:tr w14:paraId="23F3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E39162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0" w:type="pct"/>
            <w:noWrap w:val="0"/>
            <w:vAlign w:val="center"/>
          </w:tcPr>
          <w:p w14:paraId="5AE92CE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8.250</w:t>
            </w:r>
          </w:p>
        </w:tc>
        <w:tc>
          <w:tcPr>
            <w:tcW w:w="1250" w:type="pct"/>
            <w:shd w:val="clear" w:color="auto" w:fill="auto"/>
            <w:noWrap w:val="0"/>
            <w:vAlign w:val="center"/>
          </w:tcPr>
          <w:p w14:paraId="21BAA23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1" w:type="pct"/>
            <w:shd w:val="clear" w:color="auto" w:fill="auto"/>
            <w:noWrap w:val="0"/>
            <w:vAlign w:val="center"/>
          </w:tcPr>
          <w:p w14:paraId="0037ACD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8.105</w:t>
            </w:r>
          </w:p>
        </w:tc>
      </w:tr>
      <w:tr w14:paraId="0965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AB35C4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0" w:type="pct"/>
            <w:noWrap w:val="0"/>
            <w:vAlign w:val="center"/>
          </w:tcPr>
          <w:p w14:paraId="22522AF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8.497</w:t>
            </w:r>
          </w:p>
        </w:tc>
        <w:tc>
          <w:tcPr>
            <w:tcW w:w="1250" w:type="pct"/>
            <w:shd w:val="clear" w:color="auto" w:fill="auto"/>
            <w:noWrap w:val="0"/>
            <w:vAlign w:val="center"/>
          </w:tcPr>
          <w:p w14:paraId="15BD3D5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1" w:type="pct"/>
            <w:shd w:val="clear" w:color="auto" w:fill="auto"/>
            <w:noWrap w:val="0"/>
            <w:vAlign w:val="center"/>
          </w:tcPr>
          <w:p w14:paraId="433CE09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8.348</w:t>
            </w:r>
          </w:p>
        </w:tc>
      </w:tr>
      <w:tr w14:paraId="2D86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161719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0" w:type="pct"/>
            <w:noWrap w:val="0"/>
            <w:vAlign w:val="center"/>
          </w:tcPr>
          <w:p w14:paraId="174A5EE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8.750</w:t>
            </w:r>
          </w:p>
        </w:tc>
        <w:tc>
          <w:tcPr>
            <w:tcW w:w="1250" w:type="pct"/>
            <w:shd w:val="clear" w:color="auto" w:fill="auto"/>
            <w:noWrap w:val="0"/>
            <w:vAlign w:val="center"/>
          </w:tcPr>
          <w:p w14:paraId="767381D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1" w:type="pct"/>
            <w:shd w:val="clear" w:color="auto" w:fill="auto"/>
            <w:noWrap w:val="0"/>
            <w:vAlign w:val="center"/>
          </w:tcPr>
          <w:p w14:paraId="7F5C5EB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8.598</w:t>
            </w:r>
          </w:p>
        </w:tc>
      </w:tr>
      <w:tr w14:paraId="581C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FF8574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0" w:type="pct"/>
            <w:noWrap w:val="0"/>
            <w:vAlign w:val="center"/>
          </w:tcPr>
          <w:p w14:paraId="219357F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9.006</w:t>
            </w:r>
          </w:p>
        </w:tc>
        <w:tc>
          <w:tcPr>
            <w:tcW w:w="1250" w:type="pct"/>
            <w:shd w:val="clear" w:color="auto" w:fill="auto"/>
            <w:noWrap w:val="0"/>
            <w:vAlign w:val="center"/>
          </w:tcPr>
          <w:p w14:paraId="7219A6A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1" w:type="pct"/>
            <w:shd w:val="clear" w:color="auto" w:fill="auto"/>
            <w:noWrap w:val="0"/>
            <w:vAlign w:val="center"/>
          </w:tcPr>
          <w:p w14:paraId="5A3E80A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8.852</w:t>
            </w:r>
          </w:p>
        </w:tc>
      </w:tr>
      <w:tr w14:paraId="0EAC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4100F5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0" w:type="pct"/>
            <w:noWrap w:val="0"/>
            <w:vAlign w:val="center"/>
          </w:tcPr>
          <w:p w14:paraId="1538553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9.264</w:t>
            </w:r>
          </w:p>
        </w:tc>
        <w:tc>
          <w:tcPr>
            <w:tcW w:w="1250" w:type="pct"/>
            <w:shd w:val="clear" w:color="auto" w:fill="auto"/>
            <w:noWrap w:val="0"/>
            <w:vAlign w:val="center"/>
          </w:tcPr>
          <w:p w14:paraId="7A81A16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1" w:type="pct"/>
            <w:shd w:val="clear" w:color="auto" w:fill="auto"/>
            <w:noWrap w:val="0"/>
            <w:vAlign w:val="center"/>
          </w:tcPr>
          <w:p w14:paraId="166E869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9.109</w:t>
            </w:r>
          </w:p>
        </w:tc>
      </w:tr>
      <w:tr w14:paraId="1BB0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870289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0" w:type="pct"/>
            <w:noWrap w:val="0"/>
            <w:vAlign w:val="center"/>
          </w:tcPr>
          <w:p w14:paraId="598972F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9.522</w:t>
            </w:r>
          </w:p>
        </w:tc>
        <w:tc>
          <w:tcPr>
            <w:tcW w:w="1250" w:type="pct"/>
            <w:shd w:val="clear" w:color="auto" w:fill="auto"/>
            <w:noWrap w:val="0"/>
            <w:vAlign w:val="center"/>
          </w:tcPr>
          <w:p w14:paraId="39ED554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1" w:type="pct"/>
            <w:shd w:val="clear" w:color="auto" w:fill="auto"/>
            <w:noWrap w:val="0"/>
            <w:vAlign w:val="center"/>
          </w:tcPr>
          <w:p w14:paraId="5605B24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9.368</w:t>
            </w:r>
          </w:p>
        </w:tc>
      </w:tr>
      <w:tr w14:paraId="38A7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A0F2DD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0" w:type="pct"/>
            <w:noWrap w:val="0"/>
            <w:vAlign w:val="center"/>
          </w:tcPr>
          <w:p w14:paraId="4F33A87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9.778</w:t>
            </w:r>
          </w:p>
        </w:tc>
        <w:tc>
          <w:tcPr>
            <w:tcW w:w="1250" w:type="pct"/>
            <w:shd w:val="clear" w:color="auto" w:fill="auto"/>
            <w:noWrap w:val="0"/>
            <w:vAlign w:val="center"/>
          </w:tcPr>
          <w:p w14:paraId="2D152A4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1" w:type="pct"/>
            <w:shd w:val="clear" w:color="auto" w:fill="auto"/>
            <w:noWrap w:val="0"/>
            <w:vAlign w:val="center"/>
          </w:tcPr>
          <w:p w14:paraId="43D3DCE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9.625</w:t>
            </w:r>
          </w:p>
        </w:tc>
      </w:tr>
      <w:tr w14:paraId="1ED6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F12133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0" w:type="pct"/>
            <w:noWrap w:val="0"/>
            <w:vAlign w:val="center"/>
          </w:tcPr>
          <w:p w14:paraId="4273D48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10.027</w:t>
            </w:r>
          </w:p>
        </w:tc>
        <w:tc>
          <w:tcPr>
            <w:tcW w:w="1250" w:type="pct"/>
            <w:shd w:val="clear" w:color="auto" w:fill="auto"/>
            <w:noWrap w:val="0"/>
            <w:vAlign w:val="center"/>
          </w:tcPr>
          <w:p w14:paraId="3C9F4CA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1" w:type="pct"/>
            <w:shd w:val="clear" w:color="auto" w:fill="auto"/>
            <w:noWrap w:val="0"/>
            <w:vAlign w:val="center"/>
          </w:tcPr>
          <w:p w14:paraId="46CC1BD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9.878</w:t>
            </w:r>
          </w:p>
        </w:tc>
      </w:tr>
      <w:tr w14:paraId="5E81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BB7478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0" w:type="pct"/>
            <w:noWrap w:val="0"/>
            <w:vAlign w:val="center"/>
          </w:tcPr>
          <w:p w14:paraId="586C08A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10.268</w:t>
            </w:r>
          </w:p>
        </w:tc>
        <w:tc>
          <w:tcPr>
            <w:tcW w:w="1250" w:type="pct"/>
            <w:shd w:val="clear" w:color="auto" w:fill="auto"/>
            <w:noWrap w:val="0"/>
            <w:vAlign w:val="center"/>
          </w:tcPr>
          <w:p w14:paraId="3247C04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1" w:type="pct"/>
            <w:shd w:val="clear" w:color="auto" w:fill="auto"/>
            <w:noWrap w:val="0"/>
            <w:vAlign w:val="center"/>
          </w:tcPr>
          <w:p w14:paraId="3428310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10.125</w:t>
            </w:r>
          </w:p>
        </w:tc>
      </w:tr>
      <w:tr w14:paraId="1E79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451BEB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0" w:type="pct"/>
            <w:noWrap w:val="0"/>
            <w:vAlign w:val="center"/>
          </w:tcPr>
          <w:p w14:paraId="3232F43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10.497</w:t>
            </w:r>
          </w:p>
        </w:tc>
        <w:tc>
          <w:tcPr>
            <w:tcW w:w="1250" w:type="pct"/>
            <w:shd w:val="clear" w:color="auto" w:fill="auto"/>
            <w:noWrap w:val="0"/>
            <w:vAlign w:val="center"/>
          </w:tcPr>
          <w:p w14:paraId="6D42520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1" w:type="pct"/>
            <w:shd w:val="clear" w:color="auto" w:fill="auto"/>
            <w:noWrap w:val="0"/>
            <w:vAlign w:val="center"/>
          </w:tcPr>
          <w:p w14:paraId="352D2D0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10.361</w:t>
            </w:r>
          </w:p>
        </w:tc>
      </w:tr>
      <w:tr w14:paraId="79BD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2872F4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0" w:type="pct"/>
            <w:noWrap w:val="0"/>
            <w:vAlign w:val="center"/>
          </w:tcPr>
          <w:p w14:paraId="78DB43A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10.710</w:t>
            </w:r>
          </w:p>
        </w:tc>
        <w:tc>
          <w:tcPr>
            <w:tcW w:w="1250" w:type="pct"/>
            <w:shd w:val="clear" w:color="auto" w:fill="auto"/>
            <w:noWrap w:val="0"/>
            <w:vAlign w:val="center"/>
          </w:tcPr>
          <w:p w14:paraId="037844C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1" w:type="pct"/>
            <w:shd w:val="clear" w:color="auto" w:fill="auto"/>
            <w:noWrap w:val="0"/>
            <w:vAlign w:val="center"/>
          </w:tcPr>
          <w:p w14:paraId="2096721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10.584</w:t>
            </w:r>
          </w:p>
        </w:tc>
      </w:tr>
      <w:tr w14:paraId="4DF1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57F36C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0" w:type="pct"/>
            <w:noWrap w:val="0"/>
            <w:vAlign w:val="center"/>
          </w:tcPr>
          <w:p w14:paraId="7B76AB5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10.904</w:t>
            </w:r>
          </w:p>
        </w:tc>
        <w:tc>
          <w:tcPr>
            <w:tcW w:w="1250" w:type="pct"/>
            <w:shd w:val="clear" w:color="auto" w:fill="auto"/>
            <w:noWrap w:val="0"/>
            <w:vAlign w:val="center"/>
          </w:tcPr>
          <w:p w14:paraId="0F2FBFD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1" w:type="pct"/>
            <w:shd w:val="clear" w:color="auto" w:fill="auto"/>
            <w:noWrap w:val="0"/>
            <w:vAlign w:val="center"/>
          </w:tcPr>
          <w:p w14:paraId="3B820C2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10.790</w:t>
            </w:r>
          </w:p>
        </w:tc>
      </w:tr>
      <w:tr w14:paraId="0A8B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45F8EA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0" w:type="pct"/>
            <w:noWrap w:val="0"/>
            <w:vAlign w:val="center"/>
          </w:tcPr>
          <w:p w14:paraId="3D90F65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11.076</w:t>
            </w:r>
          </w:p>
        </w:tc>
        <w:tc>
          <w:tcPr>
            <w:tcW w:w="1250" w:type="pct"/>
            <w:shd w:val="clear" w:color="auto" w:fill="auto"/>
            <w:noWrap w:val="0"/>
            <w:vAlign w:val="center"/>
          </w:tcPr>
          <w:p w14:paraId="235232E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1" w:type="pct"/>
            <w:shd w:val="clear" w:color="auto" w:fill="auto"/>
            <w:noWrap w:val="0"/>
            <w:vAlign w:val="center"/>
          </w:tcPr>
          <w:p w14:paraId="4DBC63A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10.976</w:t>
            </w:r>
          </w:p>
        </w:tc>
      </w:tr>
      <w:tr w14:paraId="3DFC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DB761E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0" w:type="pct"/>
            <w:noWrap w:val="0"/>
            <w:vAlign w:val="center"/>
          </w:tcPr>
          <w:p w14:paraId="58B318B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11.224</w:t>
            </w:r>
          </w:p>
        </w:tc>
        <w:tc>
          <w:tcPr>
            <w:tcW w:w="1250" w:type="pct"/>
            <w:shd w:val="clear" w:color="auto" w:fill="auto"/>
            <w:noWrap w:val="0"/>
            <w:vAlign w:val="center"/>
          </w:tcPr>
          <w:p w14:paraId="03F31C8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1" w:type="pct"/>
            <w:shd w:val="clear" w:color="auto" w:fill="auto"/>
            <w:noWrap w:val="0"/>
            <w:vAlign w:val="center"/>
          </w:tcPr>
          <w:p w14:paraId="10AE3CE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11.139</w:t>
            </w:r>
          </w:p>
        </w:tc>
      </w:tr>
      <w:tr w14:paraId="6EE8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D0D728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0" w:type="pct"/>
            <w:noWrap w:val="0"/>
            <w:vAlign w:val="center"/>
          </w:tcPr>
          <w:p w14:paraId="3DB1C08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11.346</w:t>
            </w:r>
          </w:p>
        </w:tc>
        <w:tc>
          <w:tcPr>
            <w:tcW w:w="1250" w:type="pct"/>
            <w:shd w:val="clear" w:color="auto" w:fill="auto"/>
            <w:noWrap w:val="0"/>
            <w:vAlign w:val="center"/>
          </w:tcPr>
          <w:p w14:paraId="7842596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1" w:type="pct"/>
            <w:shd w:val="clear" w:color="auto" w:fill="auto"/>
            <w:noWrap w:val="0"/>
            <w:vAlign w:val="center"/>
          </w:tcPr>
          <w:p w14:paraId="2F18A32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11.276</w:t>
            </w:r>
          </w:p>
        </w:tc>
      </w:tr>
      <w:tr w14:paraId="6893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CF1F71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0" w:type="pct"/>
            <w:noWrap w:val="0"/>
            <w:vAlign w:val="center"/>
          </w:tcPr>
          <w:p w14:paraId="5EED594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11.440</w:t>
            </w:r>
          </w:p>
        </w:tc>
        <w:tc>
          <w:tcPr>
            <w:tcW w:w="1250" w:type="pct"/>
            <w:shd w:val="clear" w:color="auto" w:fill="auto"/>
            <w:noWrap w:val="0"/>
            <w:vAlign w:val="center"/>
          </w:tcPr>
          <w:p w14:paraId="1F46715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1" w:type="pct"/>
            <w:shd w:val="clear" w:color="auto" w:fill="auto"/>
            <w:noWrap w:val="0"/>
            <w:vAlign w:val="center"/>
          </w:tcPr>
          <w:p w14:paraId="6278D3F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11.387</w:t>
            </w:r>
          </w:p>
        </w:tc>
      </w:tr>
      <w:tr w14:paraId="1191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807195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0" w:type="pct"/>
            <w:noWrap w:val="0"/>
            <w:vAlign w:val="center"/>
          </w:tcPr>
          <w:p w14:paraId="617ECAA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11.505</w:t>
            </w:r>
          </w:p>
        </w:tc>
        <w:tc>
          <w:tcPr>
            <w:tcW w:w="1250" w:type="pct"/>
            <w:shd w:val="clear" w:color="auto" w:fill="auto"/>
            <w:noWrap w:val="0"/>
            <w:vAlign w:val="center"/>
          </w:tcPr>
          <w:p w14:paraId="2CAA242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1" w:type="pct"/>
            <w:shd w:val="clear" w:color="auto" w:fill="auto"/>
            <w:noWrap w:val="0"/>
            <w:vAlign w:val="center"/>
          </w:tcPr>
          <w:p w14:paraId="07D55A6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11.470</w:t>
            </w:r>
          </w:p>
        </w:tc>
      </w:tr>
      <w:tr w14:paraId="1C71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BA3AD6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0" w:type="pct"/>
            <w:noWrap w:val="0"/>
            <w:vAlign w:val="center"/>
          </w:tcPr>
          <w:p w14:paraId="52C7B64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11.541</w:t>
            </w:r>
          </w:p>
        </w:tc>
        <w:tc>
          <w:tcPr>
            <w:tcW w:w="1250" w:type="pct"/>
            <w:shd w:val="clear" w:color="auto" w:fill="auto"/>
            <w:noWrap w:val="0"/>
            <w:vAlign w:val="center"/>
          </w:tcPr>
          <w:p w14:paraId="3187343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1" w:type="pct"/>
            <w:shd w:val="clear" w:color="auto" w:fill="auto"/>
            <w:noWrap w:val="0"/>
            <w:vAlign w:val="center"/>
          </w:tcPr>
          <w:p w14:paraId="49B7898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11.523</w:t>
            </w:r>
          </w:p>
        </w:tc>
      </w:tr>
      <w:tr w14:paraId="4BBB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62B42E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0" w:type="pct"/>
            <w:noWrap w:val="0"/>
            <w:vAlign w:val="center"/>
          </w:tcPr>
          <w:p w14:paraId="790940A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11.547</w:t>
            </w:r>
          </w:p>
        </w:tc>
        <w:tc>
          <w:tcPr>
            <w:tcW w:w="1250" w:type="pct"/>
            <w:shd w:val="clear" w:color="auto" w:fill="auto"/>
            <w:noWrap w:val="0"/>
            <w:vAlign w:val="center"/>
          </w:tcPr>
          <w:p w14:paraId="5A3A2B1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1" w:type="pct"/>
            <w:shd w:val="clear" w:color="auto" w:fill="auto"/>
            <w:noWrap w:val="0"/>
            <w:vAlign w:val="center"/>
          </w:tcPr>
          <w:p w14:paraId="5FC0ABC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11.547</w:t>
            </w:r>
          </w:p>
        </w:tc>
      </w:tr>
    </w:tbl>
    <w:p w14:paraId="32C2F1EE">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本项目电磁环境敏感目标四把伙村距离架空线路边导线地面投影约为10m，距离线路中心投影约为13.7m。根据表5-6，四把伙村工频磁感应强度取距线路中心投影13m处最大预测结果，</w:t>
      </w:r>
      <w:r>
        <w:rPr>
          <w:rFonts w:hint="default" w:ascii="Times New Roman" w:hAnsi="Times New Roman" w:eastAsia="宋体" w:cs="Times New Roman"/>
          <w:color w:val="000000"/>
          <w:kern w:val="0"/>
          <w:sz w:val="24"/>
          <w:szCs w:val="24"/>
          <w:highlight w:val="none"/>
          <w:lang w:val="en-US" w:eastAsia="zh-CN" w:bidi="ar-SA"/>
        </w:rPr>
        <w:t>为</w:t>
      </w:r>
      <w:r>
        <w:rPr>
          <w:rFonts w:hint="eastAsia" w:ascii="Times New Roman" w:hAnsi="Times New Roman" w:eastAsia="宋体" w:cs="Times New Roman"/>
          <w:color w:val="000000"/>
          <w:kern w:val="0"/>
          <w:sz w:val="24"/>
          <w:szCs w:val="24"/>
          <w:highlight w:val="none"/>
          <w:lang w:val="en-US" w:eastAsia="zh-CN" w:bidi="ar-SA"/>
        </w:rPr>
        <w:t>9.522</w:t>
      </w:r>
      <w:r>
        <w:rPr>
          <w:rFonts w:hint="default" w:ascii="Times New Roman" w:hAnsi="Times New Roman" w:eastAsia="宋体" w:cs="Times New Roman"/>
          <w:color w:val="000000"/>
          <w:kern w:val="0"/>
          <w:sz w:val="24"/>
          <w:szCs w:val="24"/>
          <w:highlight w:val="none"/>
          <w:lang w:val="en-US" w:eastAsia="zh-CN" w:bidi="ar-SA"/>
        </w:rPr>
        <w:t>μT，</w:t>
      </w:r>
      <w:r>
        <w:rPr>
          <w:rFonts w:hint="eastAsia" w:ascii="Noto Sans Mono CJK JP Bold" w:hAnsi="Noto Sans Mono CJK JP Bold" w:eastAsia="宋体" w:cs="Times New Roman"/>
          <w:color w:val="000000"/>
          <w:kern w:val="0"/>
          <w:sz w:val="24"/>
          <w:szCs w:val="22"/>
          <w:highlight w:val="none"/>
          <w:lang w:val="en-US" w:eastAsia="zh-CN" w:bidi="ar-SA"/>
        </w:rPr>
        <w:t>满足</w:t>
      </w:r>
      <w:r>
        <w:rPr>
          <w:rFonts w:hint="default" w:ascii="Times New Roman" w:hAnsi="Times New Roman" w:eastAsia="宋体" w:cs="Times New Roman"/>
          <w:color w:val="000000"/>
          <w:kern w:val="0"/>
          <w:sz w:val="24"/>
          <w:szCs w:val="24"/>
          <w:highlight w:val="none"/>
          <w:lang w:val="en-US" w:eastAsia="zh-CN" w:bidi="ar-SA"/>
        </w:rPr>
        <w:t>《电磁环境控制限值》(GB8702-2014）中规定</w:t>
      </w:r>
      <w:r>
        <w:rPr>
          <w:rFonts w:hint="eastAsia" w:ascii="Noto Sans Mono CJK JP Bold" w:hAnsi="Noto Sans Mono CJK JP Bold" w:eastAsia="宋体" w:cs="Times New Roman"/>
          <w:color w:val="000000"/>
          <w:kern w:val="0"/>
          <w:sz w:val="24"/>
          <w:szCs w:val="24"/>
          <w:highlight w:val="none"/>
          <w:lang w:val="en-US" w:eastAsia="zh-CN" w:bidi="ar-SA"/>
        </w:rPr>
        <w:t>的</w:t>
      </w:r>
      <w:r>
        <w:rPr>
          <w:rFonts w:hint="default" w:ascii="Times New Roman" w:hAnsi="Times New Roman" w:eastAsia="宋体" w:cs="Times New Roman"/>
          <w:color w:val="000000"/>
          <w:kern w:val="0"/>
          <w:sz w:val="24"/>
          <w:szCs w:val="22"/>
          <w:highlight w:val="none"/>
          <w:lang w:val="en-US" w:eastAsia="zh-CN" w:bidi="ar-SA"/>
        </w:rPr>
        <w:t>100μT</w:t>
      </w:r>
      <w:r>
        <w:rPr>
          <w:rFonts w:hint="eastAsia" w:ascii="Noto Sans Mono CJK JP Bold" w:hAnsi="Noto Sans Mono CJK JP Bold" w:eastAsia="Noto Sans Mono CJK JP Bold" w:cs="Noto Sans Mono CJK JP Bold"/>
          <w:color w:val="000000"/>
          <w:kern w:val="0"/>
          <w:sz w:val="22"/>
          <w:szCs w:val="22"/>
          <w:highlight w:val="none"/>
          <w:lang w:val="en-US" w:eastAsia="zh-CN" w:bidi="ar-SA"/>
        </w:rPr>
        <w:t>公众曝露控制限值要求</w:t>
      </w:r>
      <w:r>
        <w:rPr>
          <w:rFonts w:hint="eastAsia" w:ascii="Noto Sans Mono CJK JP Bold" w:hAnsi="Noto Sans Mono CJK JP Bold" w:eastAsia="宋体" w:cs="Noto Sans Mono CJK JP Bold"/>
          <w:color w:val="000000"/>
          <w:kern w:val="0"/>
          <w:sz w:val="22"/>
          <w:szCs w:val="22"/>
          <w:highlight w:val="none"/>
          <w:lang w:val="en-US" w:eastAsia="zh-CN" w:bidi="ar-SA"/>
        </w:rPr>
        <w:t>。</w:t>
      </w:r>
    </w:p>
    <w:p w14:paraId="06E56442">
      <w:pPr>
        <w:keepNext w:val="0"/>
        <w:keepLines w:val="0"/>
        <w:pageBreakBefore w:val="0"/>
        <w:widowControl w:val="0"/>
        <w:kinsoku/>
        <w:wordWrap/>
        <w:overflowPunct/>
        <w:topLinePunct w:val="0"/>
        <w:autoSpaceDE w:val="0"/>
        <w:autoSpaceDN w:val="0"/>
        <w:bidi w:val="0"/>
        <w:spacing w:line="440" w:lineRule="exact"/>
        <w:ind w:firstLine="482" w:firstLineChars="200"/>
        <w:jc w:val="both"/>
        <w:textAlignment w:val="auto"/>
        <w:rPr>
          <w:rFonts w:hint="default" w:ascii="Times New Roman" w:hAnsi="Times New Roman" w:eastAsia="宋体" w:cs="Times New Roman"/>
          <w:b/>
          <w:bCs/>
          <w:color w:val="000000"/>
          <w:kern w:val="0"/>
          <w:sz w:val="24"/>
          <w:szCs w:val="24"/>
          <w:highlight w:val="none"/>
          <w:lang w:val="en-US" w:eastAsia="zh-CN" w:bidi="ar-SA"/>
        </w:rPr>
      </w:pPr>
      <w:r>
        <w:rPr>
          <w:rFonts w:hint="eastAsia" w:ascii="Times New Roman" w:hAnsi="Times New Roman" w:eastAsia="宋体" w:cs="Times New Roman"/>
          <w:b/>
          <w:bCs/>
          <w:color w:val="000000"/>
          <w:kern w:val="0"/>
          <w:sz w:val="24"/>
          <w:szCs w:val="24"/>
          <w:highlight w:val="none"/>
          <w:lang w:val="en-US" w:eastAsia="zh-CN" w:bidi="ar-SA"/>
        </w:rPr>
        <w:t>2、下常乐店电磁环境影响预测</w:t>
      </w:r>
    </w:p>
    <w:p w14:paraId="2A335027">
      <w:pPr>
        <w:keepNext w:val="0"/>
        <w:keepLines w:val="0"/>
        <w:pageBreakBefore w:val="0"/>
        <w:widowControl w:val="0"/>
        <w:kinsoku/>
        <w:wordWrap/>
        <w:overflowPunct/>
        <w:topLinePunct w:val="0"/>
        <w:autoSpaceDE w:val="0"/>
        <w:autoSpaceDN w:val="0"/>
        <w:bidi w:val="0"/>
        <w:spacing w:line="440" w:lineRule="exact"/>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下常乐店位于本项目A48~A49号塔之间，A48、A49号塔型均为110-DC22D-JC1，导线最小对地距离约为10m，</w:t>
      </w:r>
      <w:r>
        <w:rPr>
          <w:rFonts w:hint="eastAsia" w:ascii="Noto Sans Mono CJK JP Bold" w:hAnsi="Noto Sans Mono CJK JP Bold" w:eastAsia="宋体" w:cs="Times New Roman"/>
          <w:color w:val="000000"/>
          <w:kern w:val="0"/>
          <w:sz w:val="24"/>
          <w:szCs w:val="24"/>
          <w:highlight w:val="none"/>
          <w:lang w:val="en-US" w:eastAsia="zh-CN" w:bidi="ar-SA"/>
        </w:rPr>
        <w:t>工频电场、工频磁感应强度预测点位按照距地面</w:t>
      </w:r>
      <w:r>
        <w:rPr>
          <w:rFonts w:hint="default" w:ascii="Times New Roman" w:hAnsi="Times New Roman" w:eastAsia="宋体" w:cs="Times New Roman"/>
          <w:color w:val="000000"/>
          <w:kern w:val="0"/>
          <w:sz w:val="24"/>
          <w:szCs w:val="24"/>
          <w:highlight w:val="none"/>
          <w:lang w:val="en-US" w:eastAsia="zh-CN" w:bidi="ar-SA"/>
        </w:rPr>
        <w:t>1.5m</w:t>
      </w:r>
      <w:r>
        <w:rPr>
          <w:rFonts w:hint="eastAsia" w:ascii="Noto Sans Mono CJK JP Bold" w:hAnsi="Noto Sans Mono CJK JP Bold" w:eastAsia="宋体" w:cs="Times New Roman"/>
          <w:color w:val="000000"/>
          <w:kern w:val="0"/>
          <w:sz w:val="24"/>
          <w:szCs w:val="24"/>
          <w:highlight w:val="none"/>
          <w:lang w:val="en-US" w:eastAsia="zh-CN" w:bidi="ar-SA"/>
        </w:rPr>
        <w:t>高度处考虑。</w:t>
      </w:r>
      <w:r>
        <w:rPr>
          <w:rFonts w:hint="eastAsia" w:ascii="Times New Roman" w:hAnsi="Times New Roman" w:eastAsia="宋体" w:cs="Times New Roman"/>
          <w:color w:val="000000"/>
          <w:kern w:val="0"/>
          <w:sz w:val="24"/>
          <w:szCs w:val="24"/>
          <w:highlight w:val="none"/>
          <w:lang w:val="en-US" w:eastAsia="zh-CN" w:bidi="ar-SA"/>
        </w:rPr>
        <w:t>预测评价采用参</w:t>
      </w:r>
      <w:r>
        <w:rPr>
          <w:rFonts w:hint="default" w:ascii="Times New Roman" w:hAnsi="Times New Roman" w:eastAsia="宋体" w:cs="Times New Roman"/>
          <w:color w:val="000000"/>
          <w:kern w:val="0"/>
          <w:sz w:val="24"/>
          <w:szCs w:val="24"/>
          <w:highlight w:val="none"/>
          <w:lang w:val="en-US" w:eastAsia="zh-CN" w:bidi="ar-SA"/>
        </w:rPr>
        <w:t>数见表5-7，</w:t>
      </w:r>
      <w:r>
        <w:rPr>
          <w:rFonts w:hint="eastAsia" w:ascii="Times New Roman" w:hAnsi="Times New Roman" w:eastAsia="宋体" w:cs="Times New Roman"/>
          <w:color w:val="000000"/>
          <w:kern w:val="0"/>
          <w:sz w:val="24"/>
          <w:szCs w:val="24"/>
          <w:highlight w:val="none"/>
          <w:lang w:val="en-US" w:eastAsia="zh-CN" w:bidi="ar-SA"/>
        </w:rPr>
        <w:t>预测塔型图</w:t>
      </w:r>
      <w:r>
        <w:rPr>
          <w:rFonts w:hint="default" w:ascii="Times New Roman" w:hAnsi="Times New Roman" w:eastAsia="宋体" w:cs="Times New Roman"/>
          <w:color w:val="000000"/>
          <w:kern w:val="0"/>
          <w:sz w:val="24"/>
          <w:szCs w:val="24"/>
          <w:highlight w:val="none"/>
          <w:lang w:val="en-US" w:eastAsia="zh-CN" w:bidi="ar-SA"/>
        </w:rPr>
        <w:t>见附图8。</w:t>
      </w:r>
    </w:p>
    <w:p w14:paraId="2B560C88">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7</w:t>
      </w:r>
      <w:r>
        <w:rPr>
          <w:rFonts w:hint="default" w:ascii="Times New Roman" w:hAnsi="Times New Roman" w:eastAsia="宋体" w:cs="Times New Roman"/>
          <w:b/>
          <w:color w:val="000000"/>
          <w:sz w:val="21"/>
          <w:szCs w:val="21"/>
          <w:highlight w:val="none"/>
        </w:rPr>
        <w:t xml:space="preserve">  理论计算所用参数表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024"/>
      </w:tblGrid>
      <w:tr w14:paraId="1C86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0FD494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回路数</w:t>
            </w:r>
          </w:p>
        </w:tc>
        <w:tc>
          <w:tcPr>
            <w:tcW w:w="2361" w:type="pct"/>
            <w:vAlign w:val="center"/>
          </w:tcPr>
          <w:p w14:paraId="2823B064">
            <w:pPr>
              <w:keepNext w:val="0"/>
              <w:keepLines w:val="0"/>
              <w:pageBreakBefore w:val="0"/>
              <w:tabs>
                <w:tab w:val="left" w:pos="700"/>
              </w:tabs>
              <w:kinsoku/>
              <w:wordWrap/>
              <w:overflowPunct/>
              <w:topLinePunct w:val="0"/>
              <w:autoSpaceDE/>
              <w:autoSpaceDN/>
              <w:bidi w:val="0"/>
              <w:adjustRightInd/>
              <w:snapToGrid/>
              <w:spacing w:line="300" w:lineRule="exact"/>
              <w:ind w:firstLine="0" w:firstLineChars="0"/>
              <w:jc w:val="center"/>
              <w:textAlignment w:val="auto"/>
              <w:rPr>
                <w:rFonts w:hint="eastAsia"/>
                <w:color w:val="000000"/>
                <w:sz w:val="21"/>
                <w:szCs w:val="21"/>
                <w:highlight w:val="none"/>
                <w:lang w:eastAsia="zh-CN"/>
              </w:rPr>
            </w:pPr>
            <w:r>
              <w:rPr>
                <w:rFonts w:hint="eastAsia" w:eastAsia="宋体"/>
                <w:color w:val="000000"/>
                <w:sz w:val="21"/>
                <w:szCs w:val="21"/>
                <w:highlight w:val="none"/>
                <w:lang w:eastAsia="zh-CN"/>
              </w:rPr>
              <w:t>单</w:t>
            </w:r>
            <w:r>
              <w:rPr>
                <w:rFonts w:hint="eastAsia"/>
                <w:color w:val="000000"/>
                <w:sz w:val="21"/>
                <w:szCs w:val="21"/>
                <w:highlight w:val="none"/>
              </w:rPr>
              <w:t>回路</w:t>
            </w:r>
          </w:p>
        </w:tc>
      </w:tr>
      <w:tr w14:paraId="1C05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4B6203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电压等级</w:t>
            </w:r>
          </w:p>
        </w:tc>
        <w:tc>
          <w:tcPr>
            <w:tcW w:w="2361" w:type="pct"/>
            <w:vAlign w:val="center"/>
          </w:tcPr>
          <w:p w14:paraId="14483F4E">
            <w:pPr>
              <w:keepNext w:val="0"/>
              <w:keepLines w:val="0"/>
              <w:pageBreakBefore w:val="0"/>
              <w:tabs>
                <w:tab w:val="left" w:pos="700"/>
              </w:tabs>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b/>
                <w:color w:val="000000"/>
                <w:kern w:val="2"/>
                <w:sz w:val="21"/>
                <w:szCs w:val="21"/>
                <w:highlight w:val="none"/>
                <w:lang w:val="en-US" w:eastAsia="zh-CN" w:bidi="ar-SA"/>
              </w:rPr>
            </w:pPr>
            <w:r>
              <w:rPr>
                <w:rFonts w:hint="eastAsia" w:ascii="Times New Roman" w:eastAsia="宋体"/>
                <w:color w:val="000000"/>
                <w:sz w:val="21"/>
                <w:szCs w:val="21"/>
                <w:highlight w:val="none"/>
                <w:lang w:val="en-US" w:eastAsia="zh-CN"/>
              </w:rPr>
              <w:t>11</w:t>
            </w:r>
            <w:r>
              <w:rPr>
                <w:color w:val="000000"/>
                <w:sz w:val="21"/>
                <w:szCs w:val="21"/>
                <w:highlight w:val="none"/>
              </w:rPr>
              <w:t>0k</w:t>
            </w:r>
            <w:r>
              <w:rPr>
                <w:rFonts w:hint="eastAsia"/>
                <w:color w:val="000000"/>
                <w:sz w:val="21"/>
                <w:szCs w:val="21"/>
                <w:highlight w:val="none"/>
              </w:rPr>
              <w:t>V</w:t>
            </w:r>
          </w:p>
        </w:tc>
      </w:tr>
      <w:tr w14:paraId="0C67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739736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杆塔类型</w:t>
            </w:r>
          </w:p>
        </w:tc>
        <w:tc>
          <w:tcPr>
            <w:tcW w:w="2361" w:type="pct"/>
            <w:vAlign w:val="center"/>
          </w:tcPr>
          <w:p w14:paraId="11AF2BC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110-DC22D-</w:t>
            </w:r>
            <w:r>
              <w:rPr>
                <w:rFonts w:hint="eastAsia" w:eastAsia="宋体" w:cs="Times New Roman"/>
                <w:color w:val="000000"/>
                <w:kern w:val="2"/>
                <w:sz w:val="21"/>
                <w:szCs w:val="21"/>
                <w:highlight w:val="none"/>
                <w:lang w:val="en-US" w:eastAsia="zh-CN" w:bidi="ar-SA"/>
              </w:rPr>
              <w:t>JC1</w:t>
            </w:r>
          </w:p>
        </w:tc>
      </w:tr>
      <w:tr w14:paraId="67EC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532773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导线型号</w:t>
            </w:r>
          </w:p>
        </w:tc>
        <w:tc>
          <w:tcPr>
            <w:tcW w:w="2361" w:type="pct"/>
            <w:vAlign w:val="center"/>
          </w:tcPr>
          <w:p w14:paraId="0D6C0C0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JL/G1A-300/40</w:t>
            </w:r>
          </w:p>
        </w:tc>
      </w:tr>
      <w:tr w14:paraId="449C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0685EB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导线排列方式</w:t>
            </w:r>
          </w:p>
        </w:tc>
        <w:tc>
          <w:tcPr>
            <w:tcW w:w="2361" w:type="pct"/>
            <w:vAlign w:val="center"/>
          </w:tcPr>
          <w:p w14:paraId="46EDB49A">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三角排列</w:t>
            </w:r>
          </w:p>
        </w:tc>
      </w:tr>
      <w:tr w14:paraId="0913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21906B4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导线半径(mm)</w:t>
            </w:r>
          </w:p>
        </w:tc>
        <w:tc>
          <w:tcPr>
            <w:tcW w:w="2361" w:type="pct"/>
            <w:vAlign w:val="center"/>
          </w:tcPr>
          <w:p w14:paraId="4AC6C5C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11.95</w:t>
            </w:r>
          </w:p>
        </w:tc>
      </w:tr>
      <w:tr w14:paraId="117F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51478A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color w:val="000000"/>
                <w:kern w:val="0"/>
                <w:sz w:val="21"/>
                <w:szCs w:val="21"/>
                <w:highlight w:val="none"/>
              </w:rPr>
              <w:t>分裂</w:t>
            </w:r>
          </w:p>
        </w:tc>
        <w:tc>
          <w:tcPr>
            <w:tcW w:w="2361" w:type="pct"/>
            <w:vAlign w:val="center"/>
          </w:tcPr>
          <w:p w14:paraId="732B303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不分裂</w:t>
            </w:r>
          </w:p>
        </w:tc>
      </w:tr>
      <w:tr w14:paraId="215F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2B50E3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rFonts w:hint="eastAsia"/>
                <w:color w:val="000000"/>
                <w:kern w:val="0"/>
                <w:sz w:val="21"/>
                <w:szCs w:val="21"/>
                <w:highlight w:val="none"/>
              </w:rPr>
              <w:t>线路</w:t>
            </w:r>
            <w:r>
              <w:rPr>
                <w:color w:val="000000"/>
                <w:kern w:val="0"/>
                <w:sz w:val="21"/>
                <w:szCs w:val="21"/>
                <w:highlight w:val="none"/>
              </w:rPr>
              <w:t>电流（A）</w:t>
            </w:r>
          </w:p>
        </w:tc>
        <w:tc>
          <w:tcPr>
            <w:tcW w:w="2361" w:type="pct"/>
            <w:vAlign w:val="center"/>
          </w:tcPr>
          <w:p w14:paraId="650DE0B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570</w:t>
            </w:r>
          </w:p>
        </w:tc>
      </w:tr>
      <w:tr w14:paraId="2132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0FF5C2A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000000"/>
                <w:kern w:val="0"/>
                <w:sz w:val="21"/>
                <w:szCs w:val="21"/>
                <w:highlight w:val="none"/>
                <w:lang w:val="en-US" w:eastAsia="zh-CN"/>
              </w:rPr>
            </w:pPr>
            <w:r>
              <w:rPr>
                <w:rFonts w:hint="eastAsia" w:ascii="Times New Roman" w:eastAsia="宋体"/>
                <w:color w:val="000000"/>
                <w:kern w:val="0"/>
                <w:sz w:val="21"/>
                <w:szCs w:val="21"/>
                <w:highlight w:val="none"/>
                <w:lang w:val="en-US" w:eastAsia="zh-CN"/>
              </w:rPr>
              <w:t>导线坐标（m）</w:t>
            </w:r>
          </w:p>
        </w:tc>
        <w:tc>
          <w:tcPr>
            <w:tcW w:w="2361" w:type="pct"/>
            <w:vAlign w:val="center"/>
          </w:tcPr>
          <w:p w14:paraId="644AC50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000000"/>
                <w:kern w:val="2"/>
                <w:sz w:val="24"/>
                <w:szCs w:val="22"/>
                <w:highlight w:val="none"/>
                <w:lang w:val="en-US" w:eastAsia="zh-CN" w:bidi="ar-SA"/>
              </w:rPr>
            </w:pPr>
            <w:r>
              <w:rPr>
                <w:rFonts w:hint="eastAsia"/>
                <w:bCs/>
                <w:color w:val="000000"/>
                <w:sz w:val="21"/>
                <w:szCs w:val="21"/>
                <w:highlight w:val="none"/>
              </w:rPr>
              <w:t>（-</w:t>
            </w:r>
            <w:r>
              <w:rPr>
                <w:rFonts w:hint="eastAsia" w:ascii="Times New Roman" w:eastAsia="宋体"/>
                <w:bCs/>
                <w:color w:val="000000"/>
                <w:sz w:val="21"/>
                <w:szCs w:val="21"/>
                <w:highlight w:val="none"/>
                <w:lang w:val="en-US" w:eastAsia="zh-CN"/>
              </w:rPr>
              <w:t>3.7</w:t>
            </w:r>
            <w:r>
              <w:rPr>
                <w:rFonts w:hint="eastAsia" w:eastAsia="宋体"/>
                <w:bCs/>
                <w:color w:val="000000"/>
                <w:sz w:val="21"/>
                <w:szCs w:val="21"/>
                <w:highlight w:val="none"/>
                <w:lang w:eastAsia="zh-CN"/>
              </w:rPr>
              <w:t>，</w:t>
            </w:r>
            <w:r>
              <w:rPr>
                <w:rFonts w:hint="eastAsia" w:ascii="Times New Roman" w:eastAsia="宋体"/>
                <w:bCs/>
                <w:color w:val="000000"/>
                <w:sz w:val="21"/>
                <w:szCs w:val="21"/>
                <w:highlight w:val="none"/>
                <w:lang w:val="en-US" w:eastAsia="zh-CN"/>
              </w:rPr>
              <w:t>10.0</w:t>
            </w:r>
            <w:r>
              <w:rPr>
                <w:rFonts w:hint="eastAsia"/>
                <w:bCs/>
                <w:color w:val="000000"/>
                <w:sz w:val="21"/>
                <w:szCs w:val="21"/>
                <w:highlight w:val="none"/>
              </w:rPr>
              <w:t>）</w:t>
            </w:r>
            <w:r>
              <w:rPr>
                <w:bCs/>
                <w:color w:val="000000"/>
                <w:sz w:val="21"/>
                <w:szCs w:val="21"/>
                <w:highlight w:val="none"/>
              </w:rPr>
              <w:t>/</w:t>
            </w:r>
            <w:r>
              <w:rPr>
                <w:rFonts w:hint="eastAsia"/>
                <w:color w:val="000000"/>
                <w:sz w:val="21"/>
                <w:szCs w:val="21"/>
                <w:highlight w:val="none"/>
              </w:rPr>
              <w:t>（</w:t>
            </w:r>
            <w:r>
              <w:rPr>
                <w:rFonts w:hint="eastAsia" w:ascii="Times New Roman" w:eastAsia="宋体"/>
                <w:color w:val="000000"/>
                <w:sz w:val="21"/>
                <w:szCs w:val="21"/>
                <w:highlight w:val="none"/>
                <w:lang w:val="en-US" w:eastAsia="zh-CN"/>
              </w:rPr>
              <w:t>0</w:t>
            </w:r>
            <w:r>
              <w:rPr>
                <w:rFonts w:hint="eastAsia" w:eastAsia="宋体"/>
                <w:color w:val="000000"/>
                <w:sz w:val="21"/>
                <w:szCs w:val="21"/>
                <w:highlight w:val="none"/>
                <w:lang w:eastAsia="zh-CN"/>
              </w:rPr>
              <w:t>，</w:t>
            </w:r>
            <w:r>
              <w:rPr>
                <w:rFonts w:hint="eastAsia" w:ascii="Times New Roman" w:eastAsia="宋体"/>
                <w:color w:val="000000"/>
                <w:sz w:val="21"/>
                <w:szCs w:val="21"/>
                <w:highlight w:val="none"/>
                <w:lang w:val="en-US" w:eastAsia="zh-CN"/>
              </w:rPr>
              <w:t>13.5</w:t>
            </w:r>
            <w:r>
              <w:rPr>
                <w:rFonts w:hint="eastAsia"/>
                <w:color w:val="000000"/>
                <w:sz w:val="21"/>
                <w:szCs w:val="21"/>
                <w:highlight w:val="none"/>
              </w:rPr>
              <w:t>）</w:t>
            </w:r>
            <w:r>
              <w:rPr>
                <w:bCs/>
                <w:color w:val="000000"/>
                <w:sz w:val="21"/>
                <w:szCs w:val="21"/>
                <w:highlight w:val="none"/>
              </w:rPr>
              <w:t>/</w:t>
            </w:r>
            <w:r>
              <w:rPr>
                <w:rFonts w:hint="eastAsia"/>
                <w:bCs/>
                <w:color w:val="000000"/>
                <w:sz w:val="21"/>
                <w:szCs w:val="21"/>
                <w:highlight w:val="none"/>
              </w:rPr>
              <w:t>（</w:t>
            </w:r>
            <w:r>
              <w:rPr>
                <w:rFonts w:hint="eastAsia" w:ascii="Times New Roman" w:eastAsia="宋体"/>
                <w:bCs/>
                <w:color w:val="000000"/>
                <w:sz w:val="21"/>
                <w:szCs w:val="21"/>
                <w:highlight w:val="none"/>
                <w:lang w:val="en-US" w:eastAsia="zh-CN"/>
              </w:rPr>
              <w:t>3.7</w:t>
            </w:r>
            <w:r>
              <w:rPr>
                <w:rFonts w:hint="eastAsia" w:eastAsia="宋体"/>
                <w:bCs/>
                <w:color w:val="000000"/>
                <w:sz w:val="21"/>
                <w:szCs w:val="21"/>
                <w:highlight w:val="none"/>
                <w:lang w:eastAsia="zh-CN"/>
              </w:rPr>
              <w:t>，</w:t>
            </w:r>
            <w:r>
              <w:rPr>
                <w:rFonts w:hint="eastAsia" w:ascii="Times New Roman" w:eastAsia="宋体"/>
                <w:bCs/>
                <w:color w:val="000000"/>
                <w:sz w:val="21"/>
                <w:szCs w:val="21"/>
                <w:highlight w:val="none"/>
                <w:lang w:val="en-US" w:eastAsia="zh-CN"/>
              </w:rPr>
              <w:t>10.0</w:t>
            </w:r>
            <w:r>
              <w:rPr>
                <w:rFonts w:hint="eastAsia"/>
                <w:bCs/>
                <w:color w:val="000000"/>
                <w:sz w:val="21"/>
                <w:szCs w:val="21"/>
                <w:highlight w:val="none"/>
              </w:rPr>
              <w:t>）</w:t>
            </w:r>
          </w:p>
        </w:tc>
      </w:tr>
      <w:tr w14:paraId="2D65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8" w:type="pct"/>
            <w:vAlign w:val="center"/>
          </w:tcPr>
          <w:p w14:paraId="4AB95F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color w:val="000000"/>
                <w:kern w:val="0"/>
                <w:sz w:val="21"/>
                <w:szCs w:val="21"/>
                <w:highlight w:val="none"/>
              </w:rPr>
            </w:pPr>
            <w:r>
              <w:rPr>
                <w:rFonts w:hint="eastAsia" w:ascii="Times New Roman" w:eastAsia="宋体"/>
                <w:color w:val="000000"/>
                <w:kern w:val="0"/>
                <w:sz w:val="21"/>
                <w:szCs w:val="21"/>
                <w:highlight w:val="none"/>
                <w:lang w:val="en-US" w:eastAsia="zh-CN"/>
              </w:rPr>
              <w:t>导线对地高度</w:t>
            </w:r>
            <w:r>
              <w:rPr>
                <w:color w:val="000000"/>
                <w:kern w:val="0"/>
                <w:sz w:val="21"/>
                <w:szCs w:val="21"/>
                <w:highlight w:val="none"/>
              </w:rPr>
              <w:t>(m)</w:t>
            </w:r>
          </w:p>
        </w:tc>
        <w:tc>
          <w:tcPr>
            <w:tcW w:w="2361" w:type="pct"/>
            <w:vAlign w:val="center"/>
          </w:tcPr>
          <w:p w14:paraId="0595273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eastAsia="宋体"/>
                <w:color w:val="000000"/>
                <w:sz w:val="21"/>
                <w:szCs w:val="21"/>
                <w:highlight w:val="none"/>
                <w:lang w:val="en-US" w:eastAsia="zh-CN"/>
              </w:rPr>
              <w:t>10.0</w:t>
            </w:r>
          </w:p>
        </w:tc>
      </w:tr>
    </w:tbl>
    <w:p w14:paraId="73C16906">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b w:val="0"/>
          <w:bCs/>
          <w:color w:val="000000"/>
          <w:kern w:val="0"/>
          <w:sz w:val="24"/>
          <w:szCs w:val="22"/>
          <w:highlight w:val="none"/>
          <w:lang w:val="en-US" w:eastAsia="zh-CN" w:bidi="ar-SA"/>
        </w:rPr>
        <w:t>本项目预测线路中心线两侧各</w:t>
      </w:r>
      <w:r>
        <w:rPr>
          <w:rFonts w:hint="eastAsia" w:ascii="Times New Roman" w:hAnsi="Times New Roman" w:eastAsia="宋体" w:cs="Times New Roman"/>
          <w:b w:val="0"/>
          <w:bCs/>
          <w:color w:val="000000"/>
          <w:kern w:val="0"/>
          <w:sz w:val="24"/>
          <w:szCs w:val="22"/>
          <w:highlight w:val="none"/>
          <w:lang w:val="en-US" w:eastAsia="zh-CN" w:bidi="ar-SA"/>
        </w:rPr>
        <w:t>20</w:t>
      </w:r>
      <w:r>
        <w:rPr>
          <w:rFonts w:hint="default" w:ascii="Times New Roman" w:hAnsi="Times New Roman" w:eastAsia="宋体" w:cs="Times New Roman"/>
          <w:b w:val="0"/>
          <w:bCs/>
          <w:color w:val="000000"/>
          <w:kern w:val="0"/>
          <w:sz w:val="24"/>
          <w:szCs w:val="22"/>
          <w:highlight w:val="none"/>
          <w:lang w:val="en-US" w:eastAsia="zh-CN" w:bidi="ar-SA"/>
        </w:rPr>
        <w:t>m范围，预测范围涵盖</w:t>
      </w:r>
      <w:r>
        <w:rPr>
          <w:rFonts w:hint="eastAsia" w:ascii="Times New Roman" w:hAnsi="Times New Roman" w:eastAsia="宋体" w:cs="Times New Roman"/>
          <w:b w:val="0"/>
          <w:bCs/>
          <w:color w:val="000000"/>
          <w:kern w:val="0"/>
          <w:sz w:val="24"/>
          <w:szCs w:val="22"/>
          <w:highlight w:val="none"/>
          <w:lang w:val="en-US" w:eastAsia="zh-CN" w:bidi="ar-SA"/>
        </w:rPr>
        <w:t>下常乐店</w:t>
      </w:r>
      <w:r>
        <w:rPr>
          <w:rFonts w:hint="default" w:ascii="Times New Roman" w:hAnsi="Times New Roman" w:eastAsia="宋体" w:cs="Times New Roman"/>
          <w:b w:val="0"/>
          <w:bCs/>
          <w:color w:val="000000"/>
          <w:kern w:val="0"/>
          <w:sz w:val="24"/>
          <w:szCs w:val="22"/>
          <w:highlight w:val="none"/>
          <w:lang w:val="en-US" w:eastAsia="zh-CN" w:bidi="ar-SA"/>
        </w:rPr>
        <w:t>。</w:t>
      </w:r>
    </w:p>
    <w:p w14:paraId="06A3B726">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eastAsia="宋体" w:cs="Times New Roman"/>
          <w:color w:val="000000"/>
          <w:sz w:val="24"/>
          <w:szCs w:val="22"/>
          <w:highlight w:val="none"/>
          <w:lang w:val="en-US" w:eastAsia="zh-CN"/>
        </w:rPr>
      </w:pPr>
      <w:r>
        <w:rPr>
          <w:rFonts w:hint="eastAsia" w:eastAsia="宋体" w:cs="Times New Roman"/>
          <w:color w:val="000000"/>
          <w:sz w:val="24"/>
          <w:szCs w:val="22"/>
          <w:highlight w:val="none"/>
          <w:lang w:val="en-US" w:eastAsia="zh-CN"/>
        </w:rPr>
        <w:t>（1）工频电场强度预测</w:t>
      </w:r>
    </w:p>
    <w:p w14:paraId="691E5FB9">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000000"/>
          <w:sz w:val="24"/>
          <w:szCs w:val="22"/>
          <w:highlight w:val="none"/>
        </w:rPr>
      </w:pPr>
      <w:r>
        <w:rPr>
          <w:rFonts w:hint="eastAsia" w:eastAsia="宋体" w:cs="Times New Roman"/>
          <w:color w:val="000000"/>
          <w:sz w:val="24"/>
          <w:szCs w:val="22"/>
          <w:highlight w:val="none"/>
          <w:lang w:val="en-US" w:eastAsia="zh-CN"/>
        </w:rPr>
        <w:t>导线对地高度为10.0m时，110-DC22D-JC1型塔</w:t>
      </w:r>
      <w:r>
        <w:rPr>
          <w:rFonts w:hint="default" w:ascii="Times New Roman" w:hAnsi="Times New Roman" w:eastAsia="宋体" w:cs="Times New Roman"/>
          <w:color w:val="000000"/>
          <w:sz w:val="24"/>
          <w:szCs w:val="22"/>
          <w:highlight w:val="none"/>
        </w:rPr>
        <w:t>工频电场强度计算结果见</w:t>
      </w:r>
      <w:r>
        <w:rPr>
          <w:rFonts w:hint="eastAsia" w:eastAsia="宋体" w:cs="Times New Roman"/>
          <w:color w:val="000000"/>
          <w:sz w:val="24"/>
          <w:szCs w:val="22"/>
          <w:highlight w:val="none"/>
          <w:lang w:val="en-US" w:eastAsia="zh-CN"/>
        </w:rPr>
        <w:t>下表</w:t>
      </w:r>
      <w:r>
        <w:rPr>
          <w:rFonts w:hint="default" w:ascii="Times New Roman" w:hAnsi="Times New Roman" w:eastAsia="宋体" w:cs="Times New Roman"/>
          <w:color w:val="000000"/>
          <w:sz w:val="24"/>
          <w:szCs w:val="22"/>
          <w:highlight w:val="none"/>
        </w:rPr>
        <w:t>。</w:t>
      </w:r>
    </w:p>
    <w:p w14:paraId="54D34D1B">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8</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JC1型塔</w:t>
      </w:r>
      <w:r>
        <w:rPr>
          <w:rFonts w:hint="default" w:ascii="Times New Roman" w:hAnsi="Times New Roman" w:eastAsia="宋体" w:cs="Times New Roman"/>
          <w:b/>
          <w:color w:val="000000"/>
          <w:sz w:val="21"/>
          <w:szCs w:val="21"/>
          <w:highlight w:val="none"/>
        </w:rPr>
        <w:t>工频电场强度计算结果</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31"/>
        <w:gridCol w:w="2131"/>
        <w:gridCol w:w="2132"/>
      </w:tblGrid>
      <w:tr w14:paraId="7DCF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noWrap w:val="0"/>
            <w:vAlign w:val="center"/>
          </w:tcPr>
          <w:p w14:paraId="16E3635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0" w:type="pct"/>
            <w:noWrap w:val="0"/>
            <w:vAlign w:val="center"/>
          </w:tcPr>
          <w:p w14:paraId="68A9FB6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1.5米高处电场的综合量(kV/m)</w:t>
            </w:r>
          </w:p>
        </w:tc>
        <w:tc>
          <w:tcPr>
            <w:tcW w:w="1250" w:type="pct"/>
            <w:noWrap w:val="0"/>
            <w:vAlign w:val="center"/>
          </w:tcPr>
          <w:p w14:paraId="0344E8D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1" w:type="pct"/>
            <w:noWrap w:val="0"/>
            <w:vAlign w:val="center"/>
          </w:tcPr>
          <w:p w14:paraId="6CA608D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1.5米高处电场的综合量(kV/m)</w:t>
            </w:r>
          </w:p>
        </w:tc>
      </w:tr>
      <w:tr w14:paraId="28C4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0B7D67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0" w:type="pct"/>
            <w:noWrap w:val="0"/>
            <w:vAlign w:val="center"/>
          </w:tcPr>
          <w:p w14:paraId="2E83C41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0.222</w:t>
            </w:r>
          </w:p>
        </w:tc>
        <w:tc>
          <w:tcPr>
            <w:tcW w:w="1250" w:type="pct"/>
            <w:shd w:val="clear" w:color="auto" w:fill="auto"/>
            <w:noWrap w:val="0"/>
            <w:vAlign w:val="center"/>
          </w:tcPr>
          <w:p w14:paraId="4237D58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1" w:type="pct"/>
            <w:shd w:val="clear" w:color="auto" w:fill="auto"/>
            <w:noWrap w:val="0"/>
            <w:vAlign w:val="center"/>
          </w:tcPr>
          <w:p w14:paraId="6D1DAF0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0.222</w:t>
            </w:r>
          </w:p>
        </w:tc>
      </w:tr>
      <w:tr w14:paraId="7636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8E0BB6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0" w:type="pct"/>
            <w:noWrap w:val="0"/>
            <w:vAlign w:val="center"/>
          </w:tcPr>
          <w:p w14:paraId="4945073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0.248</w:t>
            </w:r>
          </w:p>
        </w:tc>
        <w:tc>
          <w:tcPr>
            <w:tcW w:w="1250" w:type="pct"/>
            <w:shd w:val="clear" w:color="auto" w:fill="auto"/>
            <w:noWrap w:val="0"/>
            <w:vAlign w:val="center"/>
          </w:tcPr>
          <w:p w14:paraId="2F9BB6D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1" w:type="pct"/>
            <w:shd w:val="clear" w:color="auto" w:fill="auto"/>
            <w:noWrap w:val="0"/>
            <w:vAlign w:val="center"/>
          </w:tcPr>
          <w:p w14:paraId="5FCDB4C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0.248</w:t>
            </w:r>
          </w:p>
        </w:tc>
      </w:tr>
      <w:tr w14:paraId="1B79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B77B8D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0" w:type="pct"/>
            <w:noWrap w:val="0"/>
            <w:vAlign w:val="center"/>
          </w:tcPr>
          <w:p w14:paraId="3AC1611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0.278</w:t>
            </w:r>
          </w:p>
        </w:tc>
        <w:tc>
          <w:tcPr>
            <w:tcW w:w="1250" w:type="pct"/>
            <w:shd w:val="clear" w:color="auto" w:fill="auto"/>
            <w:noWrap w:val="0"/>
            <w:vAlign w:val="center"/>
          </w:tcPr>
          <w:p w14:paraId="3FF416B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1" w:type="pct"/>
            <w:shd w:val="clear" w:color="auto" w:fill="auto"/>
            <w:noWrap w:val="0"/>
            <w:vAlign w:val="center"/>
          </w:tcPr>
          <w:p w14:paraId="2F992D4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0.278</w:t>
            </w:r>
          </w:p>
        </w:tc>
      </w:tr>
      <w:tr w14:paraId="5BDD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B2FFE4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0" w:type="pct"/>
            <w:noWrap w:val="0"/>
            <w:vAlign w:val="center"/>
          </w:tcPr>
          <w:p w14:paraId="1AECC87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0.313</w:t>
            </w:r>
          </w:p>
        </w:tc>
        <w:tc>
          <w:tcPr>
            <w:tcW w:w="1250" w:type="pct"/>
            <w:shd w:val="clear" w:color="auto" w:fill="auto"/>
            <w:noWrap w:val="0"/>
            <w:vAlign w:val="center"/>
          </w:tcPr>
          <w:p w14:paraId="094C23A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1" w:type="pct"/>
            <w:shd w:val="clear" w:color="auto" w:fill="auto"/>
            <w:noWrap w:val="0"/>
            <w:vAlign w:val="center"/>
          </w:tcPr>
          <w:p w14:paraId="0A7F16C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0.313</w:t>
            </w:r>
          </w:p>
        </w:tc>
      </w:tr>
      <w:tr w14:paraId="480C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CDC809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0" w:type="pct"/>
            <w:noWrap w:val="0"/>
            <w:vAlign w:val="center"/>
          </w:tcPr>
          <w:p w14:paraId="78770BE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0.353</w:t>
            </w:r>
          </w:p>
        </w:tc>
        <w:tc>
          <w:tcPr>
            <w:tcW w:w="1250" w:type="pct"/>
            <w:shd w:val="clear" w:color="auto" w:fill="auto"/>
            <w:noWrap w:val="0"/>
            <w:vAlign w:val="center"/>
          </w:tcPr>
          <w:p w14:paraId="2FB7F81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1" w:type="pct"/>
            <w:shd w:val="clear" w:color="auto" w:fill="auto"/>
            <w:noWrap w:val="0"/>
            <w:vAlign w:val="center"/>
          </w:tcPr>
          <w:p w14:paraId="3E55ED6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0.353</w:t>
            </w:r>
          </w:p>
        </w:tc>
      </w:tr>
      <w:tr w14:paraId="55B9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2CF946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0" w:type="pct"/>
            <w:noWrap w:val="0"/>
            <w:vAlign w:val="center"/>
          </w:tcPr>
          <w:p w14:paraId="6CEEDDB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0.398</w:t>
            </w:r>
          </w:p>
        </w:tc>
        <w:tc>
          <w:tcPr>
            <w:tcW w:w="1250" w:type="pct"/>
            <w:shd w:val="clear" w:color="auto" w:fill="auto"/>
            <w:noWrap w:val="0"/>
            <w:vAlign w:val="center"/>
          </w:tcPr>
          <w:p w14:paraId="00090CA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1" w:type="pct"/>
            <w:shd w:val="clear" w:color="auto" w:fill="auto"/>
            <w:noWrap w:val="0"/>
            <w:vAlign w:val="center"/>
          </w:tcPr>
          <w:p w14:paraId="67922D2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0.398</w:t>
            </w:r>
          </w:p>
        </w:tc>
      </w:tr>
      <w:tr w14:paraId="2BF7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36783D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0" w:type="pct"/>
            <w:noWrap w:val="0"/>
            <w:vAlign w:val="center"/>
          </w:tcPr>
          <w:p w14:paraId="72DC639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0.450</w:t>
            </w:r>
          </w:p>
        </w:tc>
        <w:tc>
          <w:tcPr>
            <w:tcW w:w="1250" w:type="pct"/>
            <w:shd w:val="clear" w:color="auto" w:fill="auto"/>
            <w:noWrap w:val="0"/>
            <w:vAlign w:val="center"/>
          </w:tcPr>
          <w:p w14:paraId="5F6168D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1" w:type="pct"/>
            <w:shd w:val="clear" w:color="auto" w:fill="auto"/>
            <w:noWrap w:val="0"/>
            <w:vAlign w:val="center"/>
          </w:tcPr>
          <w:p w14:paraId="10E1311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0.450</w:t>
            </w:r>
          </w:p>
        </w:tc>
      </w:tr>
      <w:tr w14:paraId="0B99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FD10AF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0" w:type="pct"/>
            <w:noWrap w:val="0"/>
            <w:vAlign w:val="center"/>
          </w:tcPr>
          <w:p w14:paraId="462F091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0.508</w:t>
            </w:r>
          </w:p>
        </w:tc>
        <w:tc>
          <w:tcPr>
            <w:tcW w:w="1250" w:type="pct"/>
            <w:shd w:val="clear" w:color="auto" w:fill="auto"/>
            <w:noWrap w:val="0"/>
            <w:vAlign w:val="center"/>
          </w:tcPr>
          <w:p w14:paraId="1F8F0A1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1" w:type="pct"/>
            <w:shd w:val="clear" w:color="auto" w:fill="auto"/>
            <w:noWrap w:val="0"/>
            <w:vAlign w:val="center"/>
          </w:tcPr>
          <w:p w14:paraId="353C699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0.508</w:t>
            </w:r>
          </w:p>
        </w:tc>
      </w:tr>
      <w:tr w14:paraId="411F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C3A539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0" w:type="pct"/>
            <w:noWrap w:val="0"/>
            <w:vAlign w:val="center"/>
          </w:tcPr>
          <w:p w14:paraId="718C007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0.572</w:t>
            </w:r>
          </w:p>
        </w:tc>
        <w:tc>
          <w:tcPr>
            <w:tcW w:w="1250" w:type="pct"/>
            <w:shd w:val="clear" w:color="auto" w:fill="auto"/>
            <w:noWrap w:val="0"/>
            <w:vAlign w:val="center"/>
          </w:tcPr>
          <w:p w14:paraId="4FAAA26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1" w:type="pct"/>
            <w:shd w:val="clear" w:color="auto" w:fill="auto"/>
            <w:noWrap w:val="0"/>
            <w:vAlign w:val="center"/>
          </w:tcPr>
          <w:p w14:paraId="4F89926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0.572</w:t>
            </w:r>
          </w:p>
        </w:tc>
      </w:tr>
      <w:tr w14:paraId="4E8E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70E70C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0" w:type="pct"/>
            <w:noWrap w:val="0"/>
            <w:vAlign w:val="center"/>
          </w:tcPr>
          <w:p w14:paraId="04FA4F5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0.641</w:t>
            </w:r>
          </w:p>
        </w:tc>
        <w:tc>
          <w:tcPr>
            <w:tcW w:w="1250" w:type="pct"/>
            <w:shd w:val="clear" w:color="auto" w:fill="auto"/>
            <w:noWrap w:val="0"/>
            <w:vAlign w:val="center"/>
          </w:tcPr>
          <w:p w14:paraId="4FC19CF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1" w:type="pct"/>
            <w:shd w:val="clear" w:color="auto" w:fill="auto"/>
            <w:noWrap w:val="0"/>
            <w:vAlign w:val="center"/>
          </w:tcPr>
          <w:p w14:paraId="42DC51A6">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0.641</w:t>
            </w:r>
          </w:p>
        </w:tc>
      </w:tr>
      <w:tr w14:paraId="2328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5D4151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0" w:type="pct"/>
            <w:noWrap w:val="0"/>
            <w:vAlign w:val="center"/>
          </w:tcPr>
          <w:p w14:paraId="544939D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0.712</w:t>
            </w:r>
          </w:p>
        </w:tc>
        <w:tc>
          <w:tcPr>
            <w:tcW w:w="1250" w:type="pct"/>
            <w:shd w:val="clear" w:color="auto" w:fill="auto"/>
            <w:noWrap w:val="0"/>
            <w:vAlign w:val="center"/>
          </w:tcPr>
          <w:p w14:paraId="7B6FAEB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1" w:type="pct"/>
            <w:shd w:val="clear" w:color="auto" w:fill="auto"/>
            <w:noWrap w:val="0"/>
            <w:vAlign w:val="center"/>
          </w:tcPr>
          <w:p w14:paraId="7C28F34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0.712</w:t>
            </w:r>
          </w:p>
        </w:tc>
      </w:tr>
      <w:tr w14:paraId="773C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DEEB65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0" w:type="pct"/>
            <w:noWrap w:val="0"/>
            <w:vAlign w:val="center"/>
          </w:tcPr>
          <w:p w14:paraId="7FB3FDB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0.782</w:t>
            </w:r>
          </w:p>
        </w:tc>
        <w:tc>
          <w:tcPr>
            <w:tcW w:w="1250" w:type="pct"/>
            <w:shd w:val="clear" w:color="auto" w:fill="auto"/>
            <w:noWrap w:val="0"/>
            <w:vAlign w:val="center"/>
          </w:tcPr>
          <w:p w14:paraId="4020DE9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1" w:type="pct"/>
            <w:shd w:val="clear" w:color="auto" w:fill="auto"/>
            <w:noWrap w:val="0"/>
            <w:vAlign w:val="center"/>
          </w:tcPr>
          <w:p w14:paraId="1CAC9E0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0.782</w:t>
            </w:r>
          </w:p>
        </w:tc>
      </w:tr>
      <w:tr w14:paraId="50C1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D968F4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0" w:type="pct"/>
            <w:noWrap w:val="0"/>
            <w:vAlign w:val="center"/>
          </w:tcPr>
          <w:p w14:paraId="077F586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0.845</w:t>
            </w:r>
          </w:p>
        </w:tc>
        <w:tc>
          <w:tcPr>
            <w:tcW w:w="1250" w:type="pct"/>
            <w:shd w:val="clear" w:color="auto" w:fill="auto"/>
            <w:noWrap w:val="0"/>
            <w:vAlign w:val="center"/>
          </w:tcPr>
          <w:p w14:paraId="6BF3516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1" w:type="pct"/>
            <w:shd w:val="clear" w:color="auto" w:fill="auto"/>
            <w:noWrap w:val="0"/>
            <w:vAlign w:val="center"/>
          </w:tcPr>
          <w:p w14:paraId="71FBAD5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0.845</w:t>
            </w:r>
          </w:p>
        </w:tc>
      </w:tr>
      <w:tr w14:paraId="0531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450DD6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0" w:type="pct"/>
            <w:noWrap w:val="0"/>
            <w:vAlign w:val="center"/>
          </w:tcPr>
          <w:p w14:paraId="2F89649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0.892</w:t>
            </w:r>
          </w:p>
        </w:tc>
        <w:tc>
          <w:tcPr>
            <w:tcW w:w="1250" w:type="pct"/>
            <w:shd w:val="clear" w:color="auto" w:fill="auto"/>
            <w:noWrap w:val="0"/>
            <w:vAlign w:val="center"/>
          </w:tcPr>
          <w:p w14:paraId="418DB87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1" w:type="pct"/>
            <w:shd w:val="clear" w:color="auto" w:fill="auto"/>
            <w:noWrap w:val="0"/>
            <w:vAlign w:val="center"/>
          </w:tcPr>
          <w:p w14:paraId="194D8DE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0.892</w:t>
            </w:r>
          </w:p>
        </w:tc>
      </w:tr>
      <w:tr w14:paraId="7B23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7F8817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0" w:type="pct"/>
            <w:noWrap w:val="0"/>
            <w:vAlign w:val="center"/>
          </w:tcPr>
          <w:p w14:paraId="25BBB1F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0.916</w:t>
            </w:r>
          </w:p>
        </w:tc>
        <w:tc>
          <w:tcPr>
            <w:tcW w:w="1250" w:type="pct"/>
            <w:shd w:val="clear" w:color="auto" w:fill="auto"/>
            <w:noWrap w:val="0"/>
            <w:vAlign w:val="center"/>
          </w:tcPr>
          <w:p w14:paraId="0F7AEB2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1" w:type="pct"/>
            <w:shd w:val="clear" w:color="auto" w:fill="auto"/>
            <w:noWrap w:val="0"/>
            <w:vAlign w:val="center"/>
          </w:tcPr>
          <w:p w14:paraId="26BC6A9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0.916</w:t>
            </w:r>
          </w:p>
        </w:tc>
      </w:tr>
      <w:tr w14:paraId="1E97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1006F9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0" w:type="pct"/>
            <w:noWrap w:val="0"/>
            <w:vAlign w:val="center"/>
          </w:tcPr>
          <w:p w14:paraId="08DA894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0.907</w:t>
            </w:r>
          </w:p>
        </w:tc>
        <w:tc>
          <w:tcPr>
            <w:tcW w:w="1250" w:type="pct"/>
            <w:shd w:val="clear" w:color="auto" w:fill="auto"/>
            <w:noWrap w:val="0"/>
            <w:vAlign w:val="center"/>
          </w:tcPr>
          <w:p w14:paraId="5B583B9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1" w:type="pct"/>
            <w:shd w:val="clear" w:color="auto" w:fill="auto"/>
            <w:noWrap w:val="0"/>
            <w:vAlign w:val="center"/>
          </w:tcPr>
          <w:p w14:paraId="57A69AD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0.907</w:t>
            </w:r>
          </w:p>
        </w:tc>
      </w:tr>
      <w:tr w14:paraId="23FB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EA66CB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0" w:type="pct"/>
            <w:noWrap w:val="0"/>
            <w:vAlign w:val="center"/>
          </w:tcPr>
          <w:p w14:paraId="3B2B76B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0.861</w:t>
            </w:r>
          </w:p>
        </w:tc>
        <w:tc>
          <w:tcPr>
            <w:tcW w:w="1250" w:type="pct"/>
            <w:shd w:val="clear" w:color="auto" w:fill="auto"/>
            <w:noWrap w:val="0"/>
            <w:vAlign w:val="center"/>
          </w:tcPr>
          <w:p w14:paraId="7F81478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1" w:type="pct"/>
            <w:shd w:val="clear" w:color="auto" w:fill="auto"/>
            <w:noWrap w:val="0"/>
            <w:vAlign w:val="center"/>
          </w:tcPr>
          <w:p w14:paraId="5E3A25E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0.861</w:t>
            </w:r>
          </w:p>
        </w:tc>
      </w:tr>
      <w:tr w14:paraId="7D58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4C797C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0" w:type="pct"/>
            <w:noWrap w:val="0"/>
            <w:vAlign w:val="center"/>
          </w:tcPr>
          <w:p w14:paraId="204A924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0.782</w:t>
            </w:r>
          </w:p>
        </w:tc>
        <w:tc>
          <w:tcPr>
            <w:tcW w:w="1250" w:type="pct"/>
            <w:shd w:val="clear" w:color="auto" w:fill="auto"/>
            <w:noWrap w:val="0"/>
            <w:vAlign w:val="center"/>
          </w:tcPr>
          <w:p w14:paraId="68A4758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1" w:type="pct"/>
            <w:shd w:val="clear" w:color="auto" w:fill="auto"/>
            <w:noWrap w:val="0"/>
            <w:vAlign w:val="center"/>
          </w:tcPr>
          <w:p w14:paraId="721723C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0.782</w:t>
            </w:r>
          </w:p>
        </w:tc>
      </w:tr>
      <w:tr w14:paraId="01E4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585652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0" w:type="pct"/>
            <w:noWrap w:val="0"/>
            <w:vAlign w:val="center"/>
          </w:tcPr>
          <w:p w14:paraId="59B092B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0.684</w:t>
            </w:r>
          </w:p>
        </w:tc>
        <w:tc>
          <w:tcPr>
            <w:tcW w:w="1250" w:type="pct"/>
            <w:shd w:val="clear" w:color="auto" w:fill="auto"/>
            <w:noWrap w:val="0"/>
            <w:vAlign w:val="center"/>
          </w:tcPr>
          <w:p w14:paraId="1DEC8F7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1" w:type="pct"/>
            <w:shd w:val="clear" w:color="auto" w:fill="auto"/>
            <w:noWrap w:val="0"/>
            <w:vAlign w:val="center"/>
          </w:tcPr>
          <w:p w14:paraId="539C8D2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0.684</w:t>
            </w:r>
          </w:p>
        </w:tc>
      </w:tr>
      <w:tr w14:paraId="5838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C3C368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0" w:type="pct"/>
            <w:noWrap w:val="0"/>
            <w:vAlign w:val="center"/>
          </w:tcPr>
          <w:p w14:paraId="17EEE44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0.596</w:t>
            </w:r>
          </w:p>
        </w:tc>
        <w:tc>
          <w:tcPr>
            <w:tcW w:w="1250" w:type="pct"/>
            <w:shd w:val="clear" w:color="auto" w:fill="auto"/>
            <w:noWrap w:val="0"/>
            <w:vAlign w:val="center"/>
          </w:tcPr>
          <w:p w14:paraId="4C7ECDE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1" w:type="pct"/>
            <w:shd w:val="clear" w:color="auto" w:fill="auto"/>
            <w:noWrap w:val="0"/>
            <w:vAlign w:val="center"/>
          </w:tcPr>
          <w:p w14:paraId="02528E8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0.596</w:t>
            </w:r>
          </w:p>
        </w:tc>
      </w:tr>
      <w:tr w14:paraId="77D8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580962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0" w:type="pct"/>
            <w:noWrap w:val="0"/>
            <w:vAlign w:val="center"/>
          </w:tcPr>
          <w:p w14:paraId="6B489A9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0.559</w:t>
            </w:r>
          </w:p>
        </w:tc>
        <w:tc>
          <w:tcPr>
            <w:tcW w:w="1250" w:type="pct"/>
            <w:shd w:val="clear" w:color="auto" w:fill="auto"/>
            <w:noWrap w:val="0"/>
            <w:vAlign w:val="center"/>
          </w:tcPr>
          <w:p w14:paraId="1CFCF81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1" w:type="pct"/>
            <w:shd w:val="clear" w:color="auto" w:fill="auto"/>
            <w:noWrap w:val="0"/>
            <w:vAlign w:val="center"/>
          </w:tcPr>
          <w:p w14:paraId="572B422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0.559</w:t>
            </w:r>
          </w:p>
        </w:tc>
      </w:tr>
    </w:tbl>
    <w:p w14:paraId="6C81159C">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本项目电磁环境敏感目标下常乐店距离架空线路边导线地面投影约为10m，距离线路中心投影约为13.7m。根据表5-8，下常乐店工频电场强度取距线路中心投影13m处最大预测结果，为0.508</w:t>
      </w:r>
      <w:r>
        <w:rPr>
          <w:rFonts w:hint="default" w:ascii="Times New Roman" w:hAnsi="Times New Roman" w:eastAsia="Noto Sans Mono CJK JP Bold" w:cs="Times New Roman"/>
          <w:color w:val="000000"/>
          <w:kern w:val="0"/>
          <w:sz w:val="24"/>
          <w:szCs w:val="22"/>
          <w:highlight w:val="none"/>
          <w:lang w:val="en-US" w:eastAsia="zh-CN" w:bidi="ar-SA"/>
        </w:rPr>
        <w:t>kV/m，</w:t>
      </w:r>
      <w:r>
        <w:rPr>
          <w:rFonts w:hint="eastAsia" w:ascii="Noto Sans Mono CJK JP Bold" w:hAnsi="Noto Sans Mono CJK JP Bold" w:eastAsia="宋体" w:cs="Times New Roman"/>
          <w:color w:val="000000"/>
          <w:kern w:val="0"/>
          <w:sz w:val="24"/>
          <w:szCs w:val="22"/>
          <w:highlight w:val="none"/>
          <w:lang w:val="en-US" w:eastAsia="zh-CN" w:bidi="ar-SA"/>
        </w:rPr>
        <w:t>满足</w:t>
      </w:r>
      <w:r>
        <w:rPr>
          <w:rFonts w:hint="default" w:ascii="Times New Roman" w:hAnsi="Times New Roman" w:eastAsia="宋体" w:cs="Times New Roman"/>
          <w:color w:val="000000"/>
          <w:kern w:val="0"/>
          <w:sz w:val="24"/>
          <w:szCs w:val="24"/>
          <w:highlight w:val="none"/>
          <w:lang w:val="en-US" w:eastAsia="zh-CN" w:bidi="ar-SA"/>
        </w:rPr>
        <w:t>《电磁环境控制限值》(GB8702-2014）中规定</w:t>
      </w:r>
      <w:r>
        <w:rPr>
          <w:rFonts w:hint="eastAsia" w:ascii="Noto Sans Mono CJK JP Bold" w:hAnsi="Noto Sans Mono CJK JP Bold" w:eastAsia="宋体" w:cs="Times New Roman"/>
          <w:color w:val="000000"/>
          <w:kern w:val="0"/>
          <w:sz w:val="24"/>
          <w:szCs w:val="24"/>
          <w:highlight w:val="none"/>
          <w:lang w:val="en-US" w:eastAsia="zh-CN" w:bidi="ar-SA"/>
        </w:rPr>
        <w:t>的</w:t>
      </w:r>
      <w:r>
        <w:rPr>
          <w:rFonts w:hint="default" w:ascii="Times New Roman" w:hAnsi="Times New Roman" w:eastAsia="宋体" w:cs="Times New Roman"/>
          <w:color w:val="000000"/>
          <w:kern w:val="0"/>
          <w:sz w:val="24"/>
          <w:szCs w:val="22"/>
          <w:highlight w:val="none"/>
          <w:lang w:val="en-US" w:eastAsia="zh-CN" w:bidi="ar-SA"/>
        </w:rPr>
        <w:t>4kV/m</w:t>
      </w:r>
      <w:r>
        <w:rPr>
          <w:rFonts w:hint="eastAsia" w:ascii="Noto Sans Mono CJK JP Bold" w:hAnsi="Noto Sans Mono CJK JP Bold" w:eastAsia="Noto Sans Mono CJK JP Bold" w:cs="Noto Sans Mono CJK JP Bold"/>
          <w:color w:val="000000"/>
          <w:kern w:val="0"/>
          <w:sz w:val="22"/>
          <w:szCs w:val="22"/>
          <w:highlight w:val="none"/>
          <w:lang w:val="en-US" w:eastAsia="zh-CN" w:bidi="ar-SA"/>
        </w:rPr>
        <w:t>公众曝露控制限值要求</w:t>
      </w:r>
      <w:r>
        <w:rPr>
          <w:rFonts w:hint="eastAsia" w:ascii="Noto Sans Mono CJK JP Bold" w:hAnsi="Noto Sans Mono CJK JP Bold" w:eastAsia="宋体" w:cs="Noto Sans Mono CJK JP Bold"/>
          <w:color w:val="000000"/>
          <w:kern w:val="0"/>
          <w:sz w:val="22"/>
          <w:szCs w:val="22"/>
          <w:highlight w:val="none"/>
          <w:lang w:val="en-US" w:eastAsia="zh-CN" w:bidi="ar-SA"/>
        </w:rPr>
        <w:t>。</w:t>
      </w:r>
    </w:p>
    <w:p w14:paraId="0B93CCDF">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（2）工频磁感应强度预测</w:t>
      </w:r>
    </w:p>
    <w:p w14:paraId="337F6754">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000000"/>
          <w:sz w:val="24"/>
          <w:szCs w:val="22"/>
          <w:highlight w:val="none"/>
        </w:rPr>
      </w:pPr>
      <w:r>
        <w:rPr>
          <w:rFonts w:hint="eastAsia" w:eastAsia="宋体" w:cs="Times New Roman"/>
          <w:color w:val="000000"/>
          <w:sz w:val="24"/>
          <w:szCs w:val="22"/>
          <w:highlight w:val="none"/>
          <w:lang w:val="en-US" w:eastAsia="zh-CN"/>
        </w:rPr>
        <w:t>导线对地高度为10.0m时，110-DC22D-JC1型塔</w:t>
      </w:r>
      <w:r>
        <w:rPr>
          <w:rFonts w:hint="default" w:ascii="Times New Roman" w:hAnsi="Times New Roman" w:eastAsia="宋体" w:cs="Times New Roman"/>
          <w:color w:val="000000"/>
          <w:sz w:val="24"/>
          <w:szCs w:val="22"/>
          <w:highlight w:val="none"/>
        </w:rPr>
        <w:t>工频</w:t>
      </w:r>
      <w:r>
        <w:rPr>
          <w:rFonts w:hint="eastAsia" w:eastAsia="宋体" w:cs="Times New Roman"/>
          <w:color w:val="000000"/>
          <w:sz w:val="24"/>
          <w:szCs w:val="22"/>
          <w:highlight w:val="none"/>
          <w:lang w:val="en-US" w:eastAsia="zh-CN"/>
        </w:rPr>
        <w:t>磁感应</w:t>
      </w:r>
      <w:r>
        <w:rPr>
          <w:rFonts w:hint="default" w:ascii="Times New Roman" w:hAnsi="Times New Roman" w:eastAsia="宋体" w:cs="Times New Roman"/>
          <w:color w:val="000000"/>
          <w:sz w:val="24"/>
          <w:szCs w:val="22"/>
          <w:highlight w:val="none"/>
        </w:rPr>
        <w:t>强度计算结果见</w:t>
      </w:r>
      <w:r>
        <w:rPr>
          <w:rFonts w:hint="eastAsia" w:eastAsia="宋体" w:cs="Times New Roman"/>
          <w:color w:val="000000"/>
          <w:sz w:val="24"/>
          <w:szCs w:val="22"/>
          <w:highlight w:val="none"/>
          <w:lang w:val="en-US" w:eastAsia="zh-CN"/>
        </w:rPr>
        <w:t>下表</w:t>
      </w:r>
      <w:r>
        <w:rPr>
          <w:rFonts w:hint="default" w:ascii="Times New Roman" w:hAnsi="Times New Roman" w:eastAsia="宋体" w:cs="Times New Roman"/>
          <w:color w:val="000000"/>
          <w:sz w:val="24"/>
          <w:szCs w:val="22"/>
          <w:highlight w:val="none"/>
        </w:rPr>
        <w:t>。</w:t>
      </w:r>
    </w:p>
    <w:p w14:paraId="5B37A683">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p>
    <w:p w14:paraId="0B5410E3">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p>
    <w:p w14:paraId="7EA981EE">
      <w:pPr>
        <w:keepNext w:val="0"/>
        <w:keepLines w:val="0"/>
        <w:pageBreakBefore w:val="0"/>
        <w:widowControl w:val="0"/>
        <w:tabs>
          <w:tab w:val="left" w:pos="700"/>
        </w:tabs>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eastAsia" w:eastAsia="宋体" w:cs="Times New Roman"/>
          <w:b/>
          <w:color w:val="000000"/>
          <w:sz w:val="21"/>
          <w:szCs w:val="21"/>
          <w:highlight w:val="none"/>
          <w:lang w:val="en-US" w:eastAsia="zh-CN"/>
        </w:rPr>
        <w:t>9</w:t>
      </w:r>
      <w:r>
        <w:rPr>
          <w:rFonts w:hint="default" w:ascii="Times New Roman" w:hAnsi="Times New Roman" w:eastAsia="宋体" w:cs="Times New Roman"/>
          <w:b/>
          <w:color w:val="000000"/>
          <w:sz w:val="21"/>
          <w:szCs w:val="21"/>
          <w:highlight w:val="none"/>
        </w:rPr>
        <w:t xml:space="preserve">  </w:t>
      </w:r>
      <w:r>
        <w:rPr>
          <w:rFonts w:hint="default" w:ascii="Times New Roman" w:hAnsi="Times New Roman" w:eastAsia="宋体" w:cs="Times New Roman"/>
          <w:b/>
          <w:color w:val="000000"/>
          <w:sz w:val="21"/>
          <w:szCs w:val="21"/>
          <w:highlight w:val="none"/>
          <w:lang w:val="en-US" w:eastAsia="zh-CN"/>
        </w:rPr>
        <w:t>110-DC22D-</w:t>
      </w:r>
      <w:r>
        <w:rPr>
          <w:rFonts w:hint="eastAsia" w:eastAsia="宋体" w:cs="Times New Roman"/>
          <w:b/>
          <w:color w:val="000000"/>
          <w:sz w:val="21"/>
          <w:szCs w:val="21"/>
          <w:highlight w:val="none"/>
          <w:lang w:val="en-US" w:eastAsia="zh-CN"/>
        </w:rPr>
        <w:t>JC1型塔</w:t>
      </w:r>
      <w:r>
        <w:rPr>
          <w:rFonts w:hint="default" w:ascii="Times New Roman" w:hAnsi="Times New Roman" w:eastAsia="宋体" w:cs="Times New Roman"/>
          <w:b/>
          <w:color w:val="000000"/>
          <w:sz w:val="21"/>
          <w:szCs w:val="21"/>
          <w:highlight w:val="none"/>
        </w:rPr>
        <w:t>工频</w:t>
      </w:r>
      <w:r>
        <w:rPr>
          <w:rFonts w:hint="eastAsia" w:eastAsia="宋体" w:cs="Times New Roman"/>
          <w:b/>
          <w:color w:val="000000"/>
          <w:sz w:val="21"/>
          <w:szCs w:val="21"/>
          <w:highlight w:val="none"/>
          <w:lang w:val="en-US" w:eastAsia="zh-CN"/>
        </w:rPr>
        <w:t>磁感应</w:t>
      </w:r>
      <w:r>
        <w:rPr>
          <w:rFonts w:hint="default" w:ascii="Times New Roman" w:hAnsi="Times New Roman" w:eastAsia="宋体" w:cs="Times New Roman"/>
          <w:b/>
          <w:color w:val="000000"/>
          <w:sz w:val="21"/>
          <w:szCs w:val="21"/>
          <w:highlight w:val="none"/>
        </w:rPr>
        <w:t>强度计算结果</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31"/>
        <w:gridCol w:w="2131"/>
        <w:gridCol w:w="2132"/>
      </w:tblGrid>
      <w:tr w14:paraId="1FCF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noWrap w:val="0"/>
            <w:vAlign w:val="center"/>
          </w:tcPr>
          <w:p w14:paraId="68BE595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0" w:type="pct"/>
            <w:noWrap w:val="0"/>
            <w:vAlign w:val="center"/>
          </w:tcPr>
          <w:p w14:paraId="251B879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1.5米高处</w:t>
            </w:r>
            <w:r>
              <w:rPr>
                <w:rFonts w:hint="eastAsia" w:eastAsia="宋体" w:cs="Times New Roman"/>
                <w:color w:val="000000"/>
                <w:kern w:val="0"/>
                <w:sz w:val="21"/>
                <w:szCs w:val="21"/>
                <w:highlight w:val="none"/>
                <w:lang w:val="en-US" w:eastAsia="zh-CN"/>
              </w:rPr>
              <w:t>磁场</w:t>
            </w:r>
            <w:r>
              <w:rPr>
                <w:rFonts w:hint="default" w:ascii="Times New Roman" w:hAnsi="Times New Roman" w:eastAsia="宋体" w:cs="Times New Roman"/>
                <w:color w:val="000000"/>
                <w:kern w:val="0"/>
                <w:sz w:val="21"/>
                <w:szCs w:val="21"/>
                <w:highlight w:val="none"/>
                <w:lang w:val="en-US" w:eastAsia="zh-CN"/>
              </w:rPr>
              <w:t>的综合量(kV/m)</w:t>
            </w:r>
          </w:p>
        </w:tc>
        <w:tc>
          <w:tcPr>
            <w:tcW w:w="1250" w:type="pct"/>
            <w:noWrap w:val="0"/>
            <w:vAlign w:val="center"/>
          </w:tcPr>
          <w:p w14:paraId="762F187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距线路中心投影的距离</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m</w:t>
            </w:r>
            <w:r>
              <w:rPr>
                <w:rFonts w:hint="default" w:ascii="Times New Roman" w:hAnsi="Times New Roman" w:eastAsia="宋体" w:cs="Times New Roman"/>
                <w:color w:val="000000"/>
                <w:kern w:val="0"/>
                <w:sz w:val="21"/>
                <w:szCs w:val="21"/>
                <w:highlight w:val="none"/>
                <w:lang w:eastAsia="zh-CN"/>
              </w:rPr>
              <w:t>）</w:t>
            </w:r>
          </w:p>
        </w:tc>
        <w:tc>
          <w:tcPr>
            <w:tcW w:w="1251" w:type="pct"/>
            <w:noWrap w:val="0"/>
            <w:vAlign w:val="center"/>
          </w:tcPr>
          <w:p w14:paraId="3674469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1.5米高处</w:t>
            </w:r>
            <w:r>
              <w:rPr>
                <w:rFonts w:hint="eastAsia" w:eastAsia="宋体" w:cs="Times New Roman"/>
                <w:color w:val="000000"/>
                <w:kern w:val="0"/>
                <w:sz w:val="21"/>
                <w:szCs w:val="21"/>
                <w:highlight w:val="none"/>
                <w:lang w:val="en-US" w:eastAsia="zh-CN"/>
              </w:rPr>
              <w:t>磁场</w:t>
            </w:r>
            <w:r>
              <w:rPr>
                <w:rFonts w:hint="default" w:ascii="Times New Roman" w:hAnsi="Times New Roman" w:eastAsia="宋体" w:cs="Times New Roman"/>
                <w:color w:val="000000"/>
                <w:kern w:val="0"/>
                <w:sz w:val="21"/>
                <w:szCs w:val="21"/>
                <w:highlight w:val="none"/>
                <w:lang w:val="en-US" w:eastAsia="zh-CN"/>
              </w:rPr>
              <w:t>的综合量(kV/m)</w:t>
            </w:r>
          </w:p>
        </w:tc>
      </w:tr>
      <w:tr w14:paraId="4594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030EA7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0" w:type="pct"/>
            <w:noWrap w:val="0"/>
            <w:vAlign w:val="center"/>
          </w:tcPr>
          <w:p w14:paraId="6BC426C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9.244</w:t>
            </w:r>
          </w:p>
        </w:tc>
        <w:tc>
          <w:tcPr>
            <w:tcW w:w="1250" w:type="pct"/>
            <w:shd w:val="clear" w:color="auto" w:fill="auto"/>
            <w:noWrap w:val="0"/>
            <w:vAlign w:val="center"/>
          </w:tcPr>
          <w:p w14:paraId="53E3374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20</w:t>
            </w:r>
          </w:p>
        </w:tc>
        <w:tc>
          <w:tcPr>
            <w:tcW w:w="1251" w:type="pct"/>
            <w:shd w:val="clear" w:color="auto" w:fill="auto"/>
            <w:noWrap w:val="0"/>
            <w:vAlign w:val="center"/>
          </w:tcPr>
          <w:p w14:paraId="3371BEE9">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9.244</w:t>
            </w:r>
          </w:p>
        </w:tc>
      </w:tr>
      <w:tr w14:paraId="0092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5BE1D4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0" w:type="pct"/>
            <w:noWrap w:val="0"/>
            <w:vAlign w:val="center"/>
          </w:tcPr>
          <w:p w14:paraId="2FF219B3">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9.659</w:t>
            </w:r>
          </w:p>
        </w:tc>
        <w:tc>
          <w:tcPr>
            <w:tcW w:w="1250" w:type="pct"/>
            <w:shd w:val="clear" w:color="auto" w:fill="auto"/>
            <w:noWrap w:val="0"/>
            <w:vAlign w:val="center"/>
          </w:tcPr>
          <w:p w14:paraId="14B9D26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19</w:t>
            </w:r>
          </w:p>
        </w:tc>
        <w:tc>
          <w:tcPr>
            <w:tcW w:w="1251" w:type="pct"/>
            <w:shd w:val="clear" w:color="auto" w:fill="auto"/>
            <w:noWrap w:val="0"/>
            <w:vAlign w:val="center"/>
          </w:tcPr>
          <w:p w14:paraId="7148D7C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9.659</w:t>
            </w:r>
          </w:p>
        </w:tc>
      </w:tr>
      <w:tr w14:paraId="7114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5EF09D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0" w:type="pct"/>
            <w:noWrap w:val="0"/>
            <w:vAlign w:val="center"/>
          </w:tcPr>
          <w:p w14:paraId="7E92820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10.108</w:t>
            </w:r>
          </w:p>
        </w:tc>
        <w:tc>
          <w:tcPr>
            <w:tcW w:w="1250" w:type="pct"/>
            <w:shd w:val="clear" w:color="auto" w:fill="auto"/>
            <w:noWrap w:val="0"/>
            <w:vAlign w:val="center"/>
          </w:tcPr>
          <w:p w14:paraId="7AB3303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18</w:t>
            </w:r>
          </w:p>
        </w:tc>
        <w:tc>
          <w:tcPr>
            <w:tcW w:w="1251" w:type="pct"/>
            <w:shd w:val="clear" w:color="auto" w:fill="auto"/>
            <w:noWrap w:val="0"/>
            <w:vAlign w:val="center"/>
          </w:tcPr>
          <w:p w14:paraId="657AABF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10.108</w:t>
            </w:r>
          </w:p>
        </w:tc>
      </w:tr>
      <w:tr w14:paraId="0097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1A2E049">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0" w:type="pct"/>
            <w:noWrap w:val="0"/>
            <w:vAlign w:val="center"/>
          </w:tcPr>
          <w:p w14:paraId="0D9857E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10.594</w:t>
            </w:r>
          </w:p>
        </w:tc>
        <w:tc>
          <w:tcPr>
            <w:tcW w:w="1250" w:type="pct"/>
            <w:shd w:val="clear" w:color="auto" w:fill="auto"/>
            <w:noWrap w:val="0"/>
            <w:vAlign w:val="center"/>
          </w:tcPr>
          <w:p w14:paraId="300FD44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17</w:t>
            </w:r>
          </w:p>
        </w:tc>
        <w:tc>
          <w:tcPr>
            <w:tcW w:w="1251" w:type="pct"/>
            <w:shd w:val="clear" w:color="auto" w:fill="auto"/>
            <w:noWrap w:val="0"/>
            <w:vAlign w:val="center"/>
          </w:tcPr>
          <w:p w14:paraId="62CFC19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10.594</w:t>
            </w:r>
          </w:p>
        </w:tc>
      </w:tr>
      <w:tr w14:paraId="07F3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06BAB29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0" w:type="pct"/>
            <w:noWrap w:val="0"/>
            <w:vAlign w:val="center"/>
          </w:tcPr>
          <w:p w14:paraId="547AC56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11.119</w:t>
            </w:r>
          </w:p>
        </w:tc>
        <w:tc>
          <w:tcPr>
            <w:tcW w:w="1250" w:type="pct"/>
            <w:shd w:val="clear" w:color="auto" w:fill="auto"/>
            <w:noWrap w:val="0"/>
            <w:vAlign w:val="center"/>
          </w:tcPr>
          <w:p w14:paraId="1D624A5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16</w:t>
            </w:r>
          </w:p>
        </w:tc>
        <w:tc>
          <w:tcPr>
            <w:tcW w:w="1251" w:type="pct"/>
            <w:shd w:val="clear" w:color="auto" w:fill="auto"/>
            <w:noWrap w:val="0"/>
            <w:vAlign w:val="center"/>
          </w:tcPr>
          <w:p w14:paraId="42596F82">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11.119</w:t>
            </w:r>
          </w:p>
        </w:tc>
      </w:tr>
      <w:tr w14:paraId="1D1F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CE8A84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0" w:type="pct"/>
            <w:noWrap w:val="0"/>
            <w:vAlign w:val="center"/>
          </w:tcPr>
          <w:p w14:paraId="4CE4DAD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11.686</w:t>
            </w:r>
          </w:p>
        </w:tc>
        <w:tc>
          <w:tcPr>
            <w:tcW w:w="1250" w:type="pct"/>
            <w:shd w:val="clear" w:color="auto" w:fill="auto"/>
            <w:noWrap w:val="0"/>
            <w:vAlign w:val="center"/>
          </w:tcPr>
          <w:p w14:paraId="42B5E64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15</w:t>
            </w:r>
          </w:p>
        </w:tc>
        <w:tc>
          <w:tcPr>
            <w:tcW w:w="1251" w:type="pct"/>
            <w:shd w:val="clear" w:color="auto" w:fill="auto"/>
            <w:noWrap w:val="0"/>
            <w:vAlign w:val="center"/>
          </w:tcPr>
          <w:p w14:paraId="097B496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11.686</w:t>
            </w:r>
          </w:p>
        </w:tc>
      </w:tr>
      <w:tr w14:paraId="10D9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49564AE">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0" w:type="pct"/>
            <w:noWrap w:val="0"/>
            <w:vAlign w:val="center"/>
          </w:tcPr>
          <w:p w14:paraId="43C7259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12.296</w:t>
            </w:r>
          </w:p>
        </w:tc>
        <w:tc>
          <w:tcPr>
            <w:tcW w:w="1250" w:type="pct"/>
            <w:shd w:val="clear" w:color="auto" w:fill="auto"/>
            <w:noWrap w:val="0"/>
            <w:vAlign w:val="center"/>
          </w:tcPr>
          <w:p w14:paraId="7D296FD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14</w:t>
            </w:r>
          </w:p>
        </w:tc>
        <w:tc>
          <w:tcPr>
            <w:tcW w:w="1251" w:type="pct"/>
            <w:shd w:val="clear" w:color="auto" w:fill="auto"/>
            <w:noWrap w:val="0"/>
            <w:vAlign w:val="center"/>
          </w:tcPr>
          <w:p w14:paraId="7B7929B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12.296</w:t>
            </w:r>
          </w:p>
        </w:tc>
      </w:tr>
      <w:tr w14:paraId="6E20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40C2FF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0" w:type="pct"/>
            <w:noWrap w:val="0"/>
            <w:vAlign w:val="center"/>
          </w:tcPr>
          <w:p w14:paraId="5E7DA59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12.951</w:t>
            </w:r>
          </w:p>
        </w:tc>
        <w:tc>
          <w:tcPr>
            <w:tcW w:w="1250" w:type="pct"/>
            <w:shd w:val="clear" w:color="auto" w:fill="auto"/>
            <w:noWrap w:val="0"/>
            <w:vAlign w:val="center"/>
          </w:tcPr>
          <w:p w14:paraId="4527C85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13</w:t>
            </w:r>
          </w:p>
        </w:tc>
        <w:tc>
          <w:tcPr>
            <w:tcW w:w="1251" w:type="pct"/>
            <w:shd w:val="clear" w:color="auto" w:fill="auto"/>
            <w:noWrap w:val="0"/>
            <w:vAlign w:val="center"/>
          </w:tcPr>
          <w:p w14:paraId="08137074">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12.951</w:t>
            </w:r>
          </w:p>
        </w:tc>
      </w:tr>
      <w:tr w14:paraId="14F9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7EB4B55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0" w:type="pct"/>
            <w:noWrap w:val="0"/>
            <w:vAlign w:val="center"/>
          </w:tcPr>
          <w:p w14:paraId="459A275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13.648</w:t>
            </w:r>
          </w:p>
        </w:tc>
        <w:tc>
          <w:tcPr>
            <w:tcW w:w="1250" w:type="pct"/>
            <w:shd w:val="clear" w:color="auto" w:fill="auto"/>
            <w:noWrap w:val="0"/>
            <w:vAlign w:val="center"/>
          </w:tcPr>
          <w:p w14:paraId="53D97C2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12</w:t>
            </w:r>
          </w:p>
        </w:tc>
        <w:tc>
          <w:tcPr>
            <w:tcW w:w="1251" w:type="pct"/>
            <w:shd w:val="clear" w:color="auto" w:fill="auto"/>
            <w:noWrap w:val="0"/>
            <w:vAlign w:val="center"/>
          </w:tcPr>
          <w:p w14:paraId="38E375D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13.648</w:t>
            </w:r>
          </w:p>
        </w:tc>
      </w:tr>
      <w:tr w14:paraId="6FBD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0E1765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0" w:type="pct"/>
            <w:noWrap w:val="0"/>
            <w:vAlign w:val="center"/>
          </w:tcPr>
          <w:p w14:paraId="4CF590E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14.383</w:t>
            </w:r>
          </w:p>
        </w:tc>
        <w:tc>
          <w:tcPr>
            <w:tcW w:w="1250" w:type="pct"/>
            <w:shd w:val="clear" w:color="auto" w:fill="auto"/>
            <w:noWrap w:val="0"/>
            <w:vAlign w:val="center"/>
          </w:tcPr>
          <w:p w14:paraId="546D99E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11</w:t>
            </w:r>
          </w:p>
        </w:tc>
        <w:tc>
          <w:tcPr>
            <w:tcW w:w="1251" w:type="pct"/>
            <w:shd w:val="clear" w:color="auto" w:fill="auto"/>
            <w:noWrap w:val="0"/>
            <w:vAlign w:val="center"/>
          </w:tcPr>
          <w:p w14:paraId="2EC33F8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14.383</w:t>
            </w:r>
          </w:p>
        </w:tc>
      </w:tr>
      <w:tr w14:paraId="0209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5DA6755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0" w:type="pct"/>
            <w:noWrap w:val="0"/>
            <w:vAlign w:val="center"/>
          </w:tcPr>
          <w:p w14:paraId="7B7F699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15.145</w:t>
            </w:r>
          </w:p>
        </w:tc>
        <w:tc>
          <w:tcPr>
            <w:tcW w:w="1250" w:type="pct"/>
            <w:shd w:val="clear" w:color="auto" w:fill="auto"/>
            <w:noWrap w:val="0"/>
            <w:vAlign w:val="center"/>
          </w:tcPr>
          <w:p w14:paraId="534AD9F5">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10</w:t>
            </w:r>
          </w:p>
        </w:tc>
        <w:tc>
          <w:tcPr>
            <w:tcW w:w="1251" w:type="pct"/>
            <w:shd w:val="clear" w:color="auto" w:fill="auto"/>
            <w:noWrap w:val="0"/>
            <w:vAlign w:val="center"/>
          </w:tcPr>
          <w:p w14:paraId="3FBC3A1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15.145</w:t>
            </w:r>
          </w:p>
        </w:tc>
      </w:tr>
      <w:tr w14:paraId="309C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B431F6A">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0" w:type="pct"/>
            <w:noWrap w:val="0"/>
            <w:vAlign w:val="center"/>
          </w:tcPr>
          <w:p w14:paraId="3B0DCCC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15.918</w:t>
            </w:r>
          </w:p>
        </w:tc>
        <w:tc>
          <w:tcPr>
            <w:tcW w:w="1250" w:type="pct"/>
            <w:shd w:val="clear" w:color="auto" w:fill="auto"/>
            <w:noWrap w:val="0"/>
            <w:vAlign w:val="center"/>
          </w:tcPr>
          <w:p w14:paraId="335875CB">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9</w:t>
            </w:r>
          </w:p>
        </w:tc>
        <w:tc>
          <w:tcPr>
            <w:tcW w:w="1251" w:type="pct"/>
            <w:shd w:val="clear" w:color="auto" w:fill="auto"/>
            <w:noWrap w:val="0"/>
            <w:vAlign w:val="center"/>
          </w:tcPr>
          <w:p w14:paraId="33C7EE3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15.918</w:t>
            </w:r>
          </w:p>
        </w:tc>
      </w:tr>
      <w:tr w14:paraId="7167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7F4AD4D">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0" w:type="pct"/>
            <w:noWrap w:val="0"/>
            <w:vAlign w:val="center"/>
          </w:tcPr>
          <w:p w14:paraId="3811D567">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16.678</w:t>
            </w:r>
          </w:p>
        </w:tc>
        <w:tc>
          <w:tcPr>
            <w:tcW w:w="1250" w:type="pct"/>
            <w:shd w:val="clear" w:color="auto" w:fill="auto"/>
            <w:noWrap w:val="0"/>
            <w:vAlign w:val="center"/>
          </w:tcPr>
          <w:p w14:paraId="46D187A3">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8</w:t>
            </w:r>
          </w:p>
        </w:tc>
        <w:tc>
          <w:tcPr>
            <w:tcW w:w="1251" w:type="pct"/>
            <w:shd w:val="clear" w:color="auto" w:fill="auto"/>
            <w:noWrap w:val="0"/>
            <w:vAlign w:val="center"/>
          </w:tcPr>
          <w:p w14:paraId="351FC91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16.678</w:t>
            </w:r>
          </w:p>
        </w:tc>
      </w:tr>
      <w:tr w14:paraId="5F28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45303DB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0" w:type="pct"/>
            <w:noWrap w:val="0"/>
            <w:vAlign w:val="center"/>
          </w:tcPr>
          <w:p w14:paraId="44D2A325">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17.394</w:t>
            </w:r>
          </w:p>
        </w:tc>
        <w:tc>
          <w:tcPr>
            <w:tcW w:w="1250" w:type="pct"/>
            <w:shd w:val="clear" w:color="auto" w:fill="auto"/>
            <w:noWrap w:val="0"/>
            <w:vAlign w:val="center"/>
          </w:tcPr>
          <w:p w14:paraId="4CD3E69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7</w:t>
            </w:r>
          </w:p>
        </w:tc>
        <w:tc>
          <w:tcPr>
            <w:tcW w:w="1251" w:type="pct"/>
            <w:shd w:val="clear" w:color="auto" w:fill="auto"/>
            <w:noWrap w:val="0"/>
            <w:vAlign w:val="center"/>
          </w:tcPr>
          <w:p w14:paraId="11247D8A">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17.394</w:t>
            </w:r>
          </w:p>
        </w:tc>
      </w:tr>
      <w:tr w14:paraId="12E2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21B315E6">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0" w:type="pct"/>
            <w:noWrap w:val="0"/>
            <w:vAlign w:val="center"/>
          </w:tcPr>
          <w:p w14:paraId="606E070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18.031</w:t>
            </w:r>
          </w:p>
        </w:tc>
        <w:tc>
          <w:tcPr>
            <w:tcW w:w="1250" w:type="pct"/>
            <w:shd w:val="clear" w:color="auto" w:fill="auto"/>
            <w:noWrap w:val="0"/>
            <w:vAlign w:val="center"/>
          </w:tcPr>
          <w:p w14:paraId="207EAC84">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6</w:t>
            </w:r>
          </w:p>
        </w:tc>
        <w:tc>
          <w:tcPr>
            <w:tcW w:w="1251" w:type="pct"/>
            <w:shd w:val="clear" w:color="auto" w:fill="auto"/>
            <w:noWrap w:val="0"/>
            <w:vAlign w:val="center"/>
          </w:tcPr>
          <w:p w14:paraId="702711B0">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18.031</w:t>
            </w:r>
          </w:p>
        </w:tc>
      </w:tr>
      <w:tr w14:paraId="3670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97108D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0" w:type="pct"/>
            <w:noWrap w:val="0"/>
            <w:vAlign w:val="center"/>
          </w:tcPr>
          <w:p w14:paraId="47B84BD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18.557</w:t>
            </w:r>
          </w:p>
        </w:tc>
        <w:tc>
          <w:tcPr>
            <w:tcW w:w="1250" w:type="pct"/>
            <w:shd w:val="clear" w:color="auto" w:fill="auto"/>
            <w:noWrap w:val="0"/>
            <w:vAlign w:val="center"/>
          </w:tcPr>
          <w:p w14:paraId="53550BE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5</w:t>
            </w:r>
          </w:p>
        </w:tc>
        <w:tc>
          <w:tcPr>
            <w:tcW w:w="1251" w:type="pct"/>
            <w:shd w:val="clear" w:color="auto" w:fill="auto"/>
            <w:noWrap w:val="0"/>
            <w:vAlign w:val="center"/>
          </w:tcPr>
          <w:p w14:paraId="34BC55D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18.557</w:t>
            </w:r>
          </w:p>
        </w:tc>
      </w:tr>
      <w:tr w14:paraId="1E39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16E61E2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0" w:type="pct"/>
            <w:noWrap w:val="0"/>
            <w:vAlign w:val="center"/>
          </w:tcPr>
          <w:p w14:paraId="3D5F85D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18.952</w:t>
            </w:r>
          </w:p>
        </w:tc>
        <w:tc>
          <w:tcPr>
            <w:tcW w:w="1250" w:type="pct"/>
            <w:shd w:val="clear" w:color="auto" w:fill="auto"/>
            <w:noWrap w:val="0"/>
            <w:vAlign w:val="center"/>
          </w:tcPr>
          <w:p w14:paraId="5B5AB8A1">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4</w:t>
            </w:r>
          </w:p>
        </w:tc>
        <w:tc>
          <w:tcPr>
            <w:tcW w:w="1251" w:type="pct"/>
            <w:shd w:val="clear" w:color="auto" w:fill="auto"/>
            <w:noWrap w:val="0"/>
            <w:vAlign w:val="center"/>
          </w:tcPr>
          <w:p w14:paraId="0A5E2E6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18.952</w:t>
            </w:r>
          </w:p>
        </w:tc>
      </w:tr>
      <w:tr w14:paraId="737C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29D7352">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0" w:type="pct"/>
            <w:noWrap w:val="0"/>
            <w:vAlign w:val="center"/>
          </w:tcPr>
          <w:p w14:paraId="3CA5A6F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19.217</w:t>
            </w:r>
          </w:p>
        </w:tc>
        <w:tc>
          <w:tcPr>
            <w:tcW w:w="1250" w:type="pct"/>
            <w:shd w:val="clear" w:color="auto" w:fill="auto"/>
            <w:noWrap w:val="0"/>
            <w:vAlign w:val="center"/>
          </w:tcPr>
          <w:p w14:paraId="388BC0C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3</w:t>
            </w:r>
          </w:p>
        </w:tc>
        <w:tc>
          <w:tcPr>
            <w:tcW w:w="1251" w:type="pct"/>
            <w:shd w:val="clear" w:color="auto" w:fill="auto"/>
            <w:noWrap w:val="0"/>
            <w:vAlign w:val="center"/>
          </w:tcPr>
          <w:p w14:paraId="666B2E8C">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19.217</w:t>
            </w:r>
          </w:p>
        </w:tc>
      </w:tr>
      <w:tr w14:paraId="0650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C846D40">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0" w:type="pct"/>
            <w:noWrap w:val="0"/>
            <w:vAlign w:val="center"/>
          </w:tcPr>
          <w:p w14:paraId="0B6DDADB">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19.369</w:t>
            </w:r>
          </w:p>
        </w:tc>
        <w:tc>
          <w:tcPr>
            <w:tcW w:w="1250" w:type="pct"/>
            <w:shd w:val="clear" w:color="auto" w:fill="auto"/>
            <w:noWrap w:val="0"/>
            <w:vAlign w:val="center"/>
          </w:tcPr>
          <w:p w14:paraId="7C80504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2</w:t>
            </w:r>
          </w:p>
        </w:tc>
        <w:tc>
          <w:tcPr>
            <w:tcW w:w="1251" w:type="pct"/>
            <w:shd w:val="clear" w:color="auto" w:fill="auto"/>
            <w:noWrap w:val="0"/>
            <w:vAlign w:val="center"/>
          </w:tcPr>
          <w:p w14:paraId="6A0B1A41">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19.369</w:t>
            </w:r>
          </w:p>
        </w:tc>
      </w:tr>
      <w:tr w14:paraId="24D3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3C3E8B5C">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0" w:type="pct"/>
            <w:noWrap w:val="0"/>
            <w:vAlign w:val="center"/>
          </w:tcPr>
          <w:p w14:paraId="758EE94D">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19.442</w:t>
            </w:r>
          </w:p>
        </w:tc>
        <w:tc>
          <w:tcPr>
            <w:tcW w:w="1250" w:type="pct"/>
            <w:shd w:val="clear" w:color="auto" w:fill="auto"/>
            <w:noWrap w:val="0"/>
            <w:vAlign w:val="center"/>
          </w:tcPr>
          <w:p w14:paraId="524C2C88">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1</w:t>
            </w:r>
          </w:p>
        </w:tc>
        <w:tc>
          <w:tcPr>
            <w:tcW w:w="1251" w:type="pct"/>
            <w:shd w:val="clear" w:color="auto" w:fill="auto"/>
            <w:noWrap w:val="0"/>
            <w:vAlign w:val="center"/>
          </w:tcPr>
          <w:p w14:paraId="4B2D28CE">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19.442</w:t>
            </w:r>
          </w:p>
        </w:tc>
      </w:tr>
      <w:tr w14:paraId="6512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7" w:type="pct"/>
            <w:shd w:val="clear" w:color="auto" w:fill="auto"/>
            <w:noWrap w:val="0"/>
            <w:vAlign w:val="center"/>
          </w:tcPr>
          <w:p w14:paraId="6E5A275F">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0" w:type="pct"/>
            <w:noWrap w:val="0"/>
            <w:vAlign w:val="center"/>
          </w:tcPr>
          <w:p w14:paraId="11DE232F">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19.463</w:t>
            </w:r>
          </w:p>
        </w:tc>
        <w:tc>
          <w:tcPr>
            <w:tcW w:w="1250" w:type="pct"/>
            <w:shd w:val="clear" w:color="auto" w:fill="auto"/>
            <w:noWrap w:val="0"/>
            <w:vAlign w:val="center"/>
          </w:tcPr>
          <w:p w14:paraId="27A53E47">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rPr>
              <w:t>0</w:t>
            </w:r>
          </w:p>
        </w:tc>
        <w:tc>
          <w:tcPr>
            <w:tcW w:w="1251" w:type="pct"/>
            <w:shd w:val="clear" w:color="auto" w:fill="auto"/>
            <w:noWrap w:val="0"/>
            <w:vAlign w:val="center"/>
          </w:tcPr>
          <w:p w14:paraId="46C51488">
            <w:pPr>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eastAsia="宋体" w:cs="Times New Roman"/>
                <w:color w:val="000000"/>
                <w:kern w:val="2"/>
                <w:sz w:val="21"/>
                <w:szCs w:val="21"/>
                <w:highlight w:val="none"/>
                <w:vertAlign w:val="baseline"/>
                <w:lang w:val="en-US" w:eastAsia="zh-CN" w:bidi="ar-SA"/>
              </w:rPr>
              <w:t>19.463</w:t>
            </w:r>
          </w:p>
        </w:tc>
      </w:tr>
    </w:tbl>
    <w:p w14:paraId="2E9F7259">
      <w:pPr>
        <w:keepNext w:val="0"/>
        <w:keepLines w:val="0"/>
        <w:pageBreakBefore w:val="0"/>
        <w:widowControl w:val="0"/>
        <w:kinsoku/>
        <w:wordWrap/>
        <w:overflowPunct/>
        <w:topLinePunct w:val="0"/>
        <w:autoSpaceDE w:val="0"/>
        <w:autoSpaceDN w:val="0"/>
        <w:bidi w:val="0"/>
        <w:spacing w:line="440" w:lineRule="exact"/>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本项目电磁环境敏感目标下常乐店距离架空线路边导线地面投影约为10m，距离线路中心投影约为13.7m。根据表5-9，下常乐店工频磁感应强度取距线路中心投影13m处最大预测结果，</w:t>
      </w:r>
      <w:r>
        <w:rPr>
          <w:rFonts w:hint="default" w:ascii="Times New Roman" w:hAnsi="Times New Roman" w:eastAsia="宋体" w:cs="Times New Roman"/>
          <w:color w:val="000000"/>
          <w:kern w:val="0"/>
          <w:sz w:val="24"/>
          <w:szCs w:val="24"/>
          <w:highlight w:val="none"/>
          <w:lang w:val="en-US" w:eastAsia="zh-CN" w:bidi="ar-SA"/>
        </w:rPr>
        <w:t>为</w:t>
      </w:r>
      <w:r>
        <w:rPr>
          <w:rFonts w:hint="eastAsia" w:ascii="Times New Roman" w:hAnsi="Times New Roman" w:eastAsia="宋体" w:cs="Times New Roman"/>
          <w:color w:val="000000"/>
          <w:kern w:val="0"/>
          <w:sz w:val="24"/>
          <w:szCs w:val="24"/>
          <w:highlight w:val="none"/>
          <w:lang w:val="en-US" w:eastAsia="zh-CN" w:bidi="ar-SA"/>
        </w:rPr>
        <w:t>12.951</w:t>
      </w:r>
      <w:r>
        <w:rPr>
          <w:rFonts w:hint="default" w:ascii="Times New Roman" w:hAnsi="Times New Roman" w:eastAsia="宋体" w:cs="Times New Roman"/>
          <w:color w:val="000000"/>
          <w:kern w:val="0"/>
          <w:sz w:val="24"/>
          <w:szCs w:val="24"/>
          <w:highlight w:val="none"/>
          <w:lang w:val="en-US" w:eastAsia="zh-CN" w:bidi="ar-SA"/>
        </w:rPr>
        <w:t>μT，</w:t>
      </w:r>
      <w:r>
        <w:rPr>
          <w:rFonts w:hint="eastAsia" w:ascii="Noto Sans Mono CJK JP Bold" w:hAnsi="Noto Sans Mono CJK JP Bold" w:eastAsia="宋体" w:cs="Times New Roman"/>
          <w:color w:val="000000"/>
          <w:kern w:val="0"/>
          <w:sz w:val="24"/>
          <w:szCs w:val="22"/>
          <w:highlight w:val="none"/>
          <w:lang w:val="en-US" w:eastAsia="zh-CN" w:bidi="ar-SA"/>
        </w:rPr>
        <w:t>满足</w:t>
      </w:r>
      <w:r>
        <w:rPr>
          <w:rFonts w:hint="default" w:ascii="Times New Roman" w:hAnsi="Times New Roman" w:eastAsia="宋体" w:cs="Times New Roman"/>
          <w:color w:val="000000"/>
          <w:kern w:val="0"/>
          <w:sz w:val="24"/>
          <w:szCs w:val="24"/>
          <w:highlight w:val="none"/>
          <w:lang w:val="en-US" w:eastAsia="zh-CN" w:bidi="ar-SA"/>
        </w:rPr>
        <w:t>《电磁环境控制限值》(GB8702-2014）中规定</w:t>
      </w:r>
      <w:r>
        <w:rPr>
          <w:rFonts w:hint="eastAsia" w:ascii="Noto Sans Mono CJK JP Bold" w:hAnsi="Noto Sans Mono CJK JP Bold" w:eastAsia="宋体" w:cs="Times New Roman"/>
          <w:color w:val="000000"/>
          <w:kern w:val="0"/>
          <w:sz w:val="24"/>
          <w:szCs w:val="24"/>
          <w:highlight w:val="none"/>
          <w:lang w:val="en-US" w:eastAsia="zh-CN" w:bidi="ar-SA"/>
        </w:rPr>
        <w:t>的</w:t>
      </w:r>
      <w:r>
        <w:rPr>
          <w:rFonts w:hint="default" w:ascii="Times New Roman" w:hAnsi="Times New Roman" w:eastAsia="宋体" w:cs="Times New Roman"/>
          <w:color w:val="000000"/>
          <w:kern w:val="0"/>
          <w:sz w:val="24"/>
          <w:szCs w:val="22"/>
          <w:highlight w:val="none"/>
          <w:lang w:val="en-US" w:eastAsia="zh-CN" w:bidi="ar-SA"/>
        </w:rPr>
        <w:t>100μT</w:t>
      </w:r>
      <w:r>
        <w:rPr>
          <w:rFonts w:hint="eastAsia" w:ascii="Noto Sans Mono CJK JP Bold" w:hAnsi="Noto Sans Mono CJK JP Bold" w:eastAsia="Noto Sans Mono CJK JP Bold" w:cs="Noto Sans Mono CJK JP Bold"/>
          <w:color w:val="000000"/>
          <w:kern w:val="0"/>
          <w:sz w:val="22"/>
          <w:szCs w:val="22"/>
          <w:highlight w:val="none"/>
          <w:lang w:val="en-US" w:eastAsia="zh-CN" w:bidi="ar-SA"/>
        </w:rPr>
        <w:t>公众曝露控制限值要求</w:t>
      </w:r>
      <w:r>
        <w:rPr>
          <w:rFonts w:hint="eastAsia" w:ascii="Noto Sans Mono CJK JP Bold" w:hAnsi="Noto Sans Mono CJK JP Bold" w:eastAsia="宋体" w:cs="Noto Sans Mono CJK JP Bold"/>
          <w:color w:val="000000"/>
          <w:kern w:val="0"/>
          <w:sz w:val="22"/>
          <w:szCs w:val="22"/>
          <w:highlight w:val="none"/>
          <w:lang w:val="en-US" w:eastAsia="zh-CN" w:bidi="ar-SA"/>
        </w:rPr>
        <w:t>。</w:t>
      </w:r>
    </w:p>
    <w:p w14:paraId="18B8E0A8">
      <w:pPr>
        <w:keepNext w:val="0"/>
        <w:keepLines w:val="0"/>
        <w:pageBreakBefore w:val="0"/>
        <w:widowControl w:val="0"/>
        <w:tabs>
          <w:tab w:val="left" w:pos="2520"/>
        </w:tabs>
        <w:kinsoku/>
        <w:wordWrap/>
        <w:overflowPunct/>
        <w:topLinePunct w:val="0"/>
        <w:autoSpaceDE/>
        <w:autoSpaceDN/>
        <w:bidi w:val="0"/>
        <w:adjustRightInd/>
        <w:snapToGrid/>
        <w:spacing w:after="0" w:line="440" w:lineRule="exact"/>
        <w:ind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综上所述，根据理论预测结果，电磁环境敏感目标处工频电场强度、工频磁感应强度均满足</w:t>
      </w:r>
      <w:r>
        <w:rPr>
          <w:rFonts w:hint="default" w:ascii="Times New Roman" w:hAnsi="Times New Roman" w:eastAsia="宋体" w:cs="Times New Roman"/>
          <w:color w:val="000000"/>
          <w:kern w:val="2"/>
          <w:sz w:val="24"/>
          <w:szCs w:val="24"/>
          <w:highlight w:val="none"/>
          <w:lang w:val="en-US" w:eastAsia="zh-CN" w:bidi="ar-SA"/>
        </w:rPr>
        <w:t>《电磁环境控制限值》(GB8702-2014）中规定的4kV/m和100μT公众曝露控制限值要求</w:t>
      </w:r>
      <w:r>
        <w:rPr>
          <w:rFonts w:hint="eastAsia" w:ascii="Times New Roman" w:hAnsi="Times New Roman" w:eastAsia="宋体" w:cs="Times New Roman"/>
          <w:color w:val="000000"/>
          <w:kern w:val="2"/>
          <w:sz w:val="24"/>
          <w:szCs w:val="24"/>
          <w:highlight w:val="none"/>
          <w:lang w:val="en-US" w:eastAsia="zh-CN" w:bidi="ar-SA"/>
        </w:rPr>
        <w:t>，本项目对电磁环境敏感目标处的电磁影响较小。</w:t>
      </w:r>
    </w:p>
    <w:p w14:paraId="0C65C014">
      <w:pPr>
        <w:widowControl w:val="0"/>
        <w:spacing w:line="240" w:lineRule="auto"/>
        <w:ind w:firstLine="420" w:firstLineChars="0"/>
        <w:jc w:val="both"/>
        <w:rPr>
          <w:rFonts w:hint="default" w:ascii="Calibri" w:hAnsi="Calibri" w:eastAsia="宋体" w:cs="Times New Roman"/>
          <w:color w:val="000000"/>
          <w:kern w:val="2"/>
          <w:sz w:val="21"/>
          <w:szCs w:val="22"/>
          <w:highlight w:val="none"/>
          <w:lang w:val="en-US" w:eastAsia="zh-CN" w:bidi="ar-SA"/>
        </w:rPr>
      </w:pPr>
    </w:p>
    <w:p w14:paraId="2A26EC7F">
      <w:pPr>
        <w:keepNext w:val="0"/>
        <w:keepLines w:val="0"/>
        <w:pageBreakBefore w:val="0"/>
        <w:widowControl w:val="0"/>
        <w:tabs>
          <w:tab w:val="left" w:pos="70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000000"/>
          <w:sz w:val="24"/>
          <w:szCs w:val="24"/>
          <w:highlight w:val="none"/>
          <w:lang w:eastAsia="zh-CN"/>
        </w:rPr>
      </w:pPr>
    </w:p>
    <w:p w14:paraId="2341D57E">
      <w:pPr>
        <w:rPr>
          <w:rFonts w:hint="default"/>
          <w:color w:val="000000"/>
          <w:highlight w:val="none"/>
          <w:lang w:val="en-US" w:eastAsia="zh-CN"/>
        </w:rPr>
        <w:sectPr>
          <w:pgSz w:w="11906" w:h="16838"/>
          <w:pgMar w:top="1440" w:right="1800" w:bottom="1440" w:left="1800" w:header="851" w:footer="992" w:gutter="0"/>
          <w:cols w:space="425" w:num="1"/>
          <w:docGrid w:type="lines" w:linePitch="312" w:charSpace="0"/>
        </w:sectPr>
      </w:pPr>
    </w:p>
    <w:p w14:paraId="19F1D8BF">
      <w:pPr>
        <w:keepNext/>
        <w:keepLines/>
        <w:widowControl w:val="0"/>
        <w:bidi w:val="0"/>
        <w:spacing w:line="480" w:lineRule="exact"/>
        <w:ind w:firstLine="0" w:firstLineChars="0"/>
        <w:jc w:val="both"/>
        <w:outlineLvl w:val="0"/>
        <w:rPr>
          <w:rFonts w:hint="default" w:ascii="Times New Roman" w:hAnsi="Times New Roman" w:eastAsia="宋体" w:cs="Times New Roman"/>
          <w:b/>
          <w:bCs/>
          <w:color w:val="000000"/>
          <w:kern w:val="44"/>
          <w:sz w:val="32"/>
          <w:szCs w:val="44"/>
          <w:highlight w:val="none"/>
          <w:lang w:val="en-US" w:eastAsia="zh-CN" w:bidi="ar-SA"/>
        </w:rPr>
      </w:pPr>
      <w:bookmarkStart w:id="51" w:name="_Toc24227"/>
      <w:r>
        <w:rPr>
          <w:rFonts w:hint="default" w:ascii="Times New Roman" w:hAnsi="Times New Roman" w:eastAsia="宋体" w:cs="Times New Roman"/>
          <w:b/>
          <w:bCs/>
          <w:color w:val="000000"/>
          <w:kern w:val="44"/>
          <w:sz w:val="32"/>
          <w:szCs w:val="44"/>
          <w:highlight w:val="none"/>
          <w:lang w:val="en-US" w:eastAsia="zh-CN" w:bidi="ar-SA"/>
        </w:rPr>
        <w:t>6 电磁环境保护措施</w:t>
      </w:r>
      <w:bookmarkEnd w:id="51"/>
    </w:p>
    <w:p w14:paraId="2151603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eastAsia" w:eastAsia="宋体" w:cs="Times New Roman"/>
          <w:color w:val="000000"/>
          <w:kern w:val="2"/>
          <w:sz w:val="24"/>
          <w:szCs w:val="24"/>
          <w:highlight w:val="none"/>
          <w:lang w:val="en-US" w:eastAsia="zh-CN" w:bidi="ar-SA"/>
        </w:rPr>
        <w:t>1</w:t>
      </w: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sz w:val="24"/>
          <w:szCs w:val="24"/>
          <w:highlight w:val="none"/>
        </w:rPr>
        <w:t>加强运行期</w:t>
      </w:r>
      <w:r>
        <w:rPr>
          <w:rFonts w:hint="eastAsia" w:eastAsia="宋体" w:cs="Times New Roman"/>
          <w:color w:val="000000"/>
          <w:sz w:val="24"/>
          <w:szCs w:val="24"/>
          <w:highlight w:val="none"/>
          <w:lang w:eastAsia="zh-CN"/>
        </w:rPr>
        <w:t>输电线路</w:t>
      </w:r>
      <w:r>
        <w:rPr>
          <w:rFonts w:hint="default" w:ascii="Times New Roman" w:hAnsi="Times New Roman" w:eastAsia="宋体" w:cs="Times New Roman"/>
          <w:color w:val="000000"/>
          <w:sz w:val="24"/>
          <w:szCs w:val="24"/>
          <w:highlight w:val="none"/>
        </w:rPr>
        <w:t>运行维护检查，保证正常运行；</w:t>
      </w:r>
    </w:p>
    <w:p w14:paraId="0CDC24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eastAsia"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rPr>
        <w:t>开展运行期电磁环境监测和管理工作，切实减少对周围环境的电磁影响；</w:t>
      </w:r>
    </w:p>
    <w:p w14:paraId="5B6D18D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eastAsia"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rPr>
        <w:t>建立健全环保管理机构，做好项目的环保竣工验收工作。</w:t>
      </w:r>
    </w:p>
    <w:p w14:paraId="5EA432BA">
      <w:pPr>
        <w:spacing w:line="480" w:lineRule="exact"/>
        <w:ind w:firstLine="480" w:firstLineChars="200"/>
        <w:rPr>
          <w:rFonts w:hint="default" w:ascii="Times New Roman" w:hAnsi="Times New Roman" w:cs="Times New Roman"/>
          <w:color w:val="000000"/>
          <w:sz w:val="24"/>
          <w:szCs w:val="22"/>
          <w:highlight w:val="none"/>
        </w:rPr>
      </w:pPr>
      <w:bookmarkStart w:id="52" w:name="_Toc317"/>
      <w:r>
        <w:rPr>
          <w:rFonts w:hint="default" w:ascii="Times New Roman" w:hAnsi="Times New Roman" w:cs="Times New Roman"/>
          <w:color w:val="000000"/>
          <w:sz w:val="24"/>
          <w:szCs w:val="22"/>
          <w:highlight w:val="none"/>
        </w:rPr>
        <w:br w:type="page"/>
      </w:r>
    </w:p>
    <w:p w14:paraId="269AC363">
      <w:pPr>
        <w:keepNext/>
        <w:keepLines/>
        <w:widowControl w:val="0"/>
        <w:bidi w:val="0"/>
        <w:spacing w:line="480" w:lineRule="exact"/>
        <w:ind w:firstLine="0" w:firstLineChars="0"/>
        <w:jc w:val="both"/>
        <w:outlineLvl w:val="0"/>
        <w:rPr>
          <w:rFonts w:hint="default" w:ascii="Times New Roman" w:hAnsi="Times New Roman" w:eastAsia="宋体" w:cs="Times New Roman"/>
          <w:b/>
          <w:bCs/>
          <w:color w:val="000000"/>
          <w:kern w:val="44"/>
          <w:sz w:val="32"/>
          <w:szCs w:val="44"/>
          <w:highlight w:val="none"/>
          <w:lang w:val="en-US" w:eastAsia="zh-CN" w:bidi="ar-SA"/>
        </w:rPr>
      </w:pPr>
      <w:r>
        <w:rPr>
          <w:rFonts w:hint="default" w:ascii="Times New Roman" w:hAnsi="Times New Roman" w:eastAsia="宋体" w:cs="Times New Roman"/>
          <w:b/>
          <w:bCs/>
          <w:color w:val="000000"/>
          <w:kern w:val="44"/>
          <w:sz w:val="32"/>
          <w:szCs w:val="44"/>
          <w:highlight w:val="none"/>
          <w:lang w:val="en-US" w:eastAsia="zh-CN" w:bidi="ar-SA"/>
        </w:rPr>
        <w:t>7电磁环境管理与监测计划</w:t>
      </w:r>
      <w:bookmarkEnd w:id="52"/>
    </w:p>
    <w:p w14:paraId="280478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1、环境管理</w:t>
      </w:r>
    </w:p>
    <w:p w14:paraId="715BA89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建设单位设置环境管理体制、管理机构和人员。加强施工期环境管理，及时组织竣工环境保护验收并加强运行期环境管理。开展环境保护培训。</w:t>
      </w:r>
    </w:p>
    <w:p w14:paraId="6DFEC3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严格环境保护法规、政策的执行，编制环境管理计划并落实环境保护措施的实施。</w:t>
      </w:r>
    </w:p>
    <w:p w14:paraId="64FC5A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①公司运维检修部负责运行期相关环境管理。</w:t>
      </w:r>
    </w:p>
    <w:p w14:paraId="494FD0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②运行期做好环境保护设施的维护和运行管理，加强巡查和检查，保障发挥环境保护作用。</w:t>
      </w:r>
    </w:p>
    <w:p w14:paraId="40BAD5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rPr>
        <w:t>2、培训管理</w:t>
      </w:r>
    </w:p>
    <w:p w14:paraId="4E88C4C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本项目运行期对与工程项目有关的人员，进行一次环境保护技术和政策方面的培训与宣传，</w:t>
      </w:r>
      <w:r>
        <w:rPr>
          <w:rFonts w:hint="default" w:ascii="Times New Roman" w:hAnsi="Times New Roman" w:eastAsia="宋体" w:cs="Times New Roman"/>
          <w:color w:val="000000"/>
          <w:sz w:val="24"/>
          <w:szCs w:val="24"/>
          <w:highlight w:val="none"/>
          <w:lang w:eastAsia="zh-CN"/>
        </w:rPr>
        <w:t>培训内容主要为</w:t>
      </w:r>
      <w:r>
        <w:rPr>
          <w:rFonts w:hint="default" w:ascii="Times New Roman" w:hAnsi="Times New Roman" w:eastAsia="宋体" w:cs="Times New Roman"/>
          <w:bCs/>
          <w:color w:val="000000"/>
          <w:sz w:val="24"/>
          <w:szCs w:val="24"/>
          <w:highlight w:val="none"/>
        </w:rPr>
        <w:t>《中华人民共和国环境保护法</w:t>
      </w:r>
      <w:r>
        <w:rPr>
          <w:rFonts w:hint="eastAsia"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中华人民共和国电力法</w:t>
      </w:r>
      <w:r>
        <w:rPr>
          <w:rFonts w:hint="eastAsia"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电力设施保护条例</w:t>
      </w:r>
      <w:r>
        <w:rPr>
          <w:rFonts w:hint="eastAsia"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电力设施保护条例实施细则</w:t>
      </w:r>
      <w:r>
        <w:rPr>
          <w:rFonts w:hint="eastAsia"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河北省电力</w:t>
      </w:r>
      <w:r>
        <w:rPr>
          <w:rFonts w:hint="default" w:ascii="Times New Roman" w:hAnsi="Times New Roman" w:eastAsia="宋体" w:cs="Times New Roman"/>
          <w:bCs/>
          <w:color w:val="000000"/>
          <w:sz w:val="24"/>
          <w:szCs w:val="24"/>
          <w:highlight w:val="none"/>
          <w:lang w:eastAsia="zh-CN"/>
        </w:rPr>
        <w:t>设施保护</w:t>
      </w:r>
      <w:r>
        <w:rPr>
          <w:rFonts w:hint="default" w:ascii="Times New Roman" w:hAnsi="Times New Roman" w:eastAsia="宋体" w:cs="Times New Roman"/>
          <w:bCs/>
          <w:color w:val="000000"/>
          <w:sz w:val="24"/>
          <w:szCs w:val="24"/>
          <w:highlight w:val="none"/>
        </w:rPr>
        <w:t>条例</w:t>
      </w:r>
      <w:r>
        <w:rPr>
          <w:rFonts w:hint="eastAsia"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河北省辐射污染防治条例</w:t>
      </w:r>
      <w:r>
        <w:rPr>
          <w:rFonts w:hint="eastAsia"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电磁环境控制限值</w:t>
      </w:r>
      <w:r>
        <w:rPr>
          <w:rFonts w:hint="eastAsia"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输变电建设项目环境保护技术要求》</w:t>
      </w:r>
      <w:r>
        <w:rPr>
          <w:rFonts w:hint="default" w:ascii="Times New Roman" w:hAnsi="Times New Roman" w:eastAsia="宋体" w:cs="Times New Roman"/>
          <w:bCs/>
          <w:color w:val="000000"/>
          <w:sz w:val="24"/>
          <w:szCs w:val="24"/>
          <w:highlight w:val="none"/>
          <w:lang w:eastAsia="zh-CN"/>
        </w:rPr>
        <w:t>等法律法规、规范标准等文件。</w:t>
      </w:r>
      <w:r>
        <w:rPr>
          <w:rFonts w:hint="default" w:ascii="Times New Roman" w:hAnsi="Times New Roman" w:eastAsia="宋体" w:cs="Times New Roman"/>
          <w:color w:val="000000"/>
          <w:sz w:val="24"/>
          <w:szCs w:val="24"/>
          <w:highlight w:val="none"/>
        </w:rPr>
        <w:t>从而进一步增强</w:t>
      </w:r>
      <w:r>
        <w:rPr>
          <w:rFonts w:hint="eastAsia" w:eastAsia="宋体" w:cs="Times New Roman"/>
          <w:color w:val="000000"/>
          <w:sz w:val="24"/>
          <w:szCs w:val="24"/>
          <w:highlight w:val="none"/>
          <w:lang w:eastAsia="zh-CN"/>
        </w:rPr>
        <w:t>设</w:t>
      </w:r>
      <w:r>
        <w:rPr>
          <w:rFonts w:hint="default" w:ascii="Times New Roman" w:hAnsi="Times New Roman" w:eastAsia="宋体" w:cs="Times New Roman"/>
          <w:color w:val="000000"/>
          <w:sz w:val="24"/>
          <w:szCs w:val="24"/>
          <w:highlight w:val="none"/>
        </w:rPr>
        <w:t>施运行单位的环保管理的能力，减少运行产生的不利环境影响，并且能够更好地参与和监督本项目的环保管理；同时对附近居民进行相关环境保护技术及政策法规、电力安全防护知识宣传，提高公众的环境保护和自我保护意识。</w:t>
      </w:r>
    </w:p>
    <w:p w14:paraId="74EEA03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3、档案管理</w:t>
      </w:r>
    </w:p>
    <w:p w14:paraId="73C6B8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工程档案是指建设项目从立项审批、勘察设计、施工、安装调试、生产准备到竣工投产全过程形成的、应当归档保存的文字材料、图纸、图表、电子文件、声像等形式与载体的材料。</w:t>
      </w:r>
    </w:p>
    <w:p w14:paraId="5AFD02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工程档案应由专人负责各阶段</w:t>
      </w:r>
      <w:r>
        <w:rPr>
          <w:rFonts w:hint="eastAsia"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工程前期、启动验收及其以后</w:t>
      </w:r>
      <w:r>
        <w:rPr>
          <w:rFonts w:hint="eastAsia"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档案材料的归档、立卷、管理工作。</w:t>
      </w:r>
    </w:p>
    <w:p w14:paraId="3355B2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4、环境监测计划</w:t>
      </w:r>
    </w:p>
    <w:p w14:paraId="6CB198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为建立本工程对环境影响情况的档案，应对</w:t>
      </w:r>
      <w:r>
        <w:rPr>
          <w:rFonts w:hint="eastAsia" w:eastAsia="宋体" w:cs="Times New Roman"/>
          <w:bCs/>
          <w:color w:val="000000"/>
          <w:sz w:val="24"/>
          <w:szCs w:val="24"/>
          <w:highlight w:val="none"/>
          <w:lang w:val="en-US" w:eastAsia="zh-CN"/>
        </w:rPr>
        <w:t>11</w:t>
      </w:r>
      <w:r>
        <w:rPr>
          <w:rFonts w:hint="default" w:ascii="Times New Roman" w:hAnsi="Times New Roman" w:eastAsia="宋体" w:cs="Times New Roman"/>
          <w:bCs/>
          <w:color w:val="000000"/>
          <w:sz w:val="24"/>
          <w:szCs w:val="24"/>
          <w:highlight w:val="none"/>
          <w:lang w:val="en-US" w:eastAsia="zh-CN"/>
        </w:rPr>
        <w:t>0kV</w:t>
      </w:r>
      <w:r>
        <w:rPr>
          <w:rFonts w:hint="eastAsia" w:eastAsia="宋体" w:cs="Times New Roman"/>
          <w:bCs/>
          <w:color w:val="000000"/>
          <w:sz w:val="24"/>
          <w:szCs w:val="24"/>
          <w:highlight w:val="none"/>
          <w:lang w:val="en-US" w:eastAsia="zh-CN"/>
        </w:rPr>
        <w:t>架空</w:t>
      </w:r>
      <w:r>
        <w:rPr>
          <w:rFonts w:hint="eastAsia" w:ascii="Times New Roman" w:hAnsi="Times New Roman" w:eastAsia="宋体" w:cs="Times New Roman"/>
          <w:bCs/>
          <w:color w:val="000000"/>
          <w:sz w:val="24"/>
          <w:szCs w:val="24"/>
          <w:highlight w:val="none"/>
          <w:lang w:val="en-US" w:eastAsia="zh-CN"/>
        </w:rPr>
        <w:t>线路沿线及</w:t>
      </w:r>
      <w:r>
        <w:rPr>
          <w:rFonts w:hint="eastAsia" w:eastAsia="宋体" w:cs="Times New Roman"/>
          <w:bCs/>
          <w:color w:val="000000"/>
          <w:sz w:val="24"/>
          <w:szCs w:val="24"/>
          <w:highlight w:val="none"/>
          <w:lang w:val="en-US" w:eastAsia="zh-CN"/>
        </w:rPr>
        <w:t>电磁环境</w:t>
      </w:r>
      <w:r>
        <w:rPr>
          <w:rFonts w:hint="eastAsia" w:ascii="Times New Roman" w:hAnsi="Times New Roman" w:eastAsia="宋体" w:cs="Times New Roman"/>
          <w:bCs/>
          <w:color w:val="000000"/>
          <w:sz w:val="24"/>
          <w:szCs w:val="24"/>
          <w:highlight w:val="none"/>
          <w:lang w:val="en-US" w:eastAsia="zh-CN"/>
        </w:rPr>
        <w:t>敏感目标处</w:t>
      </w:r>
      <w:r>
        <w:rPr>
          <w:rFonts w:hint="default" w:ascii="Times New Roman" w:hAnsi="Times New Roman" w:eastAsia="宋体" w:cs="Times New Roman"/>
          <w:color w:val="000000"/>
          <w:sz w:val="24"/>
          <w:szCs w:val="24"/>
          <w:highlight w:val="none"/>
        </w:rPr>
        <w:t>进行监测或调查。监测内容如下：</w:t>
      </w:r>
    </w:p>
    <w:p w14:paraId="2911441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监测项目：工频电场</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V/m</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、工频磁</w:t>
      </w:r>
      <w:r>
        <w:rPr>
          <w:rFonts w:hint="default" w:ascii="Times New Roman" w:hAnsi="Times New Roman" w:eastAsia="宋体" w:cs="Times New Roman"/>
          <w:color w:val="000000"/>
          <w:sz w:val="24"/>
          <w:szCs w:val="24"/>
          <w:highlight w:val="none"/>
          <w:lang w:val="en-US" w:eastAsia="zh-CN"/>
        </w:rPr>
        <w:t>场</w:t>
      </w:r>
      <w:r>
        <w:rPr>
          <w:rFonts w:hint="default" w:ascii="Times New Roman" w:hAnsi="Times New Roman" w:eastAsia="宋体" w:cs="Times New Roman"/>
          <w:color w:val="000000"/>
          <w:sz w:val="24"/>
          <w:szCs w:val="24"/>
          <w:highlight w:val="none"/>
          <w:lang w:eastAsia="zh-CN"/>
        </w:rPr>
        <w:t>（μ</w:t>
      </w:r>
      <w:r>
        <w:rPr>
          <w:rFonts w:hint="default" w:ascii="Times New Roman" w:hAnsi="Times New Roman" w:eastAsia="宋体" w:cs="Times New Roman"/>
          <w:color w:val="000000"/>
          <w:sz w:val="24"/>
          <w:szCs w:val="24"/>
          <w:highlight w:val="none"/>
          <w:lang w:val="en-US" w:eastAsia="zh-CN"/>
        </w:rPr>
        <w:t>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w:t>
      </w:r>
    </w:p>
    <w:p w14:paraId="44A4C8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sz w:val="24"/>
          <w:szCs w:val="22"/>
          <w:highlight w:val="none"/>
        </w:rPr>
      </w:pP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监测时间：环保验收监测一次，运行后</w:t>
      </w:r>
      <w:r>
        <w:rPr>
          <w:rFonts w:hint="default" w:ascii="Times New Roman" w:hAnsi="Times New Roman" w:eastAsia="宋体" w:cs="Times New Roman"/>
          <w:color w:val="000000"/>
          <w:sz w:val="24"/>
          <w:szCs w:val="24"/>
          <w:highlight w:val="none"/>
          <w:lang w:eastAsia="zh-CN"/>
        </w:rPr>
        <w:t>按有关部门要求</w:t>
      </w:r>
      <w:r>
        <w:rPr>
          <w:rFonts w:hint="default" w:ascii="Times New Roman" w:hAnsi="Times New Roman" w:eastAsia="宋体" w:cs="Times New Roman"/>
          <w:color w:val="000000"/>
          <w:sz w:val="24"/>
          <w:szCs w:val="24"/>
          <w:highlight w:val="none"/>
        </w:rPr>
        <w:t>定期进行监测。</w:t>
      </w:r>
    </w:p>
    <w:p w14:paraId="7CBADECC">
      <w:pPr>
        <w:ind w:firstLine="480"/>
        <w:rPr>
          <w:rFonts w:hint="default" w:ascii="Times New Roman" w:hAnsi="Times New Roman" w:cs="Times New Roman"/>
          <w:color w:val="000000"/>
          <w:highlight w:val="none"/>
        </w:rPr>
        <w:sectPr>
          <w:pgSz w:w="11906" w:h="16838"/>
          <w:pgMar w:top="1440" w:right="1800" w:bottom="1440" w:left="1800" w:header="851" w:footer="992" w:gutter="0"/>
          <w:cols w:space="425" w:num="1"/>
          <w:docGrid w:type="lines" w:linePitch="312" w:charSpace="0"/>
        </w:sectPr>
      </w:pPr>
    </w:p>
    <w:p w14:paraId="3F060C94">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44"/>
          <w:sz w:val="32"/>
          <w:szCs w:val="44"/>
          <w:highlight w:val="none"/>
          <w:lang w:val="en-US" w:eastAsia="zh-CN" w:bidi="ar-SA"/>
        </w:rPr>
      </w:pPr>
      <w:bookmarkStart w:id="53" w:name="_Toc5912"/>
      <w:r>
        <w:rPr>
          <w:rFonts w:hint="default" w:ascii="Times New Roman" w:hAnsi="Times New Roman" w:eastAsia="宋体" w:cs="Times New Roman"/>
          <w:b/>
          <w:bCs/>
          <w:color w:val="000000"/>
          <w:kern w:val="44"/>
          <w:sz w:val="32"/>
          <w:szCs w:val="44"/>
          <w:highlight w:val="none"/>
          <w:lang w:val="en-US" w:eastAsia="zh-CN" w:bidi="ar-SA"/>
        </w:rPr>
        <w:t>8电磁环境影响评价结论</w:t>
      </w:r>
      <w:bookmarkEnd w:id="53"/>
    </w:p>
    <w:p w14:paraId="27E489AB">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bookmarkStart w:id="54" w:name="_Toc10396"/>
      <w:r>
        <w:rPr>
          <w:rFonts w:hint="default" w:ascii="Times New Roman" w:hAnsi="Times New Roman" w:eastAsia="宋体" w:cs="Times New Roman"/>
          <w:b/>
          <w:bCs/>
          <w:color w:val="000000"/>
          <w:kern w:val="2"/>
          <w:sz w:val="30"/>
          <w:szCs w:val="32"/>
          <w:highlight w:val="none"/>
          <w:lang w:val="en-US" w:eastAsia="zh-CN" w:bidi="ar-SA"/>
        </w:rPr>
        <w:t>8.1项目建设内容及规模</w:t>
      </w:r>
      <w:bookmarkEnd w:id="54"/>
    </w:p>
    <w:p w14:paraId="7F444890">
      <w:pPr>
        <w:widowControl/>
        <w:spacing w:line="440" w:lineRule="exact"/>
        <w:ind w:firstLine="480" w:firstLineChars="200"/>
        <w:jc w:val="left"/>
        <w:rPr>
          <w:rFonts w:hint="default"/>
          <w:color w:val="000000"/>
          <w:sz w:val="24"/>
          <w:szCs w:val="22"/>
          <w:highlight w:val="none"/>
          <w:lang w:val="en-US" w:eastAsia="zh-CN"/>
        </w:rPr>
      </w:pPr>
      <w:bookmarkStart w:id="55" w:name="_Toc18729"/>
      <w:r>
        <w:rPr>
          <w:rFonts w:hint="eastAsia" w:ascii="Times New Roman" w:eastAsia="宋体"/>
          <w:color w:val="000000"/>
          <w:sz w:val="24"/>
          <w:szCs w:val="22"/>
          <w:highlight w:val="none"/>
          <w:lang w:val="en-US" w:eastAsia="zh-CN"/>
        </w:rPr>
        <w:t>本工程新建110kV线路起于围场县200MW风电储新能源项目110kV升压站，止于围场县200MW风电储新能源项目220kV升压站。工程建设期间优化设计，由“单回架空线路28.9km，电缆线路0.2km”调整为“全线单回架空线路，长度约29.033km”，同时减少塔基数量，由“新建铁塔99基”调整为“新建角钢塔87基、钢管杆1基”，其中单回路耐张塔44基，单回路直线塔43基。导线采用JL/G1A-300/40钢芯铝绞线。</w:t>
      </w:r>
    </w:p>
    <w:p w14:paraId="74B2FF7E">
      <w:pPr>
        <w:keepNext/>
        <w:keepLines/>
        <w:widowControl w:val="0"/>
        <w:spacing w:line="480" w:lineRule="exact"/>
        <w:ind w:firstLine="0" w:firstLineChars="0"/>
        <w:jc w:val="both"/>
        <w:outlineLvl w:val="0"/>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8.2电磁环境影响分析结论</w:t>
      </w:r>
      <w:bookmarkEnd w:id="55"/>
    </w:p>
    <w:p w14:paraId="7E1DEAF5">
      <w:pPr>
        <w:spacing w:line="480" w:lineRule="exact"/>
        <w:ind w:firstLine="482" w:firstLineChars="200"/>
        <w:rPr>
          <w:rFonts w:hint="default" w:ascii="Times New Roman" w:hAnsi="Times New Roman" w:cs="Times New Roman"/>
          <w:b/>
          <w:color w:val="000000"/>
          <w:sz w:val="24"/>
          <w:szCs w:val="22"/>
          <w:highlight w:val="none"/>
        </w:rPr>
      </w:pPr>
      <w:r>
        <w:rPr>
          <w:rFonts w:hint="default" w:ascii="Times New Roman" w:hAnsi="Times New Roman" w:cs="Times New Roman"/>
          <w:b/>
          <w:color w:val="000000"/>
          <w:sz w:val="24"/>
          <w:szCs w:val="22"/>
          <w:highlight w:val="none"/>
        </w:rPr>
        <w:t>1、电磁环境现状评价结论</w:t>
      </w:r>
    </w:p>
    <w:p w14:paraId="5A2AE9D1">
      <w:pPr>
        <w:keepNext w:val="0"/>
        <w:keepLines w:val="0"/>
        <w:pageBreakBefore w:val="0"/>
        <w:widowControl w:val="0"/>
        <w:tabs>
          <w:tab w:val="left" w:pos="2520"/>
        </w:tabs>
        <w:kinsoku/>
        <w:wordWrap/>
        <w:overflowPunct/>
        <w:topLinePunct w:val="0"/>
        <w:autoSpaceDE/>
        <w:autoSpaceDN/>
        <w:bidi w:val="0"/>
        <w:adjustRightInd/>
        <w:snapToGrid/>
        <w:spacing w:after="0" w:line="440" w:lineRule="exact"/>
        <w:ind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根据现状监测结果可知，</w:t>
      </w:r>
      <w:r>
        <w:rPr>
          <w:rFonts w:hint="default" w:ascii="Times New Roman" w:hAnsi="Times New Roman" w:eastAsia="宋体" w:cs="Times New Roman"/>
          <w:color w:val="000000"/>
          <w:kern w:val="2"/>
          <w:sz w:val="24"/>
          <w:szCs w:val="24"/>
          <w:highlight w:val="none"/>
          <w:lang w:val="en-US" w:eastAsia="zh-CN" w:bidi="ar-SA"/>
        </w:rPr>
        <w:t>拟建线路下方</w:t>
      </w:r>
      <w:r>
        <w:rPr>
          <w:rFonts w:hint="eastAsia" w:ascii="Times New Roman" w:hAnsi="Times New Roman" w:eastAsia="宋体" w:cs="Times New Roman"/>
          <w:color w:val="000000"/>
          <w:kern w:val="2"/>
          <w:sz w:val="24"/>
          <w:szCs w:val="24"/>
          <w:highlight w:val="none"/>
          <w:lang w:val="en-US" w:eastAsia="zh-CN" w:bidi="ar-SA"/>
        </w:rPr>
        <w:t>及</w:t>
      </w:r>
      <w:r>
        <w:rPr>
          <w:rFonts w:hint="default" w:ascii="Times New Roman" w:hAnsi="Times New Roman" w:eastAsia="宋体" w:cs="Times New Roman"/>
          <w:color w:val="000000"/>
          <w:kern w:val="2"/>
          <w:sz w:val="24"/>
          <w:szCs w:val="24"/>
          <w:highlight w:val="none"/>
          <w:lang w:val="en-US" w:eastAsia="zh-CN" w:bidi="ar-SA"/>
        </w:rPr>
        <w:t>电磁环境敏感目标处工频电场强度</w:t>
      </w:r>
      <w:r>
        <w:rPr>
          <w:rFonts w:hint="eastAsia" w:ascii="Times New Roman" w:hAnsi="Times New Roman" w:eastAsia="宋体" w:cs="Times New Roman"/>
          <w:color w:val="000000"/>
          <w:kern w:val="2"/>
          <w:sz w:val="24"/>
          <w:szCs w:val="24"/>
          <w:highlight w:val="none"/>
          <w:lang w:val="en-US" w:eastAsia="zh-CN" w:bidi="ar-SA"/>
        </w:rPr>
        <w:t>和</w:t>
      </w:r>
      <w:r>
        <w:rPr>
          <w:rFonts w:hint="default" w:ascii="Times New Roman" w:hAnsi="Times New Roman" w:eastAsia="宋体" w:cs="Times New Roman"/>
          <w:color w:val="000000"/>
          <w:kern w:val="2"/>
          <w:sz w:val="24"/>
          <w:szCs w:val="24"/>
          <w:highlight w:val="none"/>
          <w:lang w:val="en-US" w:eastAsia="zh-CN" w:bidi="ar-SA"/>
        </w:rPr>
        <w:t>工频磁感应强度均符合《电磁环境控制限值》(GB8702-2014）中规定的4kV/m和100μT公众曝露控制限值要求。</w:t>
      </w:r>
    </w:p>
    <w:p w14:paraId="0B0EE217">
      <w:pPr>
        <w:spacing w:line="480" w:lineRule="exact"/>
        <w:ind w:firstLine="482" w:firstLineChars="200"/>
        <w:rPr>
          <w:rFonts w:hint="default" w:ascii="Times New Roman" w:hAnsi="Times New Roman" w:cs="Times New Roman"/>
          <w:b/>
          <w:color w:val="000000"/>
          <w:sz w:val="24"/>
          <w:szCs w:val="22"/>
          <w:highlight w:val="none"/>
        </w:rPr>
      </w:pPr>
      <w:r>
        <w:rPr>
          <w:rFonts w:hint="default" w:ascii="Times New Roman" w:hAnsi="Times New Roman" w:cs="Times New Roman"/>
          <w:b/>
          <w:color w:val="000000"/>
          <w:sz w:val="24"/>
          <w:szCs w:val="22"/>
          <w:highlight w:val="none"/>
        </w:rPr>
        <w:t>2、电磁环境影响评价结论</w:t>
      </w:r>
    </w:p>
    <w:p w14:paraId="01AE7C5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经</w:t>
      </w:r>
      <w:r>
        <w:rPr>
          <w:rFonts w:hint="eastAsia" w:eastAsia="宋体" w:cs="Times New Roman"/>
          <w:color w:val="000000"/>
          <w:sz w:val="24"/>
          <w:szCs w:val="22"/>
          <w:highlight w:val="none"/>
          <w:lang w:val="en-US" w:eastAsia="zh-CN"/>
        </w:rPr>
        <w:t>模式</w:t>
      </w:r>
      <w:r>
        <w:rPr>
          <w:rFonts w:hint="default" w:ascii="Times New Roman" w:hAnsi="Times New Roman" w:eastAsia="宋体" w:cs="Times New Roman"/>
          <w:color w:val="000000"/>
          <w:sz w:val="24"/>
          <w:szCs w:val="22"/>
          <w:highlight w:val="none"/>
        </w:rPr>
        <w:t>预测，本项目架空线路投入运行后，</w:t>
      </w:r>
      <w:r>
        <w:rPr>
          <w:rFonts w:hint="eastAsia" w:eastAsia="宋体" w:cs="Times New Roman"/>
          <w:color w:val="000000"/>
          <w:sz w:val="24"/>
          <w:szCs w:val="22"/>
          <w:highlight w:val="none"/>
          <w:lang w:val="en-US" w:eastAsia="zh-CN"/>
        </w:rPr>
        <w:t>线路周边</w:t>
      </w:r>
      <w:r>
        <w:rPr>
          <w:rFonts w:hint="default" w:ascii="Times New Roman" w:hAnsi="Times New Roman" w:eastAsia="宋体" w:cs="Times New Roman"/>
          <w:color w:val="000000"/>
          <w:sz w:val="24"/>
          <w:szCs w:val="22"/>
          <w:highlight w:val="none"/>
        </w:rPr>
        <w:t>工频电场</w:t>
      </w:r>
      <w:r>
        <w:rPr>
          <w:rFonts w:hint="default" w:ascii="Times New Roman" w:hAnsi="Times New Roman" w:eastAsia="宋体" w:cs="Times New Roman"/>
          <w:color w:val="000000"/>
          <w:sz w:val="24"/>
          <w:szCs w:val="22"/>
          <w:highlight w:val="none"/>
          <w:lang w:val="en-US" w:eastAsia="zh-CN"/>
        </w:rPr>
        <w:t>强度、工频磁感应强度满足</w:t>
      </w:r>
      <w:r>
        <w:rPr>
          <w:rFonts w:hint="default" w:ascii="Times New Roman" w:hAnsi="Times New Roman" w:eastAsia="宋体" w:cs="Times New Roman"/>
          <w:color w:val="000000"/>
          <w:sz w:val="24"/>
          <w:szCs w:val="24"/>
          <w:highlight w:val="none"/>
          <w:lang w:eastAsia="zh-CN"/>
        </w:rPr>
        <w:t>《电磁环境控制限值》(GB8702-2014）中规定</w:t>
      </w:r>
      <w:r>
        <w:rPr>
          <w:rFonts w:hint="eastAsia" w:eastAsia="宋体" w:cs="Times New Roman"/>
          <w:color w:val="000000"/>
          <w:sz w:val="24"/>
          <w:szCs w:val="24"/>
          <w:highlight w:val="none"/>
          <w:lang w:val="en-US" w:eastAsia="zh-CN"/>
        </w:rPr>
        <w:t>的</w:t>
      </w:r>
      <w:r>
        <w:rPr>
          <w:rFonts w:hint="default" w:ascii="Times New Roman" w:hAnsi="Times New Roman" w:eastAsia="宋体" w:cs="Times New Roman"/>
          <w:color w:val="000000"/>
          <w:sz w:val="24"/>
          <w:szCs w:val="22"/>
          <w:highlight w:val="none"/>
        </w:rPr>
        <w:t>4kV/m</w:t>
      </w:r>
      <w:r>
        <w:rPr>
          <w:rFonts w:hint="default" w:ascii="Times New Roman" w:hAnsi="Times New Roman" w:eastAsia="宋体" w:cs="Times New Roman"/>
          <w:color w:val="000000"/>
          <w:sz w:val="24"/>
          <w:szCs w:val="22"/>
          <w:highlight w:val="none"/>
          <w:lang w:val="en-US" w:eastAsia="zh-CN"/>
        </w:rPr>
        <w:t>和</w:t>
      </w:r>
      <w:r>
        <w:rPr>
          <w:rFonts w:hint="default" w:ascii="Times New Roman" w:hAnsi="Times New Roman" w:eastAsia="宋体" w:cs="Times New Roman"/>
          <w:color w:val="000000"/>
          <w:sz w:val="24"/>
          <w:szCs w:val="22"/>
          <w:highlight w:val="none"/>
        </w:rPr>
        <w:t>100μT公众曝露控制限值要求</w:t>
      </w:r>
      <w:r>
        <w:rPr>
          <w:rFonts w:hint="default" w:ascii="Times New Roman" w:hAnsi="Times New Roman" w:eastAsia="宋体" w:cs="Times New Roman"/>
          <w:color w:val="000000"/>
          <w:sz w:val="24"/>
          <w:szCs w:val="22"/>
          <w:highlight w:val="none"/>
          <w:lang w:eastAsia="zh-CN"/>
        </w:rPr>
        <w:t>，</w:t>
      </w:r>
      <w:r>
        <w:rPr>
          <w:rFonts w:hint="default" w:ascii="Times New Roman" w:hAnsi="Times New Roman" w:eastAsia="宋体" w:cs="Times New Roman"/>
          <w:color w:val="000000"/>
          <w:sz w:val="24"/>
          <w:szCs w:val="24"/>
          <w:highlight w:val="none"/>
          <w:lang w:val="en-US" w:eastAsia="zh-CN"/>
        </w:rPr>
        <w:t>其中</w:t>
      </w:r>
      <w:r>
        <w:rPr>
          <w:rFonts w:hint="default" w:ascii="Times New Roman" w:hAnsi="Times New Roman" w:eastAsia="宋体" w:cs="Times New Roman"/>
          <w:color w:val="000000"/>
          <w:sz w:val="24"/>
          <w:szCs w:val="24"/>
          <w:highlight w:val="none"/>
          <w:lang w:eastAsia="zh-CN"/>
        </w:rPr>
        <w:t>架空输电线路线下的耕地、园地、牧草地、畜禽饲养地、养殖水面、道路等场所，电场强度</w:t>
      </w:r>
      <w:r>
        <w:rPr>
          <w:rFonts w:hint="default" w:ascii="Times New Roman" w:hAnsi="Times New Roman" w:eastAsia="宋体" w:cs="Times New Roman"/>
          <w:color w:val="000000"/>
          <w:sz w:val="24"/>
          <w:szCs w:val="24"/>
          <w:highlight w:val="none"/>
          <w:lang w:val="en-US" w:eastAsia="zh-CN"/>
        </w:rPr>
        <w:t>满足</w:t>
      </w:r>
      <w:r>
        <w:rPr>
          <w:rFonts w:hint="default" w:ascii="Times New Roman" w:hAnsi="Times New Roman" w:eastAsia="宋体" w:cs="Times New Roman"/>
          <w:color w:val="000000"/>
          <w:sz w:val="24"/>
          <w:szCs w:val="24"/>
          <w:highlight w:val="none"/>
          <w:lang w:eastAsia="zh-CN"/>
        </w:rPr>
        <w:t>10kV/m</w:t>
      </w:r>
      <w:r>
        <w:rPr>
          <w:rFonts w:hint="default" w:ascii="Times New Roman" w:hAnsi="Times New Roman" w:eastAsia="宋体" w:cs="Times New Roman"/>
          <w:color w:val="000000"/>
          <w:sz w:val="24"/>
          <w:szCs w:val="22"/>
          <w:highlight w:val="none"/>
        </w:rPr>
        <w:t>公众曝露控制限值要求</w:t>
      </w:r>
      <w:r>
        <w:rPr>
          <w:rFonts w:hint="default" w:ascii="Times New Roman" w:hAnsi="Times New Roman" w:eastAsia="宋体" w:cs="Times New Roman"/>
          <w:color w:val="000000"/>
          <w:sz w:val="24"/>
          <w:szCs w:val="24"/>
          <w:highlight w:val="none"/>
          <w:lang w:eastAsia="zh-CN"/>
        </w:rPr>
        <w:t>。</w:t>
      </w:r>
    </w:p>
    <w:p w14:paraId="36CD207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000000"/>
          <w:sz w:val="24"/>
          <w:szCs w:val="22"/>
          <w:highlight w:val="none"/>
        </w:rPr>
      </w:pPr>
      <w:r>
        <w:rPr>
          <w:rFonts w:hint="eastAsia" w:eastAsia="宋体" w:cs="Times New Roman"/>
          <w:color w:val="000000"/>
          <w:sz w:val="24"/>
          <w:szCs w:val="22"/>
          <w:highlight w:val="none"/>
          <w:lang w:val="en-US" w:eastAsia="zh-CN"/>
        </w:rPr>
        <w:t>电磁环境敏感</w:t>
      </w:r>
      <w:r>
        <w:rPr>
          <w:rFonts w:hint="default" w:ascii="Times New Roman" w:hAnsi="Times New Roman" w:eastAsia="宋体" w:cs="Times New Roman"/>
          <w:color w:val="000000"/>
          <w:sz w:val="24"/>
          <w:szCs w:val="22"/>
          <w:highlight w:val="none"/>
        </w:rPr>
        <w:t>目标处工频电场强度、工频磁感应强度</w:t>
      </w:r>
      <w:r>
        <w:rPr>
          <w:rFonts w:hint="default" w:ascii="Times New Roman" w:hAnsi="Times New Roman" w:eastAsia="宋体" w:cs="Times New Roman"/>
          <w:color w:val="000000"/>
          <w:sz w:val="24"/>
          <w:szCs w:val="22"/>
          <w:highlight w:val="none"/>
          <w:lang w:val="en-US" w:eastAsia="zh-CN"/>
        </w:rPr>
        <w:t>满足</w:t>
      </w:r>
      <w:r>
        <w:rPr>
          <w:rFonts w:hint="default" w:ascii="Times New Roman" w:hAnsi="Times New Roman" w:eastAsia="宋体" w:cs="Times New Roman"/>
          <w:color w:val="000000"/>
          <w:sz w:val="24"/>
          <w:szCs w:val="22"/>
          <w:highlight w:val="none"/>
        </w:rPr>
        <w:t>《电磁环境控制限值》（GB8702-2014）中规定的4kV/m和100μT公众曝露控制限值要求。</w:t>
      </w:r>
    </w:p>
    <w:p w14:paraId="2543EB49">
      <w:pPr>
        <w:keepNext/>
        <w:keepLines/>
        <w:widowControl w:val="0"/>
        <w:spacing w:line="480" w:lineRule="exact"/>
        <w:ind w:firstLine="0" w:firstLineChars="0"/>
        <w:jc w:val="both"/>
        <w:outlineLvl w:val="1"/>
        <w:rPr>
          <w:rFonts w:hint="default" w:ascii="Times New Roman" w:hAnsi="Times New Roman" w:eastAsia="宋体" w:cs="Times New Roman"/>
          <w:b/>
          <w:bCs/>
          <w:color w:val="000000"/>
          <w:kern w:val="2"/>
          <w:sz w:val="30"/>
          <w:szCs w:val="32"/>
          <w:highlight w:val="none"/>
          <w:lang w:val="en-US" w:eastAsia="zh-CN" w:bidi="ar-SA"/>
        </w:rPr>
      </w:pPr>
      <w:r>
        <w:rPr>
          <w:rFonts w:hint="default" w:ascii="Times New Roman" w:hAnsi="Times New Roman" w:eastAsia="宋体" w:cs="Times New Roman"/>
          <w:b/>
          <w:bCs/>
          <w:color w:val="000000"/>
          <w:kern w:val="2"/>
          <w:sz w:val="30"/>
          <w:szCs w:val="32"/>
          <w:highlight w:val="none"/>
          <w:lang w:val="en-US" w:eastAsia="zh-CN" w:bidi="ar-SA"/>
        </w:rPr>
        <w:t>8.3电磁环境保护措施可行性结论</w:t>
      </w:r>
    </w:p>
    <w:p w14:paraId="145876DC">
      <w:pPr>
        <w:spacing w:line="48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2"/>
          <w:highlight w:val="none"/>
        </w:rPr>
        <w:t>项目符合国家产业政策，</w:t>
      </w:r>
      <w:r>
        <w:rPr>
          <w:rFonts w:hint="eastAsia" w:cs="Times New Roman"/>
          <w:color w:val="000000"/>
          <w:sz w:val="24"/>
          <w:szCs w:val="22"/>
          <w:highlight w:val="none"/>
          <w:lang w:eastAsia="zh-CN"/>
        </w:rPr>
        <w:t>线路路径</w:t>
      </w:r>
      <w:r>
        <w:rPr>
          <w:rFonts w:hint="default" w:ascii="Times New Roman" w:hAnsi="Times New Roman" w:cs="Times New Roman"/>
          <w:color w:val="000000"/>
          <w:sz w:val="24"/>
          <w:szCs w:val="22"/>
          <w:highlight w:val="none"/>
        </w:rPr>
        <w:t>选择可行，工程</w:t>
      </w:r>
      <w:bookmarkStart w:id="56" w:name="_GoBack"/>
      <w:bookmarkEnd w:id="56"/>
      <w:r>
        <w:rPr>
          <w:rFonts w:hint="default" w:ascii="Times New Roman" w:hAnsi="Times New Roman" w:cs="Times New Roman"/>
          <w:color w:val="000000"/>
          <w:sz w:val="24"/>
          <w:szCs w:val="22"/>
          <w:highlight w:val="none"/>
        </w:rPr>
        <w:t>采取了较为完善的污染防治措施，可确保达标排放，项目的建设不会对周围环境产生明显影响。在加强监督管理，严格执行“三同时”前提下，从电磁环境保护角度分析，</w:t>
      </w:r>
      <w:r>
        <w:rPr>
          <w:rFonts w:hint="default" w:ascii="Times New Roman" w:hAnsi="Times New Roman" w:cs="Times New Roman"/>
          <w:color w:val="000000"/>
          <w:sz w:val="24"/>
          <w:szCs w:val="22"/>
          <w:highlight w:val="none"/>
          <w:lang w:val="en-US" w:eastAsia="zh-CN"/>
        </w:rPr>
        <w:t>围场县200MW风电储新能源项目送出线路工程项目</w:t>
      </w:r>
      <w:r>
        <w:rPr>
          <w:rFonts w:hint="default" w:ascii="Times New Roman" w:hAnsi="Times New Roman" w:cs="Times New Roman"/>
          <w:color w:val="000000"/>
          <w:sz w:val="24"/>
          <w:szCs w:val="22"/>
          <w:highlight w:val="none"/>
        </w:rPr>
        <w:t>建设可行。</w:t>
      </w:r>
    </w:p>
    <w:p w14:paraId="03A66173">
      <w:pPr>
        <w:widowControl/>
        <w:adjustRightInd w:val="0"/>
        <w:snapToGrid w:val="0"/>
        <w:spacing w:before="192" w:beforeLines="80"/>
        <w:jc w:val="left"/>
        <w:rPr>
          <w:rFonts w:ascii="宋体"/>
          <w:color w:val="000000" w:themeColor="text1"/>
          <w:highlight w:val="none"/>
          <w14:textFill>
            <w14:solidFill>
              <w14:schemeClr w14:val="tx1"/>
            </w14:solidFill>
          </w14:textFill>
        </w:rPr>
      </w:pPr>
    </w:p>
    <w:sectPr>
      <w:footerReference r:id="rId11" w:type="default"/>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体_x0002_.....">
    <w:altName w:val="宋体"/>
    <w:panose1 w:val="00000000000000000000"/>
    <w:charset w:val="86"/>
    <w:family w:val="roma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Noto Sans Mono CJK JP Bold">
    <w:altName w:val="Arial"/>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BA7ED">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385C0">
    <w:pPr>
      <w:pStyle w:val="20"/>
      <w:framePr w:wrap="around" w:vAnchor="text" w:hAnchor="margin" w:xAlign="outside" w:y="1"/>
      <w:rPr>
        <w:rStyle w:val="38"/>
      </w:rPr>
    </w:pPr>
    <w:r>
      <w:fldChar w:fldCharType="begin"/>
    </w:r>
    <w:r>
      <w:rPr>
        <w:rStyle w:val="38"/>
      </w:rPr>
      <w:instrText xml:space="preserve">PAGE  </w:instrText>
    </w:r>
    <w:r>
      <w:fldChar w:fldCharType="end"/>
    </w:r>
  </w:p>
  <w:p w14:paraId="1F6D14CA">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6F45">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AA279F">
                          <w:pPr>
                            <w:pStyle w:val="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vYY8PgAQAAwQMAAA4AAAAA&#10;AAAAAQAgAAAAHgEAAGRycy9lMm9Eb2MueG1sUEsFBgAAAAAGAAYAWQEAAHAFAAAAAA==&#10;">
              <v:fill on="f" focussize="0,0"/>
              <v:stroke on="f"/>
              <v:imagedata o:title=""/>
              <o:lock v:ext="edit" aspectratio="f"/>
              <v:textbox inset="0mm,0mm,0mm,0mm" style="mso-fit-shape-to-text:t;">
                <w:txbxContent>
                  <w:p w14:paraId="22AA279F">
                    <w:pPr>
                      <w:pStyle w:val="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AAE93">
    <w:pPr>
      <w:widowControl w:val="0"/>
      <w:tabs>
        <w:tab w:val="center" w:pos="4153"/>
        <w:tab w:val="right" w:pos="8306"/>
      </w:tabs>
      <w:snapToGrid w:val="0"/>
      <w:spacing w:line="240" w:lineRule="auto"/>
      <w:ind w:firstLine="0" w:firstLineChars="0"/>
      <w:jc w:val="left"/>
      <w:rPr>
        <w:rFonts w:ascii="Times New Roman" w:hAnsi="Times New Roman"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5E762">
    <w:pPr>
      <w:widowControl w:val="0"/>
      <w:tabs>
        <w:tab w:val="center" w:pos="4153"/>
        <w:tab w:val="right" w:pos="8306"/>
      </w:tabs>
      <w:snapToGrid w:val="0"/>
      <w:spacing w:line="240" w:lineRule="auto"/>
      <w:ind w:firstLine="0" w:firstLineChars="0"/>
      <w:jc w:val="left"/>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宋体" w:cs="Times New Roman"/>
        <w:kern w:val="2"/>
        <w:sz w:val="24"/>
        <w:szCs w:val="22"/>
        <w:lang w:val="en-US" w:eastAsia="zh-CN" w:bidi="ar-SA"/>
      </w:rPr>
      <w:id w:val="147456851"/>
    </w:sdtPr>
    <w:sdtEndPr>
      <w:rPr>
        <w:rFonts w:ascii="Times New Roman" w:hAnsi="Times New Roman" w:eastAsia="宋体" w:cs="Times New Roman"/>
        <w:kern w:val="2"/>
        <w:sz w:val="18"/>
        <w:szCs w:val="18"/>
        <w:lang w:val="en-US" w:eastAsia="zh-CN" w:bidi="ar-SA"/>
      </w:rPr>
    </w:sdtEndPr>
    <w:sdtContent>
      <w:p w14:paraId="1431757C">
        <w:pPr>
          <w:widowControl w:val="0"/>
          <w:tabs>
            <w:tab w:val="center" w:pos="4153"/>
            <w:tab w:val="right" w:pos="8306"/>
          </w:tabs>
          <w:snapToGrid w:val="0"/>
          <w:spacing w:line="240" w:lineRule="auto"/>
          <w:ind w:firstLine="480" w:firstLineChars="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11</w:t>
        </w:r>
        <w:r>
          <w:rPr>
            <w:rFonts w:ascii="Times New Roman" w:hAnsi="Times New Roman" w:eastAsia="宋体" w:cs="Times New Roman"/>
            <w:kern w:val="2"/>
            <w:sz w:val="18"/>
            <w:szCs w:val="18"/>
            <w:lang w:val="zh-CN" w:eastAsia="zh-CN" w:bidi="ar-SA"/>
          </w:rPr>
          <w:fldChar w:fldCharType="end"/>
        </w:r>
      </w:p>
    </w:sdtContent>
  </w:sdt>
  <w:p w14:paraId="2FF18F71">
    <w:pPr>
      <w:widowControl w:val="0"/>
      <w:tabs>
        <w:tab w:val="center" w:pos="4153"/>
        <w:tab w:val="right" w:pos="8306"/>
      </w:tabs>
      <w:snapToGrid w:val="0"/>
      <w:spacing w:line="240" w:lineRule="auto"/>
      <w:ind w:firstLine="0" w:firstLineChars="0"/>
      <w:jc w:val="left"/>
      <w:rPr>
        <w:rFonts w:ascii="Times New Roman" w:hAnsi="Times New Roman"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94938"/>
    </w:sdtPr>
    <w:sdtContent>
      <w:p w14:paraId="5A43E79C">
        <w:pPr>
          <w:pStyle w:val="20"/>
          <w:ind w:firstLine="480"/>
          <w:jc w:val="center"/>
        </w:pPr>
        <w:r>
          <w:fldChar w:fldCharType="begin"/>
        </w:r>
        <w:r>
          <w:instrText xml:space="preserve"> PAGE   \* MERGEFORMAT </w:instrText>
        </w:r>
        <w:r>
          <w:fldChar w:fldCharType="separate"/>
        </w:r>
        <w:r>
          <w:rPr>
            <w:lang w:val="zh-CN"/>
          </w:rPr>
          <w:t>11</w:t>
        </w:r>
        <w:r>
          <w:rPr>
            <w:lang w:val="zh-CN"/>
          </w:rPr>
          <w:fldChar w:fldCharType="end"/>
        </w:r>
      </w:p>
    </w:sdtContent>
  </w:sdt>
  <w:p w14:paraId="3C07A49B">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FDE4">
    <w:pPr>
      <w:widowControl w:val="0"/>
      <w:tabs>
        <w:tab w:val="center" w:pos="4153"/>
        <w:tab w:val="right" w:pos="8306"/>
      </w:tabs>
      <w:snapToGrid w:val="0"/>
      <w:spacing w:line="240" w:lineRule="auto"/>
      <w:ind w:firstLine="0" w:firstLineChars="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F210F">
    <w:pPr>
      <w:widowControl w:val="0"/>
      <w:tabs>
        <w:tab w:val="center" w:pos="4153"/>
        <w:tab w:val="right" w:pos="8306"/>
      </w:tabs>
      <w:snapToGrid w:val="0"/>
      <w:spacing w:line="240" w:lineRule="auto"/>
      <w:ind w:firstLine="0" w:firstLineChars="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699D"/>
    <w:multiLevelType w:val="singleLevel"/>
    <w:tmpl w:val="A34E699D"/>
    <w:lvl w:ilvl="0" w:tentative="0">
      <w:start w:val="1"/>
      <w:numFmt w:val="decimal"/>
      <w:suff w:val="nothing"/>
      <w:lvlText w:val="%1、"/>
      <w:lvlJc w:val="left"/>
    </w:lvl>
  </w:abstractNum>
  <w:abstractNum w:abstractNumId="1">
    <w:nsid w:val="B1B48511"/>
    <w:multiLevelType w:val="singleLevel"/>
    <w:tmpl w:val="B1B48511"/>
    <w:lvl w:ilvl="0" w:tentative="0">
      <w:start w:val="1"/>
      <w:numFmt w:val="decimal"/>
      <w:suff w:val="nothing"/>
      <w:lvlText w:val="%1、"/>
      <w:lvlJc w:val="left"/>
    </w:lvl>
  </w:abstractNum>
  <w:abstractNum w:abstractNumId="2">
    <w:nsid w:val="C8170886"/>
    <w:multiLevelType w:val="singleLevel"/>
    <w:tmpl w:val="C8170886"/>
    <w:lvl w:ilvl="0" w:tentative="0">
      <w:start w:val="14"/>
      <w:numFmt w:val="decimal"/>
      <w:suff w:val="nothing"/>
      <w:lvlText w:val="（%1）"/>
      <w:lvlJc w:val="left"/>
    </w:lvl>
  </w:abstractNum>
  <w:abstractNum w:abstractNumId="3">
    <w:nsid w:val="EF8E8592"/>
    <w:multiLevelType w:val="singleLevel"/>
    <w:tmpl w:val="EF8E8592"/>
    <w:lvl w:ilvl="0" w:tentative="0">
      <w:start w:val="7"/>
      <w:numFmt w:val="decimal"/>
      <w:suff w:val="nothing"/>
      <w:lvlText w:val="%1、"/>
      <w:lvlJc w:val="left"/>
    </w:lvl>
  </w:abstractNum>
  <w:abstractNum w:abstractNumId="4">
    <w:nsid w:val="20D8BA9F"/>
    <w:multiLevelType w:val="singleLevel"/>
    <w:tmpl w:val="20D8BA9F"/>
    <w:lvl w:ilvl="0" w:tentative="0">
      <w:start w:val="7"/>
      <w:numFmt w:val="decimal"/>
      <w:suff w:val="nothing"/>
      <w:lvlText w:val="（%1）"/>
      <w:lvlJc w:val="left"/>
    </w:lvl>
  </w:abstractNum>
  <w:abstractNum w:abstractNumId="5">
    <w:nsid w:val="2E778B14"/>
    <w:multiLevelType w:val="singleLevel"/>
    <w:tmpl w:val="2E778B14"/>
    <w:lvl w:ilvl="0" w:tentative="0">
      <w:start w:val="4"/>
      <w:numFmt w:val="decimal"/>
      <w:suff w:val="nothing"/>
      <w:lvlText w:val="（%1）"/>
      <w:lvlJc w:val="left"/>
    </w:lvl>
  </w:abstractNum>
  <w:abstractNum w:abstractNumId="6">
    <w:nsid w:val="596FD88C"/>
    <w:multiLevelType w:val="singleLevel"/>
    <w:tmpl w:val="596FD88C"/>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6"/>
  </w:num>
  <w:num w:numId="2">
    <w:abstractNumId w:val="0"/>
  </w:num>
  <w:num w:numId="3">
    <w:abstractNumId w:val="4"/>
  </w:num>
  <w:num w:numId="4">
    <w:abstractNumId w:val="2"/>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iODc0MzNlODNmM2NhNGFjMmMyZTZkMjI2YTU1ZGIifQ=="/>
  </w:docVars>
  <w:rsids>
    <w:rsidRoot w:val="00172A27"/>
    <w:rsid w:val="00001CED"/>
    <w:rsid w:val="00001E67"/>
    <w:rsid w:val="00003CD8"/>
    <w:rsid w:val="00014092"/>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2A31"/>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BA3"/>
    <w:rsid w:val="00163EEA"/>
    <w:rsid w:val="00167A07"/>
    <w:rsid w:val="0017046A"/>
    <w:rsid w:val="001704A3"/>
    <w:rsid w:val="0017504D"/>
    <w:rsid w:val="00177422"/>
    <w:rsid w:val="00184F10"/>
    <w:rsid w:val="00185546"/>
    <w:rsid w:val="0019146B"/>
    <w:rsid w:val="00194398"/>
    <w:rsid w:val="001A393D"/>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C6033"/>
    <w:rsid w:val="002D42DB"/>
    <w:rsid w:val="002E1F3A"/>
    <w:rsid w:val="002E298A"/>
    <w:rsid w:val="002F012F"/>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44E8"/>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541"/>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2BB"/>
    <w:rsid w:val="004C55BE"/>
    <w:rsid w:val="004E5B30"/>
    <w:rsid w:val="004F0779"/>
    <w:rsid w:val="004F1230"/>
    <w:rsid w:val="004F173F"/>
    <w:rsid w:val="004F177C"/>
    <w:rsid w:val="004F2DCE"/>
    <w:rsid w:val="004F435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77B"/>
    <w:rsid w:val="00542E07"/>
    <w:rsid w:val="005534C6"/>
    <w:rsid w:val="00554A7B"/>
    <w:rsid w:val="0055572C"/>
    <w:rsid w:val="0056064F"/>
    <w:rsid w:val="00561B84"/>
    <w:rsid w:val="00571D98"/>
    <w:rsid w:val="005720AE"/>
    <w:rsid w:val="0058030D"/>
    <w:rsid w:val="00582045"/>
    <w:rsid w:val="00590AE3"/>
    <w:rsid w:val="005918F1"/>
    <w:rsid w:val="005A06B7"/>
    <w:rsid w:val="005A0FB6"/>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46A"/>
    <w:rsid w:val="006535EB"/>
    <w:rsid w:val="00663016"/>
    <w:rsid w:val="00673F65"/>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E2C91"/>
    <w:rsid w:val="006F1789"/>
    <w:rsid w:val="00706C5D"/>
    <w:rsid w:val="007118E6"/>
    <w:rsid w:val="007225C9"/>
    <w:rsid w:val="00734213"/>
    <w:rsid w:val="00735CD7"/>
    <w:rsid w:val="00751AB4"/>
    <w:rsid w:val="00754034"/>
    <w:rsid w:val="00754BF1"/>
    <w:rsid w:val="00755A30"/>
    <w:rsid w:val="00755E1C"/>
    <w:rsid w:val="00756556"/>
    <w:rsid w:val="0076132B"/>
    <w:rsid w:val="007623AE"/>
    <w:rsid w:val="007645C9"/>
    <w:rsid w:val="00770B19"/>
    <w:rsid w:val="00774FA0"/>
    <w:rsid w:val="00776620"/>
    <w:rsid w:val="00776C3F"/>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47DE1"/>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226AC"/>
    <w:rsid w:val="00931001"/>
    <w:rsid w:val="00931863"/>
    <w:rsid w:val="00933524"/>
    <w:rsid w:val="0094278D"/>
    <w:rsid w:val="009504BC"/>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24DB"/>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3F"/>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4D70"/>
    <w:rsid w:val="00B46BAA"/>
    <w:rsid w:val="00B50B5F"/>
    <w:rsid w:val="00B54128"/>
    <w:rsid w:val="00B55826"/>
    <w:rsid w:val="00B60426"/>
    <w:rsid w:val="00B622DD"/>
    <w:rsid w:val="00B63522"/>
    <w:rsid w:val="00B75BBC"/>
    <w:rsid w:val="00B76F1D"/>
    <w:rsid w:val="00B92A19"/>
    <w:rsid w:val="00B9544C"/>
    <w:rsid w:val="00BA0020"/>
    <w:rsid w:val="00BA29E9"/>
    <w:rsid w:val="00BB3618"/>
    <w:rsid w:val="00BC0C9E"/>
    <w:rsid w:val="00BC32DC"/>
    <w:rsid w:val="00BD1B51"/>
    <w:rsid w:val="00BD47F6"/>
    <w:rsid w:val="00BE312D"/>
    <w:rsid w:val="00BE3FCA"/>
    <w:rsid w:val="00C05719"/>
    <w:rsid w:val="00C10578"/>
    <w:rsid w:val="00C140B0"/>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0974"/>
    <w:rsid w:val="00C82C79"/>
    <w:rsid w:val="00C84753"/>
    <w:rsid w:val="00C91611"/>
    <w:rsid w:val="00CA3585"/>
    <w:rsid w:val="00CA3D5A"/>
    <w:rsid w:val="00CA4C7C"/>
    <w:rsid w:val="00CA6F9F"/>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64BF7"/>
    <w:rsid w:val="00D704B1"/>
    <w:rsid w:val="00D70B63"/>
    <w:rsid w:val="00D72B92"/>
    <w:rsid w:val="00D72ED4"/>
    <w:rsid w:val="00D73F61"/>
    <w:rsid w:val="00D754C0"/>
    <w:rsid w:val="00D776A2"/>
    <w:rsid w:val="00D801C4"/>
    <w:rsid w:val="00D90836"/>
    <w:rsid w:val="00D95896"/>
    <w:rsid w:val="00D95CC6"/>
    <w:rsid w:val="00D96B70"/>
    <w:rsid w:val="00DA042D"/>
    <w:rsid w:val="00DA2DA3"/>
    <w:rsid w:val="00DA6615"/>
    <w:rsid w:val="00DA76AE"/>
    <w:rsid w:val="00DB181E"/>
    <w:rsid w:val="00DB1C7A"/>
    <w:rsid w:val="00DB2983"/>
    <w:rsid w:val="00DB343D"/>
    <w:rsid w:val="00DB5579"/>
    <w:rsid w:val="00DB5CFE"/>
    <w:rsid w:val="00DC72A6"/>
    <w:rsid w:val="00DD2113"/>
    <w:rsid w:val="00DD265E"/>
    <w:rsid w:val="00DE25A3"/>
    <w:rsid w:val="00DF1930"/>
    <w:rsid w:val="00DF514A"/>
    <w:rsid w:val="00E0358D"/>
    <w:rsid w:val="00E06327"/>
    <w:rsid w:val="00E2064B"/>
    <w:rsid w:val="00E23809"/>
    <w:rsid w:val="00E25239"/>
    <w:rsid w:val="00E265B1"/>
    <w:rsid w:val="00E275B0"/>
    <w:rsid w:val="00E412D0"/>
    <w:rsid w:val="00E42E54"/>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18CF"/>
    <w:rsid w:val="00FC66AC"/>
    <w:rsid w:val="00FD18F4"/>
    <w:rsid w:val="00FD74B4"/>
    <w:rsid w:val="00FF5C44"/>
    <w:rsid w:val="00FF6FCE"/>
    <w:rsid w:val="00FF7518"/>
    <w:rsid w:val="00FF7FD8"/>
    <w:rsid w:val="010B6727"/>
    <w:rsid w:val="012E64AE"/>
    <w:rsid w:val="013335E0"/>
    <w:rsid w:val="01392F1B"/>
    <w:rsid w:val="01562A6C"/>
    <w:rsid w:val="0160223B"/>
    <w:rsid w:val="016A63B4"/>
    <w:rsid w:val="017332CE"/>
    <w:rsid w:val="01747DBF"/>
    <w:rsid w:val="01757C97"/>
    <w:rsid w:val="01891FB8"/>
    <w:rsid w:val="019A1587"/>
    <w:rsid w:val="019E77FB"/>
    <w:rsid w:val="019F7D7F"/>
    <w:rsid w:val="01B66E83"/>
    <w:rsid w:val="01B80BB3"/>
    <w:rsid w:val="01CD0D3B"/>
    <w:rsid w:val="01CE1272"/>
    <w:rsid w:val="01D17352"/>
    <w:rsid w:val="01D44366"/>
    <w:rsid w:val="01D94094"/>
    <w:rsid w:val="01DC1B49"/>
    <w:rsid w:val="01E4595F"/>
    <w:rsid w:val="01FF1F39"/>
    <w:rsid w:val="022B2C0A"/>
    <w:rsid w:val="022E44A8"/>
    <w:rsid w:val="023B6DF1"/>
    <w:rsid w:val="023D4945"/>
    <w:rsid w:val="023E65F1"/>
    <w:rsid w:val="024A77B5"/>
    <w:rsid w:val="024F5893"/>
    <w:rsid w:val="02553B37"/>
    <w:rsid w:val="025D65B7"/>
    <w:rsid w:val="025E338A"/>
    <w:rsid w:val="028D069F"/>
    <w:rsid w:val="029458DF"/>
    <w:rsid w:val="02B726F0"/>
    <w:rsid w:val="02C05BFA"/>
    <w:rsid w:val="02CD4BE2"/>
    <w:rsid w:val="02D325DA"/>
    <w:rsid w:val="02D43118"/>
    <w:rsid w:val="02E61FDB"/>
    <w:rsid w:val="02EB0260"/>
    <w:rsid w:val="02EB6A7A"/>
    <w:rsid w:val="02F23FD6"/>
    <w:rsid w:val="02FA438B"/>
    <w:rsid w:val="02FC32E3"/>
    <w:rsid w:val="030B47EA"/>
    <w:rsid w:val="03266671"/>
    <w:rsid w:val="03266B1D"/>
    <w:rsid w:val="032A1207"/>
    <w:rsid w:val="03301DEE"/>
    <w:rsid w:val="03411FD1"/>
    <w:rsid w:val="035108F7"/>
    <w:rsid w:val="03544C7D"/>
    <w:rsid w:val="03553991"/>
    <w:rsid w:val="0355673D"/>
    <w:rsid w:val="037726E5"/>
    <w:rsid w:val="037A095A"/>
    <w:rsid w:val="03BF5170"/>
    <w:rsid w:val="03C57F08"/>
    <w:rsid w:val="03CF6306"/>
    <w:rsid w:val="03D25A6D"/>
    <w:rsid w:val="03D41DC5"/>
    <w:rsid w:val="03E05257"/>
    <w:rsid w:val="03ED42D5"/>
    <w:rsid w:val="03EF2541"/>
    <w:rsid w:val="03F92846"/>
    <w:rsid w:val="03FA5D7B"/>
    <w:rsid w:val="03FC6723"/>
    <w:rsid w:val="03FE5CB3"/>
    <w:rsid w:val="0406411F"/>
    <w:rsid w:val="040F3C02"/>
    <w:rsid w:val="04184BE3"/>
    <w:rsid w:val="04221DEB"/>
    <w:rsid w:val="04277159"/>
    <w:rsid w:val="0434735D"/>
    <w:rsid w:val="043A29F5"/>
    <w:rsid w:val="04446205"/>
    <w:rsid w:val="04521106"/>
    <w:rsid w:val="04591661"/>
    <w:rsid w:val="04751DAE"/>
    <w:rsid w:val="049F168E"/>
    <w:rsid w:val="04A52294"/>
    <w:rsid w:val="04AF04C0"/>
    <w:rsid w:val="04B13F53"/>
    <w:rsid w:val="04B40640"/>
    <w:rsid w:val="04B52122"/>
    <w:rsid w:val="04CC3A56"/>
    <w:rsid w:val="04D330E5"/>
    <w:rsid w:val="04DB2949"/>
    <w:rsid w:val="04DF2B74"/>
    <w:rsid w:val="04E229D4"/>
    <w:rsid w:val="05043553"/>
    <w:rsid w:val="05080FE1"/>
    <w:rsid w:val="051466C4"/>
    <w:rsid w:val="051E4A59"/>
    <w:rsid w:val="052044B2"/>
    <w:rsid w:val="052076F5"/>
    <w:rsid w:val="053001D5"/>
    <w:rsid w:val="053703E3"/>
    <w:rsid w:val="054304DC"/>
    <w:rsid w:val="05432FD8"/>
    <w:rsid w:val="054D1176"/>
    <w:rsid w:val="05500B5B"/>
    <w:rsid w:val="05567C8D"/>
    <w:rsid w:val="056B3220"/>
    <w:rsid w:val="05742AC8"/>
    <w:rsid w:val="057C13F3"/>
    <w:rsid w:val="05834792"/>
    <w:rsid w:val="058A5784"/>
    <w:rsid w:val="058D598A"/>
    <w:rsid w:val="05903EC4"/>
    <w:rsid w:val="059C54B5"/>
    <w:rsid w:val="059F5B0B"/>
    <w:rsid w:val="05CD62FF"/>
    <w:rsid w:val="05CF1B89"/>
    <w:rsid w:val="05D157EA"/>
    <w:rsid w:val="05D45367"/>
    <w:rsid w:val="05EC26B0"/>
    <w:rsid w:val="05EC7C46"/>
    <w:rsid w:val="060567B7"/>
    <w:rsid w:val="060755FE"/>
    <w:rsid w:val="06256F52"/>
    <w:rsid w:val="0628092D"/>
    <w:rsid w:val="0631697E"/>
    <w:rsid w:val="06352F05"/>
    <w:rsid w:val="06355ADA"/>
    <w:rsid w:val="063E7D85"/>
    <w:rsid w:val="064742CF"/>
    <w:rsid w:val="064D3BE4"/>
    <w:rsid w:val="067559E5"/>
    <w:rsid w:val="06A20FC1"/>
    <w:rsid w:val="06A25E7E"/>
    <w:rsid w:val="06AF4025"/>
    <w:rsid w:val="06C13B3D"/>
    <w:rsid w:val="06DC35E5"/>
    <w:rsid w:val="06E3654F"/>
    <w:rsid w:val="06EA2DC8"/>
    <w:rsid w:val="070660C6"/>
    <w:rsid w:val="070875E0"/>
    <w:rsid w:val="07293586"/>
    <w:rsid w:val="07295285"/>
    <w:rsid w:val="072E0AA7"/>
    <w:rsid w:val="07326377"/>
    <w:rsid w:val="074D0A49"/>
    <w:rsid w:val="07545880"/>
    <w:rsid w:val="07770C56"/>
    <w:rsid w:val="07821998"/>
    <w:rsid w:val="07A860BB"/>
    <w:rsid w:val="07AA0018"/>
    <w:rsid w:val="07B436A2"/>
    <w:rsid w:val="07C5765D"/>
    <w:rsid w:val="07E10167"/>
    <w:rsid w:val="07F968F9"/>
    <w:rsid w:val="083931B7"/>
    <w:rsid w:val="08435084"/>
    <w:rsid w:val="08544086"/>
    <w:rsid w:val="08600CB0"/>
    <w:rsid w:val="08711729"/>
    <w:rsid w:val="08885F7F"/>
    <w:rsid w:val="089D7C92"/>
    <w:rsid w:val="08A12FF4"/>
    <w:rsid w:val="08A94513"/>
    <w:rsid w:val="08C10DC5"/>
    <w:rsid w:val="08C57181"/>
    <w:rsid w:val="08DA0EE6"/>
    <w:rsid w:val="08DC3FA4"/>
    <w:rsid w:val="08DF6BF6"/>
    <w:rsid w:val="08E00B62"/>
    <w:rsid w:val="08E17C0F"/>
    <w:rsid w:val="09023B35"/>
    <w:rsid w:val="0907592C"/>
    <w:rsid w:val="09077904"/>
    <w:rsid w:val="092217DD"/>
    <w:rsid w:val="09265239"/>
    <w:rsid w:val="092D4A67"/>
    <w:rsid w:val="09372CF6"/>
    <w:rsid w:val="093A7294"/>
    <w:rsid w:val="093C6AE6"/>
    <w:rsid w:val="09400320"/>
    <w:rsid w:val="09403B7E"/>
    <w:rsid w:val="094310C2"/>
    <w:rsid w:val="0949659A"/>
    <w:rsid w:val="09512C74"/>
    <w:rsid w:val="09533D18"/>
    <w:rsid w:val="09535980"/>
    <w:rsid w:val="09567DBA"/>
    <w:rsid w:val="09572A3C"/>
    <w:rsid w:val="09644318"/>
    <w:rsid w:val="09667AA2"/>
    <w:rsid w:val="0970387A"/>
    <w:rsid w:val="09805DE0"/>
    <w:rsid w:val="09857B16"/>
    <w:rsid w:val="098C4ED4"/>
    <w:rsid w:val="09930A23"/>
    <w:rsid w:val="09AF7EB6"/>
    <w:rsid w:val="09B94F9F"/>
    <w:rsid w:val="09BC42BF"/>
    <w:rsid w:val="09C8073B"/>
    <w:rsid w:val="09CE4B4C"/>
    <w:rsid w:val="09D516AE"/>
    <w:rsid w:val="09D5345C"/>
    <w:rsid w:val="09DC2A3C"/>
    <w:rsid w:val="09EF7832"/>
    <w:rsid w:val="09FE1FF4"/>
    <w:rsid w:val="0A002D4C"/>
    <w:rsid w:val="0A16127B"/>
    <w:rsid w:val="0A183491"/>
    <w:rsid w:val="0A297F57"/>
    <w:rsid w:val="0A481E7F"/>
    <w:rsid w:val="0A4E767A"/>
    <w:rsid w:val="0A537CD6"/>
    <w:rsid w:val="0A705D2F"/>
    <w:rsid w:val="0A7C1001"/>
    <w:rsid w:val="0A807C9E"/>
    <w:rsid w:val="0A84685B"/>
    <w:rsid w:val="0A97633C"/>
    <w:rsid w:val="0AB506D4"/>
    <w:rsid w:val="0AC550B5"/>
    <w:rsid w:val="0AC656B7"/>
    <w:rsid w:val="0AC7529E"/>
    <w:rsid w:val="0ACF3C47"/>
    <w:rsid w:val="0AE57793"/>
    <w:rsid w:val="0AEC3153"/>
    <w:rsid w:val="0AED4AF2"/>
    <w:rsid w:val="0B0612CC"/>
    <w:rsid w:val="0B306F5A"/>
    <w:rsid w:val="0B323CAD"/>
    <w:rsid w:val="0B326FA4"/>
    <w:rsid w:val="0B332B30"/>
    <w:rsid w:val="0B337182"/>
    <w:rsid w:val="0B474FE3"/>
    <w:rsid w:val="0B4D059A"/>
    <w:rsid w:val="0B4E5E87"/>
    <w:rsid w:val="0B660F53"/>
    <w:rsid w:val="0B792C48"/>
    <w:rsid w:val="0B9E43C0"/>
    <w:rsid w:val="0BAA1044"/>
    <w:rsid w:val="0BAD28E2"/>
    <w:rsid w:val="0BC9459D"/>
    <w:rsid w:val="0BD27BF6"/>
    <w:rsid w:val="0BE01C48"/>
    <w:rsid w:val="0BE502CE"/>
    <w:rsid w:val="0BF30E45"/>
    <w:rsid w:val="0BF95B27"/>
    <w:rsid w:val="0C0A13FB"/>
    <w:rsid w:val="0C1A0235"/>
    <w:rsid w:val="0C1D721E"/>
    <w:rsid w:val="0C2F4BCE"/>
    <w:rsid w:val="0C405504"/>
    <w:rsid w:val="0C58252D"/>
    <w:rsid w:val="0C5F2698"/>
    <w:rsid w:val="0C6F7B97"/>
    <w:rsid w:val="0C940FCA"/>
    <w:rsid w:val="0CA331A2"/>
    <w:rsid w:val="0CA751EF"/>
    <w:rsid w:val="0CB32F26"/>
    <w:rsid w:val="0CC73E81"/>
    <w:rsid w:val="0CE37969"/>
    <w:rsid w:val="0CF35DEA"/>
    <w:rsid w:val="0D02504D"/>
    <w:rsid w:val="0D04621F"/>
    <w:rsid w:val="0D0B5F08"/>
    <w:rsid w:val="0D176F04"/>
    <w:rsid w:val="0D1A33DF"/>
    <w:rsid w:val="0D290448"/>
    <w:rsid w:val="0D2C4910"/>
    <w:rsid w:val="0D2E53B4"/>
    <w:rsid w:val="0D3474B7"/>
    <w:rsid w:val="0D3F267E"/>
    <w:rsid w:val="0D470428"/>
    <w:rsid w:val="0D5E47E3"/>
    <w:rsid w:val="0D6A042C"/>
    <w:rsid w:val="0D700C0C"/>
    <w:rsid w:val="0D7A0BE3"/>
    <w:rsid w:val="0D882D60"/>
    <w:rsid w:val="0DA2762E"/>
    <w:rsid w:val="0DA441F9"/>
    <w:rsid w:val="0DA90596"/>
    <w:rsid w:val="0DB44372"/>
    <w:rsid w:val="0DB6204A"/>
    <w:rsid w:val="0DBD6FAD"/>
    <w:rsid w:val="0DBF00B3"/>
    <w:rsid w:val="0DBF0172"/>
    <w:rsid w:val="0DC55E1E"/>
    <w:rsid w:val="0DD02119"/>
    <w:rsid w:val="0DE57D01"/>
    <w:rsid w:val="0DF772EE"/>
    <w:rsid w:val="0E056731"/>
    <w:rsid w:val="0E0F1C3F"/>
    <w:rsid w:val="0E110D06"/>
    <w:rsid w:val="0E1614A1"/>
    <w:rsid w:val="0E193B41"/>
    <w:rsid w:val="0E224556"/>
    <w:rsid w:val="0E2624D8"/>
    <w:rsid w:val="0E2D7D0A"/>
    <w:rsid w:val="0E341099"/>
    <w:rsid w:val="0E3C4E11"/>
    <w:rsid w:val="0E46098D"/>
    <w:rsid w:val="0E462B7A"/>
    <w:rsid w:val="0E46356E"/>
    <w:rsid w:val="0E4D75F3"/>
    <w:rsid w:val="0E57501E"/>
    <w:rsid w:val="0E795003"/>
    <w:rsid w:val="0E7E2314"/>
    <w:rsid w:val="0E7F18A6"/>
    <w:rsid w:val="0E8116C4"/>
    <w:rsid w:val="0E872F0A"/>
    <w:rsid w:val="0E8819FD"/>
    <w:rsid w:val="0E8C3A76"/>
    <w:rsid w:val="0E915CDD"/>
    <w:rsid w:val="0E96765D"/>
    <w:rsid w:val="0E9719B1"/>
    <w:rsid w:val="0E9A71C2"/>
    <w:rsid w:val="0EC2376E"/>
    <w:rsid w:val="0F0B5FBD"/>
    <w:rsid w:val="0F0B6C38"/>
    <w:rsid w:val="0F0D3DAF"/>
    <w:rsid w:val="0F0F11BE"/>
    <w:rsid w:val="0F13775A"/>
    <w:rsid w:val="0F1663F9"/>
    <w:rsid w:val="0F420F7E"/>
    <w:rsid w:val="0F662F53"/>
    <w:rsid w:val="0F984C53"/>
    <w:rsid w:val="0F9A112B"/>
    <w:rsid w:val="0FB44B8C"/>
    <w:rsid w:val="0FB75833"/>
    <w:rsid w:val="0FBA20FD"/>
    <w:rsid w:val="0FBA44A1"/>
    <w:rsid w:val="0FBF612B"/>
    <w:rsid w:val="0FC02FCF"/>
    <w:rsid w:val="0FC27ADF"/>
    <w:rsid w:val="0FD06254"/>
    <w:rsid w:val="0FD75AED"/>
    <w:rsid w:val="0FE873C5"/>
    <w:rsid w:val="0FEB1C2B"/>
    <w:rsid w:val="101420A5"/>
    <w:rsid w:val="10330678"/>
    <w:rsid w:val="104D18C7"/>
    <w:rsid w:val="104E550C"/>
    <w:rsid w:val="10515849"/>
    <w:rsid w:val="105A27E6"/>
    <w:rsid w:val="105D6A99"/>
    <w:rsid w:val="10682805"/>
    <w:rsid w:val="106D228B"/>
    <w:rsid w:val="106D2F64"/>
    <w:rsid w:val="10724CCD"/>
    <w:rsid w:val="10761CF3"/>
    <w:rsid w:val="10761DBA"/>
    <w:rsid w:val="108259F3"/>
    <w:rsid w:val="10857F3A"/>
    <w:rsid w:val="109B79B4"/>
    <w:rsid w:val="10AF5D4D"/>
    <w:rsid w:val="10B63710"/>
    <w:rsid w:val="10C373E3"/>
    <w:rsid w:val="10C44A0B"/>
    <w:rsid w:val="10D34B99"/>
    <w:rsid w:val="10D73F5D"/>
    <w:rsid w:val="10F827CF"/>
    <w:rsid w:val="1115624A"/>
    <w:rsid w:val="111A2FB6"/>
    <w:rsid w:val="111A47C8"/>
    <w:rsid w:val="111C2F7A"/>
    <w:rsid w:val="112A6F3E"/>
    <w:rsid w:val="112E6273"/>
    <w:rsid w:val="11300BC5"/>
    <w:rsid w:val="113013DE"/>
    <w:rsid w:val="11317B11"/>
    <w:rsid w:val="11326003"/>
    <w:rsid w:val="11554DB2"/>
    <w:rsid w:val="11583070"/>
    <w:rsid w:val="11644A05"/>
    <w:rsid w:val="116E286A"/>
    <w:rsid w:val="118440E5"/>
    <w:rsid w:val="11890C69"/>
    <w:rsid w:val="11B22F89"/>
    <w:rsid w:val="11B74185"/>
    <w:rsid w:val="11C24F7A"/>
    <w:rsid w:val="11C77E03"/>
    <w:rsid w:val="11E31DE6"/>
    <w:rsid w:val="11F0622A"/>
    <w:rsid w:val="11F4424F"/>
    <w:rsid w:val="120B2853"/>
    <w:rsid w:val="120B3EBE"/>
    <w:rsid w:val="120D493A"/>
    <w:rsid w:val="12110957"/>
    <w:rsid w:val="122B06C2"/>
    <w:rsid w:val="122E5DFF"/>
    <w:rsid w:val="124B618C"/>
    <w:rsid w:val="124C4E41"/>
    <w:rsid w:val="125266F1"/>
    <w:rsid w:val="125A727E"/>
    <w:rsid w:val="1283436C"/>
    <w:rsid w:val="12846F08"/>
    <w:rsid w:val="128A572B"/>
    <w:rsid w:val="12906AB9"/>
    <w:rsid w:val="12A753FA"/>
    <w:rsid w:val="12A96C4B"/>
    <w:rsid w:val="12B652F8"/>
    <w:rsid w:val="12C75117"/>
    <w:rsid w:val="12CC27D6"/>
    <w:rsid w:val="12F31B1D"/>
    <w:rsid w:val="12F51D01"/>
    <w:rsid w:val="13067D66"/>
    <w:rsid w:val="130C25E4"/>
    <w:rsid w:val="13165AA2"/>
    <w:rsid w:val="1325229B"/>
    <w:rsid w:val="132937B0"/>
    <w:rsid w:val="1345540F"/>
    <w:rsid w:val="13494BDE"/>
    <w:rsid w:val="13711F7E"/>
    <w:rsid w:val="13743CE5"/>
    <w:rsid w:val="13820942"/>
    <w:rsid w:val="1383756A"/>
    <w:rsid w:val="13871C6A"/>
    <w:rsid w:val="139346FD"/>
    <w:rsid w:val="139508FF"/>
    <w:rsid w:val="13951726"/>
    <w:rsid w:val="139B7603"/>
    <w:rsid w:val="139E527A"/>
    <w:rsid w:val="13AA5573"/>
    <w:rsid w:val="13AE53E1"/>
    <w:rsid w:val="13B148E3"/>
    <w:rsid w:val="13C00F4B"/>
    <w:rsid w:val="13C04848"/>
    <w:rsid w:val="13DF3855"/>
    <w:rsid w:val="13E173FD"/>
    <w:rsid w:val="1403517A"/>
    <w:rsid w:val="14226C9A"/>
    <w:rsid w:val="14261483"/>
    <w:rsid w:val="14287ABD"/>
    <w:rsid w:val="14321BD6"/>
    <w:rsid w:val="14366498"/>
    <w:rsid w:val="14373691"/>
    <w:rsid w:val="14396509"/>
    <w:rsid w:val="14466238"/>
    <w:rsid w:val="1447165C"/>
    <w:rsid w:val="144A5873"/>
    <w:rsid w:val="144B249C"/>
    <w:rsid w:val="14693FA2"/>
    <w:rsid w:val="147E12BF"/>
    <w:rsid w:val="14874D6B"/>
    <w:rsid w:val="148A13A9"/>
    <w:rsid w:val="14952DF8"/>
    <w:rsid w:val="14985835"/>
    <w:rsid w:val="14B70A62"/>
    <w:rsid w:val="14BA5CD9"/>
    <w:rsid w:val="14C1449C"/>
    <w:rsid w:val="14C4114D"/>
    <w:rsid w:val="14D514F5"/>
    <w:rsid w:val="14E86739"/>
    <w:rsid w:val="14E927F0"/>
    <w:rsid w:val="14F263A7"/>
    <w:rsid w:val="15071818"/>
    <w:rsid w:val="1523411C"/>
    <w:rsid w:val="152C2001"/>
    <w:rsid w:val="152D239E"/>
    <w:rsid w:val="1532464F"/>
    <w:rsid w:val="153F1BC5"/>
    <w:rsid w:val="15695999"/>
    <w:rsid w:val="1570265E"/>
    <w:rsid w:val="157F5B5E"/>
    <w:rsid w:val="15867F17"/>
    <w:rsid w:val="15A10636"/>
    <w:rsid w:val="15A7118C"/>
    <w:rsid w:val="15B8435D"/>
    <w:rsid w:val="15BD4AF3"/>
    <w:rsid w:val="15CF440F"/>
    <w:rsid w:val="15D2609E"/>
    <w:rsid w:val="15D42FD4"/>
    <w:rsid w:val="15D66D7D"/>
    <w:rsid w:val="15EA7BDD"/>
    <w:rsid w:val="15EE7AD6"/>
    <w:rsid w:val="15FF6B5C"/>
    <w:rsid w:val="161E7025"/>
    <w:rsid w:val="1626653B"/>
    <w:rsid w:val="16335AF4"/>
    <w:rsid w:val="16410B32"/>
    <w:rsid w:val="165F077A"/>
    <w:rsid w:val="166511BF"/>
    <w:rsid w:val="16746EFF"/>
    <w:rsid w:val="1677229E"/>
    <w:rsid w:val="167C1E7B"/>
    <w:rsid w:val="16946B78"/>
    <w:rsid w:val="16990689"/>
    <w:rsid w:val="169D3AA1"/>
    <w:rsid w:val="16DB3F43"/>
    <w:rsid w:val="16DD3446"/>
    <w:rsid w:val="16ED44DA"/>
    <w:rsid w:val="16FB68B3"/>
    <w:rsid w:val="16FE0EBC"/>
    <w:rsid w:val="17042185"/>
    <w:rsid w:val="1706559C"/>
    <w:rsid w:val="1706768E"/>
    <w:rsid w:val="17314064"/>
    <w:rsid w:val="173E0892"/>
    <w:rsid w:val="17461167"/>
    <w:rsid w:val="175400B6"/>
    <w:rsid w:val="17547D08"/>
    <w:rsid w:val="175841D4"/>
    <w:rsid w:val="176A39FE"/>
    <w:rsid w:val="17735226"/>
    <w:rsid w:val="17807313"/>
    <w:rsid w:val="17872239"/>
    <w:rsid w:val="178E49D4"/>
    <w:rsid w:val="17970E4C"/>
    <w:rsid w:val="17A12BF2"/>
    <w:rsid w:val="17A44566"/>
    <w:rsid w:val="17AB3F28"/>
    <w:rsid w:val="17AC6144"/>
    <w:rsid w:val="17B628AF"/>
    <w:rsid w:val="17CE7E68"/>
    <w:rsid w:val="1824217E"/>
    <w:rsid w:val="182E0907"/>
    <w:rsid w:val="18461E9F"/>
    <w:rsid w:val="184719C8"/>
    <w:rsid w:val="185D11EC"/>
    <w:rsid w:val="187D188E"/>
    <w:rsid w:val="18AD4B21"/>
    <w:rsid w:val="18B00E9E"/>
    <w:rsid w:val="18BC4164"/>
    <w:rsid w:val="18C4735D"/>
    <w:rsid w:val="18DA024D"/>
    <w:rsid w:val="18E272AF"/>
    <w:rsid w:val="18F6272A"/>
    <w:rsid w:val="19030013"/>
    <w:rsid w:val="19050E0D"/>
    <w:rsid w:val="191122D9"/>
    <w:rsid w:val="191C6386"/>
    <w:rsid w:val="191D0DE0"/>
    <w:rsid w:val="191D6351"/>
    <w:rsid w:val="1926590D"/>
    <w:rsid w:val="192C0E3E"/>
    <w:rsid w:val="1930714E"/>
    <w:rsid w:val="19462072"/>
    <w:rsid w:val="194E0845"/>
    <w:rsid w:val="196071E6"/>
    <w:rsid w:val="196264EC"/>
    <w:rsid w:val="196E25B1"/>
    <w:rsid w:val="198552D3"/>
    <w:rsid w:val="19AF1F1B"/>
    <w:rsid w:val="19C239FC"/>
    <w:rsid w:val="19C43870"/>
    <w:rsid w:val="19CE05F3"/>
    <w:rsid w:val="19F826FB"/>
    <w:rsid w:val="19FA1882"/>
    <w:rsid w:val="1A06424E"/>
    <w:rsid w:val="1A0A7151"/>
    <w:rsid w:val="1A0B0F5B"/>
    <w:rsid w:val="1A11758E"/>
    <w:rsid w:val="1A1C66C0"/>
    <w:rsid w:val="1A1F77DC"/>
    <w:rsid w:val="1A255E9D"/>
    <w:rsid w:val="1A2F1077"/>
    <w:rsid w:val="1A367F46"/>
    <w:rsid w:val="1A370328"/>
    <w:rsid w:val="1A42393B"/>
    <w:rsid w:val="1A485B94"/>
    <w:rsid w:val="1A4C636E"/>
    <w:rsid w:val="1A5E3F75"/>
    <w:rsid w:val="1A601B98"/>
    <w:rsid w:val="1A765668"/>
    <w:rsid w:val="1A802225"/>
    <w:rsid w:val="1A836AF2"/>
    <w:rsid w:val="1A9A17E2"/>
    <w:rsid w:val="1A9B13BD"/>
    <w:rsid w:val="1A9C29B5"/>
    <w:rsid w:val="1ABB40DC"/>
    <w:rsid w:val="1AD02149"/>
    <w:rsid w:val="1AD34C80"/>
    <w:rsid w:val="1AE31B2A"/>
    <w:rsid w:val="1AE70109"/>
    <w:rsid w:val="1AFA16A3"/>
    <w:rsid w:val="1AFB6C41"/>
    <w:rsid w:val="1B046F80"/>
    <w:rsid w:val="1B1024CC"/>
    <w:rsid w:val="1B183686"/>
    <w:rsid w:val="1B1921F2"/>
    <w:rsid w:val="1B1C7D4E"/>
    <w:rsid w:val="1B2665FE"/>
    <w:rsid w:val="1B3267B5"/>
    <w:rsid w:val="1B3B4866"/>
    <w:rsid w:val="1B5D49EB"/>
    <w:rsid w:val="1B600776"/>
    <w:rsid w:val="1B6D2414"/>
    <w:rsid w:val="1B901D16"/>
    <w:rsid w:val="1B9C027D"/>
    <w:rsid w:val="1BA07391"/>
    <w:rsid w:val="1BA636B7"/>
    <w:rsid w:val="1BB31408"/>
    <w:rsid w:val="1BB6133F"/>
    <w:rsid w:val="1BC25DC8"/>
    <w:rsid w:val="1BC71D55"/>
    <w:rsid w:val="1BC90943"/>
    <w:rsid w:val="1BCB73CB"/>
    <w:rsid w:val="1BCE3DAC"/>
    <w:rsid w:val="1BE66BAE"/>
    <w:rsid w:val="1BEF60E3"/>
    <w:rsid w:val="1BF27AF2"/>
    <w:rsid w:val="1C063F19"/>
    <w:rsid w:val="1C070D79"/>
    <w:rsid w:val="1C1273F1"/>
    <w:rsid w:val="1C12775C"/>
    <w:rsid w:val="1C184133"/>
    <w:rsid w:val="1C2B68BA"/>
    <w:rsid w:val="1C4A3D6D"/>
    <w:rsid w:val="1C5E7925"/>
    <w:rsid w:val="1C662D65"/>
    <w:rsid w:val="1C6B44E3"/>
    <w:rsid w:val="1C6D64E8"/>
    <w:rsid w:val="1C6E382C"/>
    <w:rsid w:val="1C700B4F"/>
    <w:rsid w:val="1C764D8F"/>
    <w:rsid w:val="1C7676D0"/>
    <w:rsid w:val="1C76790F"/>
    <w:rsid w:val="1C887FC8"/>
    <w:rsid w:val="1C903F25"/>
    <w:rsid w:val="1C9D777E"/>
    <w:rsid w:val="1CA5265D"/>
    <w:rsid w:val="1CA878CC"/>
    <w:rsid w:val="1CAF648C"/>
    <w:rsid w:val="1CB6476D"/>
    <w:rsid w:val="1CB71402"/>
    <w:rsid w:val="1CB82E85"/>
    <w:rsid w:val="1CBF06C7"/>
    <w:rsid w:val="1CD540BA"/>
    <w:rsid w:val="1CD548F5"/>
    <w:rsid w:val="1CF75BE0"/>
    <w:rsid w:val="1CFB428F"/>
    <w:rsid w:val="1CFB6EB8"/>
    <w:rsid w:val="1D071201"/>
    <w:rsid w:val="1D091942"/>
    <w:rsid w:val="1D093D2A"/>
    <w:rsid w:val="1D117039"/>
    <w:rsid w:val="1D2310B2"/>
    <w:rsid w:val="1D2A40FA"/>
    <w:rsid w:val="1D357B9A"/>
    <w:rsid w:val="1D37025D"/>
    <w:rsid w:val="1D3D6C76"/>
    <w:rsid w:val="1D4418C3"/>
    <w:rsid w:val="1D5F6196"/>
    <w:rsid w:val="1D6132A5"/>
    <w:rsid w:val="1D756CE3"/>
    <w:rsid w:val="1D7D06A7"/>
    <w:rsid w:val="1D820237"/>
    <w:rsid w:val="1D89428D"/>
    <w:rsid w:val="1D8E56D5"/>
    <w:rsid w:val="1D930297"/>
    <w:rsid w:val="1D99674B"/>
    <w:rsid w:val="1DBF53CE"/>
    <w:rsid w:val="1DC43981"/>
    <w:rsid w:val="1DD737EE"/>
    <w:rsid w:val="1DE57C61"/>
    <w:rsid w:val="1DF32B81"/>
    <w:rsid w:val="1DF67CAD"/>
    <w:rsid w:val="1DF70705"/>
    <w:rsid w:val="1DF775A6"/>
    <w:rsid w:val="1E0853E8"/>
    <w:rsid w:val="1E095044"/>
    <w:rsid w:val="1E1424C1"/>
    <w:rsid w:val="1E4A5D6E"/>
    <w:rsid w:val="1E5C4436"/>
    <w:rsid w:val="1E720253"/>
    <w:rsid w:val="1E782521"/>
    <w:rsid w:val="1E7A43DA"/>
    <w:rsid w:val="1E8952CA"/>
    <w:rsid w:val="1E8D4721"/>
    <w:rsid w:val="1EB277FE"/>
    <w:rsid w:val="1EBC0643"/>
    <w:rsid w:val="1EC11264"/>
    <w:rsid w:val="1ED6441B"/>
    <w:rsid w:val="1EDA236A"/>
    <w:rsid w:val="1EDD7C55"/>
    <w:rsid w:val="1EEC5078"/>
    <w:rsid w:val="1F013842"/>
    <w:rsid w:val="1F0C67CB"/>
    <w:rsid w:val="1F184DD8"/>
    <w:rsid w:val="1F185D4B"/>
    <w:rsid w:val="1F38335E"/>
    <w:rsid w:val="1F3C064A"/>
    <w:rsid w:val="1F442E6D"/>
    <w:rsid w:val="1F615A66"/>
    <w:rsid w:val="1F714F09"/>
    <w:rsid w:val="1F7F062B"/>
    <w:rsid w:val="1F8D23B7"/>
    <w:rsid w:val="1F9002E6"/>
    <w:rsid w:val="1F90634B"/>
    <w:rsid w:val="1F922331"/>
    <w:rsid w:val="1F9C53AF"/>
    <w:rsid w:val="1F9C7AC0"/>
    <w:rsid w:val="1F9D4D1F"/>
    <w:rsid w:val="1FA404BF"/>
    <w:rsid w:val="1FB27619"/>
    <w:rsid w:val="1FB522CF"/>
    <w:rsid w:val="1FC877ED"/>
    <w:rsid w:val="1FC91DAB"/>
    <w:rsid w:val="1FCF0135"/>
    <w:rsid w:val="1FD170D0"/>
    <w:rsid w:val="1FDA243A"/>
    <w:rsid w:val="1FE7539E"/>
    <w:rsid w:val="1FEA7809"/>
    <w:rsid w:val="1FF14E44"/>
    <w:rsid w:val="20101A9F"/>
    <w:rsid w:val="20211BB4"/>
    <w:rsid w:val="203521F9"/>
    <w:rsid w:val="20511636"/>
    <w:rsid w:val="20651585"/>
    <w:rsid w:val="206C195A"/>
    <w:rsid w:val="2087480D"/>
    <w:rsid w:val="208D4B20"/>
    <w:rsid w:val="20963CB8"/>
    <w:rsid w:val="20B07FB6"/>
    <w:rsid w:val="20B62703"/>
    <w:rsid w:val="20C93C1D"/>
    <w:rsid w:val="20D03C42"/>
    <w:rsid w:val="20D218EA"/>
    <w:rsid w:val="20D92FDD"/>
    <w:rsid w:val="20DA0551"/>
    <w:rsid w:val="20E112A2"/>
    <w:rsid w:val="20F62D49"/>
    <w:rsid w:val="21092AC6"/>
    <w:rsid w:val="21117017"/>
    <w:rsid w:val="21183886"/>
    <w:rsid w:val="211D3C0E"/>
    <w:rsid w:val="212154AC"/>
    <w:rsid w:val="213B74B1"/>
    <w:rsid w:val="213D1BBA"/>
    <w:rsid w:val="214864ED"/>
    <w:rsid w:val="215A2310"/>
    <w:rsid w:val="215C1224"/>
    <w:rsid w:val="217F42F0"/>
    <w:rsid w:val="218763FF"/>
    <w:rsid w:val="2196680E"/>
    <w:rsid w:val="219733BD"/>
    <w:rsid w:val="21A165ED"/>
    <w:rsid w:val="21AA71F0"/>
    <w:rsid w:val="21B10214"/>
    <w:rsid w:val="21B74C58"/>
    <w:rsid w:val="21DE318A"/>
    <w:rsid w:val="21EF545F"/>
    <w:rsid w:val="21EF5B80"/>
    <w:rsid w:val="22121299"/>
    <w:rsid w:val="22262642"/>
    <w:rsid w:val="222B7156"/>
    <w:rsid w:val="222C1D3B"/>
    <w:rsid w:val="22576990"/>
    <w:rsid w:val="226D6B00"/>
    <w:rsid w:val="22772B3C"/>
    <w:rsid w:val="228658C9"/>
    <w:rsid w:val="22977A3D"/>
    <w:rsid w:val="229C4EAB"/>
    <w:rsid w:val="229D3D4C"/>
    <w:rsid w:val="22AA549F"/>
    <w:rsid w:val="22AB7AA4"/>
    <w:rsid w:val="22B174C5"/>
    <w:rsid w:val="22C500B9"/>
    <w:rsid w:val="22CA1A67"/>
    <w:rsid w:val="22D12F02"/>
    <w:rsid w:val="22D30C45"/>
    <w:rsid w:val="22F369D5"/>
    <w:rsid w:val="230647FC"/>
    <w:rsid w:val="23236D5D"/>
    <w:rsid w:val="232916CC"/>
    <w:rsid w:val="2333315D"/>
    <w:rsid w:val="23397431"/>
    <w:rsid w:val="23542167"/>
    <w:rsid w:val="23566BD0"/>
    <w:rsid w:val="236D7C99"/>
    <w:rsid w:val="2377358E"/>
    <w:rsid w:val="237A3CC8"/>
    <w:rsid w:val="239954DD"/>
    <w:rsid w:val="23A5111B"/>
    <w:rsid w:val="23BC3C27"/>
    <w:rsid w:val="23C25978"/>
    <w:rsid w:val="23D23C54"/>
    <w:rsid w:val="23D92F05"/>
    <w:rsid w:val="23E96B38"/>
    <w:rsid w:val="23F32C02"/>
    <w:rsid w:val="240C3620"/>
    <w:rsid w:val="240D0559"/>
    <w:rsid w:val="240F73B9"/>
    <w:rsid w:val="24203A25"/>
    <w:rsid w:val="242325AA"/>
    <w:rsid w:val="2428184B"/>
    <w:rsid w:val="24396ACD"/>
    <w:rsid w:val="244A4966"/>
    <w:rsid w:val="244D6839"/>
    <w:rsid w:val="24502B29"/>
    <w:rsid w:val="247930FC"/>
    <w:rsid w:val="248F6BD1"/>
    <w:rsid w:val="248F7B3D"/>
    <w:rsid w:val="24A53E39"/>
    <w:rsid w:val="24AD7057"/>
    <w:rsid w:val="24B361D1"/>
    <w:rsid w:val="24C41246"/>
    <w:rsid w:val="24CB38EC"/>
    <w:rsid w:val="24D42836"/>
    <w:rsid w:val="24D92363"/>
    <w:rsid w:val="24DA488B"/>
    <w:rsid w:val="24E53A9B"/>
    <w:rsid w:val="24FE78DF"/>
    <w:rsid w:val="250361C2"/>
    <w:rsid w:val="2506554A"/>
    <w:rsid w:val="250B02BE"/>
    <w:rsid w:val="250D3897"/>
    <w:rsid w:val="251610A0"/>
    <w:rsid w:val="25162913"/>
    <w:rsid w:val="251B66B7"/>
    <w:rsid w:val="252D53FE"/>
    <w:rsid w:val="253408A2"/>
    <w:rsid w:val="25353277"/>
    <w:rsid w:val="254C2D14"/>
    <w:rsid w:val="254C4AC2"/>
    <w:rsid w:val="254D2421"/>
    <w:rsid w:val="255A502C"/>
    <w:rsid w:val="257D7C05"/>
    <w:rsid w:val="257F27A2"/>
    <w:rsid w:val="259F477C"/>
    <w:rsid w:val="25AB495B"/>
    <w:rsid w:val="25D1250B"/>
    <w:rsid w:val="25D92BB6"/>
    <w:rsid w:val="25E44CFA"/>
    <w:rsid w:val="25EC2D81"/>
    <w:rsid w:val="25F35403"/>
    <w:rsid w:val="26404ACF"/>
    <w:rsid w:val="26413EBD"/>
    <w:rsid w:val="26413EFB"/>
    <w:rsid w:val="264528BD"/>
    <w:rsid w:val="264B4D7A"/>
    <w:rsid w:val="26567C0E"/>
    <w:rsid w:val="265D6715"/>
    <w:rsid w:val="26697ECF"/>
    <w:rsid w:val="266D135A"/>
    <w:rsid w:val="267C65D5"/>
    <w:rsid w:val="268153A1"/>
    <w:rsid w:val="26924756"/>
    <w:rsid w:val="269C55D5"/>
    <w:rsid w:val="269D1C88"/>
    <w:rsid w:val="26A220B5"/>
    <w:rsid w:val="26D274F4"/>
    <w:rsid w:val="26D81D93"/>
    <w:rsid w:val="26EC6112"/>
    <w:rsid w:val="26EF1BA9"/>
    <w:rsid w:val="26FA337A"/>
    <w:rsid w:val="270F2D69"/>
    <w:rsid w:val="27355885"/>
    <w:rsid w:val="27624129"/>
    <w:rsid w:val="27710810"/>
    <w:rsid w:val="27715E60"/>
    <w:rsid w:val="277976C4"/>
    <w:rsid w:val="27807F4C"/>
    <w:rsid w:val="2787159B"/>
    <w:rsid w:val="27894058"/>
    <w:rsid w:val="279036B1"/>
    <w:rsid w:val="27961539"/>
    <w:rsid w:val="279A59FF"/>
    <w:rsid w:val="279C593D"/>
    <w:rsid w:val="27AE736E"/>
    <w:rsid w:val="27B547FE"/>
    <w:rsid w:val="27C069F6"/>
    <w:rsid w:val="27CC1EEA"/>
    <w:rsid w:val="27D15DD1"/>
    <w:rsid w:val="27D55693"/>
    <w:rsid w:val="27EC14DB"/>
    <w:rsid w:val="27F40852"/>
    <w:rsid w:val="280671C0"/>
    <w:rsid w:val="2816726C"/>
    <w:rsid w:val="282A51D3"/>
    <w:rsid w:val="282D7CCA"/>
    <w:rsid w:val="282E690E"/>
    <w:rsid w:val="28384446"/>
    <w:rsid w:val="283B5D21"/>
    <w:rsid w:val="28477419"/>
    <w:rsid w:val="284D48F4"/>
    <w:rsid w:val="285909B1"/>
    <w:rsid w:val="285B2563"/>
    <w:rsid w:val="28621A9D"/>
    <w:rsid w:val="288C1948"/>
    <w:rsid w:val="289B1FE8"/>
    <w:rsid w:val="289C1788"/>
    <w:rsid w:val="28A76295"/>
    <w:rsid w:val="28A864B3"/>
    <w:rsid w:val="28AF7391"/>
    <w:rsid w:val="28B01E93"/>
    <w:rsid w:val="28BE7F49"/>
    <w:rsid w:val="28D12340"/>
    <w:rsid w:val="28D537A7"/>
    <w:rsid w:val="28D963D4"/>
    <w:rsid w:val="28D96437"/>
    <w:rsid w:val="28DD5BD7"/>
    <w:rsid w:val="28F53FC8"/>
    <w:rsid w:val="28F731E4"/>
    <w:rsid w:val="29086F52"/>
    <w:rsid w:val="29206EB8"/>
    <w:rsid w:val="2936796A"/>
    <w:rsid w:val="29393C6B"/>
    <w:rsid w:val="29451277"/>
    <w:rsid w:val="294E6C96"/>
    <w:rsid w:val="29506AA7"/>
    <w:rsid w:val="29567A3B"/>
    <w:rsid w:val="29574125"/>
    <w:rsid w:val="295C41DD"/>
    <w:rsid w:val="297D76F5"/>
    <w:rsid w:val="29821643"/>
    <w:rsid w:val="29883A55"/>
    <w:rsid w:val="298D3A9E"/>
    <w:rsid w:val="29934A0F"/>
    <w:rsid w:val="29A47C8F"/>
    <w:rsid w:val="29B633FE"/>
    <w:rsid w:val="29C6798D"/>
    <w:rsid w:val="29DD7D25"/>
    <w:rsid w:val="29E2436A"/>
    <w:rsid w:val="29E325E0"/>
    <w:rsid w:val="29FA5B67"/>
    <w:rsid w:val="2A182BA0"/>
    <w:rsid w:val="2A1E2C7D"/>
    <w:rsid w:val="2A27080B"/>
    <w:rsid w:val="2A273538"/>
    <w:rsid w:val="2A2F4A84"/>
    <w:rsid w:val="2A3004C8"/>
    <w:rsid w:val="2A452503"/>
    <w:rsid w:val="2A5D25FD"/>
    <w:rsid w:val="2A716587"/>
    <w:rsid w:val="2A742AF1"/>
    <w:rsid w:val="2A781ADC"/>
    <w:rsid w:val="2A847D42"/>
    <w:rsid w:val="2A8F4539"/>
    <w:rsid w:val="2A905451"/>
    <w:rsid w:val="2A9131BE"/>
    <w:rsid w:val="2A952A67"/>
    <w:rsid w:val="2A985676"/>
    <w:rsid w:val="2A9905CC"/>
    <w:rsid w:val="2AA21C85"/>
    <w:rsid w:val="2AB15B5D"/>
    <w:rsid w:val="2AC1560A"/>
    <w:rsid w:val="2AC46123"/>
    <w:rsid w:val="2ACB46DB"/>
    <w:rsid w:val="2ACD2201"/>
    <w:rsid w:val="2AE06325"/>
    <w:rsid w:val="2AE5579D"/>
    <w:rsid w:val="2AEB170D"/>
    <w:rsid w:val="2B02259B"/>
    <w:rsid w:val="2B057659"/>
    <w:rsid w:val="2B126F3E"/>
    <w:rsid w:val="2B2F4273"/>
    <w:rsid w:val="2B3540A4"/>
    <w:rsid w:val="2B3E28D2"/>
    <w:rsid w:val="2B473819"/>
    <w:rsid w:val="2B4E069F"/>
    <w:rsid w:val="2B4F62D2"/>
    <w:rsid w:val="2B5E690F"/>
    <w:rsid w:val="2B7067CF"/>
    <w:rsid w:val="2B7B3A0B"/>
    <w:rsid w:val="2BA13B63"/>
    <w:rsid w:val="2BA936A8"/>
    <w:rsid w:val="2BAC2DA3"/>
    <w:rsid w:val="2BAE586B"/>
    <w:rsid w:val="2BB26A5B"/>
    <w:rsid w:val="2BD52C8F"/>
    <w:rsid w:val="2BF76763"/>
    <w:rsid w:val="2BF866B5"/>
    <w:rsid w:val="2BFB66C7"/>
    <w:rsid w:val="2BFD21BF"/>
    <w:rsid w:val="2BFE606A"/>
    <w:rsid w:val="2C011CA6"/>
    <w:rsid w:val="2C066883"/>
    <w:rsid w:val="2C0C6D59"/>
    <w:rsid w:val="2C0E392D"/>
    <w:rsid w:val="2C1005EA"/>
    <w:rsid w:val="2C315A5A"/>
    <w:rsid w:val="2C340F97"/>
    <w:rsid w:val="2C371229"/>
    <w:rsid w:val="2C383D94"/>
    <w:rsid w:val="2C5967BA"/>
    <w:rsid w:val="2C5A24B7"/>
    <w:rsid w:val="2C6E757B"/>
    <w:rsid w:val="2C894705"/>
    <w:rsid w:val="2C8E0675"/>
    <w:rsid w:val="2C931171"/>
    <w:rsid w:val="2CA0240A"/>
    <w:rsid w:val="2CA12FBC"/>
    <w:rsid w:val="2CA54430"/>
    <w:rsid w:val="2CA55F21"/>
    <w:rsid w:val="2CAC6AE3"/>
    <w:rsid w:val="2CB558C0"/>
    <w:rsid w:val="2CC0745A"/>
    <w:rsid w:val="2CC96B79"/>
    <w:rsid w:val="2CD15F60"/>
    <w:rsid w:val="2CD947B9"/>
    <w:rsid w:val="2CDD57C9"/>
    <w:rsid w:val="2CEE4F73"/>
    <w:rsid w:val="2CF366D8"/>
    <w:rsid w:val="2CF459F2"/>
    <w:rsid w:val="2CFA2F02"/>
    <w:rsid w:val="2D0265AE"/>
    <w:rsid w:val="2D1623D7"/>
    <w:rsid w:val="2D4C5906"/>
    <w:rsid w:val="2D55028C"/>
    <w:rsid w:val="2D6C14C5"/>
    <w:rsid w:val="2D725670"/>
    <w:rsid w:val="2D7564AC"/>
    <w:rsid w:val="2D7A4832"/>
    <w:rsid w:val="2D9E56F5"/>
    <w:rsid w:val="2DA51C6E"/>
    <w:rsid w:val="2DC01BA9"/>
    <w:rsid w:val="2DC27AC0"/>
    <w:rsid w:val="2DC5249C"/>
    <w:rsid w:val="2DCB147E"/>
    <w:rsid w:val="2DCB5032"/>
    <w:rsid w:val="2DDE15B2"/>
    <w:rsid w:val="2DDE2AFE"/>
    <w:rsid w:val="2DE0224B"/>
    <w:rsid w:val="2DFA0B9F"/>
    <w:rsid w:val="2E050486"/>
    <w:rsid w:val="2E066671"/>
    <w:rsid w:val="2E183793"/>
    <w:rsid w:val="2E1F4A76"/>
    <w:rsid w:val="2E347BE8"/>
    <w:rsid w:val="2E3C0D1A"/>
    <w:rsid w:val="2E666BF4"/>
    <w:rsid w:val="2E667F96"/>
    <w:rsid w:val="2E8226AB"/>
    <w:rsid w:val="2E837AD7"/>
    <w:rsid w:val="2E8F5E07"/>
    <w:rsid w:val="2E9501F1"/>
    <w:rsid w:val="2E973EF3"/>
    <w:rsid w:val="2E9E1648"/>
    <w:rsid w:val="2EA0798E"/>
    <w:rsid w:val="2EA91E22"/>
    <w:rsid w:val="2EAB3BE6"/>
    <w:rsid w:val="2EBA484A"/>
    <w:rsid w:val="2EC55054"/>
    <w:rsid w:val="2EE11AF4"/>
    <w:rsid w:val="2EED43BE"/>
    <w:rsid w:val="2F005539"/>
    <w:rsid w:val="2F023A5C"/>
    <w:rsid w:val="2F051E7D"/>
    <w:rsid w:val="2F191BC1"/>
    <w:rsid w:val="2F1B7042"/>
    <w:rsid w:val="2F282EC5"/>
    <w:rsid w:val="2F305DEA"/>
    <w:rsid w:val="2F3C308F"/>
    <w:rsid w:val="2F431526"/>
    <w:rsid w:val="2F4D3614"/>
    <w:rsid w:val="2F6A6CB6"/>
    <w:rsid w:val="2F6B4563"/>
    <w:rsid w:val="2F6E0487"/>
    <w:rsid w:val="2F70199B"/>
    <w:rsid w:val="2F7215C9"/>
    <w:rsid w:val="2F74507C"/>
    <w:rsid w:val="2F7A74B3"/>
    <w:rsid w:val="2F7C7E9B"/>
    <w:rsid w:val="2F832C79"/>
    <w:rsid w:val="2F8A17C1"/>
    <w:rsid w:val="2F8C3F2B"/>
    <w:rsid w:val="2FAF2CA8"/>
    <w:rsid w:val="2FBC7B96"/>
    <w:rsid w:val="2FBE036A"/>
    <w:rsid w:val="2FC516F9"/>
    <w:rsid w:val="2FCC0CD9"/>
    <w:rsid w:val="2FE46D88"/>
    <w:rsid w:val="2FE95FD9"/>
    <w:rsid w:val="2FEC08F4"/>
    <w:rsid w:val="2FEE5CE0"/>
    <w:rsid w:val="2FEF2D58"/>
    <w:rsid w:val="2FF64971"/>
    <w:rsid w:val="2FFA71A5"/>
    <w:rsid w:val="2FFB3907"/>
    <w:rsid w:val="2FFD0EAB"/>
    <w:rsid w:val="301044EC"/>
    <w:rsid w:val="30227AED"/>
    <w:rsid w:val="30230E9C"/>
    <w:rsid w:val="302A5A00"/>
    <w:rsid w:val="30304AFC"/>
    <w:rsid w:val="30495115"/>
    <w:rsid w:val="304E181E"/>
    <w:rsid w:val="304F51E1"/>
    <w:rsid w:val="30580BC9"/>
    <w:rsid w:val="30617B92"/>
    <w:rsid w:val="306E5A6D"/>
    <w:rsid w:val="308D523C"/>
    <w:rsid w:val="309267E5"/>
    <w:rsid w:val="30A431F7"/>
    <w:rsid w:val="30AF73A4"/>
    <w:rsid w:val="30B75521"/>
    <w:rsid w:val="30BA2ECC"/>
    <w:rsid w:val="30C57933"/>
    <w:rsid w:val="30CA1F7B"/>
    <w:rsid w:val="30DE275A"/>
    <w:rsid w:val="30E003F2"/>
    <w:rsid w:val="30F52254"/>
    <w:rsid w:val="30FA16DD"/>
    <w:rsid w:val="30FA78E5"/>
    <w:rsid w:val="31065122"/>
    <w:rsid w:val="311E2ED7"/>
    <w:rsid w:val="312B0D6B"/>
    <w:rsid w:val="312D4A00"/>
    <w:rsid w:val="312E2DC9"/>
    <w:rsid w:val="312E3F22"/>
    <w:rsid w:val="31454D0B"/>
    <w:rsid w:val="314975D4"/>
    <w:rsid w:val="31525D35"/>
    <w:rsid w:val="315C449C"/>
    <w:rsid w:val="31625B06"/>
    <w:rsid w:val="31772AF1"/>
    <w:rsid w:val="319D394D"/>
    <w:rsid w:val="31AF7986"/>
    <w:rsid w:val="31B04BB2"/>
    <w:rsid w:val="31B1462B"/>
    <w:rsid w:val="31B82709"/>
    <w:rsid w:val="31BC4D7D"/>
    <w:rsid w:val="31D20AD5"/>
    <w:rsid w:val="31E542D4"/>
    <w:rsid w:val="31F237FB"/>
    <w:rsid w:val="32095F57"/>
    <w:rsid w:val="320A5CEC"/>
    <w:rsid w:val="32132BEF"/>
    <w:rsid w:val="321E0467"/>
    <w:rsid w:val="322142C7"/>
    <w:rsid w:val="32276648"/>
    <w:rsid w:val="322E4BAF"/>
    <w:rsid w:val="32304FC3"/>
    <w:rsid w:val="323A6C3B"/>
    <w:rsid w:val="323D0497"/>
    <w:rsid w:val="323E585E"/>
    <w:rsid w:val="32400B34"/>
    <w:rsid w:val="324C70B9"/>
    <w:rsid w:val="324D0E3A"/>
    <w:rsid w:val="324E397F"/>
    <w:rsid w:val="32547C1E"/>
    <w:rsid w:val="325F67CA"/>
    <w:rsid w:val="32607CD9"/>
    <w:rsid w:val="326276D3"/>
    <w:rsid w:val="326A3D21"/>
    <w:rsid w:val="327A08BB"/>
    <w:rsid w:val="328B4B57"/>
    <w:rsid w:val="32931B54"/>
    <w:rsid w:val="32963CDC"/>
    <w:rsid w:val="329E6876"/>
    <w:rsid w:val="329F53A4"/>
    <w:rsid w:val="32AE2918"/>
    <w:rsid w:val="32BC0383"/>
    <w:rsid w:val="32D500CD"/>
    <w:rsid w:val="32DC72AA"/>
    <w:rsid w:val="32E4458C"/>
    <w:rsid w:val="32E869DB"/>
    <w:rsid w:val="3308482E"/>
    <w:rsid w:val="330B65D4"/>
    <w:rsid w:val="33153C52"/>
    <w:rsid w:val="333252F7"/>
    <w:rsid w:val="33332904"/>
    <w:rsid w:val="33436FAF"/>
    <w:rsid w:val="3355548A"/>
    <w:rsid w:val="335D1FE1"/>
    <w:rsid w:val="336B086B"/>
    <w:rsid w:val="33751DFE"/>
    <w:rsid w:val="338322E2"/>
    <w:rsid w:val="33857528"/>
    <w:rsid w:val="33AF6948"/>
    <w:rsid w:val="33B349E2"/>
    <w:rsid w:val="33BC1065"/>
    <w:rsid w:val="33BC1F3C"/>
    <w:rsid w:val="33C067D6"/>
    <w:rsid w:val="33D2612A"/>
    <w:rsid w:val="33D934D4"/>
    <w:rsid w:val="33DA6B2A"/>
    <w:rsid w:val="33FB5641"/>
    <w:rsid w:val="33FE2B59"/>
    <w:rsid w:val="33FE2F6A"/>
    <w:rsid w:val="33FE3C19"/>
    <w:rsid w:val="340842AA"/>
    <w:rsid w:val="34355F14"/>
    <w:rsid w:val="343B75F5"/>
    <w:rsid w:val="344D66DB"/>
    <w:rsid w:val="3451294A"/>
    <w:rsid w:val="34641F91"/>
    <w:rsid w:val="346B1A3E"/>
    <w:rsid w:val="347C312F"/>
    <w:rsid w:val="349A05D6"/>
    <w:rsid w:val="349C245A"/>
    <w:rsid w:val="349C48D3"/>
    <w:rsid w:val="349D3815"/>
    <w:rsid w:val="34DE0D33"/>
    <w:rsid w:val="34E02189"/>
    <w:rsid w:val="34F10246"/>
    <w:rsid w:val="34F673A3"/>
    <w:rsid w:val="34F8431E"/>
    <w:rsid w:val="3506618D"/>
    <w:rsid w:val="350A3728"/>
    <w:rsid w:val="35277B1C"/>
    <w:rsid w:val="35333661"/>
    <w:rsid w:val="35394689"/>
    <w:rsid w:val="353C78C5"/>
    <w:rsid w:val="354018C4"/>
    <w:rsid w:val="35410B17"/>
    <w:rsid w:val="35521C81"/>
    <w:rsid w:val="3555287E"/>
    <w:rsid w:val="356320D2"/>
    <w:rsid w:val="357102AF"/>
    <w:rsid w:val="35762F7A"/>
    <w:rsid w:val="358A151C"/>
    <w:rsid w:val="358E7479"/>
    <w:rsid w:val="358F7D33"/>
    <w:rsid w:val="359074F4"/>
    <w:rsid w:val="35AC0E70"/>
    <w:rsid w:val="35AD5770"/>
    <w:rsid w:val="35B02AF2"/>
    <w:rsid w:val="35CA1789"/>
    <w:rsid w:val="35D07049"/>
    <w:rsid w:val="35D55786"/>
    <w:rsid w:val="35D6372F"/>
    <w:rsid w:val="35DA52E2"/>
    <w:rsid w:val="35EF01D5"/>
    <w:rsid w:val="35EF127D"/>
    <w:rsid w:val="35F246ED"/>
    <w:rsid w:val="35F40F8A"/>
    <w:rsid w:val="35F70E78"/>
    <w:rsid w:val="35F97FE0"/>
    <w:rsid w:val="36074A7F"/>
    <w:rsid w:val="36076EC0"/>
    <w:rsid w:val="36101BC6"/>
    <w:rsid w:val="363B311C"/>
    <w:rsid w:val="36491909"/>
    <w:rsid w:val="364D30A3"/>
    <w:rsid w:val="365617DF"/>
    <w:rsid w:val="36625EF3"/>
    <w:rsid w:val="366A5E74"/>
    <w:rsid w:val="366F0610"/>
    <w:rsid w:val="36800323"/>
    <w:rsid w:val="36923549"/>
    <w:rsid w:val="369344F5"/>
    <w:rsid w:val="36950595"/>
    <w:rsid w:val="369B39A4"/>
    <w:rsid w:val="36B75FBF"/>
    <w:rsid w:val="36BC66B4"/>
    <w:rsid w:val="36BC6CEC"/>
    <w:rsid w:val="36BD6509"/>
    <w:rsid w:val="36C2338E"/>
    <w:rsid w:val="36C41E76"/>
    <w:rsid w:val="36C603D1"/>
    <w:rsid w:val="36D04FD1"/>
    <w:rsid w:val="36E6151B"/>
    <w:rsid w:val="36F0110C"/>
    <w:rsid w:val="36F51C7B"/>
    <w:rsid w:val="36FB4891"/>
    <w:rsid w:val="36FD0424"/>
    <w:rsid w:val="37077CE6"/>
    <w:rsid w:val="370C5E5F"/>
    <w:rsid w:val="37113475"/>
    <w:rsid w:val="37114AE6"/>
    <w:rsid w:val="37160253"/>
    <w:rsid w:val="371E7BED"/>
    <w:rsid w:val="37246369"/>
    <w:rsid w:val="372E5DD5"/>
    <w:rsid w:val="37325A2D"/>
    <w:rsid w:val="373873CF"/>
    <w:rsid w:val="37490E61"/>
    <w:rsid w:val="374B42C7"/>
    <w:rsid w:val="3751441F"/>
    <w:rsid w:val="376526F6"/>
    <w:rsid w:val="3779242C"/>
    <w:rsid w:val="378D0FBF"/>
    <w:rsid w:val="379274DF"/>
    <w:rsid w:val="37A442EA"/>
    <w:rsid w:val="37BB6066"/>
    <w:rsid w:val="37CA44B3"/>
    <w:rsid w:val="37D22C05"/>
    <w:rsid w:val="37EF507D"/>
    <w:rsid w:val="37FC5ED4"/>
    <w:rsid w:val="37FD1ABA"/>
    <w:rsid w:val="38084878"/>
    <w:rsid w:val="38090511"/>
    <w:rsid w:val="38347D1D"/>
    <w:rsid w:val="384653A1"/>
    <w:rsid w:val="38484A4C"/>
    <w:rsid w:val="38497E0E"/>
    <w:rsid w:val="38543054"/>
    <w:rsid w:val="38796196"/>
    <w:rsid w:val="388F4FF2"/>
    <w:rsid w:val="389935B7"/>
    <w:rsid w:val="38BA3386"/>
    <w:rsid w:val="38BB3D60"/>
    <w:rsid w:val="38D8249D"/>
    <w:rsid w:val="38DC750B"/>
    <w:rsid w:val="38F12CD3"/>
    <w:rsid w:val="38F94775"/>
    <w:rsid w:val="38FE1D50"/>
    <w:rsid w:val="38FF316E"/>
    <w:rsid w:val="390A02DA"/>
    <w:rsid w:val="391C0FB7"/>
    <w:rsid w:val="39232578"/>
    <w:rsid w:val="392971ED"/>
    <w:rsid w:val="393A17F3"/>
    <w:rsid w:val="393B2A2C"/>
    <w:rsid w:val="3941767C"/>
    <w:rsid w:val="394D6F17"/>
    <w:rsid w:val="39510567"/>
    <w:rsid w:val="39561161"/>
    <w:rsid w:val="39645383"/>
    <w:rsid w:val="397470F4"/>
    <w:rsid w:val="397F0B6A"/>
    <w:rsid w:val="399B079E"/>
    <w:rsid w:val="39A1361B"/>
    <w:rsid w:val="39A6445A"/>
    <w:rsid w:val="39AA22AF"/>
    <w:rsid w:val="39B27192"/>
    <w:rsid w:val="39B91589"/>
    <w:rsid w:val="39C3553D"/>
    <w:rsid w:val="39C40C73"/>
    <w:rsid w:val="39CA6372"/>
    <w:rsid w:val="39D5080A"/>
    <w:rsid w:val="39D73337"/>
    <w:rsid w:val="39DC3DFF"/>
    <w:rsid w:val="39E2028F"/>
    <w:rsid w:val="39E9644F"/>
    <w:rsid w:val="39F417BB"/>
    <w:rsid w:val="3A06229B"/>
    <w:rsid w:val="3A090308"/>
    <w:rsid w:val="3A0C476E"/>
    <w:rsid w:val="3A145572"/>
    <w:rsid w:val="3A3C685B"/>
    <w:rsid w:val="3A440178"/>
    <w:rsid w:val="3A451DB4"/>
    <w:rsid w:val="3A5407F5"/>
    <w:rsid w:val="3A695EE7"/>
    <w:rsid w:val="3A7624F8"/>
    <w:rsid w:val="3A784AF8"/>
    <w:rsid w:val="3A8844A0"/>
    <w:rsid w:val="3A9B465B"/>
    <w:rsid w:val="3AA542B3"/>
    <w:rsid w:val="3ABB3399"/>
    <w:rsid w:val="3ABC194A"/>
    <w:rsid w:val="3ADE5D64"/>
    <w:rsid w:val="3AF62806"/>
    <w:rsid w:val="3AF822D9"/>
    <w:rsid w:val="3AF82521"/>
    <w:rsid w:val="3AFD1B2F"/>
    <w:rsid w:val="3B01654C"/>
    <w:rsid w:val="3B037F8C"/>
    <w:rsid w:val="3B08028C"/>
    <w:rsid w:val="3B0F4170"/>
    <w:rsid w:val="3B103B9E"/>
    <w:rsid w:val="3B194CA7"/>
    <w:rsid w:val="3B2D45F6"/>
    <w:rsid w:val="3B35613D"/>
    <w:rsid w:val="3B3763D1"/>
    <w:rsid w:val="3B406B55"/>
    <w:rsid w:val="3B4541EE"/>
    <w:rsid w:val="3B4B164C"/>
    <w:rsid w:val="3B515BD3"/>
    <w:rsid w:val="3B59099E"/>
    <w:rsid w:val="3B893F22"/>
    <w:rsid w:val="3B8C4B1C"/>
    <w:rsid w:val="3B960138"/>
    <w:rsid w:val="3BB4643B"/>
    <w:rsid w:val="3BB91240"/>
    <w:rsid w:val="3BE2116F"/>
    <w:rsid w:val="3BE47903"/>
    <w:rsid w:val="3BE50DAB"/>
    <w:rsid w:val="3BEF0044"/>
    <w:rsid w:val="3C1D3194"/>
    <w:rsid w:val="3C216F51"/>
    <w:rsid w:val="3C2D7784"/>
    <w:rsid w:val="3C521D02"/>
    <w:rsid w:val="3C5C3314"/>
    <w:rsid w:val="3C6D114E"/>
    <w:rsid w:val="3C715E15"/>
    <w:rsid w:val="3C7A648D"/>
    <w:rsid w:val="3C812875"/>
    <w:rsid w:val="3C965DEF"/>
    <w:rsid w:val="3CBA0619"/>
    <w:rsid w:val="3CC50C5E"/>
    <w:rsid w:val="3CC71F17"/>
    <w:rsid w:val="3CC7416A"/>
    <w:rsid w:val="3CC81ADC"/>
    <w:rsid w:val="3CD741AC"/>
    <w:rsid w:val="3CD84921"/>
    <w:rsid w:val="3CDA245A"/>
    <w:rsid w:val="3CDC7379"/>
    <w:rsid w:val="3CE259E2"/>
    <w:rsid w:val="3CE351A3"/>
    <w:rsid w:val="3CEE0A37"/>
    <w:rsid w:val="3CF510A8"/>
    <w:rsid w:val="3D0D5664"/>
    <w:rsid w:val="3D164044"/>
    <w:rsid w:val="3D1912D6"/>
    <w:rsid w:val="3D1C6B04"/>
    <w:rsid w:val="3D1C7BDB"/>
    <w:rsid w:val="3D21086E"/>
    <w:rsid w:val="3D3141FE"/>
    <w:rsid w:val="3D337CFF"/>
    <w:rsid w:val="3D606128"/>
    <w:rsid w:val="3D813B2F"/>
    <w:rsid w:val="3D872054"/>
    <w:rsid w:val="3D8C37B0"/>
    <w:rsid w:val="3DD91FA6"/>
    <w:rsid w:val="3E077380"/>
    <w:rsid w:val="3E194B47"/>
    <w:rsid w:val="3E2A406F"/>
    <w:rsid w:val="3E2E11CF"/>
    <w:rsid w:val="3E304C89"/>
    <w:rsid w:val="3E3404DD"/>
    <w:rsid w:val="3E383067"/>
    <w:rsid w:val="3E3A5A09"/>
    <w:rsid w:val="3E3D5881"/>
    <w:rsid w:val="3E4F7D8C"/>
    <w:rsid w:val="3E5D51F2"/>
    <w:rsid w:val="3E7F33BB"/>
    <w:rsid w:val="3E9F770B"/>
    <w:rsid w:val="3EA42E21"/>
    <w:rsid w:val="3EAD4FE8"/>
    <w:rsid w:val="3EB77094"/>
    <w:rsid w:val="3EB90A30"/>
    <w:rsid w:val="3EBB56CF"/>
    <w:rsid w:val="3EC156AB"/>
    <w:rsid w:val="3EC519D0"/>
    <w:rsid w:val="3ED2512C"/>
    <w:rsid w:val="3ED60009"/>
    <w:rsid w:val="3EDC5C43"/>
    <w:rsid w:val="3EE52A3F"/>
    <w:rsid w:val="3EE97319"/>
    <w:rsid w:val="3EEB664B"/>
    <w:rsid w:val="3EED44D1"/>
    <w:rsid w:val="3EF851EA"/>
    <w:rsid w:val="3F0C051B"/>
    <w:rsid w:val="3F4B22F5"/>
    <w:rsid w:val="3F541FEC"/>
    <w:rsid w:val="3F5633A0"/>
    <w:rsid w:val="3F620D12"/>
    <w:rsid w:val="3F660E74"/>
    <w:rsid w:val="3F6850E9"/>
    <w:rsid w:val="3F687DF3"/>
    <w:rsid w:val="3F6E0F8E"/>
    <w:rsid w:val="3F746C97"/>
    <w:rsid w:val="3F834531"/>
    <w:rsid w:val="3F842708"/>
    <w:rsid w:val="3F9F3C49"/>
    <w:rsid w:val="3FAB47AF"/>
    <w:rsid w:val="3FB86955"/>
    <w:rsid w:val="3FB90735"/>
    <w:rsid w:val="3FC4377B"/>
    <w:rsid w:val="3FD60021"/>
    <w:rsid w:val="3FD81A80"/>
    <w:rsid w:val="3FDF6807"/>
    <w:rsid w:val="3FE060DB"/>
    <w:rsid w:val="3FF04570"/>
    <w:rsid w:val="3FF901E3"/>
    <w:rsid w:val="3FFF6442"/>
    <w:rsid w:val="402C1D43"/>
    <w:rsid w:val="403748CC"/>
    <w:rsid w:val="40416592"/>
    <w:rsid w:val="404C46A3"/>
    <w:rsid w:val="405F2FD1"/>
    <w:rsid w:val="4061721C"/>
    <w:rsid w:val="40632F94"/>
    <w:rsid w:val="40643907"/>
    <w:rsid w:val="406D6601"/>
    <w:rsid w:val="407A6407"/>
    <w:rsid w:val="408233F5"/>
    <w:rsid w:val="40885784"/>
    <w:rsid w:val="408B2C62"/>
    <w:rsid w:val="409018AF"/>
    <w:rsid w:val="40BB2DD0"/>
    <w:rsid w:val="40BC3DE0"/>
    <w:rsid w:val="40BE0F76"/>
    <w:rsid w:val="40BF6C77"/>
    <w:rsid w:val="40C373C0"/>
    <w:rsid w:val="40C67881"/>
    <w:rsid w:val="40D22F70"/>
    <w:rsid w:val="40DD1BA7"/>
    <w:rsid w:val="410776FE"/>
    <w:rsid w:val="410C615B"/>
    <w:rsid w:val="411E44F8"/>
    <w:rsid w:val="41233B10"/>
    <w:rsid w:val="41283ACC"/>
    <w:rsid w:val="413A0B2D"/>
    <w:rsid w:val="4162225F"/>
    <w:rsid w:val="41660E4D"/>
    <w:rsid w:val="41662610"/>
    <w:rsid w:val="416C3EE0"/>
    <w:rsid w:val="41767F2A"/>
    <w:rsid w:val="417910D1"/>
    <w:rsid w:val="419F24EC"/>
    <w:rsid w:val="41BD0482"/>
    <w:rsid w:val="41C17AE1"/>
    <w:rsid w:val="41C40607"/>
    <w:rsid w:val="41C73BA3"/>
    <w:rsid w:val="41C8232A"/>
    <w:rsid w:val="41E75FCD"/>
    <w:rsid w:val="41F4550B"/>
    <w:rsid w:val="41F572F6"/>
    <w:rsid w:val="42174040"/>
    <w:rsid w:val="421D308E"/>
    <w:rsid w:val="423A3BCC"/>
    <w:rsid w:val="424F5000"/>
    <w:rsid w:val="426626FF"/>
    <w:rsid w:val="42761CB9"/>
    <w:rsid w:val="427C2691"/>
    <w:rsid w:val="428458D0"/>
    <w:rsid w:val="429347F9"/>
    <w:rsid w:val="429C1A4F"/>
    <w:rsid w:val="42A42F50"/>
    <w:rsid w:val="42AC504F"/>
    <w:rsid w:val="42B51AA1"/>
    <w:rsid w:val="42CC03BF"/>
    <w:rsid w:val="42E113AD"/>
    <w:rsid w:val="42E921A5"/>
    <w:rsid w:val="42F04B82"/>
    <w:rsid w:val="43104F29"/>
    <w:rsid w:val="4313140D"/>
    <w:rsid w:val="43144F06"/>
    <w:rsid w:val="43173021"/>
    <w:rsid w:val="43216F53"/>
    <w:rsid w:val="43232882"/>
    <w:rsid w:val="433531BE"/>
    <w:rsid w:val="433A6FE6"/>
    <w:rsid w:val="43444309"/>
    <w:rsid w:val="43457D59"/>
    <w:rsid w:val="4350713C"/>
    <w:rsid w:val="436653E0"/>
    <w:rsid w:val="437C4AB5"/>
    <w:rsid w:val="43886DB0"/>
    <w:rsid w:val="43AE6F15"/>
    <w:rsid w:val="43AF2165"/>
    <w:rsid w:val="43BF5096"/>
    <w:rsid w:val="43C7383A"/>
    <w:rsid w:val="43CB5BFC"/>
    <w:rsid w:val="43D55EB2"/>
    <w:rsid w:val="43DC0A85"/>
    <w:rsid w:val="43FA49F5"/>
    <w:rsid w:val="440525B4"/>
    <w:rsid w:val="440F6F8F"/>
    <w:rsid w:val="441023D1"/>
    <w:rsid w:val="441F05BA"/>
    <w:rsid w:val="4422731B"/>
    <w:rsid w:val="442D18F9"/>
    <w:rsid w:val="443C12D0"/>
    <w:rsid w:val="444464AA"/>
    <w:rsid w:val="444A5C4A"/>
    <w:rsid w:val="444C1600"/>
    <w:rsid w:val="44740FD5"/>
    <w:rsid w:val="44896D41"/>
    <w:rsid w:val="44AB0E2B"/>
    <w:rsid w:val="44BA748E"/>
    <w:rsid w:val="44CB50EA"/>
    <w:rsid w:val="44CD14E0"/>
    <w:rsid w:val="44D2439B"/>
    <w:rsid w:val="44DC0C7A"/>
    <w:rsid w:val="44EC5CA1"/>
    <w:rsid w:val="44F00195"/>
    <w:rsid w:val="44F02175"/>
    <w:rsid w:val="44F065F1"/>
    <w:rsid w:val="44F75B8E"/>
    <w:rsid w:val="45095E44"/>
    <w:rsid w:val="450A60D4"/>
    <w:rsid w:val="4511217C"/>
    <w:rsid w:val="45180EC0"/>
    <w:rsid w:val="45212C74"/>
    <w:rsid w:val="4529315D"/>
    <w:rsid w:val="4554734F"/>
    <w:rsid w:val="4556764E"/>
    <w:rsid w:val="45637592"/>
    <w:rsid w:val="456804EE"/>
    <w:rsid w:val="456F3965"/>
    <w:rsid w:val="4585083C"/>
    <w:rsid w:val="458946E9"/>
    <w:rsid w:val="45A73D4E"/>
    <w:rsid w:val="45BD5981"/>
    <w:rsid w:val="45BE422F"/>
    <w:rsid w:val="45C51FFB"/>
    <w:rsid w:val="45C65DB0"/>
    <w:rsid w:val="45CD7FF8"/>
    <w:rsid w:val="45E217EA"/>
    <w:rsid w:val="45E80F05"/>
    <w:rsid w:val="45F911E9"/>
    <w:rsid w:val="46444091"/>
    <w:rsid w:val="46651B87"/>
    <w:rsid w:val="46784BF4"/>
    <w:rsid w:val="46805F22"/>
    <w:rsid w:val="468671F8"/>
    <w:rsid w:val="46997CB6"/>
    <w:rsid w:val="46C1054C"/>
    <w:rsid w:val="46D204E1"/>
    <w:rsid w:val="46D955A7"/>
    <w:rsid w:val="46DB6C66"/>
    <w:rsid w:val="46EC35B7"/>
    <w:rsid w:val="46F70F0C"/>
    <w:rsid w:val="46F81EF1"/>
    <w:rsid w:val="47067D34"/>
    <w:rsid w:val="47133957"/>
    <w:rsid w:val="475D1E61"/>
    <w:rsid w:val="475D2918"/>
    <w:rsid w:val="47722FAE"/>
    <w:rsid w:val="4779329E"/>
    <w:rsid w:val="47890047"/>
    <w:rsid w:val="479811CE"/>
    <w:rsid w:val="47A07E0C"/>
    <w:rsid w:val="47BA22EE"/>
    <w:rsid w:val="47C279F9"/>
    <w:rsid w:val="47CA40B0"/>
    <w:rsid w:val="47D25423"/>
    <w:rsid w:val="47F25461"/>
    <w:rsid w:val="47F81C2B"/>
    <w:rsid w:val="47FB4A3E"/>
    <w:rsid w:val="47FF5568"/>
    <w:rsid w:val="480C4E6E"/>
    <w:rsid w:val="480F7CBE"/>
    <w:rsid w:val="481638A3"/>
    <w:rsid w:val="481B23A6"/>
    <w:rsid w:val="48256D81"/>
    <w:rsid w:val="4839282C"/>
    <w:rsid w:val="484F7095"/>
    <w:rsid w:val="48522839"/>
    <w:rsid w:val="48556997"/>
    <w:rsid w:val="48584E60"/>
    <w:rsid w:val="4870272E"/>
    <w:rsid w:val="48776CD3"/>
    <w:rsid w:val="488B752C"/>
    <w:rsid w:val="48A70324"/>
    <w:rsid w:val="48AC2FFE"/>
    <w:rsid w:val="48AE4FC8"/>
    <w:rsid w:val="48B545A9"/>
    <w:rsid w:val="48CB33C3"/>
    <w:rsid w:val="48CB49A6"/>
    <w:rsid w:val="48CC6426"/>
    <w:rsid w:val="48E608B9"/>
    <w:rsid w:val="48E7038C"/>
    <w:rsid w:val="491D5CAA"/>
    <w:rsid w:val="492D2CEA"/>
    <w:rsid w:val="492E7E55"/>
    <w:rsid w:val="4939651D"/>
    <w:rsid w:val="493E3486"/>
    <w:rsid w:val="49491CCF"/>
    <w:rsid w:val="494C2D86"/>
    <w:rsid w:val="49577FED"/>
    <w:rsid w:val="495C077B"/>
    <w:rsid w:val="49602CE8"/>
    <w:rsid w:val="496227D6"/>
    <w:rsid w:val="49635483"/>
    <w:rsid w:val="49645EF8"/>
    <w:rsid w:val="497F16ED"/>
    <w:rsid w:val="49927641"/>
    <w:rsid w:val="49997FA3"/>
    <w:rsid w:val="49C03BC5"/>
    <w:rsid w:val="49C33CAB"/>
    <w:rsid w:val="49DB7DE9"/>
    <w:rsid w:val="49DC7715"/>
    <w:rsid w:val="49ED2DC3"/>
    <w:rsid w:val="49EF29E8"/>
    <w:rsid w:val="49F15416"/>
    <w:rsid w:val="49F84CDF"/>
    <w:rsid w:val="49FA3BB9"/>
    <w:rsid w:val="4A023139"/>
    <w:rsid w:val="4A11580F"/>
    <w:rsid w:val="4A1B4AC8"/>
    <w:rsid w:val="4A1E4D26"/>
    <w:rsid w:val="4A3B501B"/>
    <w:rsid w:val="4A3C414F"/>
    <w:rsid w:val="4A49796A"/>
    <w:rsid w:val="4A556A39"/>
    <w:rsid w:val="4A593DDE"/>
    <w:rsid w:val="4A6923B5"/>
    <w:rsid w:val="4A7B576F"/>
    <w:rsid w:val="4A7D5F04"/>
    <w:rsid w:val="4A7E24A8"/>
    <w:rsid w:val="4A8C21D5"/>
    <w:rsid w:val="4A8F69E9"/>
    <w:rsid w:val="4AAC3FAC"/>
    <w:rsid w:val="4AAE6115"/>
    <w:rsid w:val="4AB84E50"/>
    <w:rsid w:val="4ABD3DD4"/>
    <w:rsid w:val="4AD66AF6"/>
    <w:rsid w:val="4AF52E3A"/>
    <w:rsid w:val="4B0A057A"/>
    <w:rsid w:val="4B0A3D97"/>
    <w:rsid w:val="4B1B26BD"/>
    <w:rsid w:val="4B2311BC"/>
    <w:rsid w:val="4B270DD8"/>
    <w:rsid w:val="4B2A30FA"/>
    <w:rsid w:val="4B405FA7"/>
    <w:rsid w:val="4B4E6182"/>
    <w:rsid w:val="4B5342DC"/>
    <w:rsid w:val="4B5471FC"/>
    <w:rsid w:val="4B5802A7"/>
    <w:rsid w:val="4B5B6AA0"/>
    <w:rsid w:val="4B6A1CB8"/>
    <w:rsid w:val="4B6D1932"/>
    <w:rsid w:val="4B707453"/>
    <w:rsid w:val="4B7966E5"/>
    <w:rsid w:val="4B806CD7"/>
    <w:rsid w:val="4B8844CF"/>
    <w:rsid w:val="4BA50813"/>
    <w:rsid w:val="4BD765E4"/>
    <w:rsid w:val="4BF60E52"/>
    <w:rsid w:val="4C015B46"/>
    <w:rsid w:val="4C0B05A4"/>
    <w:rsid w:val="4C120D82"/>
    <w:rsid w:val="4C28174B"/>
    <w:rsid w:val="4C336B95"/>
    <w:rsid w:val="4C3677AE"/>
    <w:rsid w:val="4C374BE4"/>
    <w:rsid w:val="4C3F7F98"/>
    <w:rsid w:val="4C401CBD"/>
    <w:rsid w:val="4C475FD9"/>
    <w:rsid w:val="4C4A0649"/>
    <w:rsid w:val="4C4F3A72"/>
    <w:rsid w:val="4C5273F7"/>
    <w:rsid w:val="4C592B7E"/>
    <w:rsid w:val="4C7B0F5A"/>
    <w:rsid w:val="4CAE268F"/>
    <w:rsid w:val="4CD722DB"/>
    <w:rsid w:val="4CE20989"/>
    <w:rsid w:val="4CE470D3"/>
    <w:rsid w:val="4CE70814"/>
    <w:rsid w:val="4CEE28DB"/>
    <w:rsid w:val="4CEF1DA0"/>
    <w:rsid w:val="4CEF795D"/>
    <w:rsid w:val="4CF73EC1"/>
    <w:rsid w:val="4CF7561A"/>
    <w:rsid w:val="4CFC7C69"/>
    <w:rsid w:val="4D057181"/>
    <w:rsid w:val="4D0E7D5E"/>
    <w:rsid w:val="4D16272A"/>
    <w:rsid w:val="4D192F35"/>
    <w:rsid w:val="4D205E80"/>
    <w:rsid w:val="4D251558"/>
    <w:rsid w:val="4D326A6F"/>
    <w:rsid w:val="4D3411C0"/>
    <w:rsid w:val="4D3E3956"/>
    <w:rsid w:val="4D421930"/>
    <w:rsid w:val="4D722A68"/>
    <w:rsid w:val="4D83529B"/>
    <w:rsid w:val="4D8F7E22"/>
    <w:rsid w:val="4D9647D7"/>
    <w:rsid w:val="4DC53E9D"/>
    <w:rsid w:val="4DCB00BC"/>
    <w:rsid w:val="4DCF6327"/>
    <w:rsid w:val="4DD859FE"/>
    <w:rsid w:val="4DEC4FB0"/>
    <w:rsid w:val="4DF64326"/>
    <w:rsid w:val="4DFD0E05"/>
    <w:rsid w:val="4E075D8A"/>
    <w:rsid w:val="4E077DD1"/>
    <w:rsid w:val="4E0E070C"/>
    <w:rsid w:val="4E1B78D3"/>
    <w:rsid w:val="4E3C4AAA"/>
    <w:rsid w:val="4E403B30"/>
    <w:rsid w:val="4E41068C"/>
    <w:rsid w:val="4E475AAB"/>
    <w:rsid w:val="4E477AAE"/>
    <w:rsid w:val="4E8A2332"/>
    <w:rsid w:val="4E91134D"/>
    <w:rsid w:val="4EA41181"/>
    <w:rsid w:val="4EBF7625"/>
    <w:rsid w:val="4EC4614F"/>
    <w:rsid w:val="4EE25839"/>
    <w:rsid w:val="4EED0B13"/>
    <w:rsid w:val="4F0C4908"/>
    <w:rsid w:val="4F0D563C"/>
    <w:rsid w:val="4F134FD5"/>
    <w:rsid w:val="4F1B011E"/>
    <w:rsid w:val="4F1E45DC"/>
    <w:rsid w:val="4F321F3D"/>
    <w:rsid w:val="4F3F604E"/>
    <w:rsid w:val="4F416B96"/>
    <w:rsid w:val="4F4372D4"/>
    <w:rsid w:val="4F45272A"/>
    <w:rsid w:val="4F497D9F"/>
    <w:rsid w:val="4F4D2BF5"/>
    <w:rsid w:val="4F7905E8"/>
    <w:rsid w:val="4F89218B"/>
    <w:rsid w:val="4F9273F2"/>
    <w:rsid w:val="4F95372E"/>
    <w:rsid w:val="4FAE3957"/>
    <w:rsid w:val="4FC62A8C"/>
    <w:rsid w:val="4FCD5CCF"/>
    <w:rsid w:val="4FDA48F5"/>
    <w:rsid w:val="4FE0180D"/>
    <w:rsid w:val="4FE20F0D"/>
    <w:rsid w:val="4FE319FB"/>
    <w:rsid w:val="4FF24E90"/>
    <w:rsid w:val="4FF84D7B"/>
    <w:rsid w:val="4FF97471"/>
    <w:rsid w:val="500263F2"/>
    <w:rsid w:val="50040676"/>
    <w:rsid w:val="500674A1"/>
    <w:rsid w:val="500C4D5E"/>
    <w:rsid w:val="50241C04"/>
    <w:rsid w:val="502B5150"/>
    <w:rsid w:val="502E67CE"/>
    <w:rsid w:val="50355A26"/>
    <w:rsid w:val="503A2AB3"/>
    <w:rsid w:val="50504C4B"/>
    <w:rsid w:val="505277AC"/>
    <w:rsid w:val="505C2FF8"/>
    <w:rsid w:val="505F5AEB"/>
    <w:rsid w:val="50676CA5"/>
    <w:rsid w:val="50736F24"/>
    <w:rsid w:val="50750426"/>
    <w:rsid w:val="50753906"/>
    <w:rsid w:val="507669E4"/>
    <w:rsid w:val="50786790"/>
    <w:rsid w:val="50846F91"/>
    <w:rsid w:val="508F1B83"/>
    <w:rsid w:val="509C6E7C"/>
    <w:rsid w:val="50C21795"/>
    <w:rsid w:val="50C619F8"/>
    <w:rsid w:val="50C652CB"/>
    <w:rsid w:val="50D6330E"/>
    <w:rsid w:val="50DE6F3A"/>
    <w:rsid w:val="50E935E3"/>
    <w:rsid w:val="510B737C"/>
    <w:rsid w:val="51224619"/>
    <w:rsid w:val="512F36EA"/>
    <w:rsid w:val="513F525A"/>
    <w:rsid w:val="51402E7D"/>
    <w:rsid w:val="514209A3"/>
    <w:rsid w:val="51452BAC"/>
    <w:rsid w:val="51540C82"/>
    <w:rsid w:val="5162104E"/>
    <w:rsid w:val="51633F5E"/>
    <w:rsid w:val="5171760B"/>
    <w:rsid w:val="51734844"/>
    <w:rsid w:val="5191094C"/>
    <w:rsid w:val="51964850"/>
    <w:rsid w:val="51B73AEB"/>
    <w:rsid w:val="51CD0606"/>
    <w:rsid w:val="51F81962"/>
    <w:rsid w:val="520B6FE7"/>
    <w:rsid w:val="521C1705"/>
    <w:rsid w:val="52207E0C"/>
    <w:rsid w:val="522F2253"/>
    <w:rsid w:val="524974D4"/>
    <w:rsid w:val="52590A61"/>
    <w:rsid w:val="525B6530"/>
    <w:rsid w:val="52612367"/>
    <w:rsid w:val="526F2BAC"/>
    <w:rsid w:val="527903F5"/>
    <w:rsid w:val="529214B7"/>
    <w:rsid w:val="52A66780"/>
    <w:rsid w:val="52AC002D"/>
    <w:rsid w:val="52CA6EA2"/>
    <w:rsid w:val="52CF6AFB"/>
    <w:rsid w:val="52D1648E"/>
    <w:rsid w:val="52E609DD"/>
    <w:rsid w:val="52F12884"/>
    <w:rsid w:val="52FF67EE"/>
    <w:rsid w:val="53000EEE"/>
    <w:rsid w:val="53213E97"/>
    <w:rsid w:val="533F25FE"/>
    <w:rsid w:val="53426A39"/>
    <w:rsid w:val="53532ADA"/>
    <w:rsid w:val="535D7E00"/>
    <w:rsid w:val="536814D2"/>
    <w:rsid w:val="53740BBC"/>
    <w:rsid w:val="538133FA"/>
    <w:rsid w:val="53913009"/>
    <w:rsid w:val="53957743"/>
    <w:rsid w:val="539778E4"/>
    <w:rsid w:val="539B740D"/>
    <w:rsid w:val="53A039CC"/>
    <w:rsid w:val="53A1505A"/>
    <w:rsid w:val="53A735E1"/>
    <w:rsid w:val="53B131DB"/>
    <w:rsid w:val="53D031EA"/>
    <w:rsid w:val="53F64AE1"/>
    <w:rsid w:val="54063E08"/>
    <w:rsid w:val="54071615"/>
    <w:rsid w:val="541F35B3"/>
    <w:rsid w:val="542A0B72"/>
    <w:rsid w:val="54310E79"/>
    <w:rsid w:val="543437E8"/>
    <w:rsid w:val="5438296E"/>
    <w:rsid w:val="54482775"/>
    <w:rsid w:val="54542B2A"/>
    <w:rsid w:val="54565AA5"/>
    <w:rsid w:val="545A053E"/>
    <w:rsid w:val="54603F5B"/>
    <w:rsid w:val="546C17D4"/>
    <w:rsid w:val="547411E7"/>
    <w:rsid w:val="54794B82"/>
    <w:rsid w:val="54795557"/>
    <w:rsid w:val="54857525"/>
    <w:rsid w:val="54910523"/>
    <w:rsid w:val="54B57CCE"/>
    <w:rsid w:val="54BA770C"/>
    <w:rsid w:val="54C17E31"/>
    <w:rsid w:val="54E135EF"/>
    <w:rsid w:val="54E73C56"/>
    <w:rsid w:val="54F4646B"/>
    <w:rsid w:val="54FC3769"/>
    <w:rsid w:val="551C14FB"/>
    <w:rsid w:val="552B1FDC"/>
    <w:rsid w:val="552D2BAA"/>
    <w:rsid w:val="553A2015"/>
    <w:rsid w:val="553E35E4"/>
    <w:rsid w:val="555962BC"/>
    <w:rsid w:val="55596D53"/>
    <w:rsid w:val="556B3EB9"/>
    <w:rsid w:val="55816518"/>
    <w:rsid w:val="55816DF8"/>
    <w:rsid w:val="559760DA"/>
    <w:rsid w:val="55993E2D"/>
    <w:rsid w:val="559B174B"/>
    <w:rsid w:val="55B05021"/>
    <w:rsid w:val="55B40DA9"/>
    <w:rsid w:val="55BF3620"/>
    <w:rsid w:val="55C54A85"/>
    <w:rsid w:val="55C743C1"/>
    <w:rsid w:val="55CE0CF4"/>
    <w:rsid w:val="55E00CFC"/>
    <w:rsid w:val="560066EA"/>
    <w:rsid w:val="56044605"/>
    <w:rsid w:val="5609309D"/>
    <w:rsid w:val="56103E73"/>
    <w:rsid w:val="561D553B"/>
    <w:rsid w:val="56363EB2"/>
    <w:rsid w:val="563B581F"/>
    <w:rsid w:val="563D7950"/>
    <w:rsid w:val="56554430"/>
    <w:rsid w:val="565821A1"/>
    <w:rsid w:val="567B34D6"/>
    <w:rsid w:val="567F5AE7"/>
    <w:rsid w:val="56893E7C"/>
    <w:rsid w:val="56B117B1"/>
    <w:rsid w:val="56B22A9C"/>
    <w:rsid w:val="56B60B67"/>
    <w:rsid w:val="56B77704"/>
    <w:rsid w:val="56C500AD"/>
    <w:rsid w:val="56CD5502"/>
    <w:rsid w:val="56FA7EBE"/>
    <w:rsid w:val="570651CE"/>
    <w:rsid w:val="570B48CF"/>
    <w:rsid w:val="570C1815"/>
    <w:rsid w:val="570C5F15"/>
    <w:rsid w:val="571144A1"/>
    <w:rsid w:val="57261E0A"/>
    <w:rsid w:val="57302D14"/>
    <w:rsid w:val="57346FE0"/>
    <w:rsid w:val="57376624"/>
    <w:rsid w:val="573E3DA0"/>
    <w:rsid w:val="574C432A"/>
    <w:rsid w:val="575136EE"/>
    <w:rsid w:val="576571EE"/>
    <w:rsid w:val="579072E6"/>
    <w:rsid w:val="57A53F78"/>
    <w:rsid w:val="57A92EA8"/>
    <w:rsid w:val="57AB2575"/>
    <w:rsid w:val="57B141AA"/>
    <w:rsid w:val="57B72A76"/>
    <w:rsid w:val="57B9119B"/>
    <w:rsid w:val="57BA01E2"/>
    <w:rsid w:val="57CC0034"/>
    <w:rsid w:val="57CF4DC4"/>
    <w:rsid w:val="57E75E01"/>
    <w:rsid w:val="57F443A6"/>
    <w:rsid w:val="57FA43B3"/>
    <w:rsid w:val="580A11E6"/>
    <w:rsid w:val="58135D80"/>
    <w:rsid w:val="58197E1A"/>
    <w:rsid w:val="582B75F1"/>
    <w:rsid w:val="583839FA"/>
    <w:rsid w:val="583848AE"/>
    <w:rsid w:val="583F0FE2"/>
    <w:rsid w:val="584843F7"/>
    <w:rsid w:val="585B7227"/>
    <w:rsid w:val="5871741C"/>
    <w:rsid w:val="58756A17"/>
    <w:rsid w:val="588D5330"/>
    <w:rsid w:val="58B64CFC"/>
    <w:rsid w:val="58B84211"/>
    <w:rsid w:val="58C70C0A"/>
    <w:rsid w:val="58CC4FE3"/>
    <w:rsid w:val="58CD3867"/>
    <w:rsid w:val="58D2260D"/>
    <w:rsid w:val="58EA38C9"/>
    <w:rsid w:val="59056862"/>
    <w:rsid w:val="590D6AC3"/>
    <w:rsid w:val="590F4542"/>
    <w:rsid w:val="591E22C1"/>
    <w:rsid w:val="592A2449"/>
    <w:rsid w:val="592E78E1"/>
    <w:rsid w:val="593B2060"/>
    <w:rsid w:val="594E1460"/>
    <w:rsid w:val="59527735"/>
    <w:rsid w:val="595B08A7"/>
    <w:rsid w:val="596F0FAB"/>
    <w:rsid w:val="597422E2"/>
    <w:rsid w:val="597B52F1"/>
    <w:rsid w:val="59883A1E"/>
    <w:rsid w:val="59952D90"/>
    <w:rsid w:val="599E580E"/>
    <w:rsid w:val="59B155EE"/>
    <w:rsid w:val="59BB2BBD"/>
    <w:rsid w:val="59C612F8"/>
    <w:rsid w:val="59C62D24"/>
    <w:rsid w:val="59D055EE"/>
    <w:rsid w:val="59DC0A98"/>
    <w:rsid w:val="59E76093"/>
    <w:rsid w:val="5A0C48A0"/>
    <w:rsid w:val="5A10399D"/>
    <w:rsid w:val="5A191D7E"/>
    <w:rsid w:val="5A286307"/>
    <w:rsid w:val="5A2C05B1"/>
    <w:rsid w:val="5A3410A5"/>
    <w:rsid w:val="5A3C143E"/>
    <w:rsid w:val="5A3C747D"/>
    <w:rsid w:val="5A3E640A"/>
    <w:rsid w:val="5A4A544C"/>
    <w:rsid w:val="5A574E32"/>
    <w:rsid w:val="5A7B559A"/>
    <w:rsid w:val="5A802172"/>
    <w:rsid w:val="5A977B52"/>
    <w:rsid w:val="5AA96484"/>
    <w:rsid w:val="5ABE2233"/>
    <w:rsid w:val="5AC02C2E"/>
    <w:rsid w:val="5AE62B7D"/>
    <w:rsid w:val="5AEA3C95"/>
    <w:rsid w:val="5AFD5152"/>
    <w:rsid w:val="5B0F234D"/>
    <w:rsid w:val="5B0F5D9A"/>
    <w:rsid w:val="5B107B3C"/>
    <w:rsid w:val="5B122217"/>
    <w:rsid w:val="5B1716EB"/>
    <w:rsid w:val="5B276D18"/>
    <w:rsid w:val="5B527B48"/>
    <w:rsid w:val="5B65669C"/>
    <w:rsid w:val="5B686615"/>
    <w:rsid w:val="5B6D4C7B"/>
    <w:rsid w:val="5B74185E"/>
    <w:rsid w:val="5B8F438F"/>
    <w:rsid w:val="5B950107"/>
    <w:rsid w:val="5BA66C57"/>
    <w:rsid w:val="5BBA68BC"/>
    <w:rsid w:val="5BC24CF2"/>
    <w:rsid w:val="5BC31B34"/>
    <w:rsid w:val="5BCA19C2"/>
    <w:rsid w:val="5BD40834"/>
    <w:rsid w:val="5BDF5D95"/>
    <w:rsid w:val="5C0827EA"/>
    <w:rsid w:val="5C16055D"/>
    <w:rsid w:val="5C3D3931"/>
    <w:rsid w:val="5C421C8D"/>
    <w:rsid w:val="5C4E2D1B"/>
    <w:rsid w:val="5C537F09"/>
    <w:rsid w:val="5C6E0AC8"/>
    <w:rsid w:val="5C740EF5"/>
    <w:rsid w:val="5C7C28BE"/>
    <w:rsid w:val="5C896553"/>
    <w:rsid w:val="5C9D599A"/>
    <w:rsid w:val="5CAD40C3"/>
    <w:rsid w:val="5CB07109"/>
    <w:rsid w:val="5CB63FF4"/>
    <w:rsid w:val="5CEF6764"/>
    <w:rsid w:val="5CF70654"/>
    <w:rsid w:val="5D1421EE"/>
    <w:rsid w:val="5D153410"/>
    <w:rsid w:val="5D153F00"/>
    <w:rsid w:val="5D180AF3"/>
    <w:rsid w:val="5D1A6C78"/>
    <w:rsid w:val="5D205EDA"/>
    <w:rsid w:val="5D215911"/>
    <w:rsid w:val="5D2974B8"/>
    <w:rsid w:val="5D335675"/>
    <w:rsid w:val="5D3D64C3"/>
    <w:rsid w:val="5D593C96"/>
    <w:rsid w:val="5D5E6458"/>
    <w:rsid w:val="5D605CC0"/>
    <w:rsid w:val="5D692DEF"/>
    <w:rsid w:val="5D8D02E6"/>
    <w:rsid w:val="5D922BB9"/>
    <w:rsid w:val="5DAF61B5"/>
    <w:rsid w:val="5DC4431F"/>
    <w:rsid w:val="5DC565E7"/>
    <w:rsid w:val="5DCC2B07"/>
    <w:rsid w:val="5DCF5399"/>
    <w:rsid w:val="5DD13320"/>
    <w:rsid w:val="5DDA27A6"/>
    <w:rsid w:val="5DF475DD"/>
    <w:rsid w:val="5DF87A0F"/>
    <w:rsid w:val="5E0A2DD7"/>
    <w:rsid w:val="5E1F120E"/>
    <w:rsid w:val="5E233BFA"/>
    <w:rsid w:val="5E29424F"/>
    <w:rsid w:val="5E372C14"/>
    <w:rsid w:val="5E5B5FBE"/>
    <w:rsid w:val="5E61172D"/>
    <w:rsid w:val="5E6301AB"/>
    <w:rsid w:val="5E656659"/>
    <w:rsid w:val="5E745F2F"/>
    <w:rsid w:val="5E781EC9"/>
    <w:rsid w:val="5E793E7F"/>
    <w:rsid w:val="5E7A1ECD"/>
    <w:rsid w:val="5E875C48"/>
    <w:rsid w:val="5E8C1AE2"/>
    <w:rsid w:val="5E9B7945"/>
    <w:rsid w:val="5EA92769"/>
    <w:rsid w:val="5EB3691E"/>
    <w:rsid w:val="5ECD5595"/>
    <w:rsid w:val="5EDC2C5F"/>
    <w:rsid w:val="5EDD77F4"/>
    <w:rsid w:val="5EE00292"/>
    <w:rsid w:val="5EF82623"/>
    <w:rsid w:val="5EFA1868"/>
    <w:rsid w:val="5F04171A"/>
    <w:rsid w:val="5F0954CA"/>
    <w:rsid w:val="5F1A2B43"/>
    <w:rsid w:val="5F214769"/>
    <w:rsid w:val="5F3F5C99"/>
    <w:rsid w:val="5F440F8E"/>
    <w:rsid w:val="5F732D26"/>
    <w:rsid w:val="5F800412"/>
    <w:rsid w:val="5F860D1F"/>
    <w:rsid w:val="5F8E1118"/>
    <w:rsid w:val="5F8F14E9"/>
    <w:rsid w:val="5FA72797"/>
    <w:rsid w:val="5FB10661"/>
    <w:rsid w:val="5FB354F4"/>
    <w:rsid w:val="5FB837BB"/>
    <w:rsid w:val="5FE6271B"/>
    <w:rsid w:val="600A0789"/>
    <w:rsid w:val="60134411"/>
    <w:rsid w:val="60216FD4"/>
    <w:rsid w:val="60222640"/>
    <w:rsid w:val="604A329C"/>
    <w:rsid w:val="604D035D"/>
    <w:rsid w:val="604F0DD1"/>
    <w:rsid w:val="605E0C2A"/>
    <w:rsid w:val="60636240"/>
    <w:rsid w:val="606D5311"/>
    <w:rsid w:val="60745D3F"/>
    <w:rsid w:val="60755D47"/>
    <w:rsid w:val="60A57625"/>
    <w:rsid w:val="60B965C5"/>
    <w:rsid w:val="60BA631F"/>
    <w:rsid w:val="60CC24BE"/>
    <w:rsid w:val="60CD7435"/>
    <w:rsid w:val="60CE76D1"/>
    <w:rsid w:val="60D62EB6"/>
    <w:rsid w:val="60DD3E86"/>
    <w:rsid w:val="60E06453"/>
    <w:rsid w:val="60EA092F"/>
    <w:rsid w:val="60F15814"/>
    <w:rsid w:val="60F82E2D"/>
    <w:rsid w:val="60F972CB"/>
    <w:rsid w:val="60FB0375"/>
    <w:rsid w:val="60FF229F"/>
    <w:rsid w:val="61047A23"/>
    <w:rsid w:val="61081167"/>
    <w:rsid w:val="61302A02"/>
    <w:rsid w:val="61595212"/>
    <w:rsid w:val="615E688C"/>
    <w:rsid w:val="618064E4"/>
    <w:rsid w:val="618475DE"/>
    <w:rsid w:val="61A30FEA"/>
    <w:rsid w:val="61B44F9D"/>
    <w:rsid w:val="61B74A96"/>
    <w:rsid w:val="61BA22BA"/>
    <w:rsid w:val="61C35237"/>
    <w:rsid w:val="61D67C07"/>
    <w:rsid w:val="61DB0F7F"/>
    <w:rsid w:val="61DB147C"/>
    <w:rsid w:val="61F04B12"/>
    <w:rsid w:val="620B4C16"/>
    <w:rsid w:val="62176EB0"/>
    <w:rsid w:val="621A6836"/>
    <w:rsid w:val="622163B3"/>
    <w:rsid w:val="622819C9"/>
    <w:rsid w:val="62281AE0"/>
    <w:rsid w:val="62364782"/>
    <w:rsid w:val="62436EE9"/>
    <w:rsid w:val="62515B87"/>
    <w:rsid w:val="62526A0B"/>
    <w:rsid w:val="625930F1"/>
    <w:rsid w:val="626E7D18"/>
    <w:rsid w:val="626F70A6"/>
    <w:rsid w:val="627F11AE"/>
    <w:rsid w:val="628148FB"/>
    <w:rsid w:val="62866D43"/>
    <w:rsid w:val="62885E2F"/>
    <w:rsid w:val="62987430"/>
    <w:rsid w:val="62A7171A"/>
    <w:rsid w:val="62BC5F8E"/>
    <w:rsid w:val="62E713AB"/>
    <w:rsid w:val="62EA782E"/>
    <w:rsid w:val="62EE1D25"/>
    <w:rsid w:val="62F24F2C"/>
    <w:rsid w:val="62F42E50"/>
    <w:rsid w:val="62F90B94"/>
    <w:rsid w:val="62FE7C2F"/>
    <w:rsid w:val="63133D3B"/>
    <w:rsid w:val="631F28F3"/>
    <w:rsid w:val="6324615B"/>
    <w:rsid w:val="632D48FF"/>
    <w:rsid w:val="633975E6"/>
    <w:rsid w:val="63411996"/>
    <w:rsid w:val="634B193A"/>
    <w:rsid w:val="634D0947"/>
    <w:rsid w:val="63530E08"/>
    <w:rsid w:val="63743FC6"/>
    <w:rsid w:val="638C0B08"/>
    <w:rsid w:val="63B5244B"/>
    <w:rsid w:val="63C677FB"/>
    <w:rsid w:val="63CB2F16"/>
    <w:rsid w:val="63D40BE9"/>
    <w:rsid w:val="63E0211F"/>
    <w:rsid w:val="63E458EA"/>
    <w:rsid w:val="63EF665D"/>
    <w:rsid w:val="640954A4"/>
    <w:rsid w:val="640D6BEF"/>
    <w:rsid w:val="6411184C"/>
    <w:rsid w:val="6418674C"/>
    <w:rsid w:val="64313077"/>
    <w:rsid w:val="643F0A66"/>
    <w:rsid w:val="644C27A0"/>
    <w:rsid w:val="64515C6C"/>
    <w:rsid w:val="64620BB7"/>
    <w:rsid w:val="647A6DC3"/>
    <w:rsid w:val="6480756C"/>
    <w:rsid w:val="64876EA5"/>
    <w:rsid w:val="64A941E8"/>
    <w:rsid w:val="64AD2180"/>
    <w:rsid w:val="64B33CC3"/>
    <w:rsid w:val="64B85DBB"/>
    <w:rsid w:val="64C532A5"/>
    <w:rsid w:val="64D12312"/>
    <w:rsid w:val="64DB517F"/>
    <w:rsid w:val="65120B8A"/>
    <w:rsid w:val="65373578"/>
    <w:rsid w:val="65423387"/>
    <w:rsid w:val="655C5A01"/>
    <w:rsid w:val="656071F2"/>
    <w:rsid w:val="65826BA0"/>
    <w:rsid w:val="658A4348"/>
    <w:rsid w:val="659375C8"/>
    <w:rsid w:val="65A215B9"/>
    <w:rsid w:val="65A417D5"/>
    <w:rsid w:val="65A92947"/>
    <w:rsid w:val="65CD4934"/>
    <w:rsid w:val="65D41896"/>
    <w:rsid w:val="65D861B7"/>
    <w:rsid w:val="65FA7647"/>
    <w:rsid w:val="66102409"/>
    <w:rsid w:val="66110FFA"/>
    <w:rsid w:val="66271AA6"/>
    <w:rsid w:val="6636525E"/>
    <w:rsid w:val="66455290"/>
    <w:rsid w:val="66752449"/>
    <w:rsid w:val="66892BAC"/>
    <w:rsid w:val="668A15D7"/>
    <w:rsid w:val="668D04BB"/>
    <w:rsid w:val="66C4381E"/>
    <w:rsid w:val="66C544B4"/>
    <w:rsid w:val="66CB54F6"/>
    <w:rsid w:val="66D1082C"/>
    <w:rsid w:val="66D460EA"/>
    <w:rsid w:val="66ED24B9"/>
    <w:rsid w:val="66F82A57"/>
    <w:rsid w:val="66F96887"/>
    <w:rsid w:val="66FA0915"/>
    <w:rsid w:val="66FA678E"/>
    <w:rsid w:val="671958AB"/>
    <w:rsid w:val="673431F6"/>
    <w:rsid w:val="673F2C7A"/>
    <w:rsid w:val="67486190"/>
    <w:rsid w:val="675B5EC3"/>
    <w:rsid w:val="676659CC"/>
    <w:rsid w:val="677156E7"/>
    <w:rsid w:val="677A045A"/>
    <w:rsid w:val="67812B00"/>
    <w:rsid w:val="67892A30"/>
    <w:rsid w:val="678F190A"/>
    <w:rsid w:val="67914FF5"/>
    <w:rsid w:val="67975D72"/>
    <w:rsid w:val="67A97681"/>
    <w:rsid w:val="67CD24DF"/>
    <w:rsid w:val="67CE0D8B"/>
    <w:rsid w:val="67EA162B"/>
    <w:rsid w:val="67F14BF8"/>
    <w:rsid w:val="681B3F89"/>
    <w:rsid w:val="681F6961"/>
    <w:rsid w:val="68232E85"/>
    <w:rsid w:val="683B7DC2"/>
    <w:rsid w:val="68610A2F"/>
    <w:rsid w:val="686317DF"/>
    <w:rsid w:val="68641BD5"/>
    <w:rsid w:val="68805514"/>
    <w:rsid w:val="68914293"/>
    <w:rsid w:val="68925308"/>
    <w:rsid w:val="68940C2B"/>
    <w:rsid w:val="68967E6C"/>
    <w:rsid w:val="68AA29BC"/>
    <w:rsid w:val="68B15B66"/>
    <w:rsid w:val="68B81402"/>
    <w:rsid w:val="68D11D4D"/>
    <w:rsid w:val="68DB1440"/>
    <w:rsid w:val="68F76EB4"/>
    <w:rsid w:val="68FF6B48"/>
    <w:rsid w:val="69024DBC"/>
    <w:rsid w:val="690A6231"/>
    <w:rsid w:val="69151968"/>
    <w:rsid w:val="69190F22"/>
    <w:rsid w:val="69270753"/>
    <w:rsid w:val="694E2071"/>
    <w:rsid w:val="6955571D"/>
    <w:rsid w:val="695D2355"/>
    <w:rsid w:val="696858E1"/>
    <w:rsid w:val="6968779D"/>
    <w:rsid w:val="696D7553"/>
    <w:rsid w:val="69762615"/>
    <w:rsid w:val="697A3B33"/>
    <w:rsid w:val="697E4B75"/>
    <w:rsid w:val="697E5741"/>
    <w:rsid w:val="69824D58"/>
    <w:rsid w:val="698439AC"/>
    <w:rsid w:val="698E72A2"/>
    <w:rsid w:val="6996224A"/>
    <w:rsid w:val="699E2456"/>
    <w:rsid w:val="69BC2935"/>
    <w:rsid w:val="69BC7FC5"/>
    <w:rsid w:val="69C120F1"/>
    <w:rsid w:val="69D26DB2"/>
    <w:rsid w:val="69DF4B8A"/>
    <w:rsid w:val="69E051DC"/>
    <w:rsid w:val="69E25F61"/>
    <w:rsid w:val="69F1371C"/>
    <w:rsid w:val="69F768B3"/>
    <w:rsid w:val="6A0923AC"/>
    <w:rsid w:val="6A093665"/>
    <w:rsid w:val="6A0F0EB6"/>
    <w:rsid w:val="6A1A1112"/>
    <w:rsid w:val="6A1B7B8C"/>
    <w:rsid w:val="6A246A40"/>
    <w:rsid w:val="6A2A7FEC"/>
    <w:rsid w:val="6A4616D3"/>
    <w:rsid w:val="6A7F231A"/>
    <w:rsid w:val="6A941E18"/>
    <w:rsid w:val="6AA2785B"/>
    <w:rsid w:val="6AA420B6"/>
    <w:rsid w:val="6AA86A0E"/>
    <w:rsid w:val="6AA92128"/>
    <w:rsid w:val="6AB810C0"/>
    <w:rsid w:val="6AC443EA"/>
    <w:rsid w:val="6ACC169A"/>
    <w:rsid w:val="6ACC4971"/>
    <w:rsid w:val="6ACF4DB3"/>
    <w:rsid w:val="6ADB6218"/>
    <w:rsid w:val="6AEB0A40"/>
    <w:rsid w:val="6AEC0B6D"/>
    <w:rsid w:val="6AF343B2"/>
    <w:rsid w:val="6AF97ECD"/>
    <w:rsid w:val="6B287CF5"/>
    <w:rsid w:val="6B322639"/>
    <w:rsid w:val="6B354209"/>
    <w:rsid w:val="6B3742EF"/>
    <w:rsid w:val="6B3D688D"/>
    <w:rsid w:val="6B3F70FD"/>
    <w:rsid w:val="6B453112"/>
    <w:rsid w:val="6B4908C4"/>
    <w:rsid w:val="6B680BB9"/>
    <w:rsid w:val="6B692CAE"/>
    <w:rsid w:val="6B694CCD"/>
    <w:rsid w:val="6B6D4417"/>
    <w:rsid w:val="6B7A47FB"/>
    <w:rsid w:val="6B7E62F0"/>
    <w:rsid w:val="6B8D40DC"/>
    <w:rsid w:val="6BA55648"/>
    <w:rsid w:val="6BB643C7"/>
    <w:rsid w:val="6BBE3F04"/>
    <w:rsid w:val="6BE87013"/>
    <w:rsid w:val="6BE91120"/>
    <w:rsid w:val="6BEE7518"/>
    <w:rsid w:val="6BF24675"/>
    <w:rsid w:val="6BF52AE6"/>
    <w:rsid w:val="6BF74E6B"/>
    <w:rsid w:val="6C046203"/>
    <w:rsid w:val="6C296589"/>
    <w:rsid w:val="6C3832C6"/>
    <w:rsid w:val="6C494B5A"/>
    <w:rsid w:val="6C636C38"/>
    <w:rsid w:val="6C8351CB"/>
    <w:rsid w:val="6C9327C4"/>
    <w:rsid w:val="6CA22ECF"/>
    <w:rsid w:val="6CC4450B"/>
    <w:rsid w:val="6CCF4EC7"/>
    <w:rsid w:val="6CD35EAB"/>
    <w:rsid w:val="6CE10D3A"/>
    <w:rsid w:val="6CE477C9"/>
    <w:rsid w:val="6CEF6A2B"/>
    <w:rsid w:val="6CF43245"/>
    <w:rsid w:val="6CFD1BE2"/>
    <w:rsid w:val="6D1A7537"/>
    <w:rsid w:val="6D2248AA"/>
    <w:rsid w:val="6D29656C"/>
    <w:rsid w:val="6D2D6540"/>
    <w:rsid w:val="6D333517"/>
    <w:rsid w:val="6D54004A"/>
    <w:rsid w:val="6D5D16C5"/>
    <w:rsid w:val="6D605FE2"/>
    <w:rsid w:val="6D6869AD"/>
    <w:rsid w:val="6D8A7D24"/>
    <w:rsid w:val="6D8F2077"/>
    <w:rsid w:val="6D8F7167"/>
    <w:rsid w:val="6DA305C4"/>
    <w:rsid w:val="6DAA2161"/>
    <w:rsid w:val="6DB34098"/>
    <w:rsid w:val="6DB545B6"/>
    <w:rsid w:val="6DB759C2"/>
    <w:rsid w:val="6DC527AC"/>
    <w:rsid w:val="6DD04AEE"/>
    <w:rsid w:val="6DD9281F"/>
    <w:rsid w:val="6DD93FE6"/>
    <w:rsid w:val="6DDC454B"/>
    <w:rsid w:val="6DE547EF"/>
    <w:rsid w:val="6DEC3D19"/>
    <w:rsid w:val="6DF350A8"/>
    <w:rsid w:val="6E032E11"/>
    <w:rsid w:val="6E0E4554"/>
    <w:rsid w:val="6E0F7F52"/>
    <w:rsid w:val="6E1125C2"/>
    <w:rsid w:val="6E1D776A"/>
    <w:rsid w:val="6E3851B0"/>
    <w:rsid w:val="6E423928"/>
    <w:rsid w:val="6E4375A0"/>
    <w:rsid w:val="6E514CED"/>
    <w:rsid w:val="6E79491A"/>
    <w:rsid w:val="6E7D7067"/>
    <w:rsid w:val="6E805B45"/>
    <w:rsid w:val="6E8F0632"/>
    <w:rsid w:val="6E8F6F53"/>
    <w:rsid w:val="6E9B113F"/>
    <w:rsid w:val="6EB563D5"/>
    <w:rsid w:val="6ECC68E1"/>
    <w:rsid w:val="6EDF7A22"/>
    <w:rsid w:val="6EE17D45"/>
    <w:rsid w:val="6EFD5AB2"/>
    <w:rsid w:val="6F08090C"/>
    <w:rsid w:val="6F1A7D89"/>
    <w:rsid w:val="6F225983"/>
    <w:rsid w:val="6F327E52"/>
    <w:rsid w:val="6F387C99"/>
    <w:rsid w:val="6F5417C4"/>
    <w:rsid w:val="6F563674"/>
    <w:rsid w:val="6F5A3422"/>
    <w:rsid w:val="6F6137A6"/>
    <w:rsid w:val="6F62289A"/>
    <w:rsid w:val="6F7264A0"/>
    <w:rsid w:val="6F822668"/>
    <w:rsid w:val="6F865D8A"/>
    <w:rsid w:val="6F97127F"/>
    <w:rsid w:val="6F971AC5"/>
    <w:rsid w:val="6FA20512"/>
    <w:rsid w:val="6FA55EBF"/>
    <w:rsid w:val="6FA82838"/>
    <w:rsid w:val="6FB1351C"/>
    <w:rsid w:val="6FB31B27"/>
    <w:rsid w:val="6FBD57C0"/>
    <w:rsid w:val="6FBF5CA9"/>
    <w:rsid w:val="6FC128DF"/>
    <w:rsid w:val="6FC3678F"/>
    <w:rsid w:val="6FD01106"/>
    <w:rsid w:val="6FDC0E92"/>
    <w:rsid w:val="6FE75818"/>
    <w:rsid w:val="6FEB5847"/>
    <w:rsid w:val="6FFC5590"/>
    <w:rsid w:val="70146A24"/>
    <w:rsid w:val="701A2DBF"/>
    <w:rsid w:val="7020098E"/>
    <w:rsid w:val="70296D44"/>
    <w:rsid w:val="702C1D03"/>
    <w:rsid w:val="70301DA3"/>
    <w:rsid w:val="70334652"/>
    <w:rsid w:val="70381C31"/>
    <w:rsid w:val="703C0BD9"/>
    <w:rsid w:val="70480FAF"/>
    <w:rsid w:val="704C4BEF"/>
    <w:rsid w:val="70605548"/>
    <w:rsid w:val="70610773"/>
    <w:rsid w:val="706D1DD0"/>
    <w:rsid w:val="70833D79"/>
    <w:rsid w:val="70850C84"/>
    <w:rsid w:val="70856B87"/>
    <w:rsid w:val="709646A1"/>
    <w:rsid w:val="70B95A5A"/>
    <w:rsid w:val="70BB3BAE"/>
    <w:rsid w:val="70CB5574"/>
    <w:rsid w:val="70CD7E32"/>
    <w:rsid w:val="70D527EE"/>
    <w:rsid w:val="70D70B59"/>
    <w:rsid w:val="70E1542E"/>
    <w:rsid w:val="70E218ED"/>
    <w:rsid w:val="70E60505"/>
    <w:rsid w:val="710960D1"/>
    <w:rsid w:val="710F13D9"/>
    <w:rsid w:val="71141580"/>
    <w:rsid w:val="7116123D"/>
    <w:rsid w:val="7116159D"/>
    <w:rsid w:val="711846BE"/>
    <w:rsid w:val="711E7984"/>
    <w:rsid w:val="712074BD"/>
    <w:rsid w:val="71261F49"/>
    <w:rsid w:val="71267542"/>
    <w:rsid w:val="713C498E"/>
    <w:rsid w:val="71481AB8"/>
    <w:rsid w:val="71501634"/>
    <w:rsid w:val="71563D3C"/>
    <w:rsid w:val="715B5300"/>
    <w:rsid w:val="715B7F8F"/>
    <w:rsid w:val="715F4BD7"/>
    <w:rsid w:val="716C6F35"/>
    <w:rsid w:val="71723E9C"/>
    <w:rsid w:val="71844269"/>
    <w:rsid w:val="718A5D23"/>
    <w:rsid w:val="71902099"/>
    <w:rsid w:val="71BD7A1A"/>
    <w:rsid w:val="71C01745"/>
    <w:rsid w:val="71D23D50"/>
    <w:rsid w:val="71D27F8A"/>
    <w:rsid w:val="71E67542"/>
    <w:rsid w:val="71F744C6"/>
    <w:rsid w:val="71F94E9C"/>
    <w:rsid w:val="71F960CF"/>
    <w:rsid w:val="7205529E"/>
    <w:rsid w:val="720766E4"/>
    <w:rsid w:val="720A6A97"/>
    <w:rsid w:val="720B3296"/>
    <w:rsid w:val="72240920"/>
    <w:rsid w:val="722A12B4"/>
    <w:rsid w:val="722A4E10"/>
    <w:rsid w:val="72343EE1"/>
    <w:rsid w:val="72387C9E"/>
    <w:rsid w:val="723B156F"/>
    <w:rsid w:val="724F4077"/>
    <w:rsid w:val="7269724D"/>
    <w:rsid w:val="726B1D4B"/>
    <w:rsid w:val="726C6852"/>
    <w:rsid w:val="727B1B10"/>
    <w:rsid w:val="727E4F42"/>
    <w:rsid w:val="72942034"/>
    <w:rsid w:val="72A14009"/>
    <w:rsid w:val="72C106F0"/>
    <w:rsid w:val="72CB04CC"/>
    <w:rsid w:val="72CB0993"/>
    <w:rsid w:val="72D339AA"/>
    <w:rsid w:val="72D9446A"/>
    <w:rsid w:val="72DA50CA"/>
    <w:rsid w:val="72F872F0"/>
    <w:rsid w:val="730163D3"/>
    <w:rsid w:val="73052FA9"/>
    <w:rsid w:val="73066633"/>
    <w:rsid w:val="731F5D5E"/>
    <w:rsid w:val="73312857"/>
    <w:rsid w:val="73347210"/>
    <w:rsid w:val="7335307A"/>
    <w:rsid w:val="73384A1C"/>
    <w:rsid w:val="734106EF"/>
    <w:rsid w:val="734B5786"/>
    <w:rsid w:val="73565243"/>
    <w:rsid w:val="73597876"/>
    <w:rsid w:val="73795019"/>
    <w:rsid w:val="739A4E40"/>
    <w:rsid w:val="73A155A6"/>
    <w:rsid w:val="73A34368"/>
    <w:rsid w:val="73C372CA"/>
    <w:rsid w:val="73C73AD6"/>
    <w:rsid w:val="73D34524"/>
    <w:rsid w:val="73DA34D8"/>
    <w:rsid w:val="73DA350F"/>
    <w:rsid w:val="73DE38C5"/>
    <w:rsid w:val="73F9347A"/>
    <w:rsid w:val="73FF0EEA"/>
    <w:rsid w:val="740A58D2"/>
    <w:rsid w:val="740D6F4C"/>
    <w:rsid w:val="741E793C"/>
    <w:rsid w:val="74336D22"/>
    <w:rsid w:val="746D05CC"/>
    <w:rsid w:val="747E1443"/>
    <w:rsid w:val="74806D71"/>
    <w:rsid w:val="74807F54"/>
    <w:rsid w:val="74B7745E"/>
    <w:rsid w:val="74D41937"/>
    <w:rsid w:val="74D45A0E"/>
    <w:rsid w:val="74ED0EF8"/>
    <w:rsid w:val="74EE4392"/>
    <w:rsid w:val="74F02341"/>
    <w:rsid w:val="74F11C15"/>
    <w:rsid w:val="74F2544D"/>
    <w:rsid w:val="75086241"/>
    <w:rsid w:val="75092686"/>
    <w:rsid w:val="750F15B3"/>
    <w:rsid w:val="75204114"/>
    <w:rsid w:val="75415752"/>
    <w:rsid w:val="75451473"/>
    <w:rsid w:val="75530B22"/>
    <w:rsid w:val="756A5655"/>
    <w:rsid w:val="756D70B7"/>
    <w:rsid w:val="75722D56"/>
    <w:rsid w:val="757271FA"/>
    <w:rsid w:val="75735E02"/>
    <w:rsid w:val="75742F72"/>
    <w:rsid w:val="75780C69"/>
    <w:rsid w:val="758D75E2"/>
    <w:rsid w:val="758F1B5A"/>
    <w:rsid w:val="75B32C73"/>
    <w:rsid w:val="75B64745"/>
    <w:rsid w:val="75BB6235"/>
    <w:rsid w:val="75CF5204"/>
    <w:rsid w:val="75DA45E1"/>
    <w:rsid w:val="75DE24C2"/>
    <w:rsid w:val="75E654F2"/>
    <w:rsid w:val="75E77D58"/>
    <w:rsid w:val="75F009D0"/>
    <w:rsid w:val="75F419BD"/>
    <w:rsid w:val="75F55735"/>
    <w:rsid w:val="75FF0F79"/>
    <w:rsid w:val="76121C53"/>
    <w:rsid w:val="76145147"/>
    <w:rsid w:val="76210538"/>
    <w:rsid w:val="76543A58"/>
    <w:rsid w:val="76561C75"/>
    <w:rsid w:val="765661D4"/>
    <w:rsid w:val="76636394"/>
    <w:rsid w:val="766A645F"/>
    <w:rsid w:val="76712411"/>
    <w:rsid w:val="76832AFA"/>
    <w:rsid w:val="76944984"/>
    <w:rsid w:val="76961F79"/>
    <w:rsid w:val="769A7D87"/>
    <w:rsid w:val="76A31644"/>
    <w:rsid w:val="76A639BE"/>
    <w:rsid w:val="76A77F1E"/>
    <w:rsid w:val="76BD0430"/>
    <w:rsid w:val="76C92E49"/>
    <w:rsid w:val="76CF342B"/>
    <w:rsid w:val="76D218D7"/>
    <w:rsid w:val="76D35BCD"/>
    <w:rsid w:val="76E56103"/>
    <w:rsid w:val="76E6491C"/>
    <w:rsid w:val="76EE465E"/>
    <w:rsid w:val="76F63844"/>
    <w:rsid w:val="76F80BF1"/>
    <w:rsid w:val="770C2F36"/>
    <w:rsid w:val="770F2826"/>
    <w:rsid w:val="771169AF"/>
    <w:rsid w:val="77123D9D"/>
    <w:rsid w:val="771B11CB"/>
    <w:rsid w:val="772269FE"/>
    <w:rsid w:val="77324A46"/>
    <w:rsid w:val="7748405F"/>
    <w:rsid w:val="774E1132"/>
    <w:rsid w:val="77592981"/>
    <w:rsid w:val="775F7156"/>
    <w:rsid w:val="77601471"/>
    <w:rsid w:val="7769744F"/>
    <w:rsid w:val="776A6D0B"/>
    <w:rsid w:val="77762421"/>
    <w:rsid w:val="777E57F6"/>
    <w:rsid w:val="777F5BFE"/>
    <w:rsid w:val="777F79AC"/>
    <w:rsid w:val="778B0436"/>
    <w:rsid w:val="779531A8"/>
    <w:rsid w:val="77D20272"/>
    <w:rsid w:val="77D659F4"/>
    <w:rsid w:val="77E253DA"/>
    <w:rsid w:val="77F35CA4"/>
    <w:rsid w:val="77F6428B"/>
    <w:rsid w:val="77FA5A1C"/>
    <w:rsid w:val="78071D63"/>
    <w:rsid w:val="780F09F4"/>
    <w:rsid w:val="781367EF"/>
    <w:rsid w:val="78322549"/>
    <w:rsid w:val="785A02A1"/>
    <w:rsid w:val="78610FF3"/>
    <w:rsid w:val="78671622"/>
    <w:rsid w:val="786A034B"/>
    <w:rsid w:val="78790CEE"/>
    <w:rsid w:val="7888493C"/>
    <w:rsid w:val="788F3C1F"/>
    <w:rsid w:val="789560A0"/>
    <w:rsid w:val="789C4F47"/>
    <w:rsid w:val="78A57F43"/>
    <w:rsid w:val="78A90480"/>
    <w:rsid w:val="78AE3973"/>
    <w:rsid w:val="78B578A6"/>
    <w:rsid w:val="78C5574F"/>
    <w:rsid w:val="78C55892"/>
    <w:rsid w:val="78CC09CF"/>
    <w:rsid w:val="78CF3E66"/>
    <w:rsid w:val="78D8666C"/>
    <w:rsid w:val="78EB6D4A"/>
    <w:rsid w:val="78F46178"/>
    <w:rsid w:val="7901547B"/>
    <w:rsid w:val="79167E9C"/>
    <w:rsid w:val="792607C4"/>
    <w:rsid w:val="792B16C7"/>
    <w:rsid w:val="793B2635"/>
    <w:rsid w:val="79516F5F"/>
    <w:rsid w:val="79553E3E"/>
    <w:rsid w:val="796926C2"/>
    <w:rsid w:val="797C5615"/>
    <w:rsid w:val="79811327"/>
    <w:rsid w:val="79815883"/>
    <w:rsid w:val="79963E4E"/>
    <w:rsid w:val="79A663DC"/>
    <w:rsid w:val="79AD62FB"/>
    <w:rsid w:val="79C90C23"/>
    <w:rsid w:val="79CC34A1"/>
    <w:rsid w:val="79CE6338"/>
    <w:rsid w:val="79E054BA"/>
    <w:rsid w:val="79F36CF0"/>
    <w:rsid w:val="7A012A0E"/>
    <w:rsid w:val="7A03302C"/>
    <w:rsid w:val="7A140880"/>
    <w:rsid w:val="7A223CF9"/>
    <w:rsid w:val="7A227BA1"/>
    <w:rsid w:val="7A313550"/>
    <w:rsid w:val="7A356739"/>
    <w:rsid w:val="7A364017"/>
    <w:rsid w:val="7A4D38F6"/>
    <w:rsid w:val="7A4D5B40"/>
    <w:rsid w:val="7A57076C"/>
    <w:rsid w:val="7A581433"/>
    <w:rsid w:val="7A592736"/>
    <w:rsid w:val="7A611EC9"/>
    <w:rsid w:val="7A6A1A08"/>
    <w:rsid w:val="7A7336AD"/>
    <w:rsid w:val="7A763509"/>
    <w:rsid w:val="7A8265E1"/>
    <w:rsid w:val="7A8C48BA"/>
    <w:rsid w:val="7A93667E"/>
    <w:rsid w:val="7AA64AEE"/>
    <w:rsid w:val="7AA7701A"/>
    <w:rsid w:val="7AC43231"/>
    <w:rsid w:val="7AD924E7"/>
    <w:rsid w:val="7AE900ED"/>
    <w:rsid w:val="7AFA21AA"/>
    <w:rsid w:val="7B116B6D"/>
    <w:rsid w:val="7B2C04DB"/>
    <w:rsid w:val="7B337062"/>
    <w:rsid w:val="7B3773CD"/>
    <w:rsid w:val="7B4F01AC"/>
    <w:rsid w:val="7B527D38"/>
    <w:rsid w:val="7B686D42"/>
    <w:rsid w:val="7B813697"/>
    <w:rsid w:val="7B841746"/>
    <w:rsid w:val="7BBE2FFF"/>
    <w:rsid w:val="7BC665B2"/>
    <w:rsid w:val="7BC83FB7"/>
    <w:rsid w:val="7BC938EC"/>
    <w:rsid w:val="7BE14791"/>
    <w:rsid w:val="7BE67FFA"/>
    <w:rsid w:val="7BFA2AFB"/>
    <w:rsid w:val="7C047770"/>
    <w:rsid w:val="7C2648D1"/>
    <w:rsid w:val="7C293FE3"/>
    <w:rsid w:val="7C344ADF"/>
    <w:rsid w:val="7C3D3EFB"/>
    <w:rsid w:val="7C486B6A"/>
    <w:rsid w:val="7C5C1B72"/>
    <w:rsid w:val="7C7775DD"/>
    <w:rsid w:val="7C824994"/>
    <w:rsid w:val="7C8574E8"/>
    <w:rsid w:val="7C8F1872"/>
    <w:rsid w:val="7C915051"/>
    <w:rsid w:val="7C9A016F"/>
    <w:rsid w:val="7C9F0A99"/>
    <w:rsid w:val="7CA03C44"/>
    <w:rsid w:val="7CAC6D7A"/>
    <w:rsid w:val="7CD267D0"/>
    <w:rsid w:val="7CE37483"/>
    <w:rsid w:val="7CEA0171"/>
    <w:rsid w:val="7CFD0ECC"/>
    <w:rsid w:val="7D0239FF"/>
    <w:rsid w:val="7D0B0A48"/>
    <w:rsid w:val="7D0F4B64"/>
    <w:rsid w:val="7D0F795D"/>
    <w:rsid w:val="7D152080"/>
    <w:rsid w:val="7D154A07"/>
    <w:rsid w:val="7D1B478D"/>
    <w:rsid w:val="7D2C7C8E"/>
    <w:rsid w:val="7D3E3C3A"/>
    <w:rsid w:val="7D455A46"/>
    <w:rsid w:val="7D5D3FAA"/>
    <w:rsid w:val="7D5E40CD"/>
    <w:rsid w:val="7D627FC7"/>
    <w:rsid w:val="7D693BED"/>
    <w:rsid w:val="7D706378"/>
    <w:rsid w:val="7D9054BF"/>
    <w:rsid w:val="7D9B4E66"/>
    <w:rsid w:val="7DA561D5"/>
    <w:rsid w:val="7DAC2870"/>
    <w:rsid w:val="7DB27B05"/>
    <w:rsid w:val="7DBD06E2"/>
    <w:rsid w:val="7DC537E1"/>
    <w:rsid w:val="7DD86068"/>
    <w:rsid w:val="7DE11E63"/>
    <w:rsid w:val="7DF5444F"/>
    <w:rsid w:val="7DF963A8"/>
    <w:rsid w:val="7E065DFA"/>
    <w:rsid w:val="7E0F1278"/>
    <w:rsid w:val="7E186D10"/>
    <w:rsid w:val="7E193764"/>
    <w:rsid w:val="7E1F0B64"/>
    <w:rsid w:val="7E2F05A1"/>
    <w:rsid w:val="7E3C03A5"/>
    <w:rsid w:val="7E3F56DF"/>
    <w:rsid w:val="7E4B4A8C"/>
    <w:rsid w:val="7E4C3C96"/>
    <w:rsid w:val="7E4C6464"/>
    <w:rsid w:val="7E58396A"/>
    <w:rsid w:val="7E7404E9"/>
    <w:rsid w:val="7E793342"/>
    <w:rsid w:val="7E7D361E"/>
    <w:rsid w:val="7E8B5AB3"/>
    <w:rsid w:val="7E913B72"/>
    <w:rsid w:val="7E97348D"/>
    <w:rsid w:val="7E9A5A22"/>
    <w:rsid w:val="7E9E2EAE"/>
    <w:rsid w:val="7EC814E2"/>
    <w:rsid w:val="7ECC24A0"/>
    <w:rsid w:val="7EE838B5"/>
    <w:rsid w:val="7EED6D97"/>
    <w:rsid w:val="7F0302A5"/>
    <w:rsid w:val="7F1A2078"/>
    <w:rsid w:val="7F1A5E6C"/>
    <w:rsid w:val="7F251A14"/>
    <w:rsid w:val="7F544F0A"/>
    <w:rsid w:val="7F5A09C9"/>
    <w:rsid w:val="7F5E63AC"/>
    <w:rsid w:val="7F5F52A6"/>
    <w:rsid w:val="7F6D1382"/>
    <w:rsid w:val="7F83107B"/>
    <w:rsid w:val="7FA4443D"/>
    <w:rsid w:val="7FDD3D92"/>
    <w:rsid w:val="7FE45F5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autoRedefine/>
    <w:qFormat/>
    <w:locked/>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autoRedefine/>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7">
    <w:name w:val="heading 4"/>
    <w:basedOn w:val="1"/>
    <w:next w:val="1"/>
    <w:autoRedefine/>
    <w:qFormat/>
    <w:locked/>
    <w:uiPriority w:val="9"/>
    <w:pPr>
      <w:keepNext/>
      <w:keepLines/>
      <w:widowControl/>
      <w:spacing w:before="280" w:after="290" w:line="376" w:lineRule="auto"/>
      <w:ind w:left="864" w:hanging="864"/>
      <w:jc w:val="left"/>
      <w:outlineLvl w:val="3"/>
    </w:pPr>
    <w:rPr>
      <w:rFonts w:ascii="Calibri Light" w:hAnsi="Calibri Light"/>
      <w:b/>
      <w:bCs/>
      <w:kern w:val="0"/>
      <w:sz w:val="28"/>
      <w:szCs w:val="28"/>
    </w:rPr>
  </w:style>
  <w:style w:type="character" w:default="1" w:styleId="36">
    <w:name w:val="Default Paragraph Font"/>
    <w:autoRedefine/>
    <w:semiHidden/>
    <w:qFormat/>
    <w:uiPriority w:val="0"/>
  </w:style>
  <w:style w:type="table" w:default="1" w:styleId="34">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autoRedefine/>
    <w:qFormat/>
    <w:uiPriority w:val="0"/>
    <w:pPr>
      <w:widowControl/>
      <w:spacing w:line="288" w:lineRule="auto"/>
      <w:ind w:firstLine="567"/>
    </w:pPr>
    <w:rPr>
      <w:rFonts w:hAnsi="宋体"/>
      <w:color w:val="000000"/>
      <w:sz w:val="24"/>
      <w:szCs w:val="20"/>
      <w:lang w:bidi="he-IL"/>
    </w:rPr>
  </w:style>
  <w:style w:type="paragraph" w:styleId="5">
    <w:name w:val="Plain Text"/>
    <w:basedOn w:val="1"/>
    <w:autoRedefine/>
    <w:qFormat/>
    <w:uiPriority w:val="0"/>
    <w:rPr>
      <w:rFonts w:ascii="宋体" w:hAnsi="Courier New"/>
      <w:szCs w:val="21"/>
    </w:rPr>
  </w:style>
  <w:style w:type="paragraph" w:styleId="8">
    <w:name w:val="Document Map"/>
    <w:basedOn w:val="1"/>
    <w:next w:val="9"/>
    <w:autoRedefine/>
    <w:semiHidden/>
    <w:qFormat/>
    <w:uiPriority w:val="0"/>
    <w:pPr>
      <w:shd w:val="clear" w:color="auto" w:fill="000080"/>
    </w:pPr>
  </w:style>
  <w:style w:type="paragraph" w:customStyle="1" w:styleId="9">
    <w:name w:val="Char Char"/>
    <w:basedOn w:val="1"/>
    <w:next w:val="10"/>
    <w:autoRedefine/>
    <w:qFormat/>
    <w:uiPriority w:val="0"/>
    <w:pPr>
      <w:widowControl/>
      <w:autoSpaceDE/>
      <w:autoSpaceDN/>
      <w:spacing w:before="0" w:after="160" w:line="240" w:lineRule="exact"/>
      <w:ind w:left="0" w:firstLine="3584"/>
    </w:pPr>
  </w:style>
  <w:style w:type="paragraph" w:customStyle="1" w:styleId="10">
    <w:name w:val="正文文本 21"/>
    <w:basedOn w:val="1"/>
    <w:next w:val="11"/>
    <w:autoRedefine/>
    <w:qFormat/>
    <w:uiPriority w:val="0"/>
    <w:pPr>
      <w:spacing w:line="432" w:lineRule="auto"/>
      <w:ind w:left="480" w:firstLine="3808"/>
    </w:pPr>
  </w:style>
  <w:style w:type="paragraph" w:customStyle="1" w:styleId="11">
    <w:name w:val="2级"/>
    <w:basedOn w:val="1"/>
    <w:next w:val="1"/>
    <w:autoRedefine/>
    <w:qFormat/>
    <w:uiPriority w:val="0"/>
    <w:rPr>
      <w:rFonts w:eastAsia="黑体"/>
      <w:b/>
      <w:sz w:val="28"/>
      <w:szCs w:val="20"/>
    </w:rPr>
  </w:style>
  <w:style w:type="paragraph" w:styleId="12">
    <w:name w:val="annotation text"/>
    <w:basedOn w:val="1"/>
    <w:link w:val="44"/>
    <w:autoRedefine/>
    <w:semiHidden/>
    <w:qFormat/>
    <w:uiPriority w:val="0"/>
    <w:pPr>
      <w:jc w:val="left"/>
    </w:pPr>
    <w:rPr>
      <w:kern w:val="0"/>
      <w:sz w:val="24"/>
      <w:szCs w:val="20"/>
    </w:rPr>
  </w:style>
  <w:style w:type="paragraph" w:styleId="13">
    <w:name w:val="Body Text"/>
    <w:basedOn w:val="1"/>
    <w:next w:val="1"/>
    <w:link w:val="45"/>
    <w:autoRedefine/>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46"/>
    <w:autoRedefine/>
    <w:semiHidden/>
    <w:qFormat/>
    <w:uiPriority w:val="0"/>
    <w:pPr>
      <w:spacing w:after="120"/>
      <w:ind w:left="420" w:leftChars="200"/>
    </w:pPr>
    <w:rPr>
      <w:kern w:val="0"/>
      <w:sz w:val="24"/>
    </w:rPr>
  </w:style>
  <w:style w:type="paragraph" w:styleId="15">
    <w:name w:val="header"/>
    <w:basedOn w:val="1"/>
    <w:link w:val="47"/>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16">
    <w:name w:val="Block Text"/>
    <w:basedOn w:val="1"/>
    <w:next w:val="13"/>
    <w:autoRedefine/>
    <w:qFormat/>
    <w:uiPriority w:val="0"/>
    <w:pPr>
      <w:ind w:left="113" w:right="113" w:firstLine="555"/>
      <w:jc w:val="left"/>
    </w:pPr>
    <w:rPr>
      <w:color w:val="auto"/>
      <w:szCs w:val="20"/>
    </w:rPr>
  </w:style>
  <w:style w:type="paragraph" w:styleId="17">
    <w:name w:val="List Bullet 5"/>
    <w:basedOn w:val="1"/>
    <w:autoRedefine/>
    <w:qFormat/>
    <w:uiPriority w:val="0"/>
    <w:pPr>
      <w:numPr>
        <w:ilvl w:val="0"/>
        <w:numId w:val="1"/>
      </w:numPr>
    </w:pPr>
  </w:style>
  <w:style w:type="paragraph" w:styleId="18">
    <w:name w:val="Date"/>
    <w:basedOn w:val="1"/>
    <w:next w:val="1"/>
    <w:link w:val="48"/>
    <w:autoRedefine/>
    <w:qFormat/>
    <w:uiPriority w:val="0"/>
    <w:pPr>
      <w:ind w:left="100" w:leftChars="2500"/>
    </w:pPr>
    <w:rPr>
      <w:kern w:val="0"/>
      <w:sz w:val="24"/>
      <w:szCs w:val="20"/>
    </w:rPr>
  </w:style>
  <w:style w:type="paragraph" w:styleId="19">
    <w:name w:val="Balloon Text"/>
    <w:basedOn w:val="1"/>
    <w:link w:val="49"/>
    <w:autoRedefine/>
    <w:semiHidden/>
    <w:qFormat/>
    <w:uiPriority w:val="0"/>
    <w:rPr>
      <w:kern w:val="0"/>
      <w:sz w:val="18"/>
      <w:szCs w:val="18"/>
    </w:rPr>
  </w:style>
  <w:style w:type="paragraph" w:styleId="20">
    <w:name w:val="footer"/>
    <w:basedOn w:val="1"/>
    <w:link w:val="50"/>
    <w:autoRedefine/>
    <w:qFormat/>
    <w:uiPriority w:val="0"/>
    <w:pPr>
      <w:tabs>
        <w:tab w:val="center" w:pos="4153"/>
        <w:tab w:val="right" w:pos="8306"/>
      </w:tabs>
      <w:snapToGrid w:val="0"/>
      <w:jc w:val="left"/>
    </w:pPr>
    <w:rPr>
      <w:kern w:val="0"/>
      <w:sz w:val="18"/>
      <w:szCs w:val="18"/>
    </w:rPr>
  </w:style>
  <w:style w:type="paragraph" w:styleId="21">
    <w:name w:val="toc 1"/>
    <w:basedOn w:val="1"/>
    <w:next w:val="1"/>
    <w:autoRedefine/>
    <w:qFormat/>
    <w:locked/>
    <w:uiPriority w:val="0"/>
  </w:style>
  <w:style w:type="paragraph" w:styleId="22">
    <w:name w:val="List"/>
    <w:basedOn w:val="1"/>
    <w:autoRedefine/>
    <w:qFormat/>
    <w:uiPriority w:val="0"/>
    <w:pPr>
      <w:ind w:left="200" w:hanging="200" w:hangingChars="200"/>
      <w:contextualSpacing/>
    </w:pPr>
    <w:rPr>
      <w:kern w:val="0"/>
    </w:rPr>
  </w:style>
  <w:style w:type="paragraph" w:styleId="23">
    <w:name w:val="List 5"/>
    <w:basedOn w:val="1"/>
    <w:next w:val="24"/>
    <w:autoRedefine/>
    <w:qFormat/>
    <w:uiPriority w:val="0"/>
    <w:pPr>
      <w:widowControl/>
      <w:autoSpaceDE/>
      <w:autoSpaceDN/>
      <w:spacing w:before="0" w:after="0" w:line="440" w:lineRule="exact"/>
      <w:ind w:left="100" w:hanging="200"/>
    </w:pPr>
    <w:rPr>
      <w:rFonts w:ascii="宋体" w:eastAsia="宋体"/>
      <w:sz w:val="24"/>
    </w:rPr>
  </w:style>
  <w:style w:type="paragraph" w:customStyle="1" w:styleId="24">
    <w:name w:val="大华农正文"/>
    <w:basedOn w:val="1"/>
    <w:next w:val="25"/>
    <w:autoRedefine/>
    <w:qFormat/>
    <w:uiPriority w:val="0"/>
    <w:pPr>
      <w:widowControl w:val="0"/>
      <w:autoSpaceDE/>
      <w:autoSpaceDN/>
      <w:spacing w:before="0" w:after="0" w:line="360" w:lineRule="auto"/>
      <w:ind w:left="0" w:firstLine="200"/>
    </w:pPr>
    <w:rPr>
      <w:rFonts w:ascii="Times New Roman" w:eastAsia="宋体"/>
      <w:sz w:val="24"/>
    </w:rPr>
  </w:style>
  <w:style w:type="paragraph" w:customStyle="1" w:styleId="25">
    <w:name w:val="Char Char Char Char Char Char1 Char Char Char1 Char Char Char Char Char Char Char"/>
    <w:basedOn w:val="1"/>
    <w:next w:val="26"/>
    <w:autoRedefine/>
    <w:qFormat/>
    <w:uiPriority w:val="0"/>
    <w:pPr>
      <w:autoSpaceDE/>
      <w:autoSpaceDN/>
      <w:spacing w:line="360" w:lineRule="auto"/>
      <w:ind w:firstLine="200"/>
    </w:pPr>
    <w:rPr>
      <w:rFonts w:ascii="宋体"/>
    </w:rPr>
  </w:style>
  <w:style w:type="paragraph" w:customStyle="1" w:styleId="26">
    <w:name w:val="标准"/>
    <w:basedOn w:val="1"/>
    <w:next w:val="27"/>
    <w:autoRedefine/>
    <w:qFormat/>
    <w:uiPriority w:val="0"/>
    <w:pPr>
      <w:widowControl/>
      <w:autoSpaceDE/>
      <w:autoSpaceDN/>
      <w:spacing w:before="0" w:after="0" w:line="480" w:lineRule="exact"/>
      <w:ind w:left="0" w:firstLine="0"/>
    </w:pPr>
    <w:rPr>
      <w:rFonts w:ascii="宋体" w:eastAsia="宋体"/>
      <w:sz w:val="28"/>
    </w:rPr>
  </w:style>
  <w:style w:type="paragraph" w:customStyle="1" w:styleId="27">
    <w:name w:val="MTDisplayEquation"/>
    <w:basedOn w:val="1"/>
    <w:next w:val="1"/>
    <w:autoRedefine/>
    <w:qFormat/>
    <w:uiPriority w:val="0"/>
    <w:pPr>
      <w:widowControl w:val="0"/>
      <w:autoSpaceDE/>
      <w:autoSpaceDN/>
      <w:spacing w:before="0" w:after="0" w:line="360" w:lineRule="auto"/>
      <w:ind w:left="0" w:firstLine="480"/>
    </w:pPr>
    <w:rPr>
      <w:rFonts w:ascii="Times New Roman" w:eastAsia="宋体"/>
      <w:sz w:val="24"/>
    </w:rPr>
  </w:style>
  <w:style w:type="paragraph" w:styleId="28">
    <w:name w:val="toc 2"/>
    <w:basedOn w:val="1"/>
    <w:next w:val="1"/>
    <w:autoRedefine/>
    <w:qFormat/>
    <w:locked/>
    <w:uiPriority w:val="0"/>
    <w:pPr>
      <w:ind w:left="420" w:leftChars="200"/>
    </w:pPr>
  </w:style>
  <w:style w:type="paragraph" w:styleId="29">
    <w:name w:val="Body Text 2"/>
    <w:basedOn w:val="1"/>
    <w:autoRedefine/>
    <w:qFormat/>
    <w:uiPriority w:val="0"/>
    <w:pPr>
      <w:jc w:val="left"/>
    </w:pPr>
  </w:style>
  <w:style w:type="paragraph" w:styleId="30">
    <w:name w:val="Normal (Web)"/>
    <w:basedOn w:val="1"/>
    <w:link w:val="51"/>
    <w:autoRedefine/>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2"/>
    <w:next w:val="12"/>
    <w:link w:val="52"/>
    <w:autoRedefine/>
    <w:semiHidden/>
    <w:qFormat/>
    <w:uiPriority w:val="0"/>
    <w:rPr>
      <w:b/>
      <w:bCs/>
      <w:kern w:val="2"/>
      <w:sz w:val="20"/>
      <w:szCs w:val="24"/>
    </w:rPr>
  </w:style>
  <w:style w:type="paragraph" w:styleId="32">
    <w:name w:val="Body Text First Indent"/>
    <w:basedOn w:val="1"/>
    <w:next w:val="33"/>
    <w:autoRedefine/>
    <w:qFormat/>
    <w:uiPriority w:val="0"/>
    <w:pPr>
      <w:ind w:firstLine="420" w:firstLineChars="100"/>
    </w:pPr>
    <w:rPr>
      <w:rFonts w:ascii="Times New Roman" w:hAnsi="Times New Roman"/>
      <w:sz w:val="28"/>
    </w:rPr>
  </w:style>
  <w:style w:type="paragraph" w:styleId="33">
    <w:name w:val="Body Text First Indent 2"/>
    <w:basedOn w:val="14"/>
    <w:next w:val="1"/>
    <w:autoRedefine/>
    <w:qFormat/>
    <w:uiPriority w:val="0"/>
    <w:pPr>
      <w:ind w:firstLine="420" w:firstLineChars="200"/>
    </w:pPr>
  </w:style>
  <w:style w:type="table" w:styleId="35">
    <w:name w:val="Table Grid"/>
    <w:basedOn w:val="3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locked/>
    <w:uiPriority w:val="0"/>
    <w:rPr>
      <w:b/>
    </w:rPr>
  </w:style>
  <w:style w:type="character" w:styleId="38">
    <w:name w:val="page number"/>
    <w:autoRedefine/>
    <w:qFormat/>
    <w:uiPriority w:val="0"/>
  </w:style>
  <w:style w:type="character" w:styleId="39">
    <w:name w:val="Hyperlink"/>
    <w:autoRedefine/>
    <w:qFormat/>
    <w:uiPriority w:val="0"/>
    <w:rPr>
      <w:color w:val="0000FF"/>
      <w:u w:val="single"/>
    </w:rPr>
  </w:style>
  <w:style w:type="character" w:styleId="40">
    <w:name w:val="annotation reference"/>
    <w:autoRedefine/>
    <w:semiHidden/>
    <w:qFormat/>
    <w:uiPriority w:val="0"/>
    <w:rPr>
      <w:sz w:val="21"/>
    </w:rPr>
  </w:style>
  <w:style w:type="paragraph" w:customStyle="1" w:styleId="41">
    <w:name w:val="样式5"/>
    <w:basedOn w:val="42"/>
    <w:autoRedefine/>
    <w:qFormat/>
    <w:uiPriority w:val="0"/>
    <w:pPr>
      <w:snapToGrid w:val="0"/>
      <w:spacing w:beforeLines="20" w:afterLines="20" w:line="480" w:lineRule="exact"/>
      <w:ind w:firstLine="523" w:firstLineChars="218"/>
      <w:jc w:val="both"/>
    </w:pPr>
    <w:rPr>
      <w:i/>
      <w:iCs/>
      <w:kern w:val="2"/>
      <w:sz w:val="24"/>
      <w:szCs w:val="20"/>
    </w:rPr>
  </w:style>
  <w:style w:type="paragraph" w:customStyle="1" w:styleId="42">
    <w:name w:val="正文1"/>
    <w:basedOn w:val="29"/>
    <w:next w:val="1"/>
    <w:autoRedefine/>
    <w:qFormat/>
    <w:uiPriority w:val="0"/>
    <w:pPr>
      <w:adjustRightInd w:val="0"/>
    </w:pPr>
    <w:rPr>
      <w:rFonts w:eastAsia="楷体_GB2312"/>
      <w:sz w:val="24"/>
      <w:szCs w:val="20"/>
    </w:rPr>
  </w:style>
  <w:style w:type="character" w:customStyle="1" w:styleId="43">
    <w:name w:val="标题 1 Char"/>
    <w:link w:val="2"/>
    <w:autoRedefine/>
    <w:qFormat/>
    <w:uiPriority w:val="0"/>
    <w:rPr>
      <w:rFonts w:eastAsia="黑体"/>
      <w:b/>
      <w:bCs/>
      <w:color w:val="000000"/>
      <w:kern w:val="44"/>
      <w:sz w:val="30"/>
      <w:szCs w:val="30"/>
    </w:rPr>
  </w:style>
  <w:style w:type="character" w:customStyle="1" w:styleId="44">
    <w:name w:val="批注文字 Char"/>
    <w:link w:val="12"/>
    <w:autoRedefine/>
    <w:qFormat/>
    <w:locked/>
    <w:uiPriority w:val="0"/>
    <w:rPr>
      <w:rFonts w:ascii="Times New Roman" w:hAnsi="Times New Roman" w:eastAsia="宋体"/>
      <w:sz w:val="24"/>
    </w:rPr>
  </w:style>
  <w:style w:type="character" w:customStyle="1" w:styleId="45">
    <w:name w:val="正文文本 Char"/>
    <w:link w:val="13"/>
    <w:autoRedefine/>
    <w:qFormat/>
    <w:locked/>
    <w:uiPriority w:val="0"/>
    <w:rPr>
      <w:sz w:val="18"/>
    </w:rPr>
  </w:style>
  <w:style w:type="character" w:customStyle="1" w:styleId="46">
    <w:name w:val="正文文本缩进 Char"/>
    <w:link w:val="14"/>
    <w:autoRedefine/>
    <w:semiHidden/>
    <w:qFormat/>
    <w:locked/>
    <w:uiPriority w:val="0"/>
    <w:rPr>
      <w:rFonts w:ascii="Times New Roman" w:hAnsi="Times New Roman" w:eastAsia="宋体" w:cs="Times New Roman"/>
      <w:sz w:val="24"/>
      <w:szCs w:val="24"/>
    </w:rPr>
  </w:style>
  <w:style w:type="character" w:customStyle="1" w:styleId="47">
    <w:name w:val="页眉 Char"/>
    <w:link w:val="15"/>
    <w:autoRedefine/>
    <w:qFormat/>
    <w:locked/>
    <w:uiPriority w:val="0"/>
    <w:rPr>
      <w:rFonts w:cs="Times New Roman"/>
      <w:sz w:val="18"/>
      <w:szCs w:val="18"/>
    </w:rPr>
  </w:style>
  <w:style w:type="character" w:customStyle="1" w:styleId="48">
    <w:name w:val="日期 Char"/>
    <w:link w:val="18"/>
    <w:autoRedefine/>
    <w:qFormat/>
    <w:locked/>
    <w:uiPriority w:val="0"/>
    <w:rPr>
      <w:rFonts w:ascii="Times New Roman" w:hAnsi="Times New Roman" w:eastAsia="宋体"/>
      <w:sz w:val="24"/>
    </w:rPr>
  </w:style>
  <w:style w:type="character" w:customStyle="1" w:styleId="49">
    <w:name w:val="批注框文本 Char"/>
    <w:link w:val="19"/>
    <w:autoRedefine/>
    <w:semiHidden/>
    <w:qFormat/>
    <w:locked/>
    <w:uiPriority w:val="0"/>
    <w:rPr>
      <w:rFonts w:ascii="Times New Roman" w:hAnsi="Times New Roman" w:eastAsia="宋体" w:cs="Times New Roman"/>
      <w:sz w:val="18"/>
      <w:szCs w:val="18"/>
    </w:rPr>
  </w:style>
  <w:style w:type="character" w:customStyle="1" w:styleId="50">
    <w:name w:val="页脚 Char"/>
    <w:link w:val="20"/>
    <w:autoRedefine/>
    <w:qFormat/>
    <w:locked/>
    <w:uiPriority w:val="0"/>
    <w:rPr>
      <w:rFonts w:cs="Times New Roman"/>
      <w:sz w:val="18"/>
      <w:szCs w:val="18"/>
    </w:rPr>
  </w:style>
  <w:style w:type="character" w:customStyle="1" w:styleId="51">
    <w:name w:val="普通(网站) Char1"/>
    <w:link w:val="30"/>
    <w:autoRedefine/>
    <w:qFormat/>
    <w:locked/>
    <w:uiPriority w:val="0"/>
    <w:rPr>
      <w:rFonts w:ascii="宋体" w:hAnsi="宋体" w:eastAsia="宋体"/>
      <w:sz w:val="24"/>
    </w:rPr>
  </w:style>
  <w:style w:type="character" w:customStyle="1" w:styleId="52">
    <w:name w:val="批注主题 Char"/>
    <w:link w:val="31"/>
    <w:autoRedefine/>
    <w:semiHidden/>
    <w:qFormat/>
    <w:locked/>
    <w:uiPriority w:val="0"/>
    <w:rPr>
      <w:rFonts w:cs="Times New Roman"/>
      <w:b/>
      <w:bCs/>
      <w:kern w:val="2"/>
      <w:szCs w:val="24"/>
    </w:rPr>
  </w:style>
  <w:style w:type="paragraph" w:customStyle="1" w:styleId="53">
    <w:name w:val="style4"/>
    <w:basedOn w:val="1"/>
    <w:next w:val="54"/>
    <w:autoRedefine/>
    <w:qFormat/>
    <w:uiPriority w:val="0"/>
    <w:pPr>
      <w:widowControl/>
      <w:spacing w:before="280" w:after="280"/>
    </w:pPr>
    <w:rPr>
      <w:rFonts w:ascii="宋体"/>
      <w:sz w:val="18"/>
    </w:rPr>
  </w:style>
  <w:style w:type="paragraph" w:customStyle="1" w:styleId="54">
    <w:name w:val="2"/>
    <w:basedOn w:val="1"/>
    <w:next w:val="1"/>
    <w:autoRedefine/>
    <w:qFormat/>
    <w:uiPriority w:val="0"/>
    <w:pPr>
      <w:widowControl/>
      <w:spacing w:after="160" w:line="240" w:lineRule="exact"/>
      <w:jc w:val="left"/>
    </w:pPr>
    <w:rPr>
      <w:rFonts w:ascii="Arial" w:hAnsi="Arial"/>
      <w:color w:val="auto"/>
      <w:kern w:val="0"/>
      <w:sz w:val="20"/>
      <w:szCs w:val="20"/>
      <w:lang w:eastAsia="en-US"/>
    </w:rPr>
  </w:style>
  <w:style w:type="paragraph" w:customStyle="1" w:styleId="55">
    <w:name w:val="表头"/>
    <w:basedOn w:val="1"/>
    <w:next w:val="56"/>
    <w:autoRedefine/>
    <w:qFormat/>
    <w:uiPriority w:val="0"/>
    <w:pPr>
      <w:spacing w:line="360" w:lineRule="auto"/>
      <w:jc w:val="center"/>
    </w:pPr>
    <w:rPr>
      <w:rFonts w:cs="Times New Roman"/>
      <w:b/>
      <w:szCs w:val="22"/>
    </w:rPr>
  </w:style>
  <w:style w:type="paragraph" w:customStyle="1" w:styleId="56">
    <w:name w:val="表格"/>
    <w:basedOn w:val="13"/>
    <w:next w:val="1"/>
    <w:link w:val="57"/>
    <w:autoRedefine/>
    <w:qFormat/>
    <w:uiPriority w:val="0"/>
    <w:pPr>
      <w:adjustRightInd w:val="0"/>
      <w:snapToGrid w:val="0"/>
      <w:spacing w:beforeLines="10" w:afterLines="10" w:line="259" w:lineRule="auto"/>
      <w:jc w:val="center"/>
    </w:pPr>
    <w:rPr>
      <w:rFonts w:ascii="宋体"/>
      <w:kern w:val="0"/>
      <w:szCs w:val="20"/>
    </w:rPr>
  </w:style>
  <w:style w:type="character" w:customStyle="1" w:styleId="57">
    <w:name w:val="表格 Char"/>
    <w:link w:val="56"/>
    <w:autoRedefine/>
    <w:qFormat/>
    <w:locked/>
    <w:uiPriority w:val="0"/>
    <w:rPr>
      <w:rFonts w:ascii="宋体"/>
      <w:sz w:val="21"/>
    </w:rPr>
  </w:style>
  <w:style w:type="character" w:customStyle="1" w:styleId="58">
    <w:name w:val="font11"/>
    <w:autoRedefine/>
    <w:qFormat/>
    <w:uiPriority w:val="0"/>
    <w:rPr>
      <w:rFonts w:hint="default" w:ascii="Times New Roman" w:hAnsi="Times New Roman" w:cs="Times New Roman"/>
      <w:color w:val="000000"/>
      <w:sz w:val="22"/>
      <w:szCs w:val="22"/>
      <w:u w:val="none"/>
    </w:rPr>
  </w:style>
  <w:style w:type="character" w:customStyle="1" w:styleId="59">
    <w:name w:val="font81"/>
    <w:autoRedefine/>
    <w:qFormat/>
    <w:uiPriority w:val="0"/>
    <w:rPr>
      <w:rFonts w:hint="eastAsia" w:ascii="宋体" w:hAnsi="宋体" w:eastAsia="宋体" w:cs="宋体"/>
      <w:b/>
      <w:bCs/>
      <w:color w:val="000000"/>
      <w:sz w:val="21"/>
      <w:szCs w:val="21"/>
      <w:u w:val="none"/>
    </w:rPr>
  </w:style>
  <w:style w:type="character" w:customStyle="1" w:styleId="60">
    <w:name w:val="批注文字 字符1"/>
    <w:autoRedefine/>
    <w:semiHidden/>
    <w:qFormat/>
    <w:uiPriority w:val="0"/>
    <w:rPr>
      <w:rFonts w:ascii="Times New Roman" w:hAnsi="Times New Roman" w:eastAsia="宋体" w:cs="Times New Roman"/>
      <w:sz w:val="24"/>
      <w:szCs w:val="24"/>
    </w:rPr>
  </w:style>
  <w:style w:type="character" w:customStyle="1" w:styleId="61">
    <w:name w:val="普通(网站) Char"/>
    <w:autoRedefine/>
    <w:qFormat/>
    <w:locked/>
    <w:uiPriority w:val="0"/>
    <w:rPr>
      <w:rFonts w:ascii="宋体" w:hAnsi="宋体" w:eastAsia="宋体"/>
      <w:sz w:val="24"/>
    </w:rPr>
  </w:style>
  <w:style w:type="character" w:customStyle="1" w:styleId="62">
    <w:name w:val="正文文本 字符1"/>
    <w:autoRedefine/>
    <w:semiHidden/>
    <w:qFormat/>
    <w:uiPriority w:val="0"/>
    <w:rPr>
      <w:rFonts w:ascii="Times New Roman" w:hAnsi="Times New Roman" w:eastAsia="宋体" w:cs="Times New Roman"/>
      <w:sz w:val="24"/>
      <w:szCs w:val="24"/>
    </w:rPr>
  </w:style>
  <w:style w:type="character" w:customStyle="1" w:styleId="63">
    <w:name w:val="日期 字符"/>
    <w:autoRedefine/>
    <w:semiHidden/>
    <w:qFormat/>
    <w:uiPriority w:val="0"/>
    <w:rPr>
      <w:rFonts w:ascii="Times New Roman" w:hAnsi="Times New Roman" w:eastAsia="宋体" w:cs="Times New Roman"/>
      <w:sz w:val="24"/>
      <w:szCs w:val="24"/>
    </w:rPr>
  </w:style>
  <w:style w:type="character" w:customStyle="1" w:styleId="64">
    <w:name w:val="font71"/>
    <w:autoRedefine/>
    <w:qFormat/>
    <w:uiPriority w:val="0"/>
    <w:rPr>
      <w:rFonts w:hint="eastAsia" w:ascii="宋体" w:hAnsi="宋体" w:eastAsia="宋体" w:cs="宋体"/>
      <w:color w:val="000000"/>
      <w:sz w:val="22"/>
      <w:szCs w:val="22"/>
      <w:u w:val="none"/>
    </w:rPr>
  </w:style>
  <w:style w:type="character" w:customStyle="1" w:styleId="65">
    <w:name w:val="font31"/>
    <w:autoRedefine/>
    <w:qFormat/>
    <w:uiPriority w:val="0"/>
    <w:rPr>
      <w:rFonts w:hint="default" w:ascii="Times New Roman" w:hAnsi="Times New Roman" w:cs="Times New Roman"/>
      <w:color w:val="000000"/>
      <w:sz w:val="21"/>
      <w:szCs w:val="21"/>
      <w:u w:val="none"/>
    </w:rPr>
  </w:style>
  <w:style w:type="character" w:customStyle="1" w:styleId="66">
    <w:name w:val="font61"/>
    <w:autoRedefine/>
    <w:qFormat/>
    <w:uiPriority w:val="0"/>
    <w:rPr>
      <w:rFonts w:hint="eastAsia" w:ascii="宋体" w:hAnsi="宋体" w:eastAsia="宋体" w:cs="宋体"/>
      <w:color w:val="000000"/>
      <w:sz w:val="21"/>
      <w:szCs w:val="21"/>
      <w:u w:val="none"/>
    </w:rPr>
  </w:style>
  <w:style w:type="character" w:customStyle="1" w:styleId="67">
    <w:name w:val="font21"/>
    <w:autoRedefine/>
    <w:qFormat/>
    <w:uiPriority w:val="0"/>
    <w:rPr>
      <w:rFonts w:hint="default" w:ascii="Times New Roman" w:hAnsi="Times New Roman" w:cs="Times New Roman"/>
      <w:b/>
      <w:bCs/>
      <w:color w:val="000000"/>
      <w:sz w:val="21"/>
      <w:szCs w:val="21"/>
      <w:u w:val="none"/>
    </w:rPr>
  </w:style>
  <w:style w:type="paragraph" w:customStyle="1" w:styleId="68">
    <w:name w:val="表格1"/>
    <w:basedOn w:val="1"/>
    <w:autoRedefine/>
    <w:qFormat/>
    <w:uiPriority w:val="0"/>
    <w:pPr>
      <w:adjustRightInd w:val="0"/>
      <w:spacing w:line="276" w:lineRule="auto"/>
      <w:ind w:firstLine="0" w:firstLineChars="0"/>
      <w:jc w:val="center"/>
    </w:pPr>
    <w:rPr>
      <w:rFonts w:ascii="Times New Roman" w:hAnsi="Times New Roman"/>
      <w:kern w:val="0"/>
      <w:sz w:val="21"/>
      <w:szCs w:val="24"/>
    </w:rPr>
  </w:style>
  <w:style w:type="paragraph" w:customStyle="1" w:styleId="69">
    <w:name w:val="Default"/>
    <w:basedOn w:val="70"/>
    <w:autoRedefine/>
    <w:unhideWhenUsed/>
    <w:qFormat/>
    <w:uiPriority w:val="99"/>
    <w:pPr>
      <w:widowControl w:val="0"/>
      <w:autoSpaceDE w:val="0"/>
      <w:autoSpaceDN w:val="0"/>
      <w:adjustRightInd w:val="0"/>
    </w:pPr>
    <w:rPr>
      <w:rFonts w:hint="eastAsia" w:ascii="宋体_x0002_....." w:hAnsi="宋体_x0002_....." w:eastAsia="宋体_x0002_....." w:cs="Times New Roman"/>
      <w:color w:val="000000"/>
      <w:sz w:val="24"/>
      <w:lang w:val="en-US" w:eastAsia="zh-CN" w:bidi="ar-SA"/>
    </w:rPr>
  </w:style>
  <w:style w:type="paragraph" w:customStyle="1" w:styleId="70">
    <w:name w:val="纯文本1"/>
    <w:basedOn w:val="1"/>
    <w:autoRedefine/>
    <w:qFormat/>
    <w:uiPriority w:val="0"/>
    <w:pPr>
      <w:adjustRightInd w:val="0"/>
    </w:pPr>
    <w:rPr>
      <w:rFonts w:ascii="宋体" w:hAnsi="Courier New"/>
      <w:szCs w:val="20"/>
    </w:rPr>
  </w:style>
  <w:style w:type="paragraph" w:customStyle="1" w:styleId="71">
    <w:name w:val="正文标准样式"/>
    <w:basedOn w:val="1"/>
    <w:autoRedefine/>
    <w:qFormat/>
    <w:uiPriority w:val="0"/>
    <w:pPr>
      <w:adjustRightInd w:val="0"/>
      <w:spacing w:line="300" w:lineRule="auto"/>
      <w:ind w:firstLine="482"/>
    </w:pPr>
    <w:rPr>
      <w:kern w:val="0"/>
      <w:sz w:val="24"/>
      <w:szCs w:val="20"/>
    </w:rPr>
  </w:style>
  <w:style w:type="paragraph" w:customStyle="1" w:styleId="72">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3">
    <w:name w:val="正文 New New New New New New New New New New New New New New New New New New New New New New New New New"/>
    <w:next w:val="74"/>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74">
    <w:name w:val="xl48"/>
    <w:basedOn w:val="1"/>
    <w:next w:val="75"/>
    <w:autoRedefine/>
    <w:qFormat/>
    <w:uiPriority w:val="0"/>
    <w:pPr>
      <w:widowControl/>
      <w:autoSpaceDE/>
      <w:autoSpaceDN/>
      <w:spacing w:before="280" w:after="280" w:line="360" w:lineRule="auto"/>
      <w:ind w:left="0" w:firstLine="0"/>
    </w:pPr>
    <w:rPr>
      <w:rFonts w:ascii="宋体" w:eastAsia="宋体"/>
      <w:sz w:val="24"/>
    </w:rPr>
  </w:style>
  <w:style w:type="paragraph" w:customStyle="1" w:styleId="75">
    <w:name w:val="我的标题2"/>
    <w:basedOn w:val="1"/>
    <w:next w:val="23"/>
    <w:autoRedefine/>
    <w:qFormat/>
    <w:uiPriority w:val="0"/>
    <w:pPr>
      <w:widowControl w:val="0"/>
      <w:autoSpaceDE/>
      <w:autoSpaceDN/>
      <w:spacing w:before="0" w:after="0" w:line="300" w:lineRule="exact"/>
      <w:ind w:left="0" w:firstLine="23"/>
    </w:pPr>
    <w:rPr>
      <w:rFonts w:ascii="Times New Roman" w:eastAsia="宋体"/>
      <w:sz w:val="18"/>
    </w:rPr>
  </w:style>
  <w:style w:type="paragraph" w:customStyle="1" w:styleId="76">
    <w:name w:val="123456"/>
    <w:basedOn w:val="1"/>
    <w:autoRedefine/>
    <w:qFormat/>
    <w:uiPriority w:val="0"/>
    <w:pPr>
      <w:spacing w:line="360" w:lineRule="auto"/>
      <w:ind w:firstLine="200" w:firstLineChars="200"/>
    </w:pPr>
    <w:rPr>
      <w:rFonts w:ascii="Calibri" w:hAnsi="Calibri" w:eastAsia="宋体" w:cs="Times New Roman"/>
      <w:sz w:val="24"/>
    </w:rPr>
  </w:style>
  <w:style w:type="paragraph" w:customStyle="1" w:styleId="77">
    <w:name w:val="aa正文"/>
    <w:basedOn w:val="1"/>
    <w:autoRedefine/>
    <w:qFormat/>
    <w:uiPriority w:val="0"/>
    <w:pPr>
      <w:topLinePunct/>
      <w:spacing w:line="500" w:lineRule="exact"/>
      <w:ind w:firstLine="200" w:firstLineChars="200"/>
      <w:textAlignment w:val="baseline"/>
    </w:pPr>
    <w:rPr>
      <w:rFonts w:ascii="Times New Roman" w:hAnsi="Times New Roman" w:eastAsia="宋体" w:cs="Times New Roman"/>
      <w:bCs/>
      <w:snapToGrid w:val="0"/>
      <w:color w:val="000000"/>
      <w:kern w:val="0"/>
      <w:sz w:val="24"/>
      <w:szCs w:val="24"/>
    </w:rPr>
  </w:style>
  <w:style w:type="paragraph" w:customStyle="1" w:styleId="78">
    <w:name w:val="赵正文"/>
    <w:basedOn w:val="1"/>
    <w:autoRedefine/>
    <w:qFormat/>
    <w:uiPriority w:val="0"/>
    <w:pPr>
      <w:spacing w:line="520" w:lineRule="exact"/>
      <w:ind w:firstLine="720" w:firstLineChars="200"/>
    </w:pPr>
    <w:rPr>
      <w:kern w:val="0"/>
    </w:rPr>
  </w:style>
  <w:style w:type="paragraph" w:customStyle="1" w:styleId="79">
    <w:name w:val="WPSOffice手动目录 1"/>
    <w:autoRedefine/>
    <w:qFormat/>
    <w:uiPriority w:val="0"/>
    <w:rPr>
      <w:rFonts w:ascii="Times New Roman" w:hAnsi="Times New Roman" w:eastAsia="宋体" w:cs="Times New Roman"/>
      <w:lang w:val="en-US" w:eastAsia="zh-CN" w:bidi="ar-SA"/>
    </w:rPr>
  </w:style>
  <w:style w:type="paragraph" w:customStyle="1" w:styleId="80">
    <w:name w:val="样式 标题 2 + 宋体"/>
    <w:basedOn w:val="3"/>
    <w:autoRedefine/>
    <w:qFormat/>
    <w:uiPriority w:val="0"/>
    <w:pPr>
      <w:spacing w:line="240" w:lineRule="auto"/>
    </w:pPr>
    <w:rPr>
      <w:rFonts w:ascii="宋体" w:hAnsi="宋体" w:eastAsia="宋体"/>
      <w:sz w:val="30"/>
    </w:rPr>
  </w:style>
  <w:style w:type="paragraph" w:customStyle="1" w:styleId="81">
    <w:name w:val="1文章"/>
    <w:basedOn w:val="1"/>
    <w:autoRedefine/>
    <w:qFormat/>
    <w:uiPriority w:val="0"/>
    <w:pPr>
      <w:snapToGrid w:val="0"/>
      <w:spacing w:line="420" w:lineRule="auto"/>
      <w:ind w:firstLine="454"/>
      <w:outlineLvl w:val="4"/>
    </w:pPr>
    <w:rPr>
      <w:spacing w:val="4"/>
      <w:sz w:val="24"/>
      <w:szCs w:val="20"/>
    </w:rPr>
  </w:style>
  <w:style w:type="paragraph" w:customStyle="1" w:styleId="82">
    <w:name w:val="Table Paragraph"/>
    <w:basedOn w:val="1"/>
    <w:autoRedefine/>
    <w:qFormat/>
    <w:uiPriority w:val="0"/>
    <w:pPr>
      <w:autoSpaceDE w:val="0"/>
      <w:autoSpaceDN w:val="0"/>
      <w:adjustRightInd w:val="0"/>
      <w:jc w:val="left"/>
    </w:pPr>
    <w:rPr>
      <w:rFonts w:eastAsia="宋体"/>
      <w:kern w:val="0"/>
      <w:sz w:val="24"/>
    </w:rPr>
  </w:style>
  <w:style w:type="paragraph" w:customStyle="1" w:styleId="83">
    <w:name w:val="Char Char Char Char"/>
    <w:basedOn w:val="1"/>
    <w:next w:val="73"/>
    <w:autoRedefine/>
    <w:qFormat/>
    <w:uiPriority w:val="0"/>
    <w:pPr>
      <w:spacing w:line="360" w:lineRule="auto"/>
      <w:ind w:firstLine="200" w:firstLineChars="200"/>
    </w:pPr>
    <w:rPr>
      <w:rFonts w:ascii="宋体" w:hAnsi="宋体" w:cs="宋体"/>
      <w:sz w:val="24"/>
    </w:rPr>
  </w:style>
  <w:style w:type="paragraph" w:customStyle="1" w:styleId="84">
    <w:name w:val="书表格内"/>
    <w:basedOn w:val="1"/>
    <w:autoRedefine/>
    <w:qFormat/>
    <w:uiPriority w:val="0"/>
    <w:pPr>
      <w:adjustRightInd w:val="0"/>
      <w:snapToGrid w:val="0"/>
      <w:spacing w:line="0" w:lineRule="atLeast"/>
      <w:jc w:val="center"/>
    </w:pPr>
    <w:rPr>
      <w:rFonts w:ascii="Times New Roman"/>
      <w:sz w:val="21"/>
      <w:szCs w:val="21"/>
    </w:rPr>
  </w:style>
  <w:style w:type="paragraph" w:customStyle="1" w:styleId="85">
    <w:name w:val=" Char1"/>
    <w:basedOn w:val="1"/>
    <w:autoRedefine/>
    <w:qFormat/>
    <w:uiPriority w:val="0"/>
    <w:pPr>
      <w:ind w:left="510"/>
    </w:pPr>
    <w:rPr>
      <w:color w:val="auto"/>
      <w:sz w:val="21"/>
      <w:szCs w:val="21"/>
    </w:rPr>
  </w:style>
  <w:style w:type="paragraph" w:customStyle="1" w:styleId="86">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87">
    <w:name w:val="样式1"/>
    <w:basedOn w:val="2"/>
    <w:autoRedefine/>
    <w:qFormat/>
    <w:uiPriority w:val="0"/>
    <w:pPr>
      <w:ind w:firstLine="1044" w:firstLineChars="200"/>
      <w:jc w:val="both"/>
    </w:pPr>
    <w:rPr>
      <w:rFonts w:ascii="Calibri" w:hAnsi="Calibri" w:eastAsia="宋体" w:cs="Times New Roman"/>
      <w:b w:val="0"/>
      <w:sz w:val="28"/>
    </w:rPr>
  </w:style>
  <w:style w:type="paragraph" w:customStyle="1" w:styleId="88">
    <w:name w:val="内嵌表格"/>
    <w:basedOn w:val="13"/>
    <w:next w:val="1"/>
    <w:autoRedefine/>
    <w:qFormat/>
    <w:uiPriority w:val="0"/>
    <w:pPr>
      <w:snapToGrid w:val="0"/>
      <w:spacing w:line="360" w:lineRule="exact"/>
      <w:ind w:firstLine="0" w:firstLineChars="0"/>
      <w:jc w:val="center"/>
    </w:pPr>
    <w:rPr>
      <w:sz w:val="21"/>
    </w:rPr>
  </w:style>
  <w:style w:type="table" w:customStyle="1" w:styleId="89">
    <w:name w:val="Table Normal"/>
    <w:basedOn w:val="34"/>
    <w:autoRedefine/>
    <w:unhideWhenUsed/>
    <w:qFormat/>
    <w:uiPriority w:val="0"/>
    <w:tblPr>
      <w:tblCellMar>
        <w:top w:w="0" w:type="dxa"/>
        <w:left w:w="0" w:type="dxa"/>
        <w:bottom w:w="0" w:type="dxa"/>
        <w:right w:w="0" w:type="dxa"/>
      </w:tblCellMar>
    </w:tblPr>
  </w:style>
  <w:style w:type="paragraph" w:customStyle="1" w:styleId="90">
    <w:name w:val="+正文"/>
    <w:basedOn w:val="1"/>
    <w:autoRedefine/>
    <w:qFormat/>
    <w:uiPriority w:val="0"/>
    <w:pPr>
      <w:spacing w:line="360" w:lineRule="auto"/>
    </w:pPr>
    <w:rPr>
      <w:rFonts w:ascii="Calibri" w:hAnsi="Calibri"/>
      <w:sz w:val="28"/>
      <w:szCs w:val="28"/>
    </w:rPr>
  </w:style>
  <w:style w:type="paragraph" w:customStyle="1" w:styleId="91">
    <w:name w:val="报告正文"/>
    <w:basedOn w:val="1"/>
    <w:next w:val="4"/>
    <w:autoRedefine/>
    <w:qFormat/>
    <w:uiPriority w:val="0"/>
    <w:pPr>
      <w:adjustRightInd w:val="0"/>
      <w:snapToGrid w:val="0"/>
      <w:spacing w:line="460" w:lineRule="atLeast"/>
      <w:ind w:firstLine="200" w:firstLineChars="200"/>
    </w:pPr>
    <w:rPr>
      <w:rFonts w:ascii="Times New Roman" w:hAnsi="Times New Roman"/>
      <w:sz w:val="24"/>
      <w:szCs w:val="20"/>
    </w:rPr>
  </w:style>
  <w:style w:type="character" w:customStyle="1" w:styleId="92">
    <w:name w:val="font51"/>
    <w:basedOn w:val="36"/>
    <w:autoRedefine/>
    <w:qFormat/>
    <w:uiPriority w:val="0"/>
    <w:rPr>
      <w:rFonts w:hint="eastAsia" w:ascii="宋体" w:hAnsi="宋体" w:eastAsia="宋体" w:cs="宋体"/>
      <w:b/>
      <w:bCs/>
      <w:color w:val="000000"/>
      <w:sz w:val="24"/>
      <w:szCs w:val="24"/>
      <w:u w:val="none"/>
    </w:rPr>
  </w:style>
  <w:style w:type="character" w:customStyle="1" w:styleId="93">
    <w:name w:val="font01"/>
    <w:basedOn w:val="36"/>
    <w:autoRedefine/>
    <w:qFormat/>
    <w:uiPriority w:val="0"/>
    <w:rPr>
      <w:rFonts w:hint="eastAsia" w:ascii="宋体" w:hAnsi="宋体" w:eastAsia="宋体" w:cs="宋体"/>
      <w:color w:val="000000"/>
      <w:sz w:val="24"/>
      <w:szCs w:val="24"/>
      <w:u w:val="none"/>
    </w:rPr>
  </w:style>
  <w:style w:type="paragraph" w:customStyle="1" w:styleId="94">
    <w:name w:val="ae正文zzzzzzzz"/>
    <w:basedOn w:val="1"/>
    <w:autoRedefine/>
    <w:qFormat/>
    <w:uiPriority w:val="0"/>
    <w:pPr>
      <w:spacing w:line="520" w:lineRule="exact"/>
      <w:ind w:firstLine="200" w:firstLineChars="200"/>
    </w:pPr>
    <w:rPr>
      <w:rFonts w:ascii="Times New Roman" w:hAnsi="Times New Roman"/>
      <w:kern w:val="0"/>
      <w:sz w:val="24"/>
      <w:szCs w:val="20"/>
      <w:lang w:val="zh-CN"/>
    </w:rPr>
  </w:style>
  <w:style w:type="paragraph" w:customStyle="1" w:styleId="95">
    <w:name w:val="初设正文"/>
    <w:basedOn w:val="1"/>
    <w:autoRedefine/>
    <w:qFormat/>
    <w:uiPriority w:val="0"/>
    <w:pPr>
      <w:spacing w:line="360" w:lineRule="auto"/>
      <w:ind w:firstLine="480" w:firstLineChars="200"/>
      <w:jc w:val="left"/>
    </w:pPr>
    <w:rPr>
      <w:sz w:val="24"/>
    </w:rPr>
  </w:style>
  <w:style w:type="paragraph" w:customStyle="1" w:styleId="96">
    <w:name w:val="Table Text"/>
    <w:basedOn w:val="1"/>
    <w:autoRedefine/>
    <w:semiHidden/>
    <w:qFormat/>
    <w:uiPriority w:val="0"/>
    <w:pPr>
      <w:spacing w:line="480" w:lineRule="atLeast"/>
      <w:jc w:val="center"/>
    </w:pPr>
    <w:rPr>
      <w:rFonts w:ascii="Times New Roman" w:hAnsi="Times New Roman" w:cs="Times New Roman" w:eastAsiaTheme="minorEastAsia"/>
      <w:b/>
      <w:color w:val="000000" w:themeColor="text1"/>
      <w:spacing w:val="-2"/>
      <w:sz w:val="21"/>
      <w:szCs w:val="21"/>
      <w14:textFill>
        <w14:solidFill>
          <w14:schemeClr w14:val="tx1"/>
        </w14:solidFill>
      </w14:textFill>
    </w:rPr>
  </w:style>
  <w:style w:type="paragraph" w:customStyle="1" w:styleId="97">
    <w:name w:val="TOC 标题1"/>
    <w:basedOn w:val="2"/>
    <w:next w:val="1"/>
    <w:autoRedefine/>
    <w:unhideWhenUsed/>
    <w:qFormat/>
    <w:uiPriority w:val="39"/>
    <w:pPr>
      <w:keepNext/>
      <w:keepLines/>
      <w:widowControl/>
      <w:autoSpaceDE/>
      <w:autoSpaceDN/>
      <w:spacing w:before="240" w:line="259" w:lineRule="auto"/>
      <w:ind w:left="0" w:right="0"/>
      <w:jc w:val="left"/>
      <w:outlineLvl w:val="9"/>
    </w:pPr>
    <w:rPr>
      <w:rFonts w:asciiTheme="majorHAnsi" w:hAnsiTheme="majorHAnsi" w:eastAsiaTheme="majorEastAsia" w:cstheme="majorBidi"/>
      <w:color w:val="376092" w:themeColor="accent1" w:themeShade="BF"/>
      <w:sz w:val="32"/>
      <w:szCs w:val="32"/>
    </w:rPr>
  </w:style>
  <w:style w:type="paragraph" w:customStyle="1" w:styleId="98">
    <w:name w:val="样式 正文缩进正文缩进2正文缩进 Char Char正文缩进 Char Char Char Char正文缩进 Char ..."/>
    <w:basedOn w:val="4"/>
    <w:autoRedefine/>
    <w:qFormat/>
    <w:uiPriority w:val="0"/>
    <w:pPr>
      <w:spacing w:after="0" w:line="360" w:lineRule="auto"/>
      <w:ind w:firstLine="200" w:firstLineChars="200"/>
      <w:jc w:val="both"/>
    </w:pPr>
    <w:rPr>
      <w:rFonts w:ascii="Times New Roman" w:hAnsi="Times New Roman" w:eastAsia="宋体" w:cs="宋体"/>
      <w:kern w:val="2"/>
      <w:sz w:val="24"/>
      <w:szCs w:val="24"/>
      <w:lang w:eastAsia="zh-CN"/>
    </w:rPr>
  </w:style>
  <w:style w:type="paragraph" w:customStyle="1" w:styleId="99">
    <w:name w:val="表格内容"/>
    <w:basedOn w:val="1"/>
    <w:autoRedefine/>
    <w:qFormat/>
    <w:uiPriority w:val="0"/>
    <w:pPr>
      <w:adjustRightInd w:val="0"/>
      <w:snapToGrid w:val="0"/>
      <w:spacing w:line="240" w:lineRule="auto"/>
      <w:ind w:firstLine="0" w:firstLineChars="0"/>
      <w:jc w:val="center"/>
    </w:pPr>
    <w:rPr>
      <w:sz w:val="21"/>
    </w:rPr>
  </w:style>
  <w:style w:type="paragraph" w:customStyle="1" w:styleId="100">
    <w:name w:val="刘思远正文"/>
    <w:qFormat/>
    <w:uiPriority w:val="0"/>
    <w:pPr>
      <w:spacing w:line="360" w:lineRule="auto"/>
      <w:ind w:firstLine="200" w:firstLineChars="200"/>
    </w:pPr>
    <w:rPr>
      <w:rFonts w:ascii="宋体" w:hAnsi="宋体" w:eastAsia="宋体" w:cs="Times New Roman"/>
      <w:bCs/>
      <w:sz w:val="28"/>
      <w:szCs w:val="24"/>
      <w:lang w:val="en-US" w:eastAsia="zh-CN" w:bidi="en-US"/>
    </w:rPr>
  </w:style>
  <w:style w:type="paragraph" w:customStyle="1" w:styleId="101">
    <w:name w:val="Body Text"/>
    <w:basedOn w:val="1"/>
    <w:qFormat/>
    <w:uiPriority w:val="0"/>
    <w:pPr>
      <w:jc w:val="right"/>
    </w:pPr>
    <w:rPr>
      <w:rFonts w:ascii="宋体"/>
      <w:sz w:val="28"/>
    </w:rPr>
  </w:style>
  <w:style w:type="paragraph" w:customStyle="1" w:styleId="102">
    <w:name w:val="标题 41"/>
    <w:basedOn w:val="1"/>
    <w:autoRedefine/>
    <w:qFormat/>
    <w:uiPriority w:val="1"/>
    <w:pPr>
      <w:widowControl w:val="0"/>
      <w:autoSpaceDE w:val="0"/>
      <w:autoSpaceDN w:val="0"/>
      <w:snapToGrid/>
      <w:ind w:left="2"/>
      <w:outlineLvl w:val="3"/>
    </w:pPr>
    <w:rPr>
      <w:rFonts w:ascii="宋体" w:hAnsi="Times New Roman" w:eastAsia="宋体" w:cs="宋体"/>
      <w:b/>
      <w:bCs/>
      <w:kern w:val="0"/>
      <w:sz w:val="32"/>
      <w:szCs w:val="32"/>
    </w:rPr>
  </w:style>
  <w:style w:type="paragraph" w:styleId="10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header" Target="header2.xml"/><Relationship Id="rId69" Type="http://schemas.openxmlformats.org/officeDocument/2006/relationships/customXml" Target="../customXml/item1.xml"/><Relationship Id="rId68" Type="http://schemas.openxmlformats.org/officeDocument/2006/relationships/image" Target="media/image37.png"/><Relationship Id="rId67" Type="http://schemas.openxmlformats.org/officeDocument/2006/relationships/image" Target="media/image36.wmf"/><Relationship Id="rId66" Type="http://schemas.openxmlformats.org/officeDocument/2006/relationships/oleObject" Target="embeddings/oleObject19.bin"/><Relationship Id="rId65" Type="http://schemas.openxmlformats.org/officeDocument/2006/relationships/image" Target="media/image35.png"/><Relationship Id="rId64" Type="http://schemas.openxmlformats.org/officeDocument/2006/relationships/image" Target="media/image34.wmf"/><Relationship Id="rId63" Type="http://schemas.openxmlformats.org/officeDocument/2006/relationships/oleObject" Target="embeddings/oleObject18.bin"/><Relationship Id="rId62" Type="http://schemas.openxmlformats.org/officeDocument/2006/relationships/image" Target="media/image33.wmf"/><Relationship Id="rId61" Type="http://schemas.openxmlformats.org/officeDocument/2006/relationships/oleObject" Target="embeddings/oleObject17.bin"/><Relationship Id="rId60" Type="http://schemas.openxmlformats.org/officeDocument/2006/relationships/image" Target="media/image32.wmf"/><Relationship Id="rId6" Type="http://schemas.openxmlformats.org/officeDocument/2006/relationships/header" Target="header1.xml"/><Relationship Id="rId59" Type="http://schemas.openxmlformats.org/officeDocument/2006/relationships/oleObject" Target="embeddings/oleObject16.bin"/><Relationship Id="rId58" Type="http://schemas.openxmlformats.org/officeDocument/2006/relationships/image" Target="media/image31.wmf"/><Relationship Id="rId57" Type="http://schemas.openxmlformats.org/officeDocument/2006/relationships/oleObject" Target="embeddings/oleObject15.bin"/><Relationship Id="rId56" Type="http://schemas.openxmlformats.org/officeDocument/2006/relationships/image" Target="media/image30.wmf"/><Relationship Id="rId55" Type="http://schemas.openxmlformats.org/officeDocument/2006/relationships/oleObject" Target="embeddings/oleObject14.bin"/><Relationship Id="rId54" Type="http://schemas.openxmlformats.org/officeDocument/2006/relationships/image" Target="media/image29.wmf"/><Relationship Id="rId53" Type="http://schemas.openxmlformats.org/officeDocument/2006/relationships/oleObject" Target="embeddings/oleObject13.bin"/><Relationship Id="rId52" Type="http://schemas.openxmlformats.org/officeDocument/2006/relationships/image" Target="media/image28.wmf"/><Relationship Id="rId51" Type="http://schemas.openxmlformats.org/officeDocument/2006/relationships/oleObject" Target="embeddings/oleObject12.bin"/><Relationship Id="rId50" Type="http://schemas.openxmlformats.org/officeDocument/2006/relationships/image" Target="media/image27.wmf"/><Relationship Id="rId5" Type="http://schemas.openxmlformats.org/officeDocument/2006/relationships/footer" Target="footer3.xml"/><Relationship Id="rId49" Type="http://schemas.openxmlformats.org/officeDocument/2006/relationships/oleObject" Target="embeddings/oleObject11.bin"/><Relationship Id="rId48" Type="http://schemas.openxmlformats.org/officeDocument/2006/relationships/image" Target="media/image26.wmf"/><Relationship Id="rId47" Type="http://schemas.openxmlformats.org/officeDocument/2006/relationships/oleObject" Target="embeddings/oleObject10.bin"/><Relationship Id="rId46" Type="http://schemas.openxmlformats.org/officeDocument/2006/relationships/image" Target="media/image25.wmf"/><Relationship Id="rId45" Type="http://schemas.openxmlformats.org/officeDocument/2006/relationships/oleObject" Target="embeddings/oleObject9.bin"/><Relationship Id="rId44" Type="http://schemas.openxmlformats.org/officeDocument/2006/relationships/image" Target="media/image24.wmf"/><Relationship Id="rId43" Type="http://schemas.openxmlformats.org/officeDocument/2006/relationships/oleObject" Target="embeddings/oleObject8.bin"/><Relationship Id="rId42" Type="http://schemas.openxmlformats.org/officeDocument/2006/relationships/image" Target="media/image23.png"/><Relationship Id="rId41" Type="http://schemas.openxmlformats.org/officeDocument/2006/relationships/image" Target="media/image22.wmf"/><Relationship Id="rId40" Type="http://schemas.openxmlformats.org/officeDocument/2006/relationships/oleObject" Target="embeddings/oleObject7.bin"/><Relationship Id="rId4" Type="http://schemas.openxmlformats.org/officeDocument/2006/relationships/footer" Target="footer2.xml"/><Relationship Id="rId39" Type="http://schemas.openxmlformats.org/officeDocument/2006/relationships/image" Target="media/image21.wmf"/><Relationship Id="rId38" Type="http://schemas.openxmlformats.org/officeDocument/2006/relationships/oleObject" Target="embeddings/oleObject6.bin"/><Relationship Id="rId37" Type="http://schemas.openxmlformats.org/officeDocument/2006/relationships/image" Target="media/image20.wmf"/><Relationship Id="rId36" Type="http://schemas.openxmlformats.org/officeDocument/2006/relationships/oleObject" Target="embeddings/oleObject5.bin"/><Relationship Id="rId35" Type="http://schemas.openxmlformats.org/officeDocument/2006/relationships/image" Target="media/image19.wmf"/><Relationship Id="rId34" Type="http://schemas.openxmlformats.org/officeDocument/2006/relationships/oleObject" Target="embeddings/oleObject4.bin"/><Relationship Id="rId33" Type="http://schemas.openxmlformats.org/officeDocument/2006/relationships/image" Target="media/image18.wmf"/><Relationship Id="rId32" Type="http://schemas.openxmlformats.org/officeDocument/2006/relationships/oleObject" Target="embeddings/oleObject3.bin"/><Relationship Id="rId31" Type="http://schemas.openxmlformats.org/officeDocument/2006/relationships/image" Target="media/image17.jpeg"/><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15.wmf"/><Relationship Id="rId27" Type="http://schemas.openxmlformats.org/officeDocument/2006/relationships/oleObject" Target="embeddings/oleObject1.bin"/><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93</Pages>
  <Words>13428</Words>
  <Characters>14157</Characters>
  <Lines>1</Lines>
  <Paragraphs>1</Paragraphs>
  <TotalTime>0</TotalTime>
  <ScaleCrop>false</ScaleCrop>
  <LinksUpToDate>false</LinksUpToDate>
  <CharactersWithSpaces>14339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2022-08-11T03:18:00Z</dcterms:created>
  <dc:creator>尚云环境</dc:creator>
  <cp:lastModifiedBy>QIN</cp:lastModifiedBy>
  <cp:lastPrinted>2020-12-24T01:50:00Z</cp:lastPrinted>
  <dcterms:modified xsi:type="dcterms:W3CDTF">2025-04-21T07:49:56Z</dcterms:modified>
  <dc:title>建设项目环境影响报告表（生态影响类）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51E813C2AA074EC1B4CFFDAFFCDBAAE4_13</vt:lpwstr>
  </property>
  <property fmtid="{D5CDD505-2E9C-101B-9397-08002B2CF9AE}" pid="4" name="commondata">
    <vt:lpwstr>eyJoZGlkIjoiZjVmYWQxOGQzNjE3Y2QxYTgwMDU2ZDYzNTg1NWVlOGMifQ==</vt:lpwstr>
  </property>
  <property fmtid="{D5CDD505-2E9C-101B-9397-08002B2CF9AE}" pid="5" name="KSOTemplateDocerSaveRecord">
    <vt:lpwstr>eyJoZGlkIjoiMDBiODc0MzNlODNmM2NhNGFjMmMyZTZkMjI2YTU1ZGIiLCJ1c2VySWQiOiI3OTgyOTUxNTYifQ==</vt:lpwstr>
  </property>
</Properties>
</file>