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CCA9C">
      <w:pPr>
        <w:rPr>
          <w:rFonts w:hint="default" w:ascii="Times New Roman" w:hAnsi="Times New Roman" w:eastAsia="宋体" w:cs="Times New Roman"/>
          <w:color w:val="auto"/>
          <w:sz w:val="36"/>
          <w:szCs w:val="36"/>
          <w:highlight w:val="none"/>
        </w:rPr>
      </w:pPr>
    </w:p>
    <w:p w14:paraId="1CF595EB">
      <w:pPr>
        <w:rPr>
          <w:rFonts w:hint="default" w:ascii="Times New Roman" w:hAnsi="Times New Roman" w:eastAsia="宋体" w:cs="Times New Roman"/>
          <w:color w:val="auto"/>
          <w:sz w:val="36"/>
          <w:szCs w:val="36"/>
          <w:highlight w:val="none"/>
        </w:rPr>
      </w:pPr>
    </w:p>
    <w:p w14:paraId="14852AA5">
      <w:pPr>
        <w:rPr>
          <w:rFonts w:hint="default" w:ascii="Times New Roman" w:hAnsi="Times New Roman" w:eastAsia="宋体" w:cs="Times New Roman"/>
          <w:color w:val="auto"/>
          <w:sz w:val="36"/>
          <w:szCs w:val="36"/>
          <w:highlight w:val="none"/>
        </w:rPr>
      </w:pPr>
    </w:p>
    <w:p w14:paraId="53C1C05A">
      <w:pPr>
        <w:rPr>
          <w:rFonts w:hint="default" w:ascii="Times New Roman" w:hAnsi="Times New Roman" w:eastAsia="宋体" w:cs="Times New Roman"/>
          <w:color w:val="auto"/>
          <w:sz w:val="36"/>
          <w:szCs w:val="36"/>
          <w:highlight w:val="none"/>
        </w:rPr>
      </w:pPr>
    </w:p>
    <w:p w14:paraId="4AFD1051">
      <w:pPr>
        <w:rPr>
          <w:rFonts w:hint="default" w:ascii="Times New Roman" w:hAnsi="Times New Roman" w:eastAsia="宋体" w:cs="Times New Roman"/>
          <w:color w:val="auto"/>
          <w:sz w:val="36"/>
          <w:szCs w:val="36"/>
          <w:highlight w:val="none"/>
        </w:rPr>
      </w:pPr>
    </w:p>
    <w:p w14:paraId="6967C22C">
      <w:pPr>
        <w:adjustRightInd w:val="0"/>
        <w:snapToGrid w:val="0"/>
        <w:jc w:val="center"/>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p>
    <w:p w14:paraId="25C42718">
      <w:pPr>
        <w:adjustRightInd w:val="0"/>
        <w:snapToGrid w:val="0"/>
        <w:spacing w:line="288" w:lineRule="auto"/>
        <w:jc w:val="center"/>
        <w:rPr>
          <w:rFonts w:hint="eastAsia" w:ascii="Times New Roman" w:hAnsi="Times New Roman" w:eastAsia="宋体" w:cs="Times New Roman"/>
          <w:color w:val="auto"/>
          <w:kern w:val="44"/>
          <w:sz w:val="44"/>
          <w:szCs w:val="44"/>
          <w:highlight w:val="none"/>
          <w:lang w:eastAsia="zh-CN"/>
        </w:rPr>
      </w:pPr>
    </w:p>
    <w:p w14:paraId="4C910E84">
      <w:pPr>
        <w:adjustRightInd w:val="0"/>
        <w:snapToGrid w:val="0"/>
        <w:spacing w:line="288" w:lineRule="auto"/>
        <w:jc w:val="center"/>
        <w:rPr>
          <w:rFonts w:hint="eastAsia" w:ascii="Times New Roman" w:hAnsi="Times New Roman" w:eastAsia="宋体" w:cs="Times New Roman"/>
          <w:color w:val="auto"/>
          <w:kern w:val="44"/>
          <w:sz w:val="44"/>
          <w:szCs w:val="44"/>
          <w:highlight w:val="none"/>
          <w:lang w:eastAsia="zh-CN"/>
        </w:rPr>
      </w:pPr>
      <w:r>
        <w:rPr>
          <w:rFonts w:hint="eastAsia" w:ascii="Times New Roman" w:hAnsi="Times New Roman" w:eastAsia="宋体" w:cs="Times New Roman"/>
          <w:color w:val="auto"/>
          <w:kern w:val="44"/>
          <w:sz w:val="44"/>
          <w:szCs w:val="44"/>
          <w:highlight w:val="none"/>
          <w:lang w:eastAsia="zh-CN"/>
        </w:rPr>
        <w:t>（报批版）</w:t>
      </w:r>
    </w:p>
    <w:p w14:paraId="73E6B372">
      <w:pPr>
        <w:jc w:val="center"/>
        <w:rPr>
          <w:rFonts w:hint="default" w:ascii="Times New Roman" w:hAnsi="Times New Roman" w:eastAsia="宋体" w:cs="Times New Roman"/>
          <w:color w:val="auto"/>
          <w:sz w:val="52"/>
          <w:szCs w:val="52"/>
          <w:highlight w:val="none"/>
        </w:rPr>
      </w:pPr>
    </w:p>
    <w:p w14:paraId="747EFFEA">
      <w:pPr>
        <w:ind w:firstLine="1040"/>
        <w:rPr>
          <w:rFonts w:hint="default" w:ascii="Times New Roman" w:hAnsi="Times New Roman" w:eastAsia="宋体" w:cs="Times New Roman"/>
          <w:color w:val="auto"/>
          <w:sz w:val="44"/>
          <w:szCs w:val="44"/>
          <w:highlight w:val="none"/>
        </w:rPr>
      </w:pPr>
    </w:p>
    <w:p w14:paraId="472CBC9A">
      <w:pPr>
        <w:ind w:firstLine="1040"/>
        <w:rPr>
          <w:rFonts w:hint="default" w:ascii="Times New Roman" w:hAnsi="Times New Roman" w:eastAsia="宋体" w:cs="Times New Roman"/>
          <w:color w:val="auto"/>
          <w:sz w:val="44"/>
          <w:szCs w:val="44"/>
          <w:highlight w:val="none"/>
        </w:rPr>
      </w:pPr>
    </w:p>
    <w:p w14:paraId="1A4C3EE2">
      <w:pPr>
        <w:ind w:firstLine="1040"/>
        <w:rPr>
          <w:rFonts w:hint="default" w:ascii="Times New Roman" w:hAnsi="Times New Roman" w:eastAsia="宋体" w:cs="Times New Roman"/>
          <w:color w:val="auto"/>
          <w:sz w:val="44"/>
          <w:szCs w:val="44"/>
          <w:highlight w:val="none"/>
        </w:rPr>
      </w:pPr>
    </w:p>
    <w:p w14:paraId="7A151CE5">
      <w:pPr>
        <w:ind w:firstLine="1040"/>
        <w:rPr>
          <w:rFonts w:hint="default" w:ascii="Times New Roman" w:hAnsi="Times New Roman" w:eastAsia="宋体" w:cs="Times New Roman"/>
          <w:color w:val="auto"/>
          <w:sz w:val="44"/>
          <w:szCs w:val="44"/>
          <w:highlight w:val="none"/>
        </w:rPr>
      </w:pPr>
    </w:p>
    <w:p w14:paraId="17027142">
      <w:pPr>
        <w:adjustRightInd w:val="0"/>
        <w:snapToGrid w:val="0"/>
        <w:spacing w:line="288" w:lineRule="auto"/>
        <w:rPr>
          <w:rFonts w:hint="default" w:ascii="Times New Roman" w:hAnsi="Times New Roman" w:eastAsia="宋体" w:cs="Times New Roman"/>
          <w:color w:val="auto"/>
          <w:sz w:val="44"/>
          <w:szCs w:val="44"/>
          <w:highlight w:val="none"/>
        </w:rPr>
      </w:pPr>
    </w:p>
    <w:p w14:paraId="53BFB263">
      <w:pPr>
        <w:adjustRightInd w:val="0"/>
        <w:snapToGrid w:val="0"/>
        <w:spacing w:line="360" w:lineRule="auto"/>
        <w:ind w:left="2238" w:leftChars="290" w:hanging="1600" w:hangingChars="500"/>
        <w:rPr>
          <w:rFonts w:hint="default" w:ascii="Times New Roman" w:hAnsi="Times New Roman" w:eastAsia="宋体" w:cs="Times New Roman"/>
          <w:color w:val="auto"/>
          <w:sz w:val="32"/>
          <w:szCs w:val="32"/>
          <w:highlight w:val="none"/>
          <w:u w:val="single"/>
        </w:rPr>
      </w:pPr>
      <w:r>
        <w:rPr>
          <w:rFonts w:hint="default" w:ascii="Times New Roman" w:hAnsi="Times New Roman" w:eastAsia="宋体" w:cs="Times New Roman"/>
          <w:color w:val="auto"/>
          <w:sz w:val="32"/>
          <w:szCs w:val="32"/>
          <w:highlight w:val="none"/>
        </w:rPr>
        <w:t>项目名称：</w:t>
      </w:r>
      <w:r>
        <w:rPr>
          <w:rFonts w:hint="default" w:ascii="Times New Roman" w:hAnsi="Times New Roman" w:eastAsia="宋体" w:cs="Times New Roman"/>
          <w:color w:val="auto"/>
          <w:sz w:val="32"/>
          <w:szCs w:val="32"/>
          <w:highlight w:val="none"/>
          <w:u w:val="single"/>
        </w:rPr>
        <w:t>华能围场“风光储氢热一体化”项目（光伏200MW）项目220kV送出线路工程项目</w:t>
      </w:r>
      <w:r>
        <w:rPr>
          <w:rFonts w:hint="default" w:ascii="Times New Roman" w:hAnsi="Times New Roman" w:eastAsia="宋体" w:cs="Times New Roman"/>
          <w:color w:val="auto"/>
          <w:spacing w:val="-28"/>
          <w:sz w:val="32"/>
          <w:szCs w:val="32"/>
          <w:highlight w:val="none"/>
          <w:u w:val="single"/>
        </w:rPr>
        <w:t xml:space="preserve"> </w:t>
      </w:r>
    </w:p>
    <w:p w14:paraId="7C2B6FC1">
      <w:pPr>
        <w:adjustRightInd w:val="0"/>
        <w:snapToGrid w:val="0"/>
        <w:spacing w:line="288" w:lineRule="auto"/>
        <w:ind w:left="2238" w:leftChars="290" w:hanging="1600" w:hangingChars="500"/>
        <w:rPr>
          <w:rFonts w:hint="default" w:ascii="Times New Roman" w:hAnsi="Times New Roman" w:eastAsia="宋体" w:cs="Times New Roman"/>
          <w:color w:val="auto"/>
          <w:sz w:val="36"/>
          <w:highlight w:val="none"/>
          <w:u w:val="single"/>
        </w:rPr>
      </w:pPr>
      <w:r>
        <w:rPr>
          <w:rFonts w:hint="default" w:ascii="Times New Roman" w:hAnsi="Times New Roman" w:eastAsia="宋体" w:cs="Times New Roman"/>
          <w:color w:val="auto"/>
          <w:sz w:val="32"/>
          <w:szCs w:val="32"/>
          <w:highlight w:val="none"/>
        </w:rPr>
        <w:t>建设单位（盖章）：</w:t>
      </w:r>
      <w:r>
        <w:rPr>
          <w:rFonts w:hint="default" w:ascii="Times New Roman" w:hAnsi="Times New Roman" w:eastAsia="宋体" w:cs="Times New Roman"/>
          <w:color w:val="auto"/>
          <w:sz w:val="32"/>
          <w:szCs w:val="32"/>
          <w:highlight w:val="none"/>
          <w:u w:val="single"/>
        </w:rPr>
        <w:t>围场满族蒙古族自治县阳洁光伏发电有限责任公司</w:t>
      </w:r>
    </w:p>
    <w:p w14:paraId="296B3F9E">
      <w:pPr>
        <w:adjustRightInd w:val="0"/>
        <w:snapToGrid w:val="0"/>
        <w:spacing w:line="288" w:lineRule="auto"/>
        <w:ind w:firstLine="1040"/>
        <w:rPr>
          <w:rFonts w:hint="default" w:ascii="Times New Roman" w:hAnsi="Times New Roman" w:eastAsia="宋体" w:cs="Times New Roman"/>
          <w:color w:val="auto"/>
          <w:sz w:val="36"/>
          <w:highlight w:val="none"/>
        </w:rPr>
      </w:pPr>
    </w:p>
    <w:p w14:paraId="145397E8">
      <w:pPr>
        <w:adjustRightInd w:val="0"/>
        <w:snapToGrid w:val="0"/>
        <w:spacing w:line="288" w:lineRule="auto"/>
        <w:ind w:firstLine="1040"/>
        <w:rPr>
          <w:rFonts w:hint="default" w:ascii="Times New Roman" w:hAnsi="Times New Roman" w:eastAsia="宋体" w:cs="Times New Roman"/>
          <w:color w:val="auto"/>
          <w:sz w:val="36"/>
          <w:highlight w:val="none"/>
        </w:rPr>
      </w:pPr>
      <w:bookmarkStart w:id="80" w:name="_GoBack"/>
      <w:bookmarkEnd w:id="80"/>
    </w:p>
    <w:p w14:paraId="65F76AE2">
      <w:pPr>
        <w:adjustRightInd w:val="0"/>
        <w:snapToGrid w:val="0"/>
        <w:spacing w:line="288" w:lineRule="auto"/>
        <w:ind w:firstLine="1040"/>
        <w:rPr>
          <w:rFonts w:hint="default" w:ascii="Times New Roman" w:hAnsi="Times New Roman" w:eastAsia="宋体" w:cs="Times New Roman"/>
          <w:color w:val="auto"/>
          <w:sz w:val="36"/>
          <w:highlight w:val="none"/>
        </w:rPr>
      </w:pPr>
    </w:p>
    <w:p w14:paraId="5FCC4481">
      <w:pPr>
        <w:adjustRightInd w:val="0"/>
        <w:snapToGrid w:val="0"/>
        <w:spacing w:line="360" w:lineRule="auto"/>
        <w:ind w:left="440" w:leftChars="200" w:firstLine="640" w:firstLineChars="200"/>
        <w:rPr>
          <w:rFonts w:hint="default" w:ascii="Times New Roman" w:hAnsi="Times New Roman" w:eastAsia="宋体" w:cs="Times New Roman"/>
          <w:color w:val="auto"/>
          <w:sz w:val="32"/>
          <w:szCs w:val="32"/>
          <w:highlight w:val="none"/>
        </w:rPr>
      </w:pPr>
    </w:p>
    <w:p w14:paraId="3A6CF1FD">
      <w:pPr>
        <w:adjustRightInd w:val="0"/>
        <w:snapToGrid w:val="0"/>
        <w:spacing w:line="360" w:lineRule="auto"/>
        <w:ind w:firstLine="640" w:firstLineChars="200"/>
        <w:rPr>
          <w:rFonts w:hint="default" w:ascii="Times New Roman" w:hAnsi="Times New Roman" w:eastAsia="宋体" w:cs="Times New Roman"/>
          <w:color w:val="auto"/>
          <w:sz w:val="32"/>
          <w:szCs w:val="32"/>
          <w:highlight w:val="none"/>
          <w:u w:val="single"/>
        </w:rPr>
      </w:pPr>
      <w:r>
        <w:rPr>
          <w:rFonts w:hint="default" w:ascii="Times New Roman" w:hAnsi="Times New Roman" w:eastAsia="宋体" w:cs="Times New Roman"/>
          <w:color w:val="auto"/>
          <w:sz w:val="32"/>
          <w:szCs w:val="32"/>
          <w:highlight w:val="none"/>
        </w:rPr>
        <w:t>编制单位：</w:t>
      </w:r>
      <w:r>
        <w:rPr>
          <w:rFonts w:hint="default" w:ascii="Times New Roman" w:hAnsi="Times New Roman" w:eastAsia="宋体" w:cs="Times New Roman"/>
          <w:color w:val="auto"/>
          <w:sz w:val="32"/>
          <w:szCs w:val="32"/>
          <w:highlight w:val="none"/>
          <w:u w:val="single"/>
        </w:rPr>
        <w:t xml:space="preserve">         河北冀跃工程咨询有限公司                   </w:t>
      </w:r>
    </w:p>
    <w:p w14:paraId="19833843">
      <w:pPr>
        <w:adjustRightInd w:val="0"/>
        <w:snapToGrid w:val="0"/>
        <w:spacing w:line="360" w:lineRule="auto"/>
        <w:ind w:firstLine="640" w:firstLineChars="200"/>
        <w:rPr>
          <w:rFonts w:hint="default" w:ascii="Times New Roman" w:hAnsi="Times New Roman" w:eastAsia="宋体" w:cs="Times New Roman"/>
          <w:color w:val="auto"/>
          <w:sz w:val="32"/>
          <w:highlight w:val="none"/>
        </w:rPr>
        <w:sectPr>
          <w:footerReference r:id="rId4" w:type="default"/>
          <w:headerReference r:id="rId3" w:type="even"/>
          <w:pgSz w:w="11910" w:h="16840"/>
          <w:pgMar w:top="1580" w:right="1320" w:bottom="1240" w:left="1340" w:header="0" w:footer="1043" w:gutter="0"/>
          <w:pgNumType w:start="1"/>
          <w:cols w:space="720" w:num="1"/>
          <w:docGrid w:linePitch="299" w:charSpace="0"/>
        </w:sect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rPr>
        <w:t xml:space="preserve">                 2024年</w:t>
      </w:r>
      <w:r>
        <w:rPr>
          <w:rFonts w:hint="eastAsia" w:ascii="Times New Roman" w:hAnsi="Times New Roman" w:eastAsia="宋体" w:cs="Times New Roman"/>
          <w:color w:val="auto"/>
          <w:sz w:val="32"/>
          <w:szCs w:val="32"/>
          <w:highlight w:val="none"/>
          <w:u w:val="single"/>
          <w:lang w:val="en-US" w:eastAsia="zh-CN"/>
        </w:rPr>
        <w:t>11</w:t>
      </w:r>
      <w:r>
        <w:rPr>
          <w:rFonts w:hint="default" w:ascii="Times New Roman" w:hAnsi="Times New Roman" w:eastAsia="宋体" w:cs="Times New Roman"/>
          <w:color w:val="auto"/>
          <w:sz w:val="32"/>
          <w:szCs w:val="32"/>
          <w:highlight w:val="none"/>
          <w:u w:val="single"/>
        </w:rPr>
        <w:t xml:space="preserve">月                                </w:t>
      </w:r>
    </w:p>
    <w:p w14:paraId="2119D1E6">
      <w:pPr>
        <w:adjustRightInd w:val="0"/>
        <w:snapToGrid w:val="0"/>
        <w:spacing w:line="360" w:lineRule="auto"/>
        <w:rPr>
          <w:rFonts w:hint="default" w:ascii="Times New Roman" w:hAnsi="Times New Roman" w:eastAsia="宋体" w:cs="Times New Roman"/>
          <w:color w:val="auto"/>
          <w:sz w:val="32"/>
          <w:highlight w:val="none"/>
        </w:rPr>
      </w:pPr>
    </w:p>
    <w:p w14:paraId="7B916633">
      <w:pPr>
        <w:adjustRightInd w:val="0"/>
        <w:snapToGrid w:val="0"/>
        <w:spacing w:line="360" w:lineRule="auto"/>
        <w:rPr>
          <w:rFonts w:hint="default" w:ascii="Times New Roman" w:hAnsi="Times New Roman" w:eastAsia="宋体" w:cs="Times New Roman"/>
          <w:color w:val="auto"/>
          <w:sz w:val="32"/>
          <w:highlight w:val="none"/>
        </w:rPr>
        <w:sectPr>
          <w:pgSz w:w="11910" w:h="16840"/>
          <w:pgMar w:top="1580" w:right="1320" w:bottom="1240" w:left="1340" w:header="0" w:footer="1043" w:gutter="0"/>
          <w:pgNumType w:start="1"/>
          <w:cols w:space="720" w:num="1"/>
          <w:docGrid w:linePitch="299" w:charSpace="0"/>
        </w:sectPr>
      </w:pPr>
    </w:p>
    <w:sdt>
      <w:sdtPr>
        <w:rPr>
          <w:rFonts w:hint="default" w:ascii="Times New Roman" w:hAnsi="Times New Roman" w:eastAsia="宋体" w:cs="Times New Roman"/>
          <w:color w:val="auto"/>
          <w:sz w:val="30"/>
          <w:szCs w:val="30"/>
          <w:highlight w:val="none"/>
          <w:lang w:val="zh-CN"/>
        </w:rPr>
        <w:id w:val="1522118732"/>
        <w:docPartObj>
          <w:docPartGallery w:val="Table of Contents"/>
          <w:docPartUnique/>
        </w:docPartObj>
      </w:sdtPr>
      <w:sdtEndPr>
        <w:rPr>
          <w:rFonts w:hint="default" w:ascii="Times New Roman" w:hAnsi="Times New Roman" w:eastAsia="宋体" w:cs="Times New Roman"/>
          <w:b/>
          <w:bCs/>
          <w:color w:val="auto"/>
          <w:sz w:val="22"/>
          <w:szCs w:val="22"/>
          <w:highlight w:val="none"/>
          <w:lang w:val="zh-CN"/>
        </w:rPr>
      </w:sdtEndPr>
      <w:sdtContent>
        <w:p w14:paraId="7B1B7A6D">
          <w:pPr>
            <w:pStyle w:val="20"/>
            <w:spacing w:line="480" w:lineRule="exact"/>
            <w:jc w:val="center"/>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lang w:val="zh-CN"/>
            </w:rPr>
            <w:t>目</w:t>
          </w:r>
          <w:r>
            <w:rPr>
              <w:rFonts w:hint="default" w:ascii="Times New Roman" w:hAnsi="Times New Roman" w:eastAsia="宋体" w:cs="Times New Roman"/>
              <w:b/>
              <w:color w:val="auto"/>
              <w:sz w:val="30"/>
              <w:szCs w:val="30"/>
              <w:highlight w:val="none"/>
            </w:rPr>
            <w:t xml:space="preserve">  </w:t>
          </w:r>
          <w:r>
            <w:rPr>
              <w:rFonts w:hint="default" w:ascii="Times New Roman" w:hAnsi="Times New Roman" w:eastAsia="宋体" w:cs="Times New Roman"/>
              <w:b/>
              <w:color w:val="auto"/>
              <w:sz w:val="30"/>
              <w:szCs w:val="30"/>
              <w:highlight w:val="none"/>
              <w:lang w:val="zh-CN"/>
            </w:rPr>
            <w:t>录</w:t>
          </w:r>
        </w:p>
        <w:p w14:paraId="683492D1">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b/>
              <w:bCs/>
              <w:color w:val="auto"/>
              <w:highlight w:val="none"/>
              <w:lang w:val="zh-CN"/>
            </w:rPr>
            <w:fldChar w:fldCharType="begin"/>
          </w:r>
          <w:r>
            <w:rPr>
              <w:rFonts w:hint="default" w:ascii="Times New Roman" w:hAnsi="Times New Roman" w:eastAsia="宋体" w:cs="Times New Roman"/>
              <w:b/>
              <w:bCs/>
              <w:color w:val="auto"/>
              <w:highlight w:val="none"/>
              <w:lang w:val="zh-CN"/>
            </w:rPr>
            <w:instrText xml:space="preserve"> TOC \o "1-3" \h \z \u </w:instrText>
          </w:r>
          <w:r>
            <w:rPr>
              <w:rFonts w:hint="default" w:ascii="Times New Roman" w:hAnsi="Times New Roman" w:eastAsia="宋体" w:cs="Times New Roman"/>
              <w:b/>
              <w:bCs/>
              <w:color w:val="auto"/>
              <w:highlight w:val="none"/>
              <w:lang w:val="zh-CN"/>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"_Toc150930986"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一、建设项目基本情况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43F1596E">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"_Toc150930987"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二、建设项目工程分析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1D00B451">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"_Toc150930988"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三、生态环境现状、保护目标及评价标准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F125BB8">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"_Toc150930989"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四、生态环境影响分析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_Toc150930989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57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3E5588F2">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"_Toc150930990"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五、主要生态环境保护措施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7273835A">
          <w:pPr>
            <w:pStyle w:val="13"/>
            <w:tabs>
              <w:tab w:val="right" w:leader="dot" w:pos="9240"/>
            </w:tabs>
            <w:spacing w:line="480" w:lineRule="exac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"_Toc150930991"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六、环境保护措施监督检查清单</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86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548312EC">
          <w:pPr>
            <w:pStyle w:val="13"/>
            <w:tabs>
              <w:tab w:val="right" w:leader="dot" w:pos="9240"/>
            </w:tabs>
            <w:spacing w:line="480" w:lineRule="exact"/>
            <w:rPr>
              <w:rFonts w:hint="default" w:ascii="Times New Roman" w:hAnsi="Times New Roman" w:eastAsia="宋体" w:cs="Times New Roman"/>
              <w:color w:val="auto"/>
              <w:kern w:val="2"/>
              <w:sz w:val="21"/>
              <w:szCs w:val="22"/>
              <w:highlight w:val="none"/>
              <w:lang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"_Toc150930992" </w:instrText>
          </w:r>
          <w:r>
            <w:rPr>
              <w:rFonts w:hint="default" w:ascii="Times New Roman" w:hAnsi="Times New Roman" w:cs="Times New Roman"/>
              <w:color w:val="auto"/>
              <w:highlight w:val="none"/>
            </w:rPr>
            <w:fldChar w:fldCharType="separate"/>
          </w:r>
          <w:r>
            <w:rPr>
              <w:rStyle w:val="18"/>
              <w:rFonts w:hint="default" w:ascii="Times New Roman" w:hAnsi="Times New Roman" w:eastAsia="宋体" w:cs="Times New Roman"/>
              <w:color w:val="auto"/>
              <w:sz w:val="24"/>
              <w:szCs w:val="24"/>
              <w:highlight w:val="none"/>
            </w:rPr>
            <w:t>七、结论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_Toc150930992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89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fldChar w:fldCharType="end"/>
          </w:r>
        </w:p>
        <w:p w14:paraId="0B613D1E">
          <w:pPr>
            <w:spacing w:line="480" w:lineRule="exact"/>
            <w:rPr>
              <w:rFonts w:hint="default" w:ascii="Times New Roman" w:hAnsi="Times New Roman" w:eastAsia="宋体" w:cs="Times New Roman"/>
              <w:color w:val="auto"/>
              <w:highlight w:val="none"/>
            </w:rPr>
            <w:sectPr>
              <w:pgSz w:w="11910" w:h="16840"/>
              <w:pgMar w:top="1580" w:right="1320" w:bottom="1240" w:left="1340" w:header="0" w:footer="1043" w:gutter="0"/>
              <w:pgNumType w:start="1"/>
              <w:cols w:space="720" w:num="1"/>
              <w:docGrid w:linePitch="299" w:charSpace="0"/>
            </w:sectPr>
          </w:pPr>
          <w:r>
            <w:rPr>
              <w:rFonts w:hint="default" w:ascii="Times New Roman" w:hAnsi="Times New Roman" w:eastAsia="宋体" w:cs="Times New Roman"/>
              <w:b/>
              <w:bCs/>
              <w:color w:val="auto"/>
              <w:highlight w:val="none"/>
              <w:lang w:val="zh-CN"/>
            </w:rPr>
            <w:fldChar w:fldCharType="end"/>
          </w:r>
        </w:p>
      </w:sdtContent>
    </w:sdt>
    <w:p w14:paraId="337C59A0">
      <w:pP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br w:type="page"/>
      </w:r>
    </w:p>
    <w:p w14:paraId="4487103D">
      <w:pPr>
        <w:spacing w:line="480" w:lineRule="exact"/>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附</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图</w:t>
      </w:r>
    </w:p>
    <w:p w14:paraId="0C86C81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   地理位置图</w:t>
      </w:r>
    </w:p>
    <w:p w14:paraId="29B691E4">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附图2   拟建项目路径图</w:t>
      </w:r>
    </w:p>
    <w:p w14:paraId="5C079D83">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   拟建项目周边关系及监测布点图</w:t>
      </w:r>
    </w:p>
    <w:p w14:paraId="2B32819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附图4   承德市环境管控单元分布图</w:t>
      </w:r>
    </w:p>
    <w:p w14:paraId="4BA2068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附图5  本项目杆塔一览图</w:t>
      </w:r>
    </w:p>
    <w:p w14:paraId="21E20566">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附图6  本项目杆塔基础图</w:t>
      </w:r>
    </w:p>
    <w:p w14:paraId="76F5DA0A">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附图7  本项目相序示意图</w:t>
      </w:r>
    </w:p>
    <w:p w14:paraId="50BAB67B">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附图8  预测杆塔图</w:t>
      </w:r>
    </w:p>
    <w:p w14:paraId="25F76879">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附图9   典型生态恢复措施</w:t>
      </w:r>
      <w:r>
        <w:rPr>
          <w:rFonts w:hint="eastAsia" w:ascii="Times New Roman" w:hAnsi="Times New Roman" w:eastAsia="宋体" w:cs="Times New Roman"/>
          <w:color w:val="auto"/>
          <w:sz w:val="24"/>
          <w:szCs w:val="24"/>
          <w:highlight w:val="none"/>
          <w:lang w:eastAsia="zh-CN"/>
        </w:rPr>
        <w:t>设计</w:t>
      </w:r>
      <w:r>
        <w:rPr>
          <w:rFonts w:hint="default" w:ascii="Times New Roman" w:hAnsi="Times New Roman" w:eastAsia="宋体" w:cs="Times New Roman"/>
          <w:color w:val="auto"/>
          <w:sz w:val="24"/>
          <w:szCs w:val="24"/>
          <w:highlight w:val="none"/>
        </w:rPr>
        <w:t>图</w:t>
      </w:r>
    </w:p>
    <w:p w14:paraId="1F6FB0FE">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附图10  全国生态功能区划图</w:t>
      </w:r>
    </w:p>
    <w:p w14:paraId="1AE5BB3F">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附图11   河北省主体功能区划图</w:t>
      </w:r>
    </w:p>
    <w:p w14:paraId="7A4D117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附图12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sz w:val="24"/>
          <w:szCs w:val="24"/>
          <w:highlight w:val="none"/>
        </w:rPr>
        <w:t>河北省生态功能区划图</w:t>
      </w:r>
    </w:p>
    <w:p w14:paraId="79A4CBB0">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附图13    承德市环境功能区划图</w:t>
      </w:r>
    </w:p>
    <w:p w14:paraId="422712B4">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附图14    项目与承德市重点水源涵养生态功能保护区关系图</w:t>
      </w:r>
    </w:p>
    <w:p w14:paraId="1F9B2A5A">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附图15    项目地利用现状图</w:t>
      </w:r>
    </w:p>
    <w:p w14:paraId="0C83FC6D">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附图16    项目地表水系图</w:t>
      </w:r>
    </w:p>
    <w:p w14:paraId="42197402">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附图17    项目生态评价范围图</w:t>
      </w:r>
    </w:p>
    <w:p w14:paraId="3E9C902C">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附图18    项目生态评价范围地形地貌图</w:t>
      </w:r>
    </w:p>
    <w:p w14:paraId="24BFE87E">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附图19    拟建项目周边植被类型图</w:t>
      </w:r>
    </w:p>
    <w:p w14:paraId="04A84478">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附图20    围场县植被覆盖度空间分布图</w:t>
      </w:r>
    </w:p>
    <w:p w14:paraId="46FA709C">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附图21    本项目与河北滦河上游国家级自然保护区功能区划图</w:t>
      </w:r>
    </w:p>
    <w:p w14:paraId="07721EC1">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附图22  本项目平断面定位图</w:t>
      </w:r>
    </w:p>
    <w:p w14:paraId="70054F4A">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附图23  本项目生态样方样线分布图</w:t>
      </w:r>
    </w:p>
    <w:p w14:paraId="5C4E288A">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 xml:space="preserve">    本项目生态系统类型分布</w:t>
      </w:r>
      <w:r>
        <w:rPr>
          <w:rFonts w:hint="eastAsia" w:ascii="Times New Roman" w:hAnsi="Times New Roman" w:cs="Times New Roman"/>
          <w:color w:val="auto"/>
          <w:highlight w:val="none"/>
          <w:lang w:eastAsia="zh-CN"/>
        </w:rPr>
        <w:t>图</w:t>
      </w:r>
    </w:p>
    <w:p w14:paraId="4FA72159">
      <w:pPr>
        <w:pStyle w:val="21"/>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 xml:space="preserve">25 </w:t>
      </w:r>
      <w:r>
        <w:rPr>
          <w:rFonts w:hint="default" w:ascii="Times New Roman" w:hAnsi="Times New Roman" w:cs="Times New Roman"/>
          <w:color w:val="auto"/>
          <w:highlight w:val="none"/>
        </w:rPr>
        <w:t xml:space="preserve"> 项目</w:t>
      </w:r>
      <w:r>
        <w:rPr>
          <w:rFonts w:hint="eastAsia" w:ascii="Times New Roman" w:hAnsi="Times New Roman" w:cs="Times New Roman"/>
          <w:color w:val="auto"/>
          <w:highlight w:val="none"/>
          <w:lang w:eastAsia="zh-CN"/>
        </w:rPr>
        <w:t>建设完成后土</w:t>
      </w:r>
      <w:r>
        <w:rPr>
          <w:rFonts w:hint="default" w:ascii="Times New Roman" w:hAnsi="Times New Roman" w:cs="Times New Roman"/>
          <w:color w:val="auto"/>
          <w:highlight w:val="none"/>
        </w:rPr>
        <w:t>地利用现状图</w:t>
      </w:r>
    </w:p>
    <w:p w14:paraId="3EA4C4BF">
      <w:pPr>
        <w:pStyle w:val="21"/>
        <w:spacing w:line="480" w:lineRule="exac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附图</w:t>
      </w:r>
      <w:r>
        <w:rPr>
          <w:rFonts w:hint="eastAsia" w:ascii="Times New Roman" w:hAnsi="Times New Roman" w:cs="Times New Roman"/>
          <w:color w:val="auto"/>
          <w:highlight w:val="none"/>
          <w:lang w:val="en-US" w:eastAsia="zh-CN"/>
        </w:rPr>
        <w:t>26  分区防治措施布置图</w:t>
      </w:r>
    </w:p>
    <w:p w14:paraId="7CA36325">
      <w:pPr>
        <w:pStyle w:val="21"/>
        <w:spacing w:line="480" w:lineRule="exac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附图</w:t>
      </w:r>
      <w:r>
        <w:rPr>
          <w:rFonts w:hint="eastAsia" w:ascii="Times New Roman" w:hAnsi="Times New Roman" w:cs="Times New Roman"/>
          <w:color w:val="auto"/>
          <w:highlight w:val="none"/>
          <w:lang w:val="en-US" w:eastAsia="zh-CN"/>
        </w:rPr>
        <w:t>27  本项目与全省沙化土地位置关系图</w:t>
      </w:r>
    </w:p>
    <w:p w14:paraId="16BFCA2A">
      <w:pPr>
        <w:spacing w:line="480" w:lineRule="exact"/>
        <w:jc w:val="center"/>
        <w:rPr>
          <w:rFonts w:hint="default" w:ascii="Times New Roman" w:hAnsi="Times New Roman" w:eastAsia="宋体" w:cs="Times New Roman"/>
          <w:b/>
          <w:bCs/>
          <w:color w:val="auto"/>
          <w:sz w:val="24"/>
          <w:szCs w:val="24"/>
          <w:highlight w:val="none"/>
        </w:rPr>
      </w:pPr>
    </w:p>
    <w:p w14:paraId="56BB5F89">
      <w:pPr>
        <w:spacing w:line="480" w:lineRule="exact"/>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附</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件</w:t>
      </w:r>
    </w:p>
    <w:p w14:paraId="393BAE3C">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附件1  委托书</w:t>
      </w:r>
    </w:p>
    <w:p w14:paraId="4197FC1A">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附件2  营业执照</w:t>
      </w:r>
    </w:p>
    <w:p w14:paraId="7EAF5625">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附件3  项目核准文件</w:t>
      </w:r>
    </w:p>
    <w:p w14:paraId="2788CE71">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附件4  接入系统意见</w:t>
      </w:r>
    </w:p>
    <w:p w14:paraId="46648869">
      <w:pPr>
        <w:spacing w:line="480" w:lineRule="exact"/>
        <w:rPr>
          <w:rFonts w:hint="default" w:ascii="Times New Roman" w:hAnsi="Times New Roman" w:eastAsia="宋体" w:cs="Times New Roman"/>
          <w:iCs/>
          <w:color w:val="auto"/>
          <w:kern w:val="13"/>
          <w:sz w:val="24"/>
          <w:szCs w:val="24"/>
          <w:highlight w:val="none"/>
        </w:rPr>
      </w:pPr>
      <w:r>
        <w:rPr>
          <w:rFonts w:hint="default" w:ascii="Times New Roman" w:hAnsi="Times New Roman" w:eastAsia="宋体" w:cs="Times New Roman"/>
          <w:color w:val="auto"/>
          <w:sz w:val="24"/>
          <w:szCs w:val="24"/>
          <w:highlight w:val="none"/>
        </w:rPr>
        <w:t>附件5  主体环评批复</w:t>
      </w:r>
    </w:p>
    <w:p w14:paraId="19D2094D">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附件6  选线意见</w:t>
      </w:r>
    </w:p>
    <w:p w14:paraId="29BB8AB1">
      <w:pPr>
        <w:spacing w:line="48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附件7  项目现状监测报告</w:t>
      </w:r>
    </w:p>
    <w:p w14:paraId="466317EE">
      <w:pPr>
        <w:spacing w:line="480" w:lineRule="exact"/>
        <w:rPr>
          <w:rFonts w:hint="default" w:ascii="Times New Roman" w:hAnsi="Times New Roman" w:eastAsia="宋体" w:cs="Times New Roman"/>
          <w:iCs/>
          <w:color w:val="auto"/>
          <w:kern w:val="13"/>
          <w:sz w:val="24"/>
          <w:szCs w:val="24"/>
          <w:highlight w:val="none"/>
        </w:rPr>
      </w:pPr>
      <w:r>
        <w:rPr>
          <w:rFonts w:hint="default" w:ascii="Times New Roman" w:hAnsi="Times New Roman" w:eastAsia="宋体" w:cs="Times New Roman"/>
          <w:iCs/>
          <w:color w:val="auto"/>
          <w:kern w:val="13"/>
          <w:sz w:val="24"/>
          <w:szCs w:val="24"/>
          <w:highlight w:val="none"/>
        </w:rPr>
        <w:t>附件8  类比监测报告</w:t>
      </w:r>
    </w:p>
    <w:p w14:paraId="3153A19E">
      <w:pPr>
        <w:spacing w:line="480" w:lineRule="exact"/>
        <w:rPr>
          <w:rFonts w:hint="eastAsia" w:ascii="Times New Roman" w:hAnsi="Times New Roman" w:eastAsia="宋体" w:cs="Times New Roman"/>
          <w:iCs/>
          <w:color w:val="auto"/>
          <w:kern w:val="13"/>
          <w:sz w:val="24"/>
          <w:szCs w:val="24"/>
          <w:highlight w:val="none"/>
          <w:lang w:val="en-US" w:eastAsia="zh-CN"/>
        </w:rPr>
      </w:pPr>
      <w:r>
        <w:rPr>
          <w:rFonts w:hint="eastAsia" w:ascii="Times New Roman" w:hAnsi="Times New Roman" w:eastAsia="宋体" w:cs="Times New Roman"/>
          <w:iCs/>
          <w:color w:val="auto"/>
          <w:kern w:val="13"/>
          <w:sz w:val="24"/>
          <w:szCs w:val="24"/>
          <w:highlight w:val="none"/>
          <w:lang w:eastAsia="zh-CN"/>
        </w:rPr>
        <w:t>附件</w:t>
      </w:r>
      <w:r>
        <w:rPr>
          <w:rFonts w:hint="eastAsia" w:ascii="Times New Roman" w:hAnsi="Times New Roman" w:eastAsia="宋体" w:cs="Times New Roman"/>
          <w:iCs/>
          <w:color w:val="auto"/>
          <w:kern w:val="13"/>
          <w:sz w:val="24"/>
          <w:szCs w:val="24"/>
          <w:highlight w:val="none"/>
          <w:lang w:val="en-US" w:eastAsia="zh-CN"/>
        </w:rPr>
        <w:t>9  执行标准函</w:t>
      </w:r>
    </w:p>
    <w:p w14:paraId="1AC4793A">
      <w:pPr>
        <w:spacing w:line="480" w:lineRule="exact"/>
        <w:rPr>
          <w:rFonts w:hint="default" w:ascii="Times New Roman" w:hAnsi="Times New Roman" w:eastAsia="宋体" w:cs="Times New Roman"/>
          <w:iCs/>
          <w:color w:val="auto"/>
          <w:kern w:val="13"/>
          <w:sz w:val="24"/>
          <w:szCs w:val="24"/>
          <w:highlight w:val="none"/>
          <w:lang w:val="en-US" w:eastAsia="zh-CN"/>
        </w:rPr>
      </w:pPr>
      <w:r>
        <w:rPr>
          <w:rFonts w:hint="eastAsia" w:ascii="Times New Roman" w:hAnsi="Times New Roman" w:eastAsia="宋体" w:cs="Times New Roman"/>
          <w:iCs/>
          <w:color w:val="auto"/>
          <w:kern w:val="13"/>
          <w:sz w:val="24"/>
          <w:szCs w:val="24"/>
          <w:highlight w:val="none"/>
          <w:lang w:val="en-US" w:eastAsia="zh-CN"/>
        </w:rPr>
        <w:t>附件10  专家评审意见</w:t>
      </w:r>
    </w:p>
    <w:p w14:paraId="7E6B6023">
      <w:pPr>
        <w:spacing w:line="480" w:lineRule="exact"/>
        <w:rPr>
          <w:rFonts w:hint="default" w:ascii="Times New Roman" w:hAnsi="Times New Roman" w:eastAsia="宋体" w:cs="Times New Roman"/>
          <w:iCs/>
          <w:color w:val="auto"/>
          <w:kern w:val="13"/>
          <w:sz w:val="24"/>
          <w:szCs w:val="24"/>
          <w:highlight w:val="none"/>
          <w:lang w:val="en-US" w:eastAsia="zh-CN"/>
        </w:rPr>
      </w:pPr>
      <w:r>
        <w:rPr>
          <w:rFonts w:hint="eastAsia" w:ascii="Times New Roman" w:hAnsi="Times New Roman" w:eastAsia="宋体" w:cs="Times New Roman"/>
          <w:iCs/>
          <w:color w:val="auto"/>
          <w:kern w:val="13"/>
          <w:sz w:val="24"/>
          <w:szCs w:val="24"/>
          <w:highlight w:val="none"/>
          <w:lang w:eastAsia="zh-CN"/>
        </w:rPr>
        <w:t>附件</w:t>
      </w:r>
      <w:r>
        <w:rPr>
          <w:rFonts w:hint="eastAsia" w:ascii="Times New Roman" w:hAnsi="Times New Roman" w:eastAsia="宋体" w:cs="Times New Roman"/>
          <w:iCs/>
          <w:color w:val="auto"/>
          <w:kern w:val="13"/>
          <w:sz w:val="24"/>
          <w:szCs w:val="24"/>
          <w:highlight w:val="none"/>
          <w:lang w:val="en-US" w:eastAsia="zh-CN"/>
        </w:rPr>
        <w:t>11  未批先建不予行政处罚决定书</w:t>
      </w:r>
    </w:p>
    <w:p w14:paraId="78541626">
      <w:pPr>
        <w:pStyle w:val="10"/>
        <w:rPr>
          <w:rFonts w:hint="default" w:ascii="Times New Roman" w:hAnsi="Times New Roman" w:cs="Times New Roman"/>
          <w:color w:val="auto"/>
          <w:highlight w:val="none"/>
        </w:rPr>
      </w:pPr>
    </w:p>
    <w:p w14:paraId="4CE29E53">
      <w:pPr>
        <w:adjustRightInd w:val="0"/>
        <w:snapToGrid w:val="0"/>
        <w:spacing w:line="288" w:lineRule="auto"/>
        <w:rPr>
          <w:rFonts w:hint="default" w:ascii="Times New Roman" w:hAnsi="Times New Roman" w:eastAsia="宋体" w:cs="Times New Roman"/>
          <w:color w:val="auto"/>
          <w:sz w:val="36"/>
          <w:szCs w:val="36"/>
          <w:highlight w:val="none"/>
        </w:rPr>
      </w:pPr>
    </w:p>
    <w:p w14:paraId="495604D2">
      <w:pPr>
        <w:adjustRightInd w:val="0"/>
        <w:snapToGrid w:val="0"/>
        <w:spacing w:line="288" w:lineRule="auto"/>
        <w:jc w:val="center"/>
        <w:rPr>
          <w:rFonts w:hint="default" w:ascii="Times New Roman" w:hAnsi="Times New Roman" w:eastAsia="宋体" w:cs="Times New Roman"/>
          <w:color w:val="auto"/>
          <w:sz w:val="36"/>
          <w:highlight w:val="none"/>
        </w:rPr>
        <w:sectPr>
          <w:pgSz w:w="11910" w:h="16840"/>
          <w:pgMar w:top="1580" w:right="1320" w:bottom="1240" w:left="1340" w:header="0" w:footer="1043" w:gutter="0"/>
          <w:pgNumType w:start="1"/>
          <w:cols w:space="720" w:num="1"/>
          <w:docGrid w:linePitch="299" w:charSpace="0"/>
        </w:sectPr>
      </w:pPr>
    </w:p>
    <w:p w14:paraId="42597A1E">
      <w:pPr>
        <w:pStyle w:val="4"/>
        <w:spacing w:line="550" w:lineRule="exact"/>
        <w:ind w:left="635" w:right="652"/>
        <w:jc w:val="center"/>
        <w:outlineLvl w:val="0"/>
        <w:rPr>
          <w:rFonts w:hint="default" w:ascii="Times New Roman" w:hAnsi="Times New Roman" w:eastAsia="宋体" w:cs="Times New Roman"/>
          <w:color w:val="auto"/>
          <w:highlight w:val="none"/>
        </w:rPr>
      </w:pPr>
      <w:bookmarkStart w:id="0" w:name="_Toc150930986"/>
      <w:r>
        <w:rPr>
          <w:rFonts w:hint="default" w:ascii="Times New Roman" w:hAnsi="Times New Roman" w:eastAsia="宋体" w:cs="Times New Roman"/>
          <w:color w:val="auto"/>
          <w:highlight w:val="none"/>
        </w:rPr>
        <w:t>一、建设项目基本情况</w:t>
      </w:r>
      <w:bookmarkEnd w:id="0"/>
    </w:p>
    <w:p w14:paraId="7DAEB5AC">
      <w:pPr>
        <w:pStyle w:val="4"/>
        <w:spacing w:before="3"/>
        <w:rPr>
          <w:rFonts w:hint="default" w:ascii="Times New Roman" w:hAnsi="Times New Roman" w:eastAsia="宋体" w:cs="Times New Roman"/>
          <w:color w:val="auto"/>
          <w:sz w:val="8"/>
          <w:highlight w:val="none"/>
        </w:rPr>
      </w:pPr>
    </w:p>
    <w:tbl>
      <w:tblPr>
        <w:tblStyle w:val="22"/>
        <w:tblW w:w="9067" w:type="dxa"/>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9"/>
        <w:gridCol w:w="1991"/>
        <w:gridCol w:w="2247"/>
        <w:gridCol w:w="3810"/>
      </w:tblGrid>
      <w:tr w14:paraId="3746F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bottom w:val="single" w:color="000000" w:sz="4" w:space="0"/>
              <w:right w:val="single" w:color="000000" w:sz="4" w:space="0"/>
            </w:tcBorders>
            <w:vAlign w:val="center"/>
          </w:tcPr>
          <w:p w14:paraId="327C937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8048" w:type="dxa"/>
            <w:gridSpan w:val="3"/>
            <w:tcBorders>
              <w:left w:val="single" w:color="000000" w:sz="4" w:space="0"/>
              <w:bottom w:val="single" w:color="000000" w:sz="4" w:space="0"/>
            </w:tcBorders>
            <w:vAlign w:val="center"/>
          </w:tcPr>
          <w:p w14:paraId="7031884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w:t>
            </w:r>
          </w:p>
        </w:tc>
      </w:tr>
      <w:tr w14:paraId="3B2EA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387A920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8048" w:type="dxa"/>
            <w:gridSpan w:val="3"/>
            <w:tcBorders>
              <w:top w:val="single" w:color="000000" w:sz="4" w:space="0"/>
              <w:left w:val="single" w:color="000000" w:sz="4" w:space="0"/>
              <w:bottom w:val="single" w:color="000000" w:sz="4" w:space="0"/>
            </w:tcBorders>
            <w:vAlign w:val="center"/>
          </w:tcPr>
          <w:p w14:paraId="5140BA0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2401-130800-89-01-759066</w:t>
            </w:r>
          </w:p>
        </w:tc>
      </w:tr>
      <w:tr w14:paraId="479FF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08FDC11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991" w:type="dxa"/>
            <w:tcBorders>
              <w:top w:val="single" w:color="000000" w:sz="4" w:space="0"/>
              <w:left w:val="single" w:color="000000" w:sz="4" w:space="0"/>
              <w:bottom w:val="single" w:color="000000" w:sz="4" w:space="0"/>
              <w:right w:val="single" w:color="000000" w:sz="4" w:space="0"/>
            </w:tcBorders>
            <w:vAlign w:val="center"/>
          </w:tcPr>
          <w:p w14:paraId="09E55A83">
            <w:pPr>
              <w:pStyle w:val="23"/>
              <w:autoSpaceDE/>
              <w:autoSpaceDN/>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毕国良</w:t>
            </w:r>
          </w:p>
        </w:tc>
        <w:tc>
          <w:tcPr>
            <w:tcW w:w="2247" w:type="dxa"/>
            <w:tcBorders>
              <w:top w:val="single" w:color="000000" w:sz="4" w:space="0"/>
              <w:left w:val="single" w:color="000000" w:sz="4" w:space="0"/>
              <w:bottom w:val="single" w:color="000000" w:sz="4" w:space="0"/>
              <w:right w:val="single" w:color="000000" w:sz="4" w:space="0"/>
            </w:tcBorders>
            <w:vAlign w:val="center"/>
          </w:tcPr>
          <w:p w14:paraId="3ECE0E2F">
            <w:pPr>
              <w:pStyle w:val="23"/>
              <w:autoSpaceDE/>
              <w:autoSpaceDN/>
              <w:ind w:right="79"/>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810" w:type="dxa"/>
            <w:tcBorders>
              <w:top w:val="single" w:color="000000" w:sz="4" w:space="0"/>
              <w:left w:val="single" w:color="000000" w:sz="4" w:space="0"/>
              <w:bottom w:val="single" w:color="000000" w:sz="4" w:space="0"/>
            </w:tcBorders>
            <w:vAlign w:val="center"/>
          </w:tcPr>
          <w:p w14:paraId="0202FC91">
            <w:pPr>
              <w:pStyle w:val="23"/>
              <w:autoSpaceDE/>
              <w:autoSpaceDN/>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15231146397</w:t>
            </w:r>
          </w:p>
        </w:tc>
      </w:tr>
      <w:tr w14:paraId="4F3C4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5E0D6A3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8048" w:type="dxa"/>
            <w:gridSpan w:val="3"/>
            <w:tcBorders>
              <w:top w:val="single" w:color="000000" w:sz="4" w:space="0"/>
              <w:left w:val="single" w:color="000000" w:sz="4" w:space="0"/>
              <w:bottom w:val="single" w:color="000000" w:sz="4" w:space="0"/>
            </w:tcBorders>
            <w:vAlign w:val="center"/>
          </w:tcPr>
          <w:p w14:paraId="43AFEDA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线路途经河北省承德市围场满族蒙古族自治县</w:t>
            </w:r>
            <w:r>
              <w:rPr>
                <w:rFonts w:hint="eastAsia" w:ascii="Times New Roman" w:hAnsi="Times New Roman" w:eastAsia="宋体" w:cs="Times New Roman"/>
                <w:color w:val="auto"/>
                <w:sz w:val="24"/>
                <w:szCs w:val="24"/>
                <w:highlight w:val="none"/>
                <w:lang w:eastAsia="zh-CN"/>
              </w:rPr>
              <w:t>城子镇、老窝铺乡、御道口镇</w:t>
            </w:r>
          </w:p>
        </w:tc>
      </w:tr>
      <w:tr w14:paraId="3197F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56A8D40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8048" w:type="dxa"/>
            <w:gridSpan w:val="3"/>
            <w:tcBorders>
              <w:top w:val="single" w:color="000000" w:sz="4" w:space="0"/>
              <w:left w:val="single" w:color="000000" w:sz="4" w:space="0"/>
              <w:bottom w:val="single" w:color="000000" w:sz="4" w:space="0"/>
            </w:tcBorders>
            <w:vAlign w:val="center"/>
          </w:tcPr>
          <w:p w14:paraId="308D8C45">
            <w:pPr>
              <w:adjustRightInd w:val="0"/>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w:t>
            </w:r>
            <w:r>
              <w:rPr>
                <w:rFonts w:hint="eastAsia" w:ascii="Times New Roman" w:hAnsi="Times New Roman" w:eastAsia="宋体"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rPr>
              <w:t>″，北纬42°3′48.</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8″；</w:t>
            </w:r>
          </w:p>
          <w:p w14:paraId="44D81B31">
            <w:pPr>
              <w:adjustRightInd w:val="0"/>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线路终点坐标东经117°11′</w:t>
            </w:r>
            <w:r>
              <w:rPr>
                <w:rFonts w:hint="eastAsia" w:ascii="Times New Roman" w:hAnsi="Times New Roman" w:eastAsia="宋体" w:cs="Times New Roman"/>
                <w:color w:val="auto"/>
                <w:sz w:val="24"/>
                <w:szCs w:val="24"/>
                <w:highlight w:val="none"/>
                <w:lang w:val="en-US" w:eastAsia="zh-CN"/>
              </w:rPr>
              <w:t>7.199</w:t>
            </w:r>
            <w:r>
              <w:rPr>
                <w:rFonts w:hint="default" w:ascii="Times New Roman" w:hAnsi="Times New Roman" w:eastAsia="宋体" w:cs="Times New Roman"/>
                <w:color w:val="auto"/>
                <w:sz w:val="24"/>
                <w:szCs w:val="24"/>
                <w:highlight w:val="none"/>
              </w:rPr>
              <w:t>″，北纬41°58′</w:t>
            </w:r>
            <w:r>
              <w:rPr>
                <w:rFonts w:hint="eastAsia" w:ascii="Times New Roman" w:hAnsi="Times New Roman" w:eastAsia="宋体" w:cs="Times New Roman"/>
                <w:color w:val="auto"/>
                <w:sz w:val="24"/>
                <w:szCs w:val="24"/>
                <w:highlight w:val="none"/>
                <w:lang w:val="en-US" w:eastAsia="zh-CN"/>
              </w:rPr>
              <w:t>8.345</w:t>
            </w:r>
            <w:r>
              <w:rPr>
                <w:rFonts w:hint="default" w:ascii="Times New Roman" w:hAnsi="Times New Roman" w:eastAsia="宋体" w:cs="Times New Roman"/>
                <w:color w:val="auto"/>
                <w:sz w:val="24"/>
                <w:szCs w:val="24"/>
                <w:highlight w:val="none"/>
              </w:rPr>
              <w:t>″）</w:t>
            </w:r>
          </w:p>
        </w:tc>
      </w:tr>
      <w:tr w14:paraId="5CE81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019" w:type="dxa"/>
            <w:tcBorders>
              <w:top w:val="single" w:color="000000" w:sz="4" w:space="0"/>
              <w:bottom w:val="single" w:color="000000" w:sz="4" w:space="0"/>
              <w:right w:val="single" w:color="000000" w:sz="4" w:space="0"/>
            </w:tcBorders>
            <w:vAlign w:val="center"/>
          </w:tcPr>
          <w:p w14:paraId="2EE1CAD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272E585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991" w:type="dxa"/>
            <w:tcBorders>
              <w:top w:val="single" w:color="000000" w:sz="4" w:space="0"/>
              <w:left w:val="single" w:color="000000" w:sz="4" w:space="0"/>
              <w:bottom w:val="single" w:color="000000" w:sz="4" w:space="0"/>
              <w:right w:val="single" w:color="000000" w:sz="4" w:space="0"/>
            </w:tcBorders>
            <w:vAlign w:val="center"/>
          </w:tcPr>
          <w:p w14:paraId="37FFE61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五十五、核与辐射161输变电工程</w:t>
            </w:r>
          </w:p>
        </w:tc>
        <w:tc>
          <w:tcPr>
            <w:tcW w:w="2247" w:type="dxa"/>
            <w:tcBorders>
              <w:top w:val="single" w:color="000000" w:sz="4" w:space="0"/>
              <w:left w:val="single" w:color="000000" w:sz="4" w:space="0"/>
              <w:bottom w:val="single" w:color="000000" w:sz="4" w:space="0"/>
              <w:right w:val="single" w:color="000000" w:sz="4" w:space="0"/>
            </w:tcBorders>
            <w:vAlign w:val="center"/>
          </w:tcPr>
          <w:p w14:paraId="6F2AA3B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）/长度（km）</w:t>
            </w:r>
          </w:p>
        </w:tc>
        <w:tc>
          <w:tcPr>
            <w:tcW w:w="3810" w:type="dxa"/>
            <w:tcBorders>
              <w:top w:val="single" w:color="000000" w:sz="4" w:space="0"/>
              <w:left w:val="single" w:color="000000" w:sz="4" w:space="0"/>
              <w:bottom w:val="single" w:color="000000" w:sz="4" w:space="0"/>
            </w:tcBorders>
            <w:vAlign w:val="center"/>
          </w:tcPr>
          <w:p w14:paraId="51D7BFD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线路长22.99km，线路塔基永久占地</w:t>
            </w:r>
            <w:r>
              <w:rPr>
                <w:rFonts w:hint="eastAsia"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，施工临时占地</w:t>
            </w:r>
            <w:r>
              <w:rPr>
                <w:rFonts w:hint="eastAsia" w:ascii="Times New Roman" w:hAnsi="Times New Roman" w:eastAsia="宋体" w:cs="Times New Roman"/>
                <w:color w:val="auto"/>
                <w:sz w:val="24"/>
                <w:szCs w:val="24"/>
                <w:highlight w:val="none"/>
                <w:lang w:val="en-US" w:eastAsia="zh-CN"/>
              </w:rPr>
              <w:t>43400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p>
        </w:tc>
      </w:tr>
      <w:tr w14:paraId="38416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019" w:type="dxa"/>
            <w:tcBorders>
              <w:top w:val="single" w:color="000000" w:sz="4" w:space="0"/>
              <w:bottom w:val="single" w:color="000000" w:sz="4" w:space="0"/>
              <w:right w:val="single" w:color="000000" w:sz="4" w:space="0"/>
            </w:tcBorders>
            <w:vAlign w:val="center"/>
          </w:tcPr>
          <w:p w14:paraId="4DFBAB0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991" w:type="dxa"/>
            <w:tcBorders>
              <w:top w:val="single" w:color="000000" w:sz="4" w:space="0"/>
              <w:left w:val="single" w:color="000000" w:sz="4" w:space="0"/>
              <w:bottom w:val="single" w:color="000000" w:sz="4" w:space="0"/>
              <w:right w:val="single" w:color="000000" w:sz="4" w:space="0"/>
            </w:tcBorders>
            <w:vAlign w:val="center"/>
          </w:tcPr>
          <w:p w14:paraId="4ADD5C26">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☑新建（迁建）</w:t>
            </w:r>
          </w:p>
          <w:p w14:paraId="2924FC84">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14:paraId="0AF81E36">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14:paraId="6BABB151">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2247" w:type="dxa"/>
            <w:tcBorders>
              <w:top w:val="single" w:color="000000" w:sz="4" w:space="0"/>
              <w:left w:val="single" w:color="000000" w:sz="4" w:space="0"/>
              <w:bottom w:val="single" w:color="000000" w:sz="4" w:space="0"/>
              <w:right w:val="single" w:color="000000" w:sz="4" w:space="0"/>
            </w:tcBorders>
            <w:vAlign w:val="center"/>
          </w:tcPr>
          <w:p w14:paraId="34BE570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051C8E7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810" w:type="dxa"/>
            <w:tcBorders>
              <w:top w:val="single" w:color="000000" w:sz="4" w:space="0"/>
              <w:left w:val="single" w:color="000000" w:sz="4" w:space="0"/>
              <w:bottom w:val="single" w:color="000000" w:sz="4" w:space="0"/>
            </w:tcBorders>
            <w:vAlign w:val="center"/>
          </w:tcPr>
          <w:p w14:paraId="3392418D">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☑首次申报项目</w:t>
            </w:r>
          </w:p>
          <w:p w14:paraId="0CE97B4B">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14:paraId="742BA125">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□超五年重新审核项目</w:t>
            </w:r>
          </w:p>
          <w:p w14:paraId="48D1EB6C">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14:paraId="2FDE77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019" w:type="dxa"/>
            <w:tcBorders>
              <w:top w:val="single" w:color="000000" w:sz="4" w:space="0"/>
              <w:bottom w:val="single" w:color="000000" w:sz="4" w:space="0"/>
              <w:right w:val="single" w:color="000000" w:sz="4" w:space="0"/>
            </w:tcBorders>
            <w:vAlign w:val="center"/>
          </w:tcPr>
          <w:p w14:paraId="3FF7B5F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项目审批（核准）部门</w:t>
            </w:r>
          </w:p>
        </w:tc>
        <w:tc>
          <w:tcPr>
            <w:tcW w:w="1991" w:type="dxa"/>
            <w:tcBorders>
              <w:top w:val="single" w:color="000000" w:sz="4" w:space="0"/>
              <w:left w:val="single" w:color="000000" w:sz="4" w:space="0"/>
              <w:bottom w:val="single" w:color="000000" w:sz="4" w:space="0"/>
              <w:right w:val="single" w:color="000000" w:sz="4" w:space="0"/>
            </w:tcBorders>
            <w:vAlign w:val="center"/>
          </w:tcPr>
          <w:p w14:paraId="1D0B89A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承德市行政审批局</w:t>
            </w:r>
          </w:p>
        </w:tc>
        <w:tc>
          <w:tcPr>
            <w:tcW w:w="2247" w:type="dxa"/>
            <w:tcBorders>
              <w:top w:val="single" w:color="000000" w:sz="4" w:space="0"/>
              <w:left w:val="single" w:color="000000" w:sz="4" w:space="0"/>
              <w:bottom w:val="single" w:color="000000" w:sz="4" w:space="0"/>
              <w:right w:val="single" w:color="000000" w:sz="4" w:space="0"/>
            </w:tcBorders>
            <w:vAlign w:val="center"/>
          </w:tcPr>
          <w:p w14:paraId="5EABF6B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项目审批（核准）文号</w:t>
            </w:r>
          </w:p>
        </w:tc>
        <w:tc>
          <w:tcPr>
            <w:tcW w:w="3810" w:type="dxa"/>
            <w:tcBorders>
              <w:top w:val="single" w:color="000000" w:sz="4" w:space="0"/>
              <w:left w:val="single" w:color="000000" w:sz="4" w:space="0"/>
              <w:bottom w:val="single" w:color="000000" w:sz="4" w:space="0"/>
            </w:tcBorders>
            <w:vAlign w:val="center"/>
          </w:tcPr>
          <w:p w14:paraId="06240B9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承审批核字〔2024〕11号</w:t>
            </w:r>
          </w:p>
        </w:tc>
      </w:tr>
      <w:tr w14:paraId="6A51F9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04891E1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991" w:type="dxa"/>
            <w:tcBorders>
              <w:top w:val="single" w:color="000000" w:sz="4" w:space="0"/>
              <w:left w:val="single" w:color="000000" w:sz="4" w:space="0"/>
              <w:bottom w:val="single" w:color="000000" w:sz="4" w:space="0"/>
              <w:right w:val="single" w:color="000000" w:sz="4" w:space="0"/>
            </w:tcBorders>
            <w:vAlign w:val="center"/>
          </w:tcPr>
          <w:p w14:paraId="1B5403F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3829.44</w:t>
            </w:r>
          </w:p>
        </w:tc>
        <w:tc>
          <w:tcPr>
            <w:tcW w:w="2247" w:type="dxa"/>
            <w:tcBorders>
              <w:top w:val="single" w:color="000000" w:sz="4" w:space="0"/>
              <w:left w:val="single" w:color="000000" w:sz="4" w:space="0"/>
              <w:bottom w:val="single" w:color="000000" w:sz="4" w:space="0"/>
              <w:right w:val="single" w:color="000000" w:sz="4" w:space="0"/>
            </w:tcBorders>
            <w:vAlign w:val="center"/>
          </w:tcPr>
          <w:p w14:paraId="0128E9A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810" w:type="dxa"/>
            <w:tcBorders>
              <w:top w:val="single" w:color="000000" w:sz="4" w:space="0"/>
              <w:left w:val="single" w:color="000000" w:sz="4" w:space="0"/>
              <w:bottom w:val="single" w:color="000000" w:sz="4" w:space="0"/>
            </w:tcBorders>
            <w:vAlign w:val="center"/>
          </w:tcPr>
          <w:p w14:paraId="1997A99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240</w:t>
            </w:r>
          </w:p>
        </w:tc>
      </w:tr>
      <w:tr w14:paraId="299FA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019" w:type="dxa"/>
            <w:tcBorders>
              <w:top w:val="single" w:color="000000" w:sz="4" w:space="0"/>
              <w:bottom w:val="single" w:color="000000" w:sz="4" w:space="0"/>
              <w:right w:val="single" w:color="000000" w:sz="4" w:space="0"/>
            </w:tcBorders>
            <w:vAlign w:val="center"/>
          </w:tcPr>
          <w:p w14:paraId="65DC605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991" w:type="dxa"/>
            <w:tcBorders>
              <w:top w:val="single" w:color="000000" w:sz="4" w:space="0"/>
              <w:left w:val="single" w:color="000000" w:sz="4" w:space="0"/>
              <w:bottom w:val="single" w:color="000000" w:sz="4" w:space="0"/>
              <w:right w:val="single" w:color="000000" w:sz="4" w:space="0"/>
            </w:tcBorders>
            <w:vAlign w:val="center"/>
          </w:tcPr>
          <w:p w14:paraId="5269202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6.27</w:t>
            </w:r>
          </w:p>
        </w:tc>
        <w:tc>
          <w:tcPr>
            <w:tcW w:w="2247" w:type="dxa"/>
            <w:tcBorders>
              <w:top w:val="single" w:color="000000" w:sz="4" w:space="0"/>
              <w:left w:val="single" w:color="000000" w:sz="4" w:space="0"/>
              <w:bottom w:val="single" w:color="000000" w:sz="4" w:space="0"/>
              <w:right w:val="single" w:color="000000" w:sz="4" w:space="0"/>
            </w:tcBorders>
            <w:vAlign w:val="center"/>
          </w:tcPr>
          <w:p w14:paraId="26027E1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810" w:type="dxa"/>
            <w:tcBorders>
              <w:top w:val="single" w:color="000000" w:sz="4" w:space="0"/>
              <w:left w:val="single" w:color="000000" w:sz="4" w:space="0"/>
              <w:bottom w:val="single" w:color="000000" w:sz="4" w:space="0"/>
            </w:tcBorders>
            <w:vAlign w:val="center"/>
          </w:tcPr>
          <w:p w14:paraId="48ACD62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4个月</w:t>
            </w:r>
          </w:p>
        </w:tc>
      </w:tr>
      <w:tr w14:paraId="1E99D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019" w:type="dxa"/>
            <w:tcBorders>
              <w:top w:val="single" w:color="000000" w:sz="4" w:space="0"/>
              <w:bottom w:val="single" w:color="000000" w:sz="4" w:space="0"/>
              <w:right w:val="single" w:color="000000" w:sz="4" w:space="0"/>
            </w:tcBorders>
            <w:vAlign w:val="center"/>
          </w:tcPr>
          <w:p w14:paraId="6CEF683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8048" w:type="dxa"/>
            <w:gridSpan w:val="3"/>
            <w:tcBorders>
              <w:top w:val="single" w:color="000000" w:sz="4" w:space="0"/>
              <w:left w:val="single" w:color="000000" w:sz="4" w:space="0"/>
              <w:bottom w:val="single" w:color="000000" w:sz="4" w:space="0"/>
            </w:tcBorders>
            <w:vAlign w:val="center"/>
          </w:tcPr>
          <w:p w14:paraId="377DE8D0">
            <w:pPr>
              <w:adjustRightInd w:val="0"/>
              <w:snapToGrid w:val="0"/>
              <w:ind w:firstLine="105"/>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74593D84">
            <w:pPr>
              <w:adjustRightInd w:val="0"/>
              <w:snapToGrid w:val="0"/>
              <w:ind w:firstLine="9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w:t>
            </w:r>
            <w:r>
              <w:rPr>
                <w:rFonts w:hint="eastAsia" w:ascii="Times New Roman" w:hAnsi="Times New Roman" w:eastAsia="宋体" w:cs="Times New Roman"/>
                <w:color w:val="auto"/>
                <w:sz w:val="24"/>
                <w:szCs w:val="24"/>
                <w:highlight w:val="none"/>
                <w:lang w:eastAsia="zh-CN"/>
              </w:rPr>
              <w:t>项目塔基基础已施工完成，建设单位已停止建设导线未架设完成，</w:t>
            </w:r>
            <w:r>
              <w:rPr>
                <w:rFonts w:hint="eastAsia" w:ascii="Times New Roman" w:hAnsi="Times New Roman" w:eastAsia="宋体" w:cs="Times New Roman"/>
                <w:color w:val="auto"/>
                <w:sz w:val="24"/>
                <w:szCs w:val="24"/>
                <w:highlight w:val="none"/>
                <w:lang w:val="en-US" w:eastAsia="zh-CN"/>
              </w:rPr>
              <w:t>2024年11月12日</w:t>
            </w:r>
            <w:r>
              <w:rPr>
                <w:rFonts w:hint="eastAsia" w:ascii="Times New Roman" w:hAnsi="Times New Roman" w:eastAsia="宋体" w:cs="Times New Roman"/>
                <w:color w:val="auto"/>
                <w:sz w:val="24"/>
                <w:szCs w:val="24"/>
                <w:highlight w:val="none"/>
                <w:lang w:eastAsia="zh-CN"/>
              </w:rPr>
              <w:t>承德市生态环境局已出具不予处罚的意见（详见附件）。</w:t>
            </w:r>
          </w:p>
        </w:tc>
      </w:tr>
      <w:tr w14:paraId="0204D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1019" w:type="dxa"/>
            <w:tcBorders>
              <w:top w:val="single" w:color="000000" w:sz="4" w:space="0"/>
              <w:bottom w:val="single" w:color="000000" w:sz="4" w:space="0"/>
              <w:right w:val="single" w:color="000000" w:sz="4" w:space="0"/>
            </w:tcBorders>
            <w:vAlign w:val="center"/>
          </w:tcPr>
          <w:p w14:paraId="0EA0AD14">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专项评价设置情况</w:t>
            </w:r>
          </w:p>
        </w:tc>
        <w:tc>
          <w:tcPr>
            <w:tcW w:w="8048" w:type="dxa"/>
            <w:gridSpan w:val="3"/>
            <w:tcBorders>
              <w:top w:val="single" w:color="000000" w:sz="4" w:space="0"/>
              <w:left w:val="single" w:color="000000" w:sz="4" w:space="0"/>
              <w:bottom w:val="single" w:color="000000" w:sz="4" w:space="0"/>
            </w:tcBorders>
            <w:vAlign w:val="center"/>
          </w:tcPr>
          <w:p w14:paraId="451C8B5E">
            <w:pPr>
              <w:pStyle w:val="23"/>
              <w:spacing w:line="400" w:lineRule="exact"/>
              <w:ind w:right="7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电磁环境、生态环境影响专项。</w:t>
            </w:r>
          </w:p>
          <w:p w14:paraId="731B6A57">
            <w:pPr>
              <w:pStyle w:val="23"/>
              <w:keepNext w:val="0"/>
              <w:keepLines w:val="0"/>
              <w:pageBreakBefore w:val="0"/>
              <w:widowControl w:val="0"/>
              <w:kinsoku/>
              <w:wordWrap/>
              <w:overflowPunct/>
              <w:topLinePunct w:val="0"/>
              <w:autoSpaceDE w:val="0"/>
              <w:autoSpaceDN w:val="0"/>
              <w:bidi w:val="0"/>
              <w:adjustRightInd/>
              <w:snapToGrid/>
              <w:spacing w:line="360" w:lineRule="auto"/>
              <w:ind w:right="79"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输变电》(HJ24-2020)附录B2.1要求，输变电建设项目环境影响报告表的格式和要求应设电磁环境影响专题评价，其评价等级、评价内容及格式按照导则有关电磁辐射环境影响评价要求进行。</w:t>
            </w:r>
          </w:p>
          <w:p w14:paraId="7DCB7999">
            <w:pPr>
              <w:pStyle w:val="23"/>
              <w:keepNext w:val="0"/>
              <w:keepLines w:val="0"/>
              <w:pageBreakBefore w:val="0"/>
              <w:widowControl w:val="0"/>
              <w:kinsoku/>
              <w:wordWrap/>
              <w:overflowPunct/>
              <w:topLinePunct w:val="0"/>
              <w:autoSpaceDE w:val="0"/>
              <w:autoSpaceDN w:val="0"/>
              <w:bidi w:val="0"/>
              <w:adjustRightInd/>
              <w:snapToGrid/>
              <w:spacing w:line="360" w:lineRule="auto"/>
              <w:ind w:right="79"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穿越河北滦河上游国家级自然保护区，在保护区内线路长度9094.58m（塔基23基），根据《建设项目环境影响报告表编制技术指南（生态影响类）》（试行）总体要求中表1专项评价设置原则表：涉及环境敏感区（不包括饮用水水源保护区、以居住、医疗卫生、文化教育、科研、行政办公为主要功能的区域，以及文物保护单位）的项目，因此本项目需编制生态影响专项评价。</w:t>
            </w:r>
          </w:p>
          <w:p w14:paraId="5C720A70">
            <w:pPr>
              <w:keepNext w:val="0"/>
              <w:keepLines w:val="0"/>
              <w:pageBreakBefore w:val="0"/>
              <w:widowControl w:val="0"/>
              <w:kinsoku/>
              <w:wordWrap/>
              <w:overflowPunct/>
              <w:topLinePunct w:val="0"/>
              <w:bidi w:val="0"/>
              <w:spacing w:line="4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专项评价设置原则表</w:t>
            </w:r>
          </w:p>
          <w:tbl>
            <w:tblPr>
              <w:tblStyle w:val="15"/>
              <w:tblW w:w="4937" w:type="pct"/>
              <w:jc w:val="center"/>
              <w:tblLayout w:type="fixed"/>
              <w:tblCellMar>
                <w:top w:w="0" w:type="dxa"/>
                <w:left w:w="108" w:type="dxa"/>
                <w:bottom w:w="0" w:type="dxa"/>
                <w:right w:w="108" w:type="dxa"/>
              </w:tblCellMar>
            </w:tblPr>
            <w:tblGrid>
              <w:gridCol w:w="1252"/>
              <w:gridCol w:w="6680"/>
            </w:tblGrid>
            <w:tr w14:paraId="315455E1">
              <w:tblPrEx>
                <w:tblCellMar>
                  <w:top w:w="0" w:type="dxa"/>
                  <w:left w:w="108" w:type="dxa"/>
                  <w:bottom w:w="0" w:type="dxa"/>
                  <w:right w:w="108" w:type="dxa"/>
                </w:tblCellMar>
              </w:tblPrEx>
              <w:trPr>
                <w:trHeight w:val="454" w:hRule="atLeast"/>
                <w:tblHeader/>
                <w:jc w:val="center"/>
              </w:trPr>
              <w:tc>
                <w:tcPr>
                  <w:tcW w:w="788" w:type="pct"/>
                  <w:tcBorders>
                    <w:top w:val="single" w:color="auto" w:sz="4" w:space="0"/>
                    <w:left w:val="single" w:color="auto" w:sz="4" w:space="0"/>
                    <w:bottom w:val="single" w:color="auto" w:sz="4" w:space="0"/>
                    <w:right w:val="single" w:color="auto" w:sz="4" w:space="0"/>
                  </w:tcBorders>
                  <w:noWrap w:val="0"/>
                  <w:vAlign w:val="center"/>
                </w:tcPr>
                <w:p w14:paraId="0C30F1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4211" w:type="pct"/>
                  <w:tcBorders>
                    <w:top w:val="single" w:color="auto" w:sz="4" w:space="0"/>
                    <w:left w:val="nil"/>
                    <w:bottom w:val="single" w:color="auto" w:sz="4" w:space="0"/>
                    <w:right w:val="single" w:color="auto" w:sz="4" w:space="0"/>
                  </w:tcBorders>
                  <w:noWrap w:val="0"/>
                  <w:vAlign w:val="center"/>
                </w:tcPr>
                <w:p w14:paraId="625E92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涉及项目类别</w:t>
                  </w:r>
                </w:p>
              </w:tc>
            </w:tr>
            <w:tr w14:paraId="5BD776F4">
              <w:tblPrEx>
                <w:tblCellMar>
                  <w:top w:w="0" w:type="dxa"/>
                  <w:left w:w="108" w:type="dxa"/>
                  <w:bottom w:w="0" w:type="dxa"/>
                  <w:right w:w="108" w:type="dxa"/>
                </w:tblCellMar>
              </w:tblPrEx>
              <w:trPr>
                <w:trHeight w:val="1745" w:hRule="atLeast"/>
                <w:jc w:val="center"/>
              </w:trPr>
              <w:tc>
                <w:tcPr>
                  <w:tcW w:w="788" w:type="pct"/>
                  <w:tcBorders>
                    <w:top w:val="nil"/>
                    <w:left w:val="single" w:color="auto" w:sz="4" w:space="0"/>
                    <w:bottom w:val="single" w:color="auto" w:sz="4" w:space="0"/>
                    <w:right w:val="single" w:color="auto" w:sz="4" w:space="0"/>
                  </w:tcBorders>
                  <w:noWrap w:val="0"/>
                  <w:vAlign w:val="center"/>
                </w:tcPr>
                <w:p w14:paraId="3EEF63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4211" w:type="pct"/>
                  <w:tcBorders>
                    <w:top w:val="nil"/>
                    <w:left w:val="nil"/>
                    <w:bottom w:val="single" w:color="auto" w:sz="4" w:space="0"/>
                    <w:right w:val="single" w:color="auto" w:sz="4" w:space="0"/>
                  </w:tcBorders>
                  <w:noWrap w:val="0"/>
                  <w:vAlign w:val="center"/>
                </w:tcPr>
                <w:p w14:paraId="7FA0785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水力发电：引水式发电、涉及调峰发电的项目；</w:t>
                  </w:r>
                </w:p>
                <w:p w14:paraId="63C7493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人工湖、人工湿地：全部；</w:t>
                  </w:r>
                </w:p>
                <w:p w14:paraId="34D9B8D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水库：全部；</w:t>
                  </w:r>
                </w:p>
                <w:p w14:paraId="448276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引水工程：</w:t>
                  </w:r>
                  <w:bookmarkStart w:id="1" w:name="_Hlk54001413"/>
                  <w:r>
                    <w:rPr>
                      <w:rFonts w:hint="default" w:ascii="Times New Roman" w:hAnsi="Times New Roman" w:eastAsia="宋体" w:cs="Times New Roman"/>
                      <w:color w:val="auto"/>
                      <w:sz w:val="21"/>
                      <w:szCs w:val="21"/>
                      <w:highlight w:val="none"/>
                    </w:rPr>
                    <w:t>全部（配套的管线工程等</w:t>
                  </w:r>
                  <w:bookmarkEnd w:id="1"/>
                  <w:r>
                    <w:rPr>
                      <w:rFonts w:hint="default" w:ascii="Times New Roman" w:hAnsi="Times New Roman" w:eastAsia="宋体" w:cs="Times New Roman"/>
                      <w:color w:val="auto"/>
                      <w:sz w:val="21"/>
                      <w:szCs w:val="21"/>
                      <w:highlight w:val="none"/>
                    </w:rPr>
                    <w:t>除外）；</w:t>
                  </w:r>
                </w:p>
                <w:p w14:paraId="2B327ED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防洪除涝工程：包含水库的项目；</w:t>
                  </w:r>
                </w:p>
                <w:p w14:paraId="428CD2A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河湖整治：涉及清淤且底泥存在重金属污染的项目</w:t>
                  </w:r>
                </w:p>
              </w:tc>
            </w:tr>
            <w:tr w14:paraId="284E12A1">
              <w:tblPrEx>
                <w:tblCellMar>
                  <w:top w:w="0" w:type="dxa"/>
                  <w:left w:w="108" w:type="dxa"/>
                  <w:bottom w:w="0" w:type="dxa"/>
                  <w:right w:w="108" w:type="dxa"/>
                </w:tblCellMar>
              </w:tblPrEx>
              <w:trPr>
                <w:trHeight w:val="894" w:hRule="atLeast"/>
                <w:jc w:val="center"/>
              </w:trPr>
              <w:tc>
                <w:tcPr>
                  <w:tcW w:w="788" w:type="pct"/>
                  <w:tcBorders>
                    <w:top w:val="nil"/>
                    <w:left w:val="single" w:color="auto" w:sz="4" w:space="0"/>
                    <w:bottom w:val="single" w:color="auto" w:sz="4" w:space="0"/>
                    <w:right w:val="single" w:color="auto" w:sz="4" w:space="0"/>
                  </w:tcBorders>
                  <w:noWrap w:val="0"/>
                  <w:vAlign w:val="center"/>
                </w:tcPr>
                <w:p w14:paraId="567696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4211" w:type="pct"/>
                  <w:tcBorders>
                    <w:top w:val="nil"/>
                    <w:left w:val="nil"/>
                    <w:bottom w:val="single" w:color="auto" w:sz="4" w:space="0"/>
                    <w:right w:val="single" w:color="auto" w:sz="4" w:space="0"/>
                  </w:tcBorders>
                  <w:noWrap w:val="0"/>
                  <w:vAlign w:val="center"/>
                </w:tcPr>
                <w:p w14:paraId="4B9C0B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陆地石油和天然气开采：全部；</w:t>
                  </w:r>
                </w:p>
                <w:p w14:paraId="3FD02F6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地下水（含矿泉水）开采：全部；</w:t>
                  </w:r>
                </w:p>
                <w:p w14:paraId="003C0AC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水利、水电、交通等：含穿越可溶岩地层隧道的项目</w:t>
                  </w:r>
                </w:p>
              </w:tc>
            </w:tr>
            <w:tr w14:paraId="7ECF805D">
              <w:tblPrEx>
                <w:tblCellMar>
                  <w:top w:w="0" w:type="dxa"/>
                  <w:left w:w="108" w:type="dxa"/>
                  <w:bottom w:w="0" w:type="dxa"/>
                  <w:right w:w="108" w:type="dxa"/>
                </w:tblCellMar>
              </w:tblPrEx>
              <w:trPr>
                <w:trHeight w:val="694" w:hRule="atLeast"/>
                <w:jc w:val="center"/>
              </w:trPr>
              <w:tc>
                <w:tcPr>
                  <w:tcW w:w="788" w:type="pct"/>
                  <w:tcBorders>
                    <w:top w:val="nil"/>
                    <w:left w:val="single" w:color="auto" w:sz="4" w:space="0"/>
                    <w:bottom w:val="single" w:color="auto" w:sz="4" w:space="0"/>
                    <w:right w:val="single" w:color="auto" w:sz="4" w:space="0"/>
                  </w:tcBorders>
                  <w:noWrap w:val="0"/>
                  <w:vAlign w:val="center"/>
                </w:tcPr>
                <w:p w14:paraId="353DB3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4211" w:type="pct"/>
                  <w:tcBorders>
                    <w:top w:val="nil"/>
                    <w:left w:val="nil"/>
                    <w:bottom w:val="single" w:color="auto" w:sz="4" w:space="0"/>
                    <w:right w:val="single" w:color="auto" w:sz="4" w:space="0"/>
                  </w:tcBorders>
                  <w:noWrap w:val="0"/>
                  <w:vAlign w:val="center"/>
                </w:tcPr>
                <w:p w14:paraId="79C081A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涉及环境敏感区（不包括饮用水水源保护区，以居住、医疗卫生、文化教育、科研、行政办公为主要功能的区域，以及文物保护单位）的项目</w:t>
                  </w:r>
                </w:p>
              </w:tc>
            </w:tr>
            <w:tr w14:paraId="7BA708DC">
              <w:tblPrEx>
                <w:tblCellMar>
                  <w:top w:w="0" w:type="dxa"/>
                  <w:left w:w="108" w:type="dxa"/>
                  <w:bottom w:w="0" w:type="dxa"/>
                  <w:right w:w="108" w:type="dxa"/>
                </w:tblCellMar>
              </w:tblPrEx>
              <w:trPr>
                <w:trHeight w:val="832" w:hRule="atLeast"/>
                <w:jc w:val="center"/>
              </w:trPr>
              <w:tc>
                <w:tcPr>
                  <w:tcW w:w="788" w:type="pct"/>
                  <w:tcBorders>
                    <w:top w:val="nil"/>
                    <w:left w:val="single" w:color="auto" w:sz="4" w:space="0"/>
                    <w:bottom w:val="single" w:color="auto" w:sz="4" w:space="0"/>
                    <w:right w:val="single" w:color="auto" w:sz="4" w:space="0"/>
                  </w:tcBorders>
                  <w:noWrap w:val="0"/>
                  <w:vAlign w:val="center"/>
                </w:tcPr>
                <w:p w14:paraId="2F7867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4211" w:type="pct"/>
                  <w:tcBorders>
                    <w:top w:val="nil"/>
                    <w:left w:val="nil"/>
                    <w:bottom w:val="single" w:color="auto" w:sz="4" w:space="0"/>
                    <w:right w:val="single" w:color="auto" w:sz="4" w:space="0"/>
                  </w:tcBorders>
                  <w:noWrap w:val="0"/>
                  <w:vAlign w:val="center"/>
                </w:tcPr>
                <w:p w14:paraId="7183FEC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油气、液体化工码头：全部；</w:t>
                  </w:r>
                </w:p>
                <w:p w14:paraId="03D4627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干散货（含煤炭、矿石）、件杂、多用途、通用码头：涉及粉尘、挥发性有机物排放的项目</w:t>
                  </w:r>
                </w:p>
              </w:tc>
            </w:tr>
            <w:tr w14:paraId="53583A03">
              <w:tblPrEx>
                <w:tblCellMar>
                  <w:top w:w="0" w:type="dxa"/>
                  <w:left w:w="108" w:type="dxa"/>
                  <w:bottom w:w="0" w:type="dxa"/>
                  <w:right w:w="108" w:type="dxa"/>
                </w:tblCellMar>
              </w:tblPrEx>
              <w:trPr>
                <w:trHeight w:val="702" w:hRule="atLeast"/>
                <w:jc w:val="center"/>
              </w:trPr>
              <w:tc>
                <w:tcPr>
                  <w:tcW w:w="788" w:type="pct"/>
                  <w:tcBorders>
                    <w:top w:val="nil"/>
                    <w:left w:val="single" w:color="auto" w:sz="4" w:space="0"/>
                    <w:bottom w:val="single" w:color="auto" w:sz="4" w:space="0"/>
                    <w:right w:val="single" w:color="auto" w:sz="4" w:space="0"/>
                  </w:tcBorders>
                  <w:noWrap w:val="0"/>
                  <w:vAlign w:val="center"/>
                </w:tcPr>
                <w:p w14:paraId="6FAB46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211" w:type="pct"/>
                  <w:tcBorders>
                    <w:top w:val="nil"/>
                    <w:left w:val="nil"/>
                    <w:bottom w:val="single" w:color="auto" w:sz="4" w:space="0"/>
                    <w:right w:val="single" w:color="auto" w:sz="4" w:space="0"/>
                  </w:tcBorders>
                  <w:noWrap w:val="0"/>
                  <w:vAlign w:val="center"/>
                </w:tcPr>
                <w:p w14:paraId="11A14D3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公路、铁路、机场等交通运输业涉及环境敏感区（以居住、医疗卫生、文化教育、科研、行政办公为主要功能的区域）的项目；</w:t>
                  </w:r>
                </w:p>
                <w:p w14:paraId="1C84C32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城市道路（不含维护，不含支路、人行天桥、人行地道）：全部</w:t>
                  </w:r>
                </w:p>
              </w:tc>
            </w:tr>
            <w:tr w14:paraId="29B4EF45">
              <w:tblPrEx>
                <w:tblCellMar>
                  <w:top w:w="0" w:type="dxa"/>
                  <w:left w:w="108" w:type="dxa"/>
                  <w:bottom w:w="0" w:type="dxa"/>
                  <w:right w:w="108" w:type="dxa"/>
                </w:tblCellMar>
              </w:tblPrEx>
              <w:trPr>
                <w:trHeight w:val="1137" w:hRule="atLeast"/>
                <w:jc w:val="center"/>
              </w:trPr>
              <w:tc>
                <w:tcPr>
                  <w:tcW w:w="788" w:type="pct"/>
                  <w:tcBorders>
                    <w:top w:val="single" w:color="auto" w:sz="4" w:space="0"/>
                    <w:left w:val="single" w:color="auto" w:sz="4" w:space="0"/>
                    <w:bottom w:val="single" w:color="auto" w:sz="4" w:space="0"/>
                    <w:right w:val="single" w:color="auto" w:sz="4" w:space="0"/>
                  </w:tcBorders>
                  <w:noWrap w:val="0"/>
                  <w:vAlign w:val="center"/>
                </w:tcPr>
                <w:p w14:paraId="1AC415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4211" w:type="pct"/>
                  <w:tcBorders>
                    <w:top w:val="single" w:color="auto" w:sz="4" w:space="0"/>
                    <w:left w:val="nil"/>
                    <w:bottom w:val="single" w:color="auto" w:sz="4" w:space="0"/>
                    <w:right w:val="single" w:color="auto" w:sz="4" w:space="0"/>
                  </w:tcBorders>
                  <w:noWrap w:val="0"/>
                  <w:vAlign w:val="center"/>
                </w:tcPr>
                <w:p w14:paraId="5B2C0A6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石油和天然气开采：全部；</w:t>
                  </w:r>
                </w:p>
                <w:p w14:paraId="2B2512B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油气、液体化工码头：全部；</w:t>
                  </w:r>
                </w:p>
                <w:p w14:paraId="0867779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原油、成品油、天然气管线（不含城镇天然气管线、企业厂区内管线），危险化学品输送管线（不含企业厂区内管线）：全部</w:t>
                  </w:r>
                </w:p>
              </w:tc>
            </w:tr>
          </w:tbl>
          <w:p w14:paraId="37D47116">
            <w:pPr>
              <w:pStyle w:val="2"/>
              <w:spacing w:line="360" w:lineRule="exact"/>
              <w:ind w:firstLine="0" w:firstLineChars="0"/>
              <w:rPr>
                <w:rFonts w:hint="default"/>
                <w:color w:val="auto"/>
              </w:rPr>
            </w:pPr>
            <w:r>
              <w:rPr>
                <w:rFonts w:hint="eastAsia" w:hAnsi="Times New Roman" w:cs="Times New Roman"/>
                <w:color w:val="auto"/>
                <w:sz w:val="21"/>
                <w:szCs w:val="21"/>
                <w:highlight w:val="none"/>
                <w:lang w:val="en-US" w:eastAsia="zh-CN"/>
              </w:rPr>
              <w:t>注：“涉及环境敏感区”是指建设项目位于、穿（跨）越（无害化通过的除外）环境敏感区，或环境影响范围涵盖环境敏感区。</w:t>
            </w:r>
          </w:p>
        </w:tc>
      </w:tr>
      <w:tr w14:paraId="25BBC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0E77A20C">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规划情况</w:t>
            </w:r>
          </w:p>
        </w:tc>
        <w:tc>
          <w:tcPr>
            <w:tcW w:w="8048" w:type="dxa"/>
            <w:gridSpan w:val="3"/>
            <w:tcBorders>
              <w:top w:val="single" w:color="000000" w:sz="4" w:space="0"/>
              <w:left w:val="single" w:color="000000" w:sz="4" w:space="0"/>
              <w:bottom w:val="single" w:color="000000" w:sz="4" w:space="0"/>
            </w:tcBorders>
            <w:vAlign w:val="center"/>
          </w:tcPr>
          <w:p w14:paraId="1E906D3F">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0750D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30D7ADE1">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8048" w:type="dxa"/>
            <w:gridSpan w:val="3"/>
            <w:tcBorders>
              <w:top w:val="single" w:color="000000" w:sz="4" w:space="0"/>
              <w:left w:val="single" w:color="000000" w:sz="4" w:space="0"/>
              <w:bottom w:val="single" w:color="000000" w:sz="4" w:space="0"/>
            </w:tcBorders>
            <w:vAlign w:val="center"/>
          </w:tcPr>
          <w:p w14:paraId="5D364DBA">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233EF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019" w:type="dxa"/>
            <w:tcBorders>
              <w:top w:val="single" w:color="000000" w:sz="4" w:space="0"/>
              <w:bottom w:val="single" w:color="000000" w:sz="4" w:space="0"/>
              <w:right w:val="single" w:color="000000" w:sz="4" w:space="0"/>
            </w:tcBorders>
            <w:vAlign w:val="center"/>
          </w:tcPr>
          <w:p w14:paraId="42C43F2C">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048" w:type="dxa"/>
            <w:gridSpan w:val="3"/>
            <w:tcBorders>
              <w:top w:val="single" w:color="000000" w:sz="4" w:space="0"/>
              <w:left w:val="single" w:color="000000" w:sz="4" w:space="0"/>
              <w:bottom w:val="single" w:color="000000" w:sz="4" w:space="0"/>
            </w:tcBorders>
            <w:vAlign w:val="center"/>
          </w:tcPr>
          <w:p w14:paraId="7DB8526C">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2EC59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019" w:type="dxa"/>
            <w:tcBorders>
              <w:top w:val="single" w:color="000000" w:sz="4" w:space="0"/>
              <w:right w:val="single" w:color="000000" w:sz="4" w:space="0"/>
            </w:tcBorders>
            <w:vAlign w:val="center"/>
          </w:tcPr>
          <w:p w14:paraId="41CEB131">
            <w:pPr>
              <w:pStyle w:val="23"/>
              <w:spacing w:line="40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其他符合性分析</w:t>
            </w:r>
          </w:p>
        </w:tc>
        <w:tc>
          <w:tcPr>
            <w:tcW w:w="8048" w:type="dxa"/>
            <w:gridSpan w:val="3"/>
            <w:tcBorders>
              <w:top w:val="single" w:color="000000" w:sz="4" w:space="0"/>
              <w:left w:val="single" w:color="000000" w:sz="4" w:space="0"/>
            </w:tcBorders>
            <w:vAlign w:val="center"/>
          </w:tcPr>
          <w:p w14:paraId="317074FA">
            <w:pPr>
              <w:pStyle w:val="23"/>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一、市场准入符合性分析</w:t>
            </w:r>
          </w:p>
          <w:p w14:paraId="42445BEF">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5387B3BE">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根据《市场准入负面清单（2022年版）》，禁止准入类共6项，许可准入类共20项，禁止准入类涉及生态环境保护的3项，许可准入类本项目涉及1项，如下表所示。</w:t>
            </w:r>
          </w:p>
          <w:p w14:paraId="18076AA6">
            <w:pPr>
              <w:pStyle w:val="23"/>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w:t>
            </w:r>
            <w:r>
              <w:rPr>
                <w:rFonts w:hint="eastAsia"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《市场准入负面清单（2022年版）》禁止准入类与许可准入类事项</w:t>
            </w:r>
          </w:p>
          <w:tbl>
            <w:tblPr>
              <w:tblStyle w:val="2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2448"/>
              <w:gridCol w:w="1061"/>
              <w:gridCol w:w="3833"/>
            </w:tblGrid>
            <w:tr w14:paraId="7B2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25" w:type="pct"/>
                  <w:vAlign w:val="center"/>
                </w:tcPr>
                <w:p w14:paraId="6F9327FC">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项目号</w:t>
                  </w:r>
                </w:p>
              </w:tc>
              <w:tc>
                <w:tcPr>
                  <w:tcW w:w="1526" w:type="pct"/>
                  <w:vAlign w:val="center"/>
                </w:tcPr>
                <w:p w14:paraId="7B71EBE6">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禁止或许可事项</w:t>
                  </w:r>
                </w:p>
              </w:tc>
              <w:tc>
                <w:tcPr>
                  <w:tcW w:w="661" w:type="pct"/>
                  <w:vAlign w:val="center"/>
                </w:tcPr>
                <w:p w14:paraId="5C73D269">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事项编码</w:t>
                  </w:r>
                </w:p>
              </w:tc>
              <w:tc>
                <w:tcPr>
                  <w:tcW w:w="2385" w:type="pct"/>
                  <w:vAlign w:val="center"/>
                </w:tcPr>
                <w:p w14:paraId="625BE9B9">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禁止或许可准入措施描述</w:t>
                  </w:r>
                </w:p>
              </w:tc>
            </w:tr>
            <w:tr w14:paraId="226A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5000" w:type="pct"/>
                  <w:gridSpan w:val="4"/>
                  <w:vAlign w:val="center"/>
                </w:tcPr>
                <w:p w14:paraId="6D1A3B84">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一、禁止准入类</w:t>
                  </w:r>
                </w:p>
              </w:tc>
            </w:tr>
            <w:tr w14:paraId="5F9F0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425" w:type="pct"/>
                  <w:vAlign w:val="center"/>
                </w:tcPr>
                <w:p w14:paraId="5FA4CD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26" w:type="pct"/>
                  <w:vAlign w:val="center"/>
                </w:tcPr>
                <w:p w14:paraId="5066A4E6">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法律法规、国务院决定等明确设立且与市场准入相关的禁止性规定</w:t>
                  </w:r>
                </w:p>
              </w:tc>
              <w:tc>
                <w:tcPr>
                  <w:tcW w:w="661" w:type="pct"/>
                  <w:vAlign w:val="center"/>
                </w:tcPr>
                <w:p w14:paraId="0CD0F6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100001</w:t>
                  </w:r>
                </w:p>
              </w:tc>
              <w:tc>
                <w:tcPr>
                  <w:tcW w:w="2385" w:type="pct"/>
                  <w:vAlign w:val="center"/>
                </w:tcPr>
                <w:p w14:paraId="477B48A7">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法律法规、国务院决定等明确设立，且与</w:t>
                  </w:r>
                  <w:r>
                    <w:rPr>
                      <w:rFonts w:hint="default" w:ascii="Times New Roman" w:hAnsi="Times New Roman" w:eastAsia="宋体" w:cs="Times New Roman"/>
                      <w:b w:val="0"/>
                      <w:color w:val="auto"/>
                      <w:spacing w:val="-1"/>
                      <w:highlight w:val="none"/>
                    </w:rPr>
                    <w:t>市场准入相关的禁止性规定（见附件）</w:t>
                  </w:r>
                </w:p>
              </w:tc>
            </w:tr>
            <w:tr w14:paraId="433B8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425" w:type="pct"/>
                  <w:vAlign w:val="center"/>
                </w:tcPr>
                <w:p w14:paraId="73E52B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26" w:type="pct"/>
                  <w:vAlign w:val="center"/>
                </w:tcPr>
                <w:p w14:paraId="39C5FD13">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国家产业政策明令淘汰</w:t>
                  </w:r>
                  <w:r>
                    <w:rPr>
                      <w:rFonts w:hint="default" w:ascii="Times New Roman" w:hAnsi="Times New Roman" w:eastAsia="宋体" w:cs="Times New Roman"/>
                      <w:b w:val="0"/>
                      <w:color w:val="auto"/>
                      <w:spacing w:val="-1"/>
                      <w:highlight w:val="none"/>
                    </w:rPr>
                    <w:t>和限制的产品、技术、</w:t>
                  </w:r>
                  <w:r>
                    <w:rPr>
                      <w:rFonts w:hint="default" w:ascii="Times New Roman" w:hAnsi="Times New Roman" w:eastAsia="宋体" w:cs="Times New Roman"/>
                      <w:b w:val="0"/>
                      <w:color w:val="auto"/>
                      <w:highlight w:val="none"/>
                    </w:rPr>
                    <w:t>工艺、设备及行为</w:t>
                  </w:r>
                </w:p>
              </w:tc>
              <w:tc>
                <w:tcPr>
                  <w:tcW w:w="661" w:type="pct"/>
                  <w:vAlign w:val="center"/>
                </w:tcPr>
                <w:p w14:paraId="7B8A84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100002</w:t>
                  </w:r>
                </w:p>
              </w:tc>
              <w:tc>
                <w:tcPr>
                  <w:tcW w:w="2385" w:type="pct"/>
                  <w:vAlign w:val="center"/>
                </w:tcPr>
                <w:p w14:paraId="0C160146">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《产业结构调整指导目录》中的淘汰类项</w:t>
                  </w:r>
                  <w:r>
                    <w:rPr>
                      <w:rFonts w:hint="default" w:ascii="Times New Roman" w:hAnsi="Times New Roman" w:eastAsia="宋体" w:cs="Times New Roman"/>
                      <w:b w:val="0"/>
                      <w:color w:val="auto"/>
                      <w:spacing w:val="-3"/>
                      <w:highlight w:val="none"/>
                    </w:rPr>
                    <w:t>目，禁止投资；限制类项目，禁止新建</w:t>
                  </w:r>
                  <w:r>
                    <w:rPr>
                      <w:rFonts w:hint="default" w:ascii="Times New Roman" w:hAnsi="Times New Roman" w:eastAsia="宋体" w:cs="Times New Roman"/>
                      <w:b w:val="0"/>
                      <w:color w:val="auto"/>
                      <w:highlight w:val="none"/>
                    </w:rPr>
                    <w:t>禁止投资建设《汽车产业投资管理规定》所列的汽车投资禁止类事项</w:t>
                  </w:r>
                </w:p>
              </w:tc>
            </w:tr>
            <w:tr w14:paraId="56A1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25" w:type="pct"/>
                  <w:vAlign w:val="center"/>
                </w:tcPr>
                <w:p w14:paraId="5DF0D8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26" w:type="pct"/>
                  <w:vAlign w:val="center"/>
                </w:tcPr>
                <w:p w14:paraId="7BA577E6">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不符合主体功能区建设 要求的各类开发活动</w:t>
                  </w:r>
                </w:p>
              </w:tc>
              <w:tc>
                <w:tcPr>
                  <w:tcW w:w="661" w:type="pct"/>
                  <w:vAlign w:val="center"/>
                </w:tcPr>
                <w:p w14:paraId="15F5B2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100003</w:t>
                  </w:r>
                </w:p>
              </w:tc>
              <w:tc>
                <w:tcPr>
                  <w:tcW w:w="2385" w:type="pct"/>
                  <w:vAlign w:val="center"/>
                </w:tcPr>
                <w:p w14:paraId="0DCEEE8A">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地方国家重点生态功能区产业准入负面清</w:t>
                  </w:r>
                  <w:r>
                    <w:rPr>
                      <w:rFonts w:hint="default" w:ascii="Times New Roman" w:hAnsi="Times New Roman" w:eastAsia="宋体" w:cs="Times New Roman"/>
                      <w:b w:val="0"/>
                      <w:color w:val="auto"/>
                      <w:highlight w:val="none"/>
                    </w:rPr>
                    <w:t>单（或禁止限制目录）、农产品主产区产业准入负面清单（或禁止限制目录）所列有关</w:t>
                  </w:r>
                  <w:r>
                    <w:rPr>
                      <w:rFonts w:hint="default" w:ascii="Times New Roman" w:hAnsi="Times New Roman" w:eastAsia="宋体" w:cs="Times New Roman"/>
                      <w:b w:val="0"/>
                      <w:color w:val="auto"/>
                      <w:spacing w:val="-4"/>
                      <w:highlight w:val="none"/>
                    </w:rPr>
                    <w:t>事项</w:t>
                  </w:r>
                </w:p>
              </w:tc>
            </w:tr>
            <w:tr w14:paraId="3E34C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000" w:type="pct"/>
                  <w:gridSpan w:val="4"/>
                  <w:vAlign w:val="center"/>
                </w:tcPr>
                <w:p w14:paraId="1BA258C9">
                  <w:pPr>
                    <w:pStyle w:val="24"/>
                    <w:spacing w:line="240" w:lineRule="auto"/>
                    <w:jc w:val="left"/>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注：该表只列出涉及生态环境保护的</w:t>
                  </w:r>
                  <w:r>
                    <w:rPr>
                      <w:rFonts w:hint="default" w:ascii="Times New Roman" w:hAnsi="Times New Roman" w:eastAsia="宋体" w:cs="Times New Roman"/>
                      <w:b w:val="0"/>
                      <w:color w:val="auto"/>
                      <w:spacing w:val="-27"/>
                      <w:highlight w:val="none"/>
                    </w:rPr>
                    <w:t xml:space="preserve"> </w:t>
                  </w:r>
                  <w:r>
                    <w:rPr>
                      <w:rFonts w:hint="default" w:ascii="Times New Roman" w:hAnsi="Times New Roman" w:eastAsia="宋体" w:cs="Times New Roman"/>
                      <w:b w:val="0"/>
                      <w:color w:val="auto"/>
                      <w:highlight w:val="none"/>
                    </w:rPr>
                    <w:t>3 项禁止准入类事项。</w:t>
                  </w:r>
                </w:p>
              </w:tc>
            </w:tr>
            <w:tr w14:paraId="779AD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000" w:type="pct"/>
                  <w:gridSpan w:val="4"/>
                  <w:vAlign w:val="center"/>
                </w:tcPr>
                <w:p w14:paraId="09C221E4">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二、许可准入类</w:t>
                  </w:r>
                </w:p>
              </w:tc>
            </w:tr>
            <w:tr w14:paraId="10AD8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25" w:type="pct"/>
                  <w:vAlign w:val="center"/>
                </w:tcPr>
                <w:p w14:paraId="0B12AE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26" w:type="pct"/>
                  <w:vAlign w:val="center"/>
                </w:tcPr>
                <w:p w14:paraId="66BF2F1D">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未获得许可，不得从事</w:t>
                  </w:r>
                  <w:r>
                    <w:rPr>
                      <w:rFonts w:hint="default" w:ascii="Times New Roman" w:hAnsi="Times New Roman" w:eastAsia="宋体" w:cs="Times New Roman"/>
                      <w:b w:val="0"/>
                      <w:color w:val="auto"/>
                      <w:highlight w:val="none"/>
                    </w:rPr>
                    <w:t>电力和市政公用领域特定业务。</w:t>
                  </w:r>
                </w:p>
              </w:tc>
              <w:tc>
                <w:tcPr>
                  <w:tcW w:w="661" w:type="pct"/>
                  <w:vAlign w:val="center"/>
                </w:tcPr>
                <w:p w14:paraId="4F7F47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204001</w:t>
                  </w:r>
                </w:p>
              </w:tc>
              <w:tc>
                <w:tcPr>
                  <w:tcW w:w="2385" w:type="pct"/>
                  <w:vAlign w:val="center"/>
                </w:tcPr>
                <w:p w14:paraId="60F42147">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电力业务、承装（修、试）电力设施许可；燃气经营许可</w:t>
                  </w:r>
                </w:p>
              </w:tc>
            </w:tr>
          </w:tbl>
          <w:p w14:paraId="6CD2ED2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下面分别对上述禁止准入类和许可准入类事项进行分析判定。</w:t>
            </w:r>
          </w:p>
          <w:p w14:paraId="72E1553F">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（1）法律法规、国务院决定等明确设立且与市场准入相关的禁止性规定的分析</w:t>
            </w:r>
          </w:p>
          <w:p w14:paraId="49904ECB">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民经济行业分类》（GB/T4754-2017），本项目行业类别为D4420电力供应，根据《市场准入负面清单（2022年版）》中与市场准入相关的禁止性规定，电力供应未列入禁止性规定，项目不属于法律法规、国务院决定等明确设立且与市场准入相关的禁止性事项。</w:t>
            </w:r>
          </w:p>
          <w:p w14:paraId="402B93CB">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（2）国家产业政策明令淘汰和限制的产品、技术、工艺、设备及行为的分析</w:t>
            </w:r>
          </w:p>
          <w:p w14:paraId="62D1A89D">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①根据《产业结构调整指导目录（2024年本）》，本项目不属于第二类限制类、第三类淘汰类项目，属于第一类鼓励类项目。</w:t>
            </w:r>
          </w:p>
          <w:p w14:paraId="203E6F05">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②本项目已于2024年2月5日取得承德市行政审批局关于华能围场“风光储氢热一体化”项目（光伏200MW）项目220kV送出线路工程项目核准的批复（承审批核字〔2024〕11号），项目代码2401-130800-89-01-759066。</w:t>
            </w:r>
          </w:p>
          <w:p w14:paraId="1635E072">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因此本项目不属于《市场准入负面清单（2022年版）》禁止准入类中国家产业政策明令淘汰和限制的产品、技术、工艺、设备及行为。</w:t>
            </w:r>
          </w:p>
          <w:p w14:paraId="2BF02FC9">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（3）禁止不符合主体功能区建设要求的各类开发活动要求的分析</w:t>
            </w:r>
          </w:p>
          <w:p w14:paraId="3865F89A">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①对照《河北省主体功能区规划》，项目所在区域属于“限制开发区域—国家重点生态功能区—坝上高原山地区”。</w:t>
            </w:r>
          </w:p>
          <w:p w14:paraId="3AFF09D5">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现状：本区自然条件差异较大，西部和北部的坝上高原地区为内流区，东部和南部的燕山山区为外流区，是滦河、潮河和白河的发源地。区域面积31591平方公里，2011年人口163.71万人，地区生产总值274.23亿元，分别占全省的16.83%、2.26%和1.12%。人均地区生产总值16751元，公路网密度0.39公里/平方公里。</w:t>
            </w:r>
          </w:p>
          <w:p w14:paraId="6528FAB5">
            <w:pPr>
              <w:adjustRightInd w:val="0"/>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发展方向：公共基础设施。继续实施倾斜政策，大力支持坝上地区教育、医疗、文化、旅游等公共服务设施和农村交通、水利、电力、通讯等基础设施建设，重点推广风能、太阳能、沼气等清洁能源利用。</w:t>
            </w:r>
          </w:p>
          <w:p w14:paraId="7026D2C9">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本项目为新能源光伏发电配套电力送出工程，符合本区域发展方向。</w:t>
            </w:r>
            <w:r>
              <w:rPr>
                <w:rFonts w:hint="default" w:ascii="Times New Roman" w:hAnsi="Times New Roman" w:eastAsia="宋体" w:cs="Times New Roman"/>
                <w:color w:val="auto"/>
                <w:sz w:val="24"/>
                <w:szCs w:val="24"/>
                <w:highlight w:val="none"/>
              </w:rPr>
              <w:t>因此本项目建设符合主体功能区建设要求的各类开发活动要求。</w:t>
            </w:r>
          </w:p>
          <w:p w14:paraId="1C714B7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（4）许可准入类符合性分析</w:t>
            </w:r>
          </w:p>
          <w:p w14:paraId="416954DF">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，本项目已于2024年2月5日取得承德市行政审批局关于本项目核准的批复（承审批核字〔2024〕11号），项目代码2401-130800-89-01-759066。因此本项目属于许可准入类项目。</w:t>
            </w:r>
          </w:p>
          <w:p w14:paraId="00E9C8C8">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（5）总结</w:t>
            </w:r>
          </w:p>
          <w:p w14:paraId="23C84500">
            <w:pPr>
              <w:pStyle w:val="23"/>
              <w:spacing w:line="480" w:lineRule="exact"/>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综上所述，本项目属于《市场准入负面清单（2022年版）》许可准入类项目。综上，本项目建设符合市场准入要求。</w:t>
            </w:r>
          </w:p>
          <w:p w14:paraId="550BC826">
            <w:pPr>
              <w:pStyle w:val="23"/>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二、“三线一单”符合性分析</w:t>
            </w:r>
          </w:p>
          <w:p w14:paraId="400A332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1、与《关于以改善环境质量为核心加强环境影响评价管理的通知》（环环评[2016]150号）的符合性</w:t>
            </w:r>
          </w:p>
          <w:p w14:paraId="6259637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（1）生态保护红线</w:t>
            </w:r>
          </w:p>
          <w:p w14:paraId="1A4AAA1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D6B517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highlight w:val="none"/>
              </w:rPr>
              <w:t>，本项目送出线路位于河北省承德市围场满族蒙古族自治县境内，项目部分线路占用</w:t>
            </w:r>
            <w:r>
              <w:rPr>
                <w:rFonts w:hint="default" w:ascii="Times New Roman" w:hAnsi="Times New Roman" w:eastAsia="宋体" w:cs="Times New Roman"/>
                <w:color w:val="auto"/>
                <w:sz w:val="24"/>
                <w:szCs w:val="24"/>
                <w:highlight w:val="none"/>
              </w:rPr>
              <w:t>河北滦河上游国家级自然保护区和</w:t>
            </w:r>
            <w:r>
              <w:rPr>
                <w:rFonts w:hint="default" w:ascii="Times New Roman" w:hAnsi="Times New Roman" w:eastAsia="宋体" w:cs="Times New Roman"/>
                <w:color w:val="auto"/>
                <w:sz w:val="24"/>
                <w:highlight w:val="none"/>
              </w:rPr>
              <w:t>生态保护红线，国家林业和草原局出具了《关于同意</w:t>
            </w:r>
            <w:r>
              <w:rPr>
                <w:rFonts w:hint="default" w:ascii="Times New Roman" w:hAnsi="Times New Roman" w:eastAsia="宋体" w:cs="Times New Roman"/>
                <w:color w:val="auto"/>
                <w:sz w:val="24"/>
                <w:szCs w:val="24"/>
                <w:highlight w:val="none"/>
              </w:rPr>
              <w:t>华能围场“风光储氢热一体化”项目（光伏200MW）项目220kV送出线路工程穿越河北滦河上游国家级自然保护区实验区的行政许可决定</w:t>
            </w:r>
            <w:r>
              <w:rPr>
                <w:rFonts w:hint="default" w:ascii="Times New Roman" w:hAnsi="Times New Roman" w:eastAsia="宋体" w:cs="Times New Roman"/>
                <w:color w:val="auto"/>
                <w:sz w:val="24"/>
                <w:highlight w:val="none"/>
              </w:rPr>
              <w:t>》（林保许准（冀）[2024]10号），围场满族蒙古族自治县自然资源和规划局出具《</w:t>
            </w:r>
            <w:r>
              <w:rPr>
                <w:rFonts w:hint="default" w:ascii="Times New Roman" w:hAnsi="Times New Roman" w:eastAsia="宋体" w:cs="Times New Roman"/>
                <w:color w:val="auto"/>
                <w:sz w:val="24"/>
                <w:szCs w:val="24"/>
                <w:highlight w:val="none"/>
              </w:rPr>
              <w:t>华能围场“风光储氢热一体化”项目（光伏200MW）项目220kV送出线路工程不可避让生态保护红线报告</w:t>
            </w:r>
            <w:r>
              <w:rPr>
                <w:rFonts w:hint="default" w:ascii="Times New Roman" w:hAnsi="Times New Roman" w:eastAsia="宋体" w:cs="Times New Roman"/>
                <w:color w:val="auto"/>
                <w:sz w:val="24"/>
                <w:highlight w:val="none"/>
              </w:rPr>
              <w:t>》的审查意见和</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关于</w:t>
            </w:r>
            <w:r>
              <w:rPr>
                <w:rFonts w:hint="default" w:ascii="Times New Roman" w:hAnsi="Times New Roman" w:eastAsia="宋体" w:cs="Times New Roman"/>
                <w:color w:val="auto"/>
                <w:sz w:val="24"/>
                <w:szCs w:val="24"/>
                <w:highlight w:val="none"/>
              </w:rPr>
              <w:t>华能围场“风光储氢热一体化”项目（光伏200MW）项目220kV送出线路工程路径的说明</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rPr>
              <w:t>：该工程已纳入县国土空间总体规划，部分线路涉及穿越生态保护红线，编制了不可避让论证报告并通过专家论证，原则同意该线路预选址。</w:t>
            </w:r>
          </w:p>
          <w:p w14:paraId="59208B9B">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（2）环境质量底线</w:t>
            </w:r>
          </w:p>
          <w:p w14:paraId="5098A98D">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0BAD63D0">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rPr>
              <w:t>项目选址位于</w:t>
            </w:r>
            <w:r>
              <w:rPr>
                <w:rFonts w:hint="eastAsia" w:ascii="Times New Roman" w:hAnsi="Times New Roman" w:eastAsia="宋体" w:cs="Times New Roman"/>
                <w:color w:val="auto"/>
                <w:sz w:val="24"/>
                <w:lang w:eastAsia="zh-CN"/>
              </w:rPr>
              <w:t>围场满族蒙古族自治县</w:t>
            </w:r>
            <w:r>
              <w:rPr>
                <w:rFonts w:hint="default" w:ascii="Times New Roman" w:hAnsi="Times New Roman" w:cs="Times New Roman"/>
                <w:color w:val="auto"/>
                <w:sz w:val="24"/>
              </w:rPr>
              <w:t>，以202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年作为评价基准年，</w:t>
            </w:r>
            <w:r>
              <w:rPr>
                <w:rFonts w:hint="default" w:ascii="Times New Roman" w:hAnsi="Times New Roman" w:cs="Times New Roman"/>
                <w:color w:val="auto"/>
                <w:sz w:val="24"/>
                <w:szCs w:val="24"/>
              </w:rPr>
              <w:t>本次评价</w:t>
            </w:r>
            <w:r>
              <w:rPr>
                <w:rFonts w:hint="eastAsia" w:ascii="Times New Roman" w:hAnsi="Times New Roman" w:cs="Times New Roman"/>
                <w:color w:val="auto"/>
                <w:sz w:val="24"/>
                <w:szCs w:val="24"/>
                <w:lang w:val="en-US" w:eastAsia="zh-CN"/>
              </w:rPr>
              <w:t>一类区本评价引用已批复的《承德市御道口牧场管理区综合执法大队御道口牧场管理区垃圾综合治理项目环境影响报告书》(2023年1月)御道口乡大气常规污染物中的PM</w:t>
            </w:r>
            <w:r>
              <w:rPr>
                <w:rFonts w:hint="eastAsia" w:ascii="Times New Roman" w:hAnsi="Times New Roman" w:cs="Times New Roman"/>
                <w:color w:val="auto"/>
                <w:sz w:val="24"/>
                <w:szCs w:val="24"/>
                <w:vertAlign w:val="subscript"/>
                <w:lang w:val="en-US" w:eastAsia="zh-CN"/>
              </w:rPr>
              <w:t>10</w:t>
            </w:r>
            <w:r>
              <w:rPr>
                <w:rFonts w:hint="eastAsia" w:ascii="Times New Roman" w:hAnsi="Times New Roman" w:cs="Times New Roman"/>
                <w:color w:val="auto"/>
                <w:sz w:val="24"/>
                <w:szCs w:val="24"/>
                <w:lang w:val="en-US" w:eastAsia="zh-CN"/>
              </w:rPr>
              <w:t>、PM</w:t>
            </w:r>
            <w:r>
              <w:rPr>
                <w:rFonts w:hint="eastAsia" w:ascii="Times New Roman" w:hAnsi="Times New Roman" w:cs="Times New Roman"/>
                <w:color w:val="auto"/>
                <w:sz w:val="24"/>
                <w:szCs w:val="24"/>
                <w:vertAlign w:val="subscript"/>
                <w:lang w:val="en-US" w:eastAsia="zh-CN"/>
              </w:rPr>
              <w:t>2.5</w:t>
            </w:r>
            <w:r>
              <w:rPr>
                <w:rFonts w:hint="eastAsia" w:ascii="Times New Roman" w:hAnsi="Times New Roman" w:cs="Times New Roman"/>
                <w:color w:val="auto"/>
                <w:sz w:val="24"/>
                <w:szCs w:val="24"/>
                <w:lang w:val="en-US" w:eastAsia="zh-CN"/>
              </w:rPr>
              <w:t>、SO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、CO、O</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现状监测统计资料；二类区</w:t>
            </w:r>
            <w:r>
              <w:rPr>
                <w:rFonts w:hint="default" w:ascii="Times New Roman" w:hAnsi="Times New Roman" w:cs="Times New Roman"/>
                <w:color w:val="auto"/>
                <w:sz w:val="24"/>
                <w:szCs w:val="24"/>
              </w:rPr>
              <w:t>引用</w:t>
            </w:r>
            <w:r>
              <w:rPr>
                <w:rFonts w:hint="default" w:ascii="Times New Roman" w:hAnsi="Times New Roman" w:cs="Times New Roman"/>
                <w:color w:val="auto"/>
                <w:sz w:val="24"/>
                <w:szCs w:val="24"/>
                <w:lang w:val="en-US" w:eastAsia="zh-CN"/>
              </w:rPr>
              <w:t>承德市大气污染防治工作领导小组办公室</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日发布的《关于2023年12月份全市空气质量预警监测结果的通报》</w:t>
            </w:r>
            <w:r>
              <w:rPr>
                <w:rFonts w:hint="default" w:ascii="Times New Roman" w:hAnsi="Times New Roman" w:cs="Times New Roman"/>
                <w:color w:val="auto"/>
                <w:sz w:val="24"/>
                <w:szCs w:val="24"/>
                <w:lang w:eastAsia="zh-CN"/>
              </w:rPr>
              <w:t>（承气领办[2024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12号）</w:t>
            </w:r>
            <w:r>
              <w:rPr>
                <w:rFonts w:hint="default" w:ascii="Times New Roman" w:hAnsi="Times New Roman" w:eastAsia="宋体" w:cs="Times New Roman"/>
                <w:color w:val="auto"/>
                <w:sz w:val="24"/>
                <w:szCs w:val="24"/>
                <w:vertAlign w:val="baseline"/>
                <w:lang w:val="en-US" w:eastAsia="zh-CN"/>
              </w:rPr>
              <w:t>附表2“2023年1月至12月全市环境空气质量状况及变化情况表”</w:t>
            </w:r>
            <w:r>
              <w:rPr>
                <w:rFonts w:hint="default" w:ascii="Times New Roman" w:hAnsi="Times New Roman" w:cs="Times New Roman"/>
                <w:color w:val="auto"/>
                <w:sz w:val="24"/>
                <w:szCs w:val="24"/>
              </w:rPr>
              <w:t>中环境空气（常规因子：SO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）监测数据统计结果</w:t>
            </w:r>
            <w:r>
              <w:rPr>
                <w:rFonts w:hint="default" w:ascii="Times New Roman" w:hAnsi="Times New Roman" w:cs="Times New Roman"/>
                <w:color w:val="auto"/>
                <w:sz w:val="24"/>
              </w:rPr>
              <w:t>，</w:t>
            </w:r>
            <w:r>
              <w:rPr>
                <w:rFonts w:hint="eastAsia" w:ascii="Times New Roman" w:hAnsi="Times New Roman" w:eastAsia="宋体" w:cs="Times New Roman"/>
                <w:color w:val="auto"/>
                <w:spacing w:val="4"/>
                <w:sz w:val="24"/>
                <w:szCs w:val="24"/>
                <w:highlight w:val="none"/>
                <w:lang w:eastAsia="zh-CN"/>
              </w:rPr>
              <w:t>项目区</w:t>
            </w:r>
            <w:r>
              <w:rPr>
                <w:rFonts w:hint="default" w:ascii="Times New Roman" w:hAnsi="Times New Roman" w:eastAsia="宋体" w:cs="Times New Roman"/>
                <w:color w:val="auto"/>
                <w:spacing w:val="4"/>
                <w:sz w:val="24"/>
                <w:szCs w:val="24"/>
                <w:highlight w:val="none"/>
              </w:rPr>
              <w:t>环境空气6项基本因子满足《环境空气质量标准》(GB3095-2012）及2018年修改单中的</w:t>
            </w:r>
            <w:r>
              <w:rPr>
                <w:rFonts w:hint="eastAsia" w:ascii="Times New Roman" w:hAnsi="Times New Roman" w:eastAsia="宋体" w:cs="Times New Roman"/>
                <w:color w:val="auto"/>
                <w:spacing w:val="4"/>
                <w:sz w:val="24"/>
                <w:szCs w:val="24"/>
                <w:highlight w:val="none"/>
                <w:lang w:eastAsia="zh-CN"/>
              </w:rPr>
              <w:t>一级和</w:t>
            </w:r>
            <w:r>
              <w:rPr>
                <w:rFonts w:hint="default" w:ascii="Times New Roman" w:hAnsi="Times New Roman" w:eastAsia="宋体" w:cs="Times New Roman"/>
                <w:color w:val="auto"/>
                <w:spacing w:val="4"/>
                <w:sz w:val="24"/>
                <w:szCs w:val="24"/>
                <w:highlight w:val="none"/>
              </w:rPr>
              <w:t>二级标准</w:t>
            </w:r>
            <w:r>
              <w:rPr>
                <w:rFonts w:hint="default" w:ascii="Times New Roman" w:hAnsi="Times New Roman" w:eastAsia="宋体" w:cs="Times New Roman"/>
                <w:color w:val="auto"/>
                <w:sz w:val="24"/>
                <w:szCs w:val="24"/>
                <w:highlight w:val="none"/>
              </w:rPr>
              <w:t>。</w:t>
            </w:r>
          </w:p>
          <w:p w14:paraId="15DAD105">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highlight w:val="none"/>
              </w:rPr>
              <w:t>，本项目不新增劳动定员，不新增固废和废水，主要为运营期的电磁环境、声环境影响。</w:t>
            </w:r>
          </w:p>
          <w:p w14:paraId="069177F9">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拟建线路现状电磁环境监测值均满足《电磁环境控制限值》（GB8702-2014）中电场强度4kV/m、磁感应强度100µT的限值要求。运行期线路对周围的电磁影响满足《电磁环境控制限值》（GB8702-2014）中相关限值要求，其中架空输电线路线下的耕地、园地、道路等场所，其频率50Hz的电场强度控制限值为10kV/m。</w:t>
            </w:r>
          </w:p>
          <w:p w14:paraId="15B4460E">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线路沿线声环境质量符合《声环境质量标准》（GB3096-2008）中1类声环境功能区标准要求。运营期噪声经分析不会对周边声环境产生明显影响，项目运行符合声环境质量底线的要求。</w:t>
            </w:r>
          </w:p>
          <w:p w14:paraId="3FF03C36">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本项目线路永久占地为塔基基础占地，永久占地面积较小，不会突破土壤环境质量底线。</w:t>
            </w:r>
          </w:p>
          <w:p w14:paraId="7E42B523">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综上，项目的建设与运行符合环境质量底线的要求。</w:t>
            </w:r>
          </w:p>
          <w:p w14:paraId="602BF187">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14:paraId="10DDC4F4">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26D97040">
            <w:pPr>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highlight w:val="none"/>
                <w:lang w:eastAsia="zh-CN"/>
              </w:rPr>
              <w:t>新能源光伏发电配套电力送出工程</w:t>
            </w:r>
            <w:r>
              <w:rPr>
                <w:rFonts w:hint="default" w:ascii="Times New Roman" w:hAnsi="Times New Roman" w:eastAsia="宋体" w:cs="Times New Roman"/>
                <w:color w:val="auto"/>
                <w:sz w:val="24"/>
                <w:highlight w:val="none"/>
              </w:rPr>
              <w:t>，项目不属于高污染、高能耗项目。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14:paraId="7EB41625">
            <w:pPr>
              <w:snapToGrid w:val="0"/>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（4）环境准入负面清单</w:t>
            </w:r>
          </w:p>
          <w:p w14:paraId="5DC293E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0CB11EE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本项目行业类别为“五十五、核与辐射”中“161输变电工程”，不属于禁批项目、耗能类型，</w:t>
            </w:r>
            <w:r>
              <w:rPr>
                <w:rFonts w:hint="default" w:ascii="Times New Roman" w:hAnsi="Times New Roman" w:eastAsia="宋体" w:cs="Times New Roman"/>
                <w:color w:val="auto"/>
                <w:sz w:val="24"/>
                <w:szCs w:val="24"/>
                <w:highlight w:val="none"/>
              </w:rPr>
              <w:t>根据《产业结构调整指导目录（2024年本）》，本项目不属于第二类限制类、第三类淘汰类项目</w:t>
            </w:r>
            <w:r>
              <w:rPr>
                <w:rFonts w:hint="default" w:ascii="Times New Roman" w:hAnsi="Times New Roman" w:eastAsia="宋体" w:cs="Times New Roman"/>
                <w:color w:val="auto"/>
                <w:sz w:val="24"/>
                <w:highlight w:val="none"/>
              </w:rPr>
              <w:t>。对照《市场准入负面清单（2022年版)》，本项目不属于禁止类。</w:t>
            </w:r>
          </w:p>
          <w:p w14:paraId="01FB1B73">
            <w:pPr>
              <w:pStyle w:val="23"/>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szCs w:val="24"/>
                <w:highlight w:val="none"/>
              </w:rPr>
              <w:t>与《承德市生态环境准入清单（2023年版）》符合性分析</w:t>
            </w:r>
          </w:p>
          <w:p w14:paraId="1958BF9B">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根据《承德市人民政府关于加快实施</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生态环境分区管控的意见》：</w:t>
            </w:r>
          </w:p>
          <w:p w14:paraId="7CBB52F5">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a.生态环境管控单元划分</w:t>
            </w:r>
          </w:p>
          <w:p w14:paraId="396A73F2">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环境管控单元包括优先保护、重点管控和一般管控单元三类。</w:t>
            </w:r>
          </w:p>
          <w:p w14:paraId="43EED6F7">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优先保护单元：主要包括生态保护红线，各类自然保护地、饮用水水源保护区及其他重要生态功能区等一般生态空间。</w:t>
            </w:r>
          </w:p>
          <w:p w14:paraId="3CB9A995">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重点管控单元：主要包括城市规划区、省级以上产业园区和开发强度高、污染物排放强度大、环境问题较为突出的区域等。</w:t>
            </w:r>
          </w:p>
          <w:p w14:paraId="39AB8987">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一般管控单元：优先保护单元和重点管控单元之外的其他区域。</w:t>
            </w:r>
          </w:p>
          <w:p w14:paraId="04C7D611">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b.生态环境管控要求</w:t>
            </w:r>
          </w:p>
          <w:p w14:paraId="016BEB60">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w:t>
            </w:r>
          </w:p>
          <w:p w14:paraId="243160E6">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构建</w:t>
            </w:r>
            <w:r>
              <w:rPr>
                <w:rFonts w:hint="default" w:ascii="Times New Roman" w:hAnsi="Times New Roman" w:cs="Times New Roman"/>
                <w:color w:val="auto"/>
                <w:sz w:val="24"/>
                <w:szCs w:val="24"/>
                <w:highlight w:val="none"/>
              </w:rPr>
              <w:t>“1+1+169”</w:t>
            </w:r>
            <w:r>
              <w:rPr>
                <w:rFonts w:hint="default" w:ascii="Times New Roman" w:hAnsi="Times New Roman" w:eastAsia="宋体" w:cs="Times New Roman"/>
                <w:color w:val="auto"/>
                <w:sz w:val="24"/>
                <w:szCs w:val="24"/>
                <w:highlight w:val="none"/>
              </w:rPr>
              <w:t>生态环境分区管控体系，实施生态环境准入清单管理。</w:t>
            </w:r>
            <w:r>
              <w:rPr>
                <w:rFonts w:hint="default" w:ascii="Times New Roman" w:hAnsi="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为河北省生态环境准入总体清单，适用于全省范围；</w:t>
            </w:r>
            <w:r>
              <w:rPr>
                <w:rFonts w:hint="default" w:ascii="Times New Roman" w:hAnsi="Times New Roman" w:cs="Times New Roman"/>
                <w:color w:val="auto"/>
                <w:sz w:val="24"/>
                <w:szCs w:val="24"/>
                <w:highlight w:val="none"/>
              </w:rPr>
              <w:t>“1”</w:t>
            </w:r>
            <w:r>
              <w:rPr>
                <w:rFonts w:hint="default" w:ascii="Times New Roman" w:hAnsi="Times New Roman" w:eastAsia="宋体" w:cs="Times New Roman"/>
                <w:color w:val="auto"/>
                <w:sz w:val="24"/>
                <w:szCs w:val="24"/>
                <w:highlight w:val="none"/>
              </w:rPr>
              <w:t>为承德市生态环境准入清单，适用于市域范围；</w:t>
            </w:r>
            <w:r>
              <w:rPr>
                <w:rFonts w:hint="default" w:ascii="Times New Roman" w:hAnsi="Times New Roman" w:cs="Times New Roman"/>
                <w:color w:val="auto"/>
                <w:sz w:val="24"/>
                <w:szCs w:val="24"/>
                <w:highlight w:val="none"/>
              </w:rPr>
              <w:t>“169”</w:t>
            </w:r>
            <w:r>
              <w:rPr>
                <w:rFonts w:hint="default" w:ascii="Times New Roman" w:hAnsi="Times New Roman" w:eastAsia="宋体" w:cs="Times New Roman"/>
                <w:color w:val="auto"/>
                <w:sz w:val="24"/>
                <w:szCs w:val="24"/>
                <w:highlight w:val="none"/>
              </w:rPr>
              <w:t>为生态环境管控单元准入清单，适用于环境管控单元范围。</w:t>
            </w:r>
          </w:p>
          <w:p w14:paraId="155F12AD">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c.分类管控要求</w:t>
            </w:r>
          </w:p>
          <w:p w14:paraId="7B5C41E3">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优先保护单元：严格落实生态保护红线管理要求，除有限人为活动外，依法依规禁止其他城镇和建设活动。一般生态空间突出生态保护，严禁不符合主体功能定位的各类开发活动，严禁任意改变用途。</w:t>
            </w:r>
          </w:p>
          <w:p w14:paraId="1D588B27">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重点管控单元：</w:t>
            </w:r>
          </w:p>
          <w:p w14:paraId="68DF25C4">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城镇重点管控单元：优化工业布局，有序实施高污染、高排放工业企业整改或搬迁退出；强化交通污染源管控；完善污水治理设施；加快城镇河流水系环境整治；加强工业污染场地环境风险防控和开发再利用监管。</w:t>
            </w:r>
          </w:p>
          <w:p w14:paraId="53B8BECC">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省级以上产业园区重点管控单元：严格产业准入，完善园区设施建设，推动设施提标改造；实施污染物总量控制，落实排污许可证制度；强化资源利用效率和地下水开采管控。</w:t>
            </w:r>
          </w:p>
          <w:p w14:paraId="717C75D8">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农业农村重点管控单元：优化规模化畜禽养殖布局，加快农村生态环境综合整治，逐步推进农村污水和生活垃圾治理；减少化肥农药施用量，优化农业种植结构，推动秸秆综合利用。</w:t>
            </w:r>
          </w:p>
          <w:p w14:paraId="4EC1C239">
            <w:pPr>
              <w:pStyle w:val="23"/>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一般管控单元：严格执行国家和省关于产业准入、总量控制和污染物排放标准等管控要求。</w:t>
            </w:r>
          </w:p>
          <w:p w14:paraId="7A44EE21">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本项目位于河北省承德市围场县老窝铺乡、城子镇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。根据《承德市生态环境准入清单（2023年版）》，项目所属区域的编码为ZH13082810002（优先保护单元，坝上高原防风固沙生态保护红线、河北滦河上游国家级自然保护区）、ZH1308281001</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（优先保护单元，水环境优先保护区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大气一般管控区）、ZH1308281001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（优先保护单元，燕山水源涵养-生物多样性维护生态保护红线）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ZH1308281001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（优先保护单元，一般生态空间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水环境其他区域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大气一般管控区）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ZH13082810013（优先保护单元，一般生态空间、水环境优先保护区、大气一般管控区）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ZH13082830001（</w:t>
            </w:r>
            <w:r>
              <w:rPr>
                <w:rFonts w:hint="default" w:ascii="Times New Roman" w:hAnsi="Times New Roman" w:cs="Times New Roman"/>
                <w:color w:val="auto"/>
                <w:sz w:val="24"/>
                <w:szCs w:val="24"/>
                <w:highlight w:val="none"/>
              </w:rPr>
              <w:t>一般</w:t>
            </w:r>
            <w:r>
              <w:rPr>
                <w:rFonts w:hint="default" w:ascii="Times New Roman" w:hAnsi="Times New Roman" w:eastAsia="宋体" w:cs="Times New Roman"/>
                <w:color w:val="auto"/>
                <w:sz w:val="24"/>
                <w:szCs w:val="24"/>
                <w:highlight w:val="none"/>
              </w:rPr>
              <w:t>管控单元，水环境其他区域、大气一般管控区），</w:t>
            </w:r>
            <w:r>
              <w:rPr>
                <w:rFonts w:hint="default" w:ascii="Times New Roman" w:hAnsi="Times New Roman" w:eastAsia="宋体" w:cs="Times New Roman"/>
                <w:color w:val="auto"/>
                <w:sz w:val="24"/>
                <w:szCs w:val="24"/>
                <w:highlight w:val="none"/>
                <w:lang w:eastAsia="zh-CN"/>
              </w:rPr>
              <w:t>各个单元的塔基情况见表</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项目与环境管控单元准入清单符合性分析如下：</w:t>
            </w:r>
          </w:p>
          <w:p w14:paraId="1EBCAE03">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围场县生态环境分区</w:t>
            </w:r>
            <w:r>
              <w:rPr>
                <w:rFonts w:hint="default" w:ascii="Times New Roman" w:hAnsi="Times New Roman" w:eastAsia="宋体" w:cs="Times New Roman"/>
                <w:b/>
                <w:bCs/>
                <w:color w:val="auto"/>
                <w:sz w:val="21"/>
                <w:szCs w:val="21"/>
                <w:highlight w:val="none"/>
                <w:lang w:eastAsia="zh-CN"/>
              </w:rPr>
              <w:t>内塔基情况</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791"/>
              <w:gridCol w:w="1326"/>
              <w:gridCol w:w="3385"/>
            </w:tblGrid>
            <w:tr w14:paraId="4262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2B17AC6A">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管控单元名称</w:t>
                  </w:r>
                </w:p>
              </w:tc>
              <w:tc>
                <w:tcPr>
                  <w:tcW w:w="1116" w:type="pct"/>
                  <w:vAlign w:val="center"/>
                </w:tcPr>
                <w:p w14:paraId="2360E5E1">
                  <w:pPr>
                    <w:jc w:val="center"/>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eastAsia="zh-CN"/>
                    </w:rPr>
                    <w:t>管控单元编号</w:t>
                  </w:r>
                </w:p>
              </w:tc>
              <w:tc>
                <w:tcPr>
                  <w:tcW w:w="826" w:type="pct"/>
                  <w:vAlign w:val="center"/>
                </w:tcPr>
                <w:p w14:paraId="7BF88C86">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塔基数量</w:t>
                  </w:r>
                </w:p>
              </w:tc>
              <w:tc>
                <w:tcPr>
                  <w:tcW w:w="2110" w:type="pct"/>
                  <w:vAlign w:val="center"/>
                </w:tcPr>
                <w:p w14:paraId="4D08B07E">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塔基编号</w:t>
                  </w:r>
                </w:p>
              </w:tc>
            </w:tr>
            <w:tr w14:paraId="3F3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restart"/>
                  <w:vAlign w:val="center"/>
                </w:tcPr>
                <w:p w14:paraId="02DF4E12">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优先保护单元</w:t>
                  </w:r>
                </w:p>
              </w:tc>
              <w:tc>
                <w:tcPr>
                  <w:tcW w:w="1116" w:type="pct"/>
                  <w:vAlign w:val="center"/>
                </w:tcPr>
                <w:p w14:paraId="29F7BC3D">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ZH13082810002</w:t>
                  </w:r>
                </w:p>
              </w:tc>
              <w:tc>
                <w:tcPr>
                  <w:tcW w:w="826" w:type="pct"/>
                  <w:vAlign w:val="center"/>
                </w:tcPr>
                <w:p w14:paraId="68F68F1C">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17</w:t>
                  </w:r>
                </w:p>
              </w:tc>
              <w:tc>
                <w:tcPr>
                  <w:tcW w:w="2110" w:type="pct"/>
                  <w:vAlign w:val="center"/>
                </w:tcPr>
                <w:p w14:paraId="56900F85">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N10~</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26</w:t>
                  </w:r>
                </w:p>
              </w:tc>
            </w:tr>
            <w:tr w14:paraId="4F3B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493B9A3E">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776B8B03">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826" w:type="pct"/>
                  <w:vAlign w:val="center"/>
                </w:tcPr>
                <w:p w14:paraId="659ED1E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2110" w:type="pct"/>
                  <w:vAlign w:val="center"/>
                </w:tcPr>
                <w:p w14:paraId="2EE1F6A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N4</w:t>
                  </w:r>
                </w:p>
              </w:tc>
            </w:tr>
            <w:tr w14:paraId="7DD9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1CA3452E">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46AACE0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11</w:t>
                  </w:r>
                </w:p>
              </w:tc>
              <w:tc>
                <w:tcPr>
                  <w:tcW w:w="826" w:type="pct"/>
                  <w:vAlign w:val="center"/>
                </w:tcPr>
                <w:p w14:paraId="15A941D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2110" w:type="pct"/>
                  <w:vAlign w:val="center"/>
                </w:tcPr>
                <w:p w14:paraId="6511B76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N27~N32、N36~N38、N42、N47~</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49</w:t>
                  </w:r>
                </w:p>
              </w:tc>
            </w:tr>
            <w:tr w14:paraId="404C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3C72A768">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54D24F9F">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highlight w:val="none"/>
                      <w:vertAlign w:val="baseline"/>
                      <w:lang w:eastAsia="zh-CN"/>
                    </w:rPr>
                    <w:t>2</w:t>
                  </w:r>
                </w:p>
              </w:tc>
              <w:tc>
                <w:tcPr>
                  <w:tcW w:w="826" w:type="pct"/>
                  <w:vAlign w:val="center"/>
                </w:tcPr>
                <w:p w14:paraId="1573B28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2110" w:type="pct"/>
                  <w:vAlign w:val="center"/>
                </w:tcPr>
                <w:p w14:paraId="58D8EFCA">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N33~N35、N39~N41、N45~N46、N50~</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54</w:t>
                  </w:r>
                </w:p>
              </w:tc>
            </w:tr>
            <w:tr w14:paraId="17F8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Merge w:val="continue"/>
                  <w:vAlign w:val="center"/>
                </w:tcPr>
                <w:p w14:paraId="0700B2A4">
                  <w:pPr>
                    <w:jc w:val="center"/>
                    <w:rPr>
                      <w:rFonts w:hint="default" w:ascii="Times New Roman" w:hAnsi="Times New Roman" w:eastAsia="宋体" w:cs="Times New Roman"/>
                      <w:b w:val="0"/>
                      <w:bCs w:val="0"/>
                      <w:color w:val="auto"/>
                      <w:sz w:val="21"/>
                      <w:szCs w:val="21"/>
                      <w:highlight w:val="none"/>
                      <w:vertAlign w:val="baseline"/>
                      <w:lang w:eastAsia="zh-CN"/>
                    </w:rPr>
                  </w:pPr>
                </w:p>
              </w:tc>
              <w:tc>
                <w:tcPr>
                  <w:tcW w:w="1116" w:type="pct"/>
                  <w:vAlign w:val="center"/>
                </w:tcPr>
                <w:p w14:paraId="26116C02">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13</w:t>
                  </w:r>
                </w:p>
              </w:tc>
              <w:tc>
                <w:tcPr>
                  <w:tcW w:w="826" w:type="pct"/>
                  <w:vAlign w:val="center"/>
                </w:tcPr>
                <w:p w14:paraId="7E01EBE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2110" w:type="pct"/>
                  <w:vAlign w:val="center"/>
                </w:tcPr>
                <w:p w14:paraId="1236CCEA">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N1~N3、N5~</w:t>
                  </w:r>
                  <w:r>
                    <w:rPr>
                      <w:rFonts w:hint="eastAsia" w:ascii="Times New Roman" w:hAnsi="Times New Roman" w:eastAsia="宋体" w:cs="Times New Roman"/>
                      <w:b w:val="0"/>
                      <w:bCs w:val="0"/>
                      <w:color w:val="auto"/>
                      <w:sz w:val="21"/>
                      <w:szCs w:val="21"/>
                      <w:highlight w:val="none"/>
                      <w:vertAlign w:val="baseline"/>
                      <w:lang w:val="en-US" w:eastAsia="zh-CN"/>
                    </w:rPr>
                    <w:t>N</w:t>
                  </w:r>
                  <w:r>
                    <w:rPr>
                      <w:rFonts w:hint="default" w:ascii="Times New Roman" w:hAnsi="Times New Roman" w:eastAsia="宋体" w:cs="Times New Roman"/>
                      <w:b w:val="0"/>
                      <w:bCs w:val="0"/>
                      <w:color w:val="auto"/>
                      <w:sz w:val="21"/>
                      <w:szCs w:val="21"/>
                      <w:highlight w:val="none"/>
                      <w:vertAlign w:val="baseline"/>
                      <w:lang w:val="en-US" w:eastAsia="zh-CN"/>
                    </w:rPr>
                    <w:t>9</w:t>
                  </w:r>
                </w:p>
              </w:tc>
            </w:tr>
            <w:tr w14:paraId="3CD1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14:paraId="1EAA2569">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一般管控单元</w:t>
                  </w:r>
                </w:p>
              </w:tc>
              <w:tc>
                <w:tcPr>
                  <w:tcW w:w="1116" w:type="pct"/>
                  <w:vAlign w:val="center"/>
                </w:tcPr>
                <w:p w14:paraId="3F54EDB3">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ZH13082830001</w:t>
                  </w:r>
                </w:p>
              </w:tc>
              <w:tc>
                <w:tcPr>
                  <w:tcW w:w="826" w:type="pct"/>
                  <w:vAlign w:val="center"/>
                </w:tcPr>
                <w:p w14:paraId="57CE87CB">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2110" w:type="pct"/>
                  <w:vAlign w:val="center"/>
                </w:tcPr>
                <w:p w14:paraId="0BE84417">
                  <w:p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N43~N44、N55~N57</w:t>
                  </w:r>
                </w:p>
              </w:tc>
            </w:tr>
          </w:tbl>
          <w:p w14:paraId="417057A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围场县生态环境分区管控对照检查表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50"/>
              <w:gridCol w:w="579"/>
              <w:gridCol w:w="881"/>
              <w:gridCol w:w="469"/>
              <w:gridCol w:w="2172"/>
              <w:gridCol w:w="2012"/>
              <w:gridCol w:w="250"/>
            </w:tblGrid>
            <w:tr w14:paraId="23B3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tcBorders>
                    <w:bottom w:val="single" w:color="auto" w:sz="4" w:space="0"/>
                  </w:tcBorders>
                  <w:tcMar>
                    <w:top w:w="0" w:type="dxa"/>
                    <w:left w:w="0" w:type="dxa"/>
                    <w:bottom w:w="0" w:type="dxa"/>
                    <w:right w:w="0" w:type="dxa"/>
                  </w:tcMar>
                  <w:vAlign w:val="center"/>
                </w:tcPr>
                <w:p w14:paraId="0DDEAE35">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编号</w:t>
                  </w:r>
                </w:p>
              </w:tc>
              <w:tc>
                <w:tcPr>
                  <w:tcW w:w="467" w:type="pct"/>
                  <w:tcMar>
                    <w:top w:w="0" w:type="dxa"/>
                    <w:left w:w="0" w:type="dxa"/>
                    <w:bottom w:w="0" w:type="dxa"/>
                    <w:right w:w="0" w:type="dxa"/>
                  </w:tcMar>
                  <w:vAlign w:val="center"/>
                </w:tcPr>
                <w:p w14:paraId="32CDDE41">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涉及乡镇</w:t>
                  </w:r>
                </w:p>
              </w:tc>
              <w:tc>
                <w:tcPr>
                  <w:tcW w:w="360" w:type="pct"/>
                  <w:tcMar>
                    <w:top w:w="0" w:type="dxa"/>
                    <w:left w:w="0" w:type="dxa"/>
                    <w:bottom w:w="0" w:type="dxa"/>
                    <w:right w:w="0" w:type="dxa"/>
                  </w:tcMar>
                  <w:vAlign w:val="center"/>
                </w:tcPr>
                <w:p w14:paraId="1ED42388">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管控类型</w:t>
                  </w:r>
                </w:p>
              </w:tc>
              <w:tc>
                <w:tcPr>
                  <w:tcW w:w="549" w:type="pct"/>
                  <w:tcMar>
                    <w:top w:w="0" w:type="dxa"/>
                    <w:left w:w="0" w:type="dxa"/>
                    <w:bottom w:w="0" w:type="dxa"/>
                    <w:right w:w="0" w:type="dxa"/>
                  </w:tcMar>
                  <w:vAlign w:val="center"/>
                </w:tcPr>
                <w:p w14:paraId="4B63C98F">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环境要素类别</w:t>
                  </w:r>
                </w:p>
              </w:tc>
              <w:tc>
                <w:tcPr>
                  <w:tcW w:w="292" w:type="pct"/>
                  <w:tcMar>
                    <w:top w:w="0" w:type="dxa"/>
                    <w:left w:w="0" w:type="dxa"/>
                    <w:bottom w:w="0" w:type="dxa"/>
                    <w:right w:w="0" w:type="dxa"/>
                  </w:tcMar>
                  <w:vAlign w:val="center"/>
                </w:tcPr>
                <w:p w14:paraId="4E3852C8">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维度</w:t>
                  </w:r>
                </w:p>
              </w:tc>
              <w:tc>
                <w:tcPr>
                  <w:tcW w:w="1354" w:type="pct"/>
                  <w:tcMar>
                    <w:top w:w="0" w:type="dxa"/>
                    <w:left w:w="0" w:type="dxa"/>
                    <w:bottom w:w="0" w:type="dxa"/>
                    <w:right w:w="0" w:type="dxa"/>
                  </w:tcMar>
                  <w:vAlign w:val="center"/>
                </w:tcPr>
                <w:p w14:paraId="61CCA8B5">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管控措施</w:t>
                  </w:r>
                </w:p>
              </w:tc>
              <w:tc>
                <w:tcPr>
                  <w:tcW w:w="1254" w:type="pct"/>
                  <w:tcMar>
                    <w:top w:w="0" w:type="dxa"/>
                    <w:left w:w="0" w:type="dxa"/>
                    <w:bottom w:w="0" w:type="dxa"/>
                    <w:right w:w="0" w:type="dxa"/>
                  </w:tcMar>
                  <w:vAlign w:val="center"/>
                </w:tcPr>
                <w:p w14:paraId="037110BC">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项目情况</w:t>
                  </w:r>
                </w:p>
              </w:tc>
              <w:tc>
                <w:tcPr>
                  <w:tcW w:w="155" w:type="pct"/>
                  <w:tcMar>
                    <w:top w:w="0" w:type="dxa"/>
                    <w:left w:w="0" w:type="dxa"/>
                    <w:bottom w:w="0" w:type="dxa"/>
                    <w:right w:w="0" w:type="dxa"/>
                  </w:tcMar>
                  <w:vAlign w:val="center"/>
                </w:tcPr>
                <w:p w14:paraId="239B9BC5">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符合性</w:t>
                  </w:r>
                </w:p>
              </w:tc>
            </w:tr>
            <w:tr w14:paraId="160B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3B204C87">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ZH13082810002</w:t>
                  </w:r>
                </w:p>
              </w:tc>
              <w:tc>
                <w:tcPr>
                  <w:tcW w:w="467" w:type="pct"/>
                  <w:vMerge w:val="restart"/>
                  <w:tcMar>
                    <w:top w:w="0" w:type="dxa"/>
                    <w:left w:w="0" w:type="dxa"/>
                    <w:bottom w:w="0" w:type="dxa"/>
                    <w:right w:w="0" w:type="dxa"/>
                  </w:tcMar>
                  <w:vAlign w:val="center"/>
                </w:tcPr>
                <w:p w14:paraId="6124B454">
                  <w:pPr>
                    <w:pStyle w:val="25"/>
                    <w:spacing w:line="320" w:lineRule="exact"/>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老窝铺乡、城子镇</w:t>
                  </w:r>
                  <w:r>
                    <w:rPr>
                      <w:rFonts w:hint="eastAsia" w:cs="Times New Roman"/>
                      <w:color w:val="auto"/>
                      <w:highlight w:val="none"/>
                      <w:lang w:eastAsia="zh-CN"/>
                    </w:rPr>
                    <w:t>、御道口镇</w:t>
                  </w:r>
                </w:p>
              </w:tc>
              <w:tc>
                <w:tcPr>
                  <w:tcW w:w="360" w:type="pct"/>
                  <w:vMerge w:val="restart"/>
                  <w:tcMar>
                    <w:top w:w="0" w:type="dxa"/>
                    <w:left w:w="0" w:type="dxa"/>
                    <w:bottom w:w="0" w:type="dxa"/>
                    <w:right w:w="0" w:type="dxa"/>
                  </w:tcMar>
                  <w:vAlign w:val="center"/>
                </w:tcPr>
                <w:p w14:paraId="5826D9D3">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657F4F4A">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坝上高原防风固沙生态保护红线</w:t>
                  </w:r>
                </w:p>
                <w:p w14:paraId="6011A957">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河北滦河上游国家级自然保护区</w:t>
                  </w:r>
                </w:p>
              </w:tc>
              <w:tc>
                <w:tcPr>
                  <w:tcW w:w="292" w:type="pct"/>
                  <w:tcMar>
                    <w:top w:w="0" w:type="dxa"/>
                    <w:left w:w="0" w:type="dxa"/>
                    <w:bottom w:w="0" w:type="dxa"/>
                    <w:right w:w="0" w:type="dxa"/>
                  </w:tcMar>
                  <w:vAlign w:val="center"/>
                </w:tcPr>
                <w:p w14:paraId="209A582F">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5C35B3ED">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1、执行承德市总体准入清单中生态保护红线准入要求。</w:t>
                  </w:r>
                </w:p>
                <w:p w14:paraId="1344756D">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2、执行承德市总体准入要求中自然保护区的管控要求。</w:t>
                  </w:r>
                </w:p>
                <w:p w14:paraId="44598068">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3、自然保护区管理机构或者行政主管部门应当组织编制自然保护区的建设规划，按照规定的程序纳入国家的、地方的或者部门的投资计划，并组织实施。</w:t>
                  </w:r>
                </w:p>
                <w:p w14:paraId="6CC3A0E5">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28005BD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本项目与承德市总体准入清单中生态保护红线准入要求符合性分析见表1-</w:t>
                  </w:r>
                  <w:r>
                    <w:rPr>
                      <w:rFonts w:hint="eastAsia" w:cs="Times New Roman"/>
                      <w:bCs/>
                      <w:color w:val="auto"/>
                      <w:highlight w:val="none"/>
                      <w:lang w:val="en-US" w:eastAsia="zh-CN"/>
                    </w:rPr>
                    <w:t>5</w:t>
                  </w:r>
                  <w:r>
                    <w:rPr>
                      <w:rFonts w:hint="default" w:ascii="Times New Roman" w:hAnsi="Times New Roman" w:cs="Times New Roman"/>
                      <w:bCs/>
                      <w:color w:val="auto"/>
                      <w:highlight w:val="none"/>
                    </w:rPr>
                    <w:t>、与承德市总体准入要求中自然保护区的管控要求分析表见表1-</w:t>
                  </w:r>
                  <w:r>
                    <w:rPr>
                      <w:rFonts w:hint="eastAsia" w:cs="Times New Roman"/>
                      <w:bCs/>
                      <w:color w:val="auto"/>
                      <w:highlight w:val="none"/>
                      <w:lang w:val="en-US" w:eastAsia="zh-CN"/>
                    </w:rPr>
                    <w:t>6</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rPr>
                    <w:t>国家林业和草原局出具了《关于同意华能围场“风光储氢热一体化”项目（光伏200MW）项目220kV送出线路工程穿越河北滦河上游国家级自然保护区实验区的行政许可决定》（林保许准（冀）[2024]10号）。</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30CF26AF">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D0C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61718A11">
                  <w:pPr>
                    <w:pStyle w:val="25"/>
                    <w:spacing w:line="320" w:lineRule="exact"/>
                    <w:rPr>
                      <w:rFonts w:hint="default" w:ascii="Times New Roman" w:hAnsi="Times New Roman" w:cs="Times New Roman"/>
                      <w:bCs/>
                      <w:color w:val="auto"/>
                      <w:highlight w:val="none"/>
                    </w:rPr>
                  </w:pPr>
                </w:p>
              </w:tc>
              <w:tc>
                <w:tcPr>
                  <w:tcW w:w="467" w:type="pct"/>
                  <w:vMerge w:val="continue"/>
                  <w:tcMar>
                    <w:top w:w="0" w:type="dxa"/>
                    <w:left w:w="0" w:type="dxa"/>
                    <w:bottom w:w="0" w:type="dxa"/>
                    <w:right w:w="0" w:type="dxa"/>
                  </w:tcMar>
                  <w:vAlign w:val="center"/>
                </w:tcPr>
                <w:p w14:paraId="5BCA8B16">
                  <w:pPr>
                    <w:pStyle w:val="25"/>
                    <w:spacing w:line="320" w:lineRule="exact"/>
                    <w:rPr>
                      <w:rFonts w:hint="default" w:ascii="Times New Roman" w:hAnsi="Times New Roman" w:cs="Times New Roman"/>
                      <w:bCs/>
                      <w:color w:val="auto"/>
                      <w:highlight w:val="none"/>
                    </w:rPr>
                  </w:pPr>
                </w:p>
              </w:tc>
              <w:tc>
                <w:tcPr>
                  <w:tcW w:w="360" w:type="pct"/>
                  <w:vMerge w:val="continue"/>
                  <w:tcMar>
                    <w:top w:w="0" w:type="dxa"/>
                    <w:left w:w="0" w:type="dxa"/>
                    <w:bottom w:w="0" w:type="dxa"/>
                    <w:right w:w="0" w:type="dxa"/>
                  </w:tcMar>
                  <w:vAlign w:val="center"/>
                </w:tcPr>
                <w:p w14:paraId="0446ADD4">
                  <w:pPr>
                    <w:pStyle w:val="25"/>
                    <w:spacing w:line="320" w:lineRule="exact"/>
                    <w:rPr>
                      <w:rFonts w:hint="default" w:ascii="Times New Roman" w:hAnsi="Times New Roman" w:cs="Times New Roman"/>
                      <w:bCs/>
                      <w:color w:val="auto"/>
                      <w:highlight w:val="none"/>
                    </w:rPr>
                  </w:pPr>
                </w:p>
              </w:tc>
              <w:tc>
                <w:tcPr>
                  <w:tcW w:w="549" w:type="pct"/>
                  <w:vMerge w:val="continue"/>
                  <w:tcMar>
                    <w:top w:w="0" w:type="dxa"/>
                    <w:left w:w="0" w:type="dxa"/>
                    <w:bottom w:w="0" w:type="dxa"/>
                    <w:right w:w="0" w:type="dxa"/>
                  </w:tcMar>
                  <w:vAlign w:val="center"/>
                </w:tcPr>
                <w:p w14:paraId="26874189">
                  <w:pPr>
                    <w:pStyle w:val="25"/>
                    <w:spacing w:line="320" w:lineRule="exact"/>
                    <w:rPr>
                      <w:rFonts w:hint="default" w:ascii="Times New Roman" w:hAnsi="Times New Roman" w:cs="Times New Roman"/>
                      <w:bCs/>
                      <w:color w:val="auto"/>
                      <w:highlight w:val="none"/>
                    </w:rPr>
                  </w:pPr>
                </w:p>
              </w:tc>
              <w:tc>
                <w:tcPr>
                  <w:tcW w:w="292" w:type="pct"/>
                  <w:tcMar>
                    <w:top w:w="0" w:type="dxa"/>
                    <w:left w:w="0" w:type="dxa"/>
                    <w:bottom w:w="0" w:type="dxa"/>
                    <w:right w:w="0" w:type="dxa"/>
                  </w:tcMar>
                  <w:vAlign w:val="center"/>
                </w:tcPr>
                <w:p w14:paraId="2DE9DBFE">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7FA97417">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22D787E0">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4184570B">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r>
            <w:tr w14:paraId="37F8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5B8E68B">
                  <w:pPr>
                    <w:pStyle w:val="25"/>
                    <w:spacing w:line="320" w:lineRule="exact"/>
                    <w:rPr>
                      <w:rFonts w:hint="default" w:ascii="Times New Roman" w:hAnsi="Times New Roman" w:cs="Times New Roman"/>
                      <w:bCs/>
                      <w:color w:val="auto"/>
                      <w:highlight w:val="none"/>
                    </w:rPr>
                  </w:pPr>
                </w:p>
              </w:tc>
              <w:tc>
                <w:tcPr>
                  <w:tcW w:w="467" w:type="pct"/>
                  <w:vMerge w:val="continue"/>
                  <w:tcMar>
                    <w:top w:w="0" w:type="dxa"/>
                    <w:left w:w="0" w:type="dxa"/>
                    <w:bottom w:w="0" w:type="dxa"/>
                    <w:right w:w="0" w:type="dxa"/>
                  </w:tcMar>
                  <w:vAlign w:val="center"/>
                </w:tcPr>
                <w:p w14:paraId="41712E53">
                  <w:pPr>
                    <w:pStyle w:val="25"/>
                    <w:spacing w:line="320" w:lineRule="exact"/>
                    <w:rPr>
                      <w:rFonts w:hint="default" w:ascii="Times New Roman" w:hAnsi="Times New Roman" w:cs="Times New Roman"/>
                      <w:bCs/>
                      <w:color w:val="auto"/>
                      <w:highlight w:val="none"/>
                    </w:rPr>
                  </w:pPr>
                </w:p>
              </w:tc>
              <w:tc>
                <w:tcPr>
                  <w:tcW w:w="360" w:type="pct"/>
                  <w:vMerge w:val="continue"/>
                  <w:tcMar>
                    <w:top w:w="0" w:type="dxa"/>
                    <w:left w:w="0" w:type="dxa"/>
                    <w:bottom w:w="0" w:type="dxa"/>
                    <w:right w:w="0" w:type="dxa"/>
                  </w:tcMar>
                  <w:vAlign w:val="center"/>
                </w:tcPr>
                <w:p w14:paraId="2E0AF919">
                  <w:pPr>
                    <w:pStyle w:val="25"/>
                    <w:spacing w:line="320" w:lineRule="exact"/>
                    <w:rPr>
                      <w:rFonts w:hint="default" w:ascii="Times New Roman" w:hAnsi="Times New Roman" w:cs="Times New Roman"/>
                      <w:bCs/>
                      <w:color w:val="auto"/>
                      <w:highlight w:val="none"/>
                    </w:rPr>
                  </w:pPr>
                </w:p>
              </w:tc>
              <w:tc>
                <w:tcPr>
                  <w:tcW w:w="549" w:type="pct"/>
                  <w:vMerge w:val="continue"/>
                  <w:tcMar>
                    <w:top w:w="0" w:type="dxa"/>
                    <w:left w:w="0" w:type="dxa"/>
                    <w:bottom w:w="0" w:type="dxa"/>
                    <w:right w:w="0" w:type="dxa"/>
                  </w:tcMar>
                  <w:vAlign w:val="center"/>
                </w:tcPr>
                <w:p w14:paraId="760310D7">
                  <w:pPr>
                    <w:pStyle w:val="25"/>
                    <w:spacing w:line="320" w:lineRule="exact"/>
                    <w:rPr>
                      <w:rFonts w:hint="default" w:ascii="Times New Roman" w:hAnsi="Times New Roman" w:cs="Times New Roman"/>
                      <w:bCs/>
                      <w:color w:val="auto"/>
                      <w:highlight w:val="none"/>
                    </w:rPr>
                  </w:pPr>
                </w:p>
              </w:tc>
              <w:tc>
                <w:tcPr>
                  <w:tcW w:w="292" w:type="pct"/>
                  <w:tcMar>
                    <w:top w:w="0" w:type="dxa"/>
                    <w:left w:w="0" w:type="dxa"/>
                    <w:bottom w:w="0" w:type="dxa"/>
                    <w:right w:w="0" w:type="dxa"/>
                  </w:tcMar>
                  <w:vAlign w:val="center"/>
                </w:tcPr>
                <w:p w14:paraId="6EAA035C">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0B4FD8FC">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1、设置保护界碑公告牌，营建生物隔离带、生态驳岸，布设湿地生态系统监测设施，实时监测保护区生态环境。</w:t>
                  </w:r>
                </w:p>
              </w:tc>
              <w:tc>
                <w:tcPr>
                  <w:tcW w:w="1254" w:type="pct"/>
                  <w:tcMar>
                    <w:top w:w="0" w:type="dxa"/>
                    <w:left w:w="0" w:type="dxa"/>
                    <w:bottom w:w="0" w:type="dxa"/>
                    <w:right w:w="0" w:type="dxa"/>
                  </w:tcMar>
                  <w:vAlign w:val="center"/>
                </w:tcPr>
                <w:p w14:paraId="1143F911">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加强保护区内临时占地恢复监测，确保植被成活率</w:t>
                  </w:r>
                </w:p>
              </w:tc>
              <w:tc>
                <w:tcPr>
                  <w:tcW w:w="155" w:type="pct"/>
                  <w:tcMar>
                    <w:top w:w="0" w:type="dxa"/>
                    <w:left w:w="0" w:type="dxa"/>
                    <w:bottom w:w="0" w:type="dxa"/>
                    <w:right w:w="0" w:type="dxa"/>
                  </w:tcMar>
                  <w:vAlign w:val="center"/>
                </w:tcPr>
                <w:p w14:paraId="77B6B985">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5D02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432191F7">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9E977E9">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CAA14EB">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73F124CE">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51DDDD6">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65D41CE7">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tc>
              <w:tc>
                <w:tcPr>
                  <w:tcW w:w="1254" w:type="pct"/>
                  <w:tcMar>
                    <w:top w:w="0" w:type="dxa"/>
                    <w:left w:w="0" w:type="dxa"/>
                    <w:bottom w:w="0" w:type="dxa"/>
                    <w:right w:w="0" w:type="dxa"/>
                  </w:tcMar>
                  <w:vAlign w:val="center"/>
                </w:tcPr>
                <w:p w14:paraId="1565B2AC">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79842169">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6370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5E5C5F10">
                  <w:pPr>
                    <w:pStyle w:val="25"/>
                    <w:spacing w:line="320" w:lineRule="exact"/>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10</w:t>
                  </w:r>
                </w:p>
              </w:tc>
              <w:tc>
                <w:tcPr>
                  <w:tcW w:w="467" w:type="pct"/>
                  <w:vMerge w:val="restart"/>
                  <w:tcMar>
                    <w:top w:w="0" w:type="dxa"/>
                    <w:left w:w="0" w:type="dxa"/>
                    <w:bottom w:w="0" w:type="dxa"/>
                    <w:right w:w="0" w:type="dxa"/>
                  </w:tcMar>
                  <w:vAlign w:val="center"/>
                </w:tcPr>
                <w:p w14:paraId="12DE50B3">
                  <w:pPr>
                    <w:pStyle w:val="25"/>
                    <w:spacing w:line="320" w:lineRule="exac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老窝铺乡</w:t>
                  </w:r>
                </w:p>
              </w:tc>
              <w:tc>
                <w:tcPr>
                  <w:tcW w:w="360" w:type="pct"/>
                  <w:vMerge w:val="restart"/>
                  <w:tcMar>
                    <w:top w:w="0" w:type="dxa"/>
                    <w:left w:w="0" w:type="dxa"/>
                    <w:bottom w:w="0" w:type="dxa"/>
                    <w:right w:w="0" w:type="dxa"/>
                  </w:tcMar>
                  <w:vAlign w:val="center"/>
                </w:tcPr>
                <w:p w14:paraId="5A6FAE7A">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5B98D210">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水环境优先保护区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62E592F7">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59083710">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1、水环境优先保护区应优化区域种植结构，完善水污染设施体系，严格执行流域水排放控制标准，保障水环境安全。</w:t>
                  </w:r>
                </w:p>
                <w:p w14:paraId="0A52F766">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3799C6E8">
                  <w:pPr>
                    <w:pStyle w:val="25"/>
                    <w:spacing w:line="240" w:lineRule="auto"/>
                    <w:rPr>
                      <w:rFonts w:hint="default" w:ascii="Times New Roman" w:hAnsi="Times New Roman" w:cs="Times New Roman"/>
                      <w:bCs/>
                      <w:color w:val="auto"/>
                      <w:highlight w:val="none"/>
                      <w:lang w:eastAsia="zh-CN"/>
                    </w:rPr>
                  </w:pP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本项目无废水外排</w:t>
                  </w:r>
                  <w:r>
                    <w:rPr>
                      <w:rFonts w:hint="default" w:ascii="Times New Roman" w:hAnsi="Times New Roman" w:cs="Times New Roman"/>
                      <w:bCs/>
                      <w:color w:val="auto"/>
                      <w:highlight w:val="none"/>
                      <w:lang w:eastAsia="zh-CN"/>
                    </w:rPr>
                    <w:t>。</w:t>
                  </w:r>
                </w:p>
                <w:p w14:paraId="251B10EE">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报告中对沙化土地提出防沙治沙措施，减少土地沙化。</w:t>
                  </w:r>
                </w:p>
              </w:tc>
              <w:tc>
                <w:tcPr>
                  <w:tcW w:w="155" w:type="pct"/>
                  <w:tcMar>
                    <w:top w:w="0" w:type="dxa"/>
                    <w:left w:w="0" w:type="dxa"/>
                    <w:bottom w:w="0" w:type="dxa"/>
                    <w:right w:w="0" w:type="dxa"/>
                  </w:tcMar>
                  <w:vAlign w:val="center"/>
                </w:tcPr>
                <w:p w14:paraId="03829EB7">
                  <w:pPr>
                    <w:pStyle w:val="25"/>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1229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0FB9F267">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79E7BB2">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5BC17EF">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0D1BB25B">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10C4129">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7416F31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1、严格控制高毒高残留高风险农药使用，严格落实农膜管理制度，推广地膜科学使用回收。</w:t>
                  </w:r>
                </w:p>
              </w:tc>
              <w:tc>
                <w:tcPr>
                  <w:tcW w:w="1254" w:type="pct"/>
                  <w:tcMar>
                    <w:top w:w="0" w:type="dxa"/>
                    <w:left w:w="0" w:type="dxa"/>
                    <w:bottom w:w="0" w:type="dxa"/>
                    <w:right w:w="0" w:type="dxa"/>
                  </w:tcMar>
                  <w:vAlign w:val="center"/>
                </w:tcPr>
                <w:p w14:paraId="33D37C57">
                  <w:pPr>
                    <w:pStyle w:val="25"/>
                    <w:spacing w:line="240" w:lineRule="auto"/>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不涉及</w:t>
                  </w:r>
                </w:p>
              </w:tc>
              <w:tc>
                <w:tcPr>
                  <w:tcW w:w="155" w:type="pct"/>
                  <w:tcMar>
                    <w:top w:w="0" w:type="dxa"/>
                    <w:left w:w="0" w:type="dxa"/>
                    <w:bottom w:w="0" w:type="dxa"/>
                    <w:right w:w="0" w:type="dxa"/>
                  </w:tcMar>
                  <w:vAlign w:val="center"/>
                </w:tcPr>
                <w:p w14:paraId="36AD6BF8">
                  <w:pPr>
                    <w:pStyle w:val="25"/>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24EA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897F0A4">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60EEC2E">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13921C46">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D5CB4DB">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E54AC95">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6EA5B3A4">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1、以单元内流域为重点，全面开展河道生态护岸和河流缓冲带建设、岸线和河道生态修复等工程。</w:t>
                  </w:r>
                </w:p>
              </w:tc>
              <w:tc>
                <w:tcPr>
                  <w:tcW w:w="1254" w:type="pct"/>
                  <w:tcMar>
                    <w:top w:w="0" w:type="dxa"/>
                    <w:left w:w="0" w:type="dxa"/>
                    <w:bottom w:w="0" w:type="dxa"/>
                    <w:right w:w="0" w:type="dxa"/>
                  </w:tcMar>
                  <w:vAlign w:val="center"/>
                </w:tcPr>
                <w:p w14:paraId="486B6B68">
                  <w:pPr>
                    <w:pStyle w:val="25"/>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eastAsia="zh-CN"/>
                    </w:rPr>
                    <w:t>不涉及</w:t>
                  </w:r>
                </w:p>
              </w:tc>
              <w:tc>
                <w:tcPr>
                  <w:tcW w:w="155" w:type="pct"/>
                  <w:tcMar>
                    <w:top w:w="0" w:type="dxa"/>
                    <w:left w:w="0" w:type="dxa"/>
                    <w:bottom w:w="0" w:type="dxa"/>
                    <w:right w:w="0" w:type="dxa"/>
                  </w:tcMar>
                  <w:vAlign w:val="center"/>
                </w:tcPr>
                <w:p w14:paraId="4D81CEC3">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lang w:eastAsia="zh-CN"/>
                    </w:rPr>
                    <w:t>符合</w:t>
                  </w:r>
                </w:p>
              </w:tc>
            </w:tr>
            <w:tr w14:paraId="0ACD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6A028EC4">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F601251">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68025E0">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44C1E72B">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13809880">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0265379D">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65326CE9">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2、加强农田灌溉设施建设，有效提高农田灌溉用水效率。</w:t>
                  </w:r>
                </w:p>
              </w:tc>
              <w:tc>
                <w:tcPr>
                  <w:tcW w:w="1254" w:type="pct"/>
                  <w:tcMar>
                    <w:top w:w="0" w:type="dxa"/>
                    <w:left w:w="0" w:type="dxa"/>
                    <w:bottom w:w="0" w:type="dxa"/>
                    <w:right w:w="0" w:type="dxa"/>
                  </w:tcMar>
                  <w:vAlign w:val="center"/>
                </w:tcPr>
                <w:p w14:paraId="55661A3D">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p w14:paraId="7B6A30BA">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2、本项目不涉及农田灌溉。</w:t>
                  </w:r>
                </w:p>
              </w:tc>
              <w:tc>
                <w:tcPr>
                  <w:tcW w:w="155" w:type="pct"/>
                  <w:tcMar>
                    <w:top w:w="0" w:type="dxa"/>
                    <w:left w:w="0" w:type="dxa"/>
                    <w:bottom w:w="0" w:type="dxa"/>
                    <w:right w:w="0" w:type="dxa"/>
                  </w:tcMar>
                  <w:vAlign w:val="center"/>
                </w:tcPr>
                <w:p w14:paraId="5C17B388">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4E81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2080E558">
                  <w:pPr>
                    <w:pStyle w:val="25"/>
                    <w:spacing w:line="320" w:lineRule="exact"/>
                    <w:rPr>
                      <w:rFonts w:hint="default" w:ascii="Times New Roman" w:hAnsi="Times New Roman" w:cs="Times New Roman"/>
                      <w:color w:val="auto"/>
                      <w:highlight w:val="none"/>
                      <w:lang w:val="en-US"/>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cs="Times New Roman"/>
                      <w:b w:val="0"/>
                      <w:bCs w:val="0"/>
                      <w:color w:val="auto"/>
                      <w:sz w:val="21"/>
                      <w:szCs w:val="21"/>
                      <w:highlight w:val="none"/>
                      <w:vertAlign w:val="baseline"/>
                      <w:lang w:val="en-US" w:eastAsia="zh-CN"/>
                    </w:rPr>
                    <w:t>1</w:t>
                  </w:r>
                </w:p>
              </w:tc>
              <w:tc>
                <w:tcPr>
                  <w:tcW w:w="467" w:type="pct"/>
                  <w:vMerge w:val="restart"/>
                  <w:tcMar>
                    <w:top w:w="0" w:type="dxa"/>
                    <w:left w:w="0" w:type="dxa"/>
                    <w:bottom w:w="0" w:type="dxa"/>
                    <w:right w:w="0" w:type="dxa"/>
                  </w:tcMar>
                  <w:vAlign w:val="center"/>
                </w:tcPr>
                <w:p w14:paraId="4F4C092D">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老窝铺乡、城子镇</w:t>
                  </w:r>
                </w:p>
              </w:tc>
              <w:tc>
                <w:tcPr>
                  <w:tcW w:w="360" w:type="pct"/>
                  <w:vMerge w:val="restart"/>
                  <w:tcMar>
                    <w:top w:w="0" w:type="dxa"/>
                    <w:left w:w="0" w:type="dxa"/>
                    <w:bottom w:w="0" w:type="dxa"/>
                    <w:right w:w="0" w:type="dxa"/>
                  </w:tcMar>
                  <w:vAlign w:val="center"/>
                </w:tcPr>
                <w:p w14:paraId="0D7CFE1D">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53D9A83B">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燕山水源涵养-生物多样性维护生态保护红线</w:t>
                  </w:r>
                </w:p>
              </w:tc>
              <w:tc>
                <w:tcPr>
                  <w:tcW w:w="292" w:type="pct"/>
                  <w:tcMar>
                    <w:top w:w="0" w:type="dxa"/>
                    <w:left w:w="0" w:type="dxa"/>
                    <w:bottom w:w="0" w:type="dxa"/>
                    <w:right w:w="0" w:type="dxa"/>
                  </w:tcMar>
                  <w:vAlign w:val="center"/>
                </w:tcPr>
                <w:p w14:paraId="2E4E29C4">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15B4A212">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1、执行承德市总体准入清单中生态保护红线准入要求。</w:t>
                  </w:r>
                </w:p>
                <w:p w14:paraId="680955B7">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26A0CDDA">
                  <w:pPr>
                    <w:pStyle w:val="25"/>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本项目与承德市总体准入清单中生态保护红线准入要求符合性分析见表1-</w:t>
                  </w:r>
                  <w:r>
                    <w:rPr>
                      <w:rFonts w:hint="eastAsia" w:cs="Times New Roman"/>
                      <w:bCs/>
                      <w:color w:val="auto"/>
                      <w:highlight w:val="none"/>
                      <w:lang w:val="en-US" w:eastAsia="zh-CN"/>
                    </w:rPr>
                    <w:t>5</w:t>
                  </w:r>
                  <w:r>
                    <w:rPr>
                      <w:rFonts w:hint="default" w:ascii="Times New Roman" w:hAnsi="Times New Roman" w:cs="Times New Roman"/>
                      <w:bCs/>
                      <w:color w:val="auto"/>
                      <w:highlight w:val="none"/>
                    </w:rPr>
                    <w:t>。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64E74827">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285D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B5648A7">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BFEDBCA">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4208BE5">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6D005EF7">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E103890">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2A7EE664">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73783F6C">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0D71C1F3">
                  <w:pPr>
                    <w:pStyle w:val="25"/>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2314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F0176C3">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416D30F2">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F1100FA">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6B521053">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50DC63E0">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13E4BE28">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3BB1575E">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0D8DFFE0">
                  <w:pPr>
                    <w:pStyle w:val="25"/>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1B0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03647A2">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3F71A6FD">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D9A07D0">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1BE423A7">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396B7A17">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4D637D06">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tc>
              <w:tc>
                <w:tcPr>
                  <w:tcW w:w="1254" w:type="pct"/>
                  <w:tcMar>
                    <w:top w:w="0" w:type="dxa"/>
                    <w:left w:w="0" w:type="dxa"/>
                    <w:bottom w:w="0" w:type="dxa"/>
                    <w:right w:w="0" w:type="dxa"/>
                  </w:tcMar>
                  <w:vAlign w:val="center"/>
                </w:tcPr>
                <w:p w14:paraId="1DD45209">
                  <w:pPr>
                    <w:pStyle w:val="25"/>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6A393709">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470B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6BBFC741">
                  <w:pPr>
                    <w:pStyle w:val="25"/>
                    <w:spacing w:line="320" w:lineRule="exact"/>
                    <w:rPr>
                      <w:rFonts w:hint="default" w:ascii="Times New Roman" w:hAnsi="Times New Roman" w:cs="Times New Roman"/>
                      <w:color w:val="auto"/>
                      <w:highlight w:val="none"/>
                      <w:lang w:val="en-US"/>
                    </w:rPr>
                  </w:pPr>
                  <w:r>
                    <w:rPr>
                      <w:rFonts w:hint="default" w:ascii="Times New Roman" w:hAnsi="Times New Roman" w:eastAsia="宋体" w:cs="Times New Roman"/>
                      <w:b w:val="0"/>
                      <w:bCs w:val="0"/>
                      <w:color w:val="auto"/>
                      <w:sz w:val="21"/>
                      <w:szCs w:val="21"/>
                      <w:highlight w:val="none"/>
                      <w:vertAlign w:val="baseline"/>
                      <w:lang w:eastAsia="zh-CN"/>
                    </w:rPr>
                    <w:t>ZH130828100</w:t>
                  </w:r>
                  <w:r>
                    <w:rPr>
                      <w:rFonts w:hint="default" w:ascii="Times New Roman" w:hAnsi="Times New Roman" w:eastAsia="宋体" w:cs="Times New Roman"/>
                      <w:b w:val="0"/>
                      <w:bCs w:val="0"/>
                      <w:color w:val="auto"/>
                      <w:sz w:val="21"/>
                      <w:szCs w:val="21"/>
                      <w:highlight w:val="none"/>
                      <w:vertAlign w:val="baseline"/>
                      <w:lang w:val="en-US" w:eastAsia="zh-CN"/>
                    </w:rPr>
                    <w:t>1</w:t>
                  </w:r>
                  <w:r>
                    <w:rPr>
                      <w:rFonts w:hint="default" w:ascii="Times New Roman" w:hAnsi="Times New Roman" w:cs="Times New Roman"/>
                      <w:b w:val="0"/>
                      <w:bCs w:val="0"/>
                      <w:color w:val="auto"/>
                      <w:sz w:val="21"/>
                      <w:szCs w:val="21"/>
                      <w:highlight w:val="none"/>
                      <w:vertAlign w:val="baseline"/>
                      <w:lang w:val="en-US" w:eastAsia="zh-CN"/>
                    </w:rPr>
                    <w:t>2</w:t>
                  </w:r>
                </w:p>
              </w:tc>
              <w:tc>
                <w:tcPr>
                  <w:tcW w:w="467" w:type="pct"/>
                  <w:vMerge w:val="restart"/>
                  <w:tcMar>
                    <w:top w:w="0" w:type="dxa"/>
                    <w:left w:w="0" w:type="dxa"/>
                    <w:bottom w:w="0" w:type="dxa"/>
                    <w:right w:w="0" w:type="dxa"/>
                  </w:tcMar>
                  <w:vAlign w:val="center"/>
                </w:tcPr>
                <w:p w14:paraId="12ECF391">
                  <w:pPr>
                    <w:pStyle w:val="25"/>
                    <w:spacing w:line="320" w:lineRule="exac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城子镇</w:t>
                  </w:r>
                </w:p>
              </w:tc>
              <w:tc>
                <w:tcPr>
                  <w:tcW w:w="360" w:type="pct"/>
                  <w:vMerge w:val="restart"/>
                  <w:tcMar>
                    <w:top w:w="0" w:type="dxa"/>
                    <w:left w:w="0" w:type="dxa"/>
                    <w:bottom w:w="0" w:type="dxa"/>
                    <w:right w:w="0" w:type="dxa"/>
                  </w:tcMar>
                  <w:vAlign w:val="center"/>
                </w:tcPr>
                <w:p w14:paraId="10FA11C0">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70DB6BE2">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一般生态空间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水环境其他区域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744C445E">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3D0863A6">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1、执行承德市总体准入清单中一般生态空间准入要求。</w:t>
                  </w:r>
                </w:p>
                <w:p w14:paraId="62BCAC5A">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75BFE014">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本项目与承德市总体准入清单中一般生态空间准入要求符合性分析见表1-</w:t>
                  </w:r>
                  <w:r>
                    <w:rPr>
                      <w:rFonts w:hint="default" w:ascii="Times New Roman" w:hAnsi="Times New Roman" w:cs="Times New Roman"/>
                      <w:bCs/>
                      <w:color w:val="auto"/>
                      <w:highlight w:val="none"/>
                      <w:lang w:val="en-US" w:eastAsia="zh-CN"/>
                    </w:rPr>
                    <w:t>6</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420032AE">
                  <w:pPr>
                    <w:pStyle w:val="25"/>
                    <w:spacing w:line="320" w:lineRule="exact"/>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符合</w:t>
                  </w:r>
                </w:p>
              </w:tc>
            </w:tr>
            <w:tr w14:paraId="5085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48F815CF">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5906C671">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2D9E9F2D">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04068FD">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08ED8663">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2EE2BEEE">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4F9093B8">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1D675984">
                  <w:pPr>
                    <w:pStyle w:val="25"/>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041E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5432EE33">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42CB16C">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A2A5DA6">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0C66302F">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6BB00633">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762BCAB1">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254" w:type="pct"/>
                  <w:tcMar>
                    <w:top w:w="0" w:type="dxa"/>
                    <w:left w:w="0" w:type="dxa"/>
                    <w:bottom w:w="0" w:type="dxa"/>
                    <w:right w:w="0" w:type="dxa"/>
                  </w:tcMar>
                  <w:vAlign w:val="center"/>
                </w:tcPr>
                <w:p w14:paraId="4F1B6F17">
                  <w:pPr>
                    <w:pStyle w:val="25"/>
                    <w:spacing w:line="240" w:lineRule="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c>
                <w:tcPr>
                  <w:tcW w:w="155" w:type="pct"/>
                  <w:tcMar>
                    <w:top w:w="0" w:type="dxa"/>
                    <w:left w:w="0" w:type="dxa"/>
                    <w:bottom w:w="0" w:type="dxa"/>
                    <w:right w:w="0" w:type="dxa"/>
                  </w:tcMar>
                  <w:vAlign w:val="center"/>
                </w:tcPr>
                <w:p w14:paraId="39BF23FC">
                  <w:pPr>
                    <w:pStyle w:val="25"/>
                    <w:spacing w:line="320" w:lineRule="exact"/>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w:t>
                  </w:r>
                </w:p>
              </w:tc>
            </w:tr>
            <w:tr w14:paraId="0D10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11597469">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325DF919">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3321C23F">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2968C1C1">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C806D5B">
                  <w:pPr>
                    <w:pStyle w:val="25"/>
                    <w:spacing w:line="32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198FAEA9">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496B7F20">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2、在严格保护生态环境前提下，鼓励采取多样化模式和路径，科学合理推动生态产品价值实现。</w:t>
                  </w:r>
                </w:p>
              </w:tc>
              <w:tc>
                <w:tcPr>
                  <w:tcW w:w="1254" w:type="pct"/>
                  <w:tcMar>
                    <w:top w:w="0" w:type="dxa"/>
                    <w:left w:w="0" w:type="dxa"/>
                    <w:bottom w:w="0" w:type="dxa"/>
                    <w:right w:w="0" w:type="dxa"/>
                  </w:tcMar>
                  <w:vAlign w:val="center"/>
                </w:tcPr>
                <w:p w14:paraId="2631ECFA">
                  <w:pPr>
                    <w:pStyle w:val="25"/>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07A9EBEE">
                  <w:pPr>
                    <w:pStyle w:val="25"/>
                    <w:spacing w:line="320" w:lineRule="exac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符合</w:t>
                  </w:r>
                </w:p>
              </w:tc>
            </w:tr>
            <w:tr w14:paraId="731A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4A5156BD">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ZH13082810013</w:t>
                  </w:r>
                </w:p>
              </w:tc>
              <w:tc>
                <w:tcPr>
                  <w:tcW w:w="467" w:type="pct"/>
                  <w:vMerge w:val="restart"/>
                  <w:tcMar>
                    <w:top w:w="0" w:type="dxa"/>
                    <w:left w:w="0" w:type="dxa"/>
                    <w:bottom w:w="0" w:type="dxa"/>
                    <w:right w:w="0" w:type="dxa"/>
                  </w:tcMar>
                  <w:vAlign w:val="center"/>
                </w:tcPr>
                <w:p w14:paraId="2D797883">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老窝铺乡</w:t>
                  </w:r>
                </w:p>
              </w:tc>
              <w:tc>
                <w:tcPr>
                  <w:tcW w:w="360" w:type="pct"/>
                  <w:vMerge w:val="restart"/>
                  <w:tcMar>
                    <w:top w:w="0" w:type="dxa"/>
                    <w:left w:w="0" w:type="dxa"/>
                    <w:bottom w:w="0" w:type="dxa"/>
                    <w:right w:w="0" w:type="dxa"/>
                  </w:tcMar>
                  <w:vAlign w:val="center"/>
                </w:tcPr>
                <w:p w14:paraId="281109FD">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549" w:type="pct"/>
                  <w:vMerge w:val="restart"/>
                  <w:tcMar>
                    <w:top w:w="0" w:type="dxa"/>
                    <w:left w:w="0" w:type="dxa"/>
                    <w:bottom w:w="0" w:type="dxa"/>
                    <w:right w:w="0" w:type="dxa"/>
                  </w:tcMar>
                  <w:vAlign w:val="center"/>
                </w:tcPr>
                <w:p w14:paraId="6E5278E4">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一般生态空间</w:t>
                  </w:r>
                </w:p>
                <w:p w14:paraId="30B904EE">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水环境优先保护区</w:t>
                  </w:r>
                </w:p>
                <w:p w14:paraId="44FEE604">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大气一般管控区</w:t>
                  </w:r>
                </w:p>
              </w:tc>
              <w:tc>
                <w:tcPr>
                  <w:tcW w:w="292" w:type="pct"/>
                  <w:tcMar>
                    <w:top w:w="0" w:type="dxa"/>
                    <w:left w:w="0" w:type="dxa"/>
                    <w:bottom w:w="0" w:type="dxa"/>
                    <w:right w:w="0" w:type="dxa"/>
                  </w:tcMar>
                  <w:vAlign w:val="center"/>
                </w:tcPr>
                <w:p w14:paraId="01CB1334">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66AC6D02">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1、执行承德市总体准入清单中一般生态空间准入要求。</w:t>
                  </w:r>
                </w:p>
                <w:p w14:paraId="7FDECBA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2、水环境优先保护区应优化区域种植结构，完善水污染设施体系，严格执行流域水排放控制标准，保障水环境安全。</w:t>
                  </w:r>
                </w:p>
                <w:p w14:paraId="2136D188">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4F11139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本项目与承德市总体准入清单中一般生态空间准入要求符合性分析见表1-</w:t>
                  </w:r>
                  <w:r>
                    <w:rPr>
                      <w:rFonts w:hint="default" w:ascii="Times New Roman" w:hAnsi="Times New Roman" w:cs="Times New Roman"/>
                      <w:bCs/>
                      <w:color w:val="auto"/>
                      <w:highlight w:val="none"/>
                      <w:lang w:val="en-US" w:eastAsia="zh-CN"/>
                    </w:rPr>
                    <w:t>6</w:t>
                  </w:r>
                  <w:r>
                    <w:rPr>
                      <w:rFonts w:hint="default" w:ascii="Times New Roman" w:hAnsi="Times New Roman" w:cs="Times New Roman"/>
                      <w:bCs/>
                      <w:color w:val="auto"/>
                      <w:highlight w:val="none"/>
                    </w:rPr>
                    <w:t>。本项目无废水外排，报告中对沙化土地提出防沙治沙措施，减少土地沙化。</w:t>
                  </w:r>
                </w:p>
              </w:tc>
              <w:tc>
                <w:tcPr>
                  <w:tcW w:w="155" w:type="pct"/>
                  <w:tcMar>
                    <w:top w:w="0" w:type="dxa"/>
                    <w:left w:w="0" w:type="dxa"/>
                    <w:bottom w:w="0" w:type="dxa"/>
                    <w:right w:w="0" w:type="dxa"/>
                  </w:tcMar>
                  <w:vAlign w:val="center"/>
                </w:tcPr>
                <w:p w14:paraId="5D286E40">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B55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5A9AC4DE">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E7F5149">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55E5926">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3F8EFBEB">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6B633C9C">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59192F7F">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363FFAAC">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4F8062AA">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894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798623E4">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2A1BD4D8">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08C1356B">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772B0044">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7B62BF6">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32C14E9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254" w:type="pct"/>
                  <w:tcMar>
                    <w:top w:w="0" w:type="dxa"/>
                    <w:left w:w="0" w:type="dxa"/>
                    <w:bottom w:w="0" w:type="dxa"/>
                    <w:right w:w="0" w:type="dxa"/>
                  </w:tcMar>
                  <w:vAlign w:val="center"/>
                </w:tcPr>
                <w:p w14:paraId="3CEFCE1E">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p>
              </w:tc>
              <w:tc>
                <w:tcPr>
                  <w:tcW w:w="155" w:type="pct"/>
                  <w:tcMar>
                    <w:top w:w="0" w:type="dxa"/>
                    <w:left w:w="0" w:type="dxa"/>
                    <w:bottom w:w="0" w:type="dxa"/>
                    <w:right w:w="0" w:type="dxa"/>
                  </w:tcMar>
                  <w:vAlign w:val="center"/>
                </w:tcPr>
                <w:p w14:paraId="56C32CA3">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786A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0EE53355">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09EF079E">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3203F3AB">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CA7B498">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8C82461">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21286C1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1、按照宜乔则乔、宜灌则灌、宜草则草，乔灌草结合的原则，因地制宜开展沙地治理。</w:t>
                  </w:r>
                </w:p>
                <w:p w14:paraId="26C67EF3">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2、在严格保护生态环境前提下，鼓励采取多样化模式和路径，科学合理推动生态产品价值实现。</w:t>
                  </w:r>
                </w:p>
              </w:tc>
              <w:tc>
                <w:tcPr>
                  <w:tcW w:w="1254" w:type="pct"/>
                  <w:tcMar>
                    <w:top w:w="0" w:type="dxa"/>
                    <w:left w:w="0" w:type="dxa"/>
                    <w:bottom w:w="0" w:type="dxa"/>
                    <w:right w:w="0" w:type="dxa"/>
                  </w:tcMar>
                  <w:vAlign w:val="center"/>
                </w:tcPr>
                <w:p w14:paraId="280101A7">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49A9212F">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EAB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restart"/>
                  <w:tcMar>
                    <w:top w:w="0" w:type="dxa"/>
                    <w:left w:w="0" w:type="dxa"/>
                    <w:bottom w:w="0" w:type="dxa"/>
                    <w:right w:w="0" w:type="dxa"/>
                  </w:tcMar>
                  <w:vAlign w:val="center"/>
                </w:tcPr>
                <w:p w14:paraId="38247746">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ZH13082830001</w:t>
                  </w:r>
                </w:p>
              </w:tc>
              <w:tc>
                <w:tcPr>
                  <w:tcW w:w="467" w:type="pct"/>
                  <w:vMerge w:val="restart"/>
                  <w:tcMar>
                    <w:top w:w="0" w:type="dxa"/>
                    <w:left w:w="0" w:type="dxa"/>
                    <w:bottom w:w="0" w:type="dxa"/>
                    <w:right w:w="0" w:type="dxa"/>
                  </w:tcMar>
                  <w:vAlign w:val="center"/>
                </w:tcPr>
                <w:p w14:paraId="6A009291">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城子镇</w:t>
                  </w:r>
                </w:p>
              </w:tc>
              <w:tc>
                <w:tcPr>
                  <w:tcW w:w="360" w:type="pct"/>
                  <w:vMerge w:val="restart"/>
                  <w:tcMar>
                    <w:top w:w="0" w:type="dxa"/>
                    <w:left w:w="0" w:type="dxa"/>
                    <w:bottom w:w="0" w:type="dxa"/>
                    <w:right w:w="0" w:type="dxa"/>
                  </w:tcMar>
                  <w:vAlign w:val="center"/>
                </w:tcPr>
                <w:p w14:paraId="3303B239">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w:t>
                  </w:r>
                </w:p>
              </w:tc>
              <w:tc>
                <w:tcPr>
                  <w:tcW w:w="549" w:type="pct"/>
                  <w:vMerge w:val="restart"/>
                  <w:tcMar>
                    <w:top w:w="0" w:type="dxa"/>
                    <w:left w:w="0" w:type="dxa"/>
                    <w:bottom w:w="0" w:type="dxa"/>
                    <w:right w:w="0" w:type="dxa"/>
                  </w:tcMar>
                  <w:vAlign w:val="center"/>
                </w:tcPr>
                <w:p w14:paraId="08CFC9E0">
                  <w:pPr>
                    <w:pStyle w:val="25"/>
                    <w:spacing w:line="320" w:lineRule="exact"/>
                    <w:rPr>
                      <w:rFonts w:hint="eastAsia" w:cs="Times New Roman"/>
                      <w:color w:val="auto"/>
                      <w:highlight w:val="none"/>
                      <w:lang w:val="en-US" w:eastAsia="zh-CN"/>
                    </w:rPr>
                  </w:pPr>
                  <w:r>
                    <w:rPr>
                      <w:rFonts w:hint="eastAsia" w:cs="Times New Roman"/>
                      <w:color w:val="auto"/>
                      <w:highlight w:val="none"/>
                      <w:lang w:val="en-US" w:eastAsia="zh-CN"/>
                    </w:rPr>
                    <w:t>水环境其他区域</w:t>
                  </w:r>
                </w:p>
                <w:p w14:paraId="2FD8FD9D">
                  <w:pPr>
                    <w:pStyle w:val="25"/>
                    <w:spacing w:line="320" w:lineRule="exact"/>
                    <w:rPr>
                      <w:rFonts w:hint="default" w:ascii="Times New Roman" w:hAnsi="Times New Roman" w:cs="Times New Roman"/>
                      <w:color w:val="auto"/>
                      <w:highlight w:val="none"/>
                    </w:rPr>
                  </w:pPr>
                  <w:r>
                    <w:rPr>
                      <w:rFonts w:hint="eastAsia" w:cs="Times New Roman"/>
                      <w:color w:val="auto"/>
                      <w:highlight w:val="none"/>
                      <w:lang w:val="en-US" w:eastAsia="zh-CN"/>
                    </w:rPr>
                    <w:t>大气</w:t>
                  </w:r>
                  <w:r>
                    <w:rPr>
                      <w:rFonts w:hint="default" w:ascii="Times New Roman" w:hAnsi="Times New Roman" w:cs="Times New Roman"/>
                      <w:color w:val="auto"/>
                      <w:highlight w:val="none"/>
                    </w:rPr>
                    <w:t>一般管控区</w:t>
                  </w:r>
                </w:p>
              </w:tc>
              <w:tc>
                <w:tcPr>
                  <w:tcW w:w="292" w:type="pct"/>
                  <w:tcMar>
                    <w:top w:w="0" w:type="dxa"/>
                    <w:left w:w="0" w:type="dxa"/>
                    <w:bottom w:w="0" w:type="dxa"/>
                    <w:right w:w="0" w:type="dxa"/>
                  </w:tcMar>
                  <w:vAlign w:val="center"/>
                </w:tcPr>
                <w:p w14:paraId="32863FC3">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1354" w:type="pct"/>
                  <w:tcMar>
                    <w:top w:w="0" w:type="dxa"/>
                    <w:left w:w="0" w:type="dxa"/>
                    <w:bottom w:w="0" w:type="dxa"/>
                    <w:right w:w="0" w:type="dxa"/>
                  </w:tcMar>
                  <w:vAlign w:val="center"/>
                </w:tcPr>
                <w:p w14:paraId="6348D981">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7CCD1682">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254" w:type="pct"/>
                  <w:tcMar>
                    <w:top w:w="0" w:type="dxa"/>
                    <w:left w:w="0" w:type="dxa"/>
                    <w:bottom w:w="0" w:type="dxa"/>
                    <w:right w:w="0" w:type="dxa"/>
                  </w:tcMar>
                  <w:vAlign w:val="center"/>
                </w:tcPr>
                <w:p w14:paraId="62E5619A">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1.本项目为输电线路工程，根据《产业结构调整指导目录（2024年本）》，本项目属于允许类。对照《市场准入负面清单（2022年版)》，本项目不属于禁止类。本项目不涉及总量控制指标，电磁、噪声均达标排放。</w:t>
                  </w:r>
                </w:p>
                <w:p w14:paraId="14DE2BD6">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2.报告中对沙化土地提出防沙治沙措施，减少土地沙化。</w:t>
                  </w:r>
                </w:p>
              </w:tc>
              <w:tc>
                <w:tcPr>
                  <w:tcW w:w="155" w:type="pct"/>
                  <w:tcMar>
                    <w:top w:w="0" w:type="dxa"/>
                    <w:left w:w="0" w:type="dxa"/>
                    <w:bottom w:w="0" w:type="dxa"/>
                    <w:right w:w="0" w:type="dxa"/>
                  </w:tcMar>
                  <w:vAlign w:val="center"/>
                </w:tcPr>
                <w:p w14:paraId="2A4470E2">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07F7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DC87C5E">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7F57E2F5">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9AAD5C6">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9D80809">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FB92BD1">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1354" w:type="pct"/>
                  <w:tcMar>
                    <w:top w:w="0" w:type="dxa"/>
                    <w:left w:w="0" w:type="dxa"/>
                    <w:bottom w:w="0" w:type="dxa"/>
                    <w:right w:w="0" w:type="dxa"/>
                  </w:tcMar>
                  <w:vAlign w:val="center"/>
                </w:tcPr>
                <w:p w14:paraId="0DD2D602">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1、水环境一般管控区应注重控制新增产能水环境污染物控制，实施水污染排放项目与污水处理设施同步规划、同步建设，严格控制水环境高风险类项目准入。执行通用型水环境准入管控清单。</w:t>
                  </w:r>
                </w:p>
              </w:tc>
              <w:tc>
                <w:tcPr>
                  <w:tcW w:w="1254" w:type="pct"/>
                  <w:tcMar>
                    <w:top w:w="0" w:type="dxa"/>
                    <w:left w:w="0" w:type="dxa"/>
                    <w:bottom w:w="0" w:type="dxa"/>
                    <w:right w:w="0" w:type="dxa"/>
                  </w:tcMar>
                  <w:vAlign w:val="center"/>
                </w:tcPr>
                <w:p w14:paraId="6C68BF79">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本项目无废水外排。</w:t>
                  </w:r>
                </w:p>
              </w:tc>
              <w:tc>
                <w:tcPr>
                  <w:tcW w:w="155" w:type="pct"/>
                  <w:tcMar>
                    <w:top w:w="0" w:type="dxa"/>
                    <w:left w:w="0" w:type="dxa"/>
                    <w:bottom w:w="0" w:type="dxa"/>
                    <w:right w:w="0" w:type="dxa"/>
                  </w:tcMar>
                  <w:vAlign w:val="center"/>
                </w:tcPr>
                <w:p w14:paraId="0986805E">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1BA5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35C1C5EF">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65D33A50">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7370FCC1">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509D7551">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43AA9258">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环境风险管控</w:t>
                  </w:r>
                </w:p>
              </w:tc>
              <w:tc>
                <w:tcPr>
                  <w:tcW w:w="1354" w:type="pct"/>
                  <w:tcMar>
                    <w:top w:w="0" w:type="dxa"/>
                    <w:left w:w="0" w:type="dxa"/>
                    <w:bottom w:w="0" w:type="dxa"/>
                    <w:right w:w="0" w:type="dxa"/>
                  </w:tcMar>
                  <w:vAlign w:val="center"/>
                </w:tcPr>
                <w:p w14:paraId="01BD25B8">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1、矿山企业应当依据国家有关规定编制矿山生态环境保护与恢复治理等方案，严格履行责任义务，边开采、边治理、边恢复；依法依规有序退出的矿山及时进行生态评估并实施生态恢复。</w:t>
                  </w:r>
                </w:p>
                <w:p w14:paraId="505CBEF6">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2、推进企业建立健全尾矿库全生命周期风险防控和隐患治理机制，落实管控措施，确保尾矿库安全运行、闭库。</w:t>
                  </w:r>
                </w:p>
              </w:tc>
              <w:tc>
                <w:tcPr>
                  <w:tcW w:w="1254" w:type="pct"/>
                  <w:tcMar>
                    <w:top w:w="0" w:type="dxa"/>
                    <w:left w:w="0" w:type="dxa"/>
                    <w:bottom w:w="0" w:type="dxa"/>
                    <w:right w:w="0" w:type="dxa"/>
                  </w:tcMar>
                  <w:vAlign w:val="center"/>
                </w:tcPr>
                <w:p w14:paraId="1116C946">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不涉及</w:t>
                  </w:r>
                </w:p>
              </w:tc>
              <w:tc>
                <w:tcPr>
                  <w:tcW w:w="155" w:type="pct"/>
                  <w:tcMar>
                    <w:top w:w="0" w:type="dxa"/>
                    <w:left w:w="0" w:type="dxa"/>
                    <w:bottom w:w="0" w:type="dxa"/>
                    <w:right w:w="0" w:type="dxa"/>
                  </w:tcMar>
                  <w:vAlign w:val="center"/>
                </w:tcPr>
                <w:p w14:paraId="32344E1C">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r w14:paraId="3CE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5" w:type="pct"/>
                  <w:vMerge w:val="continue"/>
                  <w:tcMar>
                    <w:top w:w="0" w:type="dxa"/>
                    <w:left w:w="0" w:type="dxa"/>
                    <w:bottom w:w="0" w:type="dxa"/>
                    <w:right w:w="0" w:type="dxa"/>
                  </w:tcMar>
                  <w:vAlign w:val="center"/>
                </w:tcPr>
                <w:p w14:paraId="2F8EC2B7">
                  <w:pPr>
                    <w:pStyle w:val="25"/>
                    <w:spacing w:line="320" w:lineRule="exact"/>
                    <w:rPr>
                      <w:rFonts w:hint="default" w:ascii="Times New Roman" w:hAnsi="Times New Roman" w:cs="Times New Roman"/>
                      <w:color w:val="auto"/>
                      <w:highlight w:val="none"/>
                    </w:rPr>
                  </w:pPr>
                </w:p>
              </w:tc>
              <w:tc>
                <w:tcPr>
                  <w:tcW w:w="467" w:type="pct"/>
                  <w:vMerge w:val="continue"/>
                  <w:tcMar>
                    <w:top w:w="0" w:type="dxa"/>
                    <w:left w:w="0" w:type="dxa"/>
                    <w:bottom w:w="0" w:type="dxa"/>
                    <w:right w:w="0" w:type="dxa"/>
                  </w:tcMar>
                  <w:vAlign w:val="center"/>
                </w:tcPr>
                <w:p w14:paraId="12D0BAA1">
                  <w:pPr>
                    <w:pStyle w:val="25"/>
                    <w:spacing w:line="320" w:lineRule="exact"/>
                    <w:rPr>
                      <w:rFonts w:hint="default" w:ascii="Times New Roman" w:hAnsi="Times New Roman" w:cs="Times New Roman"/>
                      <w:color w:val="auto"/>
                      <w:highlight w:val="none"/>
                    </w:rPr>
                  </w:pPr>
                </w:p>
              </w:tc>
              <w:tc>
                <w:tcPr>
                  <w:tcW w:w="360" w:type="pct"/>
                  <w:vMerge w:val="continue"/>
                  <w:tcMar>
                    <w:top w:w="0" w:type="dxa"/>
                    <w:left w:w="0" w:type="dxa"/>
                    <w:bottom w:w="0" w:type="dxa"/>
                    <w:right w:w="0" w:type="dxa"/>
                  </w:tcMar>
                  <w:vAlign w:val="center"/>
                </w:tcPr>
                <w:p w14:paraId="6C94654A">
                  <w:pPr>
                    <w:pStyle w:val="25"/>
                    <w:spacing w:line="320" w:lineRule="exact"/>
                    <w:rPr>
                      <w:rFonts w:hint="default" w:ascii="Times New Roman" w:hAnsi="Times New Roman" w:cs="Times New Roman"/>
                      <w:color w:val="auto"/>
                      <w:highlight w:val="none"/>
                    </w:rPr>
                  </w:pPr>
                </w:p>
              </w:tc>
              <w:tc>
                <w:tcPr>
                  <w:tcW w:w="549" w:type="pct"/>
                  <w:vMerge w:val="continue"/>
                  <w:tcMar>
                    <w:top w:w="0" w:type="dxa"/>
                    <w:left w:w="0" w:type="dxa"/>
                    <w:bottom w:w="0" w:type="dxa"/>
                    <w:right w:w="0" w:type="dxa"/>
                  </w:tcMar>
                  <w:vAlign w:val="center"/>
                </w:tcPr>
                <w:p w14:paraId="13FEA792">
                  <w:pPr>
                    <w:pStyle w:val="25"/>
                    <w:spacing w:line="320" w:lineRule="exact"/>
                    <w:rPr>
                      <w:rFonts w:hint="default" w:ascii="Times New Roman" w:hAnsi="Times New Roman" w:cs="Times New Roman"/>
                      <w:color w:val="auto"/>
                      <w:highlight w:val="none"/>
                    </w:rPr>
                  </w:pPr>
                </w:p>
              </w:tc>
              <w:tc>
                <w:tcPr>
                  <w:tcW w:w="292" w:type="pct"/>
                  <w:tcMar>
                    <w:top w:w="0" w:type="dxa"/>
                    <w:left w:w="0" w:type="dxa"/>
                    <w:bottom w:w="0" w:type="dxa"/>
                    <w:right w:w="0" w:type="dxa"/>
                  </w:tcMar>
                  <w:vAlign w:val="center"/>
                </w:tcPr>
                <w:p w14:paraId="2B6F3DDE">
                  <w:pPr>
                    <w:pStyle w:val="25"/>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资源利用效率</w:t>
                  </w:r>
                </w:p>
              </w:tc>
              <w:tc>
                <w:tcPr>
                  <w:tcW w:w="1354" w:type="pct"/>
                  <w:tcMar>
                    <w:top w:w="0" w:type="dxa"/>
                    <w:left w:w="0" w:type="dxa"/>
                    <w:bottom w:w="0" w:type="dxa"/>
                    <w:right w:w="0" w:type="dxa"/>
                  </w:tcMar>
                  <w:vAlign w:val="center"/>
                </w:tcPr>
                <w:p w14:paraId="65A53F78">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1、完善城镇污水处理基础设施，加强城市节约用水，加快城镇污水处理厂再生水利用系统建设，稳步提升城区污水处理厂再生水利用率。</w:t>
                  </w:r>
                </w:p>
                <w:p w14:paraId="0F80C5EC">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2、按照宜乔则宜草则草，乔乔、宜灌则灌、灌草结合的原则，因地制宜开展沙地治理。</w:t>
                  </w:r>
                </w:p>
              </w:tc>
              <w:tc>
                <w:tcPr>
                  <w:tcW w:w="1254" w:type="pct"/>
                  <w:tcMar>
                    <w:top w:w="0" w:type="dxa"/>
                    <w:left w:w="0" w:type="dxa"/>
                    <w:bottom w:w="0" w:type="dxa"/>
                    <w:right w:w="0" w:type="dxa"/>
                  </w:tcMar>
                  <w:vAlign w:val="center"/>
                </w:tcPr>
                <w:p w14:paraId="5A35B4B7">
                  <w:pPr>
                    <w:pStyle w:val="25"/>
                    <w:spacing w:line="240" w:lineRule="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本项目不涉及废水外排，本项目临时占地恢复</w:t>
                  </w:r>
                  <w:r>
                    <w:rPr>
                      <w:rFonts w:hint="eastAsia" w:cs="Times New Roman"/>
                      <w:bCs/>
                      <w:color w:val="auto"/>
                      <w:highlight w:val="none"/>
                      <w:lang w:eastAsia="zh-CN"/>
                    </w:rPr>
                    <w:t>按照</w:t>
                  </w:r>
                  <w:r>
                    <w:rPr>
                      <w:rFonts w:hint="default" w:ascii="Times New Roman" w:hAnsi="Times New Roman" w:cs="Times New Roman"/>
                      <w:bCs/>
                      <w:color w:val="auto"/>
                      <w:highlight w:val="none"/>
                    </w:rPr>
                    <w:t>乔、灌、草</w:t>
                  </w:r>
                  <w:r>
                    <w:rPr>
                      <w:rFonts w:hint="eastAsia" w:cs="Times New Roman"/>
                      <w:bCs/>
                      <w:color w:val="auto"/>
                      <w:highlight w:val="none"/>
                      <w:lang w:eastAsia="zh-CN"/>
                    </w:rPr>
                    <w:t>相</w:t>
                  </w:r>
                  <w:r>
                    <w:rPr>
                      <w:rFonts w:hint="default" w:ascii="Times New Roman" w:hAnsi="Times New Roman" w:cs="Times New Roman"/>
                      <w:bCs/>
                      <w:color w:val="auto"/>
                      <w:highlight w:val="none"/>
                    </w:rPr>
                    <w:t>结合的措施进行恢复，临时占地全部恢复原有生态功能。</w:t>
                  </w:r>
                </w:p>
              </w:tc>
              <w:tc>
                <w:tcPr>
                  <w:tcW w:w="155" w:type="pct"/>
                  <w:tcMar>
                    <w:top w:w="0" w:type="dxa"/>
                    <w:left w:w="0" w:type="dxa"/>
                    <w:bottom w:w="0" w:type="dxa"/>
                    <w:right w:w="0" w:type="dxa"/>
                  </w:tcMar>
                  <w:vAlign w:val="center"/>
                </w:tcPr>
                <w:p w14:paraId="5962C358">
                  <w:pPr>
                    <w:pStyle w:val="25"/>
                    <w:spacing w:line="320" w:lineRule="exac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符合</w:t>
                  </w:r>
                </w:p>
              </w:tc>
            </w:tr>
          </w:tbl>
          <w:p w14:paraId="6916F8BC">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生态保护红线内、自然保护地核心保护区外准入清单与原则对照检查表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4806"/>
              <w:gridCol w:w="2248"/>
              <w:gridCol w:w="514"/>
            </w:tblGrid>
            <w:tr w14:paraId="5B0B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 w:type="pct"/>
                  <w:tcBorders>
                    <w:tl2br w:val="nil"/>
                    <w:tr2bl w:val="nil"/>
                  </w:tcBorders>
                  <w:vAlign w:val="center"/>
                </w:tcPr>
                <w:p w14:paraId="315142ED">
                  <w:pPr>
                    <w:pStyle w:val="26"/>
                    <w:keepLines/>
                    <w:spacing w:line="360" w:lineRule="exac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Cs w:val="21"/>
                      <w:highlight w:val="none"/>
                    </w:rPr>
                    <w:t>类别</w:t>
                  </w:r>
                </w:p>
              </w:tc>
              <w:tc>
                <w:tcPr>
                  <w:tcW w:w="2996" w:type="pct"/>
                  <w:tcBorders>
                    <w:tl2br w:val="nil"/>
                    <w:tr2bl w:val="nil"/>
                  </w:tcBorders>
                  <w:vAlign w:val="center"/>
                </w:tcPr>
                <w:p w14:paraId="158156E4">
                  <w:pPr>
                    <w:pStyle w:val="26"/>
                    <w:keepLines/>
                    <w:spacing w:line="360" w:lineRule="exac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Cs w:val="21"/>
                      <w:highlight w:val="none"/>
                    </w:rPr>
                    <w:t>生态保护红线内、自然保护地核心保护区外</w:t>
                  </w:r>
                </w:p>
              </w:tc>
              <w:tc>
                <w:tcPr>
                  <w:tcW w:w="1401" w:type="pct"/>
                  <w:tcBorders>
                    <w:tl2br w:val="nil"/>
                    <w:tr2bl w:val="nil"/>
                  </w:tcBorders>
                  <w:vAlign w:val="center"/>
                </w:tcPr>
                <w:p w14:paraId="1DEF25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320" w:type="pct"/>
                  <w:tcBorders>
                    <w:tl2br w:val="nil"/>
                    <w:tr2bl w:val="nil"/>
                  </w:tcBorders>
                  <w:vAlign w:val="center"/>
                </w:tcPr>
                <w:p w14:paraId="7A84FD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7DAF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1" w:type="pct"/>
                  <w:tcBorders>
                    <w:tl2br w:val="nil"/>
                    <w:tr2bl w:val="nil"/>
                  </w:tcBorders>
                  <w:vAlign w:val="center"/>
                </w:tcPr>
                <w:p w14:paraId="5282E29E">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正面清单</w:t>
                  </w:r>
                </w:p>
              </w:tc>
              <w:tc>
                <w:tcPr>
                  <w:tcW w:w="2996" w:type="pct"/>
                  <w:tcBorders>
                    <w:tl2br w:val="nil"/>
                    <w:tr2bl w:val="nil"/>
                  </w:tcBorders>
                  <w:vAlign w:val="center"/>
                </w:tcPr>
                <w:p w14:paraId="023CB53F">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生态保护红线内自然保护区、风景名胜区、饮用水水源保护区等区域，依照法律法规执行。</w:t>
                  </w:r>
                </w:p>
                <w:p w14:paraId="6E01F04D">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规范管控对生态功能不造成破坏的有限人为活动，禁止开发性、生产性建设活动，在符合法律法规的前提下，仅允许以下对生态功能不造成破坏的有限人为活动。</w:t>
                  </w:r>
                </w:p>
                <w:p w14:paraId="5B6C9F94">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（1）管护巡护、保护执法、科学研究、调查监测、测绘导航、防灾减灾救灾、军事国防、疫情防控等活动及相关的必要设施修筑。</w:t>
                  </w:r>
                </w:p>
                <w:p w14:paraId="7132C701">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44097430">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（3）经依法批准的考古调查发掘、古生物化石调查发掘、标本采集和文物保护活动。</w:t>
                  </w:r>
                </w:p>
                <w:p w14:paraId="39BB34F9">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（4）按规定对人工商品林进行抚育采伐，或以提升森林质量、优化栖息地、建设生物防火隔离带等为目的的树种更新，依法开展的竹林采伐经营。</w:t>
                  </w:r>
                </w:p>
                <w:p w14:paraId="5DEBFEA2">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（5）不破坏生态功能的适度参观旅游、科普宣教及符合相关规划的配套性服务设施和相关的必要公共设施建设及维护。</w:t>
                  </w:r>
                </w:p>
                <w:p w14:paraId="41948650">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（6）必须且无法避让、符合县级以上国土空间规划的线性基础设施、通讯和防洪、供水设施建设和船舶航行、航道疏浚清淤等活动；已有的合法水利、交通运输等设施运行维护改造。</w:t>
                  </w:r>
                </w:p>
                <w:p w14:paraId="79F16F65">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 </w:t>
                  </w:r>
                </w:p>
                <w:p w14:paraId="3E4B68B5">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展勘查活动，可办理探矿权登记，因国家战略需要开展开采活动的，可办理采矿权登记。上述勘查开采活动，应落实减缓生态环境影响措施，严格执行绿色勘查、开采及矿山环境生态修复相关要求。 </w:t>
                  </w:r>
                </w:p>
                <w:p w14:paraId="6DFCBAB2">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（8）依据县级以上国土空间规划和生态保护修复专项规划开展的生态修复。</w:t>
                  </w:r>
                </w:p>
                <w:p w14:paraId="139341CB">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（9）根据我国相关法律法规和与邻国签署的国界管理制度协定（条约）开展的边界边境通道清理以及界务工程的修建、维护和拆除工作。</w:t>
                  </w:r>
                </w:p>
                <w:p w14:paraId="134FB76E">
                  <w:pPr>
                    <w:widowControl/>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（10）法律法规规定允许的其他人为活动。</w:t>
                  </w:r>
                </w:p>
              </w:tc>
              <w:tc>
                <w:tcPr>
                  <w:tcW w:w="1401" w:type="pct"/>
                  <w:tcBorders>
                    <w:tl2br w:val="nil"/>
                    <w:tr2bl w:val="nil"/>
                  </w:tcBorders>
                  <w:vAlign w:val="center"/>
                </w:tcPr>
                <w:p w14:paraId="743CB0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必须且无法避让，符合县级以上国土空间规划的线性基础设施建设（输电点状附属设施），</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320" w:type="pct"/>
                  <w:tcBorders>
                    <w:tl2br w:val="nil"/>
                    <w:tr2bl w:val="nil"/>
                  </w:tcBorders>
                  <w:vAlign w:val="center"/>
                </w:tcPr>
                <w:p w14:paraId="5751F1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C94F07D">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自然保护地管控要求对照检查表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51"/>
              <w:gridCol w:w="340"/>
              <w:gridCol w:w="3486"/>
              <w:gridCol w:w="2874"/>
              <w:gridCol w:w="413"/>
            </w:tblGrid>
            <w:tr w14:paraId="2FD0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4" w:type="pct"/>
                  <w:tcBorders>
                    <w:tl2br w:val="nil"/>
                    <w:tr2bl w:val="nil"/>
                  </w:tcBorders>
                  <w:vAlign w:val="center"/>
                </w:tcPr>
                <w:p w14:paraId="08DAC1A8">
                  <w:pPr>
                    <w:pStyle w:val="26"/>
                    <w:keepNext w:val="0"/>
                    <w:keepLines/>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要素属性</w:t>
                  </w:r>
                </w:p>
              </w:tc>
              <w:tc>
                <w:tcPr>
                  <w:tcW w:w="281" w:type="pct"/>
                  <w:tcBorders>
                    <w:tl2br w:val="nil"/>
                    <w:tr2bl w:val="nil"/>
                  </w:tcBorders>
                  <w:vAlign w:val="center"/>
                </w:tcPr>
                <w:p w14:paraId="4B440021">
                  <w:pPr>
                    <w:pStyle w:val="26"/>
                    <w:keepNext w:val="0"/>
                    <w:keepLines/>
                    <w:pageBreakBefore w:val="0"/>
                    <w:widowControl w:val="0"/>
                    <w:kinsoku/>
                    <w:wordWrap/>
                    <w:overflowPunct/>
                    <w:topLinePunct w:val="0"/>
                    <w:autoSpaceDE w:val="0"/>
                    <w:autoSpaceDN w:val="0"/>
                    <w:bidi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管理维度</w:t>
                  </w:r>
                </w:p>
              </w:tc>
              <w:tc>
                <w:tcPr>
                  <w:tcW w:w="212" w:type="pct"/>
                  <w:tcBorders>
                    <w:tl2br w:val="nil"/>
                    <w:tr2bl w:val="nil"/>
                  </w:tcBorders>
                  <w:vAlign w:val="center"/>
                </w:tcPr>
                <w:p w14:paraId="0AC5D160">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172" w:type="pct"/>
                  <w:tcBorders>
                    <w:tl2br w:val="nil"/>
                    <w:tr2bl w:val="nil"/>
                  </w:tcBorders>
                  <w:vAlign w:val="center"/>
                </w:tcPr>
                <w:p w14:paraId="61FE0C1E">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791" w:type="pct"/>
                  <w:tcBorders>
                    <w:tl2br w:val="nil"/>
                    <w:tr2bl w:val="nil"/>
                  </w:tcBorders>
                  <w:vAlign w:val="center"/>
                </w:tcPr>
                <w:p w14:paraId="6A23B63C">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257" w:type="pct"/>
                  <w:tcBorders>
                    <w:tl2br w:val="nil"/>
                    <w:tr2bl w:val="nil"/>
                  </w:tcBorders>
                  <w:vAlign w:val="center"/>
                </w:tcPr>
                <w:p w14:paraId="771305BE">
                  <w:pPr>
                    <w:keepNext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163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84" w:type="pct"/>
                  <w:tcBorders>
                    <w:tl2br w:val="nil"/>
                    <w:tr2bl w:val="nil"/>
                  </w:tcBorders>
                  <w:vAlign w:val="center"/>
                </w:tcPr>
                <w:p w14:paraId="63D0AF6C">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自然保护地</w:t>
                  </w:r>
                </w:p>
              </w:tc>
              <w:tc>
                <w:tcPr>
                  <w:tcW w:w="281" w:type="pct"/>
                  <w:tcBorders>
                    <w:tl2br w:val="nil"/>
                    <w:tr2bl w:val="nil"/>
                  </w:tcBorders>
                  <w:vAlign w:val="center"/>
                </w:tcPr>
                <w:p w14:paraId="57E69B40">
                  <w:pPr>
                    <w:widowControl/>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空间约束布局</w:t>
                  </w:r>
                </w:p>
              </w:tc>
              <w:tc>
                <w:tcPr>
                  <w:tcW w:w="212" w:type="pct"/>
                  <w:tcBorders>
                    <w:tl2br w:val="nil"/>
                    <w:tr2bl w:val="nil"/>
                  </w:tcBorders>
                  <w:vAlign w:val="center"/>
                </w:tcPr>
                <w:p w14:paraId="44DEB7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一般管控区</w:t>
                  </w:r>
                </w:p>
              </w:tc>
              <w:tc>
                <w:tcPr>
                  <w:tcW w:w="2172" w:type="pct"/>
                  <w:tcBorders>
                    <w:tl2br w:val="nil"/>
                    <w:tr2bl w:val="nil"/>
                  </w:tcBorders>
                  <w:vAlign w:val="center"/>
                </w:tcPr>
                <w:p w14:paraId="2F4591F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除满足国家特殊战略需要的有关活动外，原则上禁止开发性、生产性建设活动。仅允许以下对生态功能不造成破坏的有限人为活动：</w:t>
                  </w:r>
                </w:p>
                <w:p w14:paraId="1AFEADBE">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1.核心保护区允许开展的活动。</w:t>
                  </w:r>
                </w:p>
                <w:p w14:paraId="375C1E27">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2.零星的原住居民在不扩大现有建设用地和耕地规模前提下，允许修缮生产生活设施，保留生活必需种植、放牧、捕捞、养殖等活动。</w:t>
                  </w:r>
                </w:p>
                <w:p w14:paraId="63FD869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3.自然资源、生态环境监测和执法，包括水文水资源监测和涉水违法事件的查处等，灾害风险监测、灾害防治活动。</w:t>
                  </w:r>
                </w:p>
                <w:p w14:paraId="1022746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4.经依法批准的非破坏性科学研究观测、标本采集。</w:t>
                  </w:r>
                </w:p>
                <w:p w14:paraId="14D869D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5.经依法批准的考古调查发掘和文物保护活动。</w:t>
                  </w:r>
                </w:p>
                <w:p w14:paraId="4D60149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6.适度的参观旅游及相关的必要公共设施建设。</w:t>
                  </w:r>
                </w:p>
                <w:p w14:paraId="7A0308B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7.必须且无法避让、符合县级以上国土空间规划的线性基础设施建设、防洪和供水设施建设与运行维护；已有的合法水利、交通运输等设施运行和维护。</w:t>
                  </w:r>
                </w:p>
                <w:p w14:paraId="6172848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战略性矿产资源基础地质调查和矿产远景调查等公益性工作；已依法设立的油气采矿权在不扩大生产区域范围，以及矿泉水、地热采矿权在不扩大生产规模、不新增生产设施的条件下，继续开采活动；其他矿业权停止勘查开采活动。</w:t>
                  </w:r>
                </w:p>
                <w:p w14:paraId="01545CC3">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9.确实难以避让的军事设施建设项目及重大军事演训活动。</w:t>
                  </w:r>
                </w:p>
              </w:tc>
              <w:tc>
                <w:tcPr>
                  <w:tcW w:w="1791" w:type="pct"/>
                  <w:tcBorders>
                    <w:tl2br w:val="nil"/>
                    <w:tr2bl w:val="nil"/>
                  </w:tcBorders>
                  <w:vAlign w:val="center"/>
                </w:tcPr>
                <w:p w14:paraId="1C774D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必须且无法避让，符合县级以上国土空间规划的线性基础设施建设（输电点状附属设施），</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257" w:type="pct"/>
                  <w:tcBorders>
                    <w:tl2br w:val="nil"/>
                    <w:tr2bl w:val="nil"/>
                  </w:tcBorders>
                  <w:vAlign w:val="center"/>
                </w:tcPr>
                <w:p w14:paraId="27D7A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81C142A">
            <w:pPr>
              <w:spacing w:before="120" w:beforeLines="50" w:line="360" w:lineRule="auto"/>
              <w:jc w:val="center"/>
              <w:rPr>
                <w:rFonts w:hint="default" w:ascii="Times New Roman" w:hAnsi="Times New Roman" w:eastAsia="宋体" w:cs="Times New Roman"/>
                <w:b/>
                <w:bCs/>
                <w:color w:val="auto"/>
                <w:sz w:val="21"/>
                <w:szCs w:val="21"/>
                <w:highlight w:val="none"/>
              </w:rPr>
            </w:pPr>
          </w:p>
          <w:p w14:paraId="4E92CB1E">
            <w:pPr>
              <w:spacing w:before="120" w:beforeLines="50"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一般生态空间准入要求对照检查表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00"/>
              <w:gridCol w:w="3800"/>
              <w:gridCol w:w="2828"/>
              <w:gridCol w:w="435"/>
            </w:tblGrid>
            <w:tr w14:paraId="61B7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tcBorders>
                    <w:tl2br w:val="nil"/>
                    <w:tr2bl w:val="nil"/>
                  </w:tcBorders>
                  <w:vAlign w:val="center"/>
                </w:tcPr>
                <w:p w14:paraId="7087240F">
                  <w:pPr>
                    <w:pStyle w:val="26"/>
                    <w:keepNext w:val="0"/>
                    <w:keepLines/>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要素属性</w:t>
                  </w:r>
                </w:p>
              </w:tc>
              <w:tc>
                <w:tcPr>
                  <w:tcW w:w="187" w:type="pct"/>
                  <w:tcBorders>
                    <w:tl2br w:val="nil"/>
                    <w:tr2bl w:val="nil"/>
                  </w:tcBorders>
                  <w:vAlign w:val="center"/>
                </w:tcPr>
                <w:p w14:paraId="0B7F5A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368" w:type="pct"/>
                  <w:tcBorders>
                    <w:tl2br w:val="nil"/>
                    <w:tr2bl w:val="nil"/>
                  </w:tcBorders>
                  <w:vAlign w:val="center"/>
                </w:tcPr>
                <w:p w14:paraId="2FAD54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762" w:type="pct"/>
                  <w:tcBorders>
                    <w:tl2br w:val="nil"/>
                    <w:tr2bl w:val="nil"/>
                  </w:tcBorders>
                  <w:vAlign w:val="center"/>
                </w:tcPr>
                <w:p w14:paraId="2789AE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项目情况</w:t>
                  </w:r>
                </w:p>
              </w:tc>
              <w:tc>
                <w:tcPr>
                  <w:tcW w:w="271" w:type="pct"/>
                  <w:tcBorders>
                    <w:tl2br w:val="nil"/>
                    <w:tr2bl w:val="nil"/>
                  </w:tcBorders>
                  <w:vAlign w:val="center"/>
                </w:tcPr>
                <w:p w14:paraId="67FFF7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0078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restart"/>
                  <w:tcBorders>
                    <w:tl2br w:val="nil"/>
                    <w:tr2bl w:val="nil"/>
                  </w:tcBorders>
                  <w:vAlign w:val="center"/>
                </w:tcPr>
                <w:p w14:paraId="502141A8">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rPr>
                    <w:t>一般生态空间</w:t>
                  </w:r>
                </w:p>
              </w:tc>
              <w:tc>
                <w:tcPr>
                  <w:tcW w:w="187" w:type="pct"/>
                  <w:tcBorders>
                    <w:tl2br w:val="nil"/>
                    <w:tr2bl w:val="nil"/>
                  </w:tcBorders>
                  <w:vAlign w:val="center"/>
                </w:tcPr>
                <w:p w14:paraId="26E0B0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总体管控要求</w:t>
                  </w:r>
                </w:p>
              </w:tc>
              <w:tc>
                <w:tcPr>
                  <w:tcW w:w="2368" w:type="pct"/>
                  <w:tcBorders>
                    <w:tl2br w:val="nil"/>
                    <w:tr2bl w:val="nil"/>
                  </w:tcBorders>
                  <w:vAlign w:val="center"/>
                </w:tcPr>
                <w:p w14:paraId="14E6FD9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1.承德市生态功能主要为水源涵养与防风固沙，重点执行河北省一般生态空间总体管控要求中“水源涵养”与“防风固沙”管控要求。</w:t>
                  </w:r>
                </w:p>
              </w:tc>
              <w:tc>
                <w:tcPr>
                  <w:tcW w:w="1762" w:type="pct"/>
                  <w:tcBorders>
                    <w:tl2br w:val="nil"/>
                    <w:tr2bl w:val="nil"/>
                  </w:tcBorders>
                  <w:vAlign w:val="center"/>
                </w:tcPr>
                <w:p w14:paraId="7C9A9544">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本项目临时占地恢复</w:t>
                  </w:r>
                  <w:r>
                    <w:rPr>
                      <w:rFonts w:hint="eastAsia" w:ascii="Times New Roman" w:hAnsi="Times New Roman" w:eastAsia="宋体" w:cs="Times New Roman"/>
                      <w:bCs/>
                      <w:color w:val="auto"/>
                      <w:sz w:val="21"/>
                      <w:szCs w:val="21"/>
                      <w:highlight w:val="none"/>
                      <w:lang w:eastAsia="zh-CN"/>
                    </w:rPr>
                    <w:t>按照</w:t>
                  </w:r>
                  <w:r>
                    <w:rPr>
                      <w:rFonts w:hint="default" w:ascii="Times New Roman" w:hAnsi="Times New Roman" w:cs="Times New Roman"/>
                      <w:bCs/>
                      <w:color w:val="auto"/>
                      <w:sz w:val="21"/>
                      <w:szCs w:val="21"/>
                      <w:highlight w:val="none"/>
                    </w:rPr>
                    <w:t>乔、灌、草</w:t>
                  </w:r>
                  <w:r>
                    <w:rPr>
                      <w:rFonts w:hint="eastAsia" w:ascii="Times New Roman" w:hAnsi="Times New Roman" w:eastAsia="宋体" w:cs="Times New Roman"/>
                      <w:bCs/>
                      <w:color w:val="auto"/>
                      <w:sz w:val="21"/>
                      <w:szCs w:val="21"/>
                      <w:highlight w:val="none"/>
                      <w:lang w:eastAsia="zh-CN"/>
                    </w:rPr>
                    <w:t>相</w:t>
                  </w:r>
                  <w:r>
                    <w:rPr>
                      <w:rFonts w:hint="default" w:ascii="Times New Roman" w:hAnsi="Times New Roman" w:cs="Times New Roman"/>
                      <w:bCs/>
                      <w:color w:val="auto"/>
                      <w:sz w:val="21"/>
                      <w:szCs w:val="21"/>
                      <w:highlight w:val="none"/>
                    </w:rPr>
                    <w:t>结合的措施进行恢复，临时占地全部恢复原有生态功能。</w:t>
                  </w:r>
                </w:p>
              </w:tc>
              <w:tc>
                <w:tcPr>
                  <w:tcW w:w="271" w:type="pct"/>
                  <w:tcBorders>
                    <w:tl2br w:val="nil"/>
                    <w:tr2bl w:val="nil"/>
                  </w:tcBorders>
                  <w:vAlign w:val="center"/>
                </w:tcPr>
                <w:p w14:paraId="515D39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B81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308EFF54">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restart"/>
                  <w:tcBorders>
                    <w:tl2br w:val="nil"/>
                    <w:tr2bl w:val="nil"/>
                  </w:tcBorders>
                  <w:vAlign w:val="center"/>
                </w:tcPr>
                <w:p w14:paraId="78E5FD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水源涵养型</w:t>
                  </w:r>
                </w:p>
              </w:tc>
              <w:tc>
                <w:tcPr>
                  <w:tcW w:w="2368" w:type="pct"/>
                  <w:tcBorders>
                    <w:tl2br w:val="nil"/>
                    <w:tr2bl w:val="nil"/>
                  </w:tcBorders>
                  <w:vAlign w:val="center"/>
                </w:tcPr>
                <w:p w14:paraId="2A344D41">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1.在不影响区域主导生态功能、不降低区域环境质量的基础上，新建与扩建项目在满足国土空间规划及有关专项规划的条件下，可适度进行合理有序的开发建设活动。</w:t>
                  </w:r>
                </w:p>
              </w:tc>
              <w:tc>
                <w:tcPr>
                  <w:tcW w:w="1762" w:type="pct"/>
                  <w:tcBorders>
                    <w:tl2br w:val="nil"/>
                    <w:tr2bl w:val="nil"/>
                  </w:tcBorders>
                  <w:vAlign w:val="center"/>
                </w:tcPr>
                <w:p w14:paraId="33848E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本项目符合产业规划、国土空间规划和功能区划。</w:t>
                  </w:r>
                </w:p>
              </w:tc>
              <w:tc>
                <w:tcPr>
                  <w:tcW w:w="271" w:type="pct"/>
                  <w:tcBorders>
                    <w:tl2br w:val="nil"/>
                    <w:tr2bl w:val="nil"/>
                  </w:tcBorders>
                  <w:vAlign w:val="center"/>
                </w:tcPr>
                <w:p w14:paraId="7F6186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50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19132914">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0F1B986B">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0B3048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2.禁止新建、扩建导致水体污染的产业项目，开展生态清洁小流域的建设；坚持自然恢复为主，人工造林为辅的原则。</w:t>
                  </w:r>
                </w:p>
              </w:tc>
              <w:tc>
                <w:tcPr>
                  <w:tcW w:w="1762" w:type="pct"/>
                  <w:tcBorders>
                    <w:tl2br w:val="nil"/>
                    <w:tr2bl w:val="nil"/>
                  </w:tcBorders>
                  <w:vAlign w:val="center"/>
                </w:tcPr>
                <w:p w14:paraId="5EC1B0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本项目无废水外排</w:t>
                  </w:r>
                </w:p>
              </w:tc>
              <w:tc>
                <w:tcPr>
                  <w:tcW w:w="271" w:type="pct"/>
                  <w:tcBorders>
                    <w:tl2br w:val="nil"/>
                    <w:tr2bl w:val="nil"/>
                  </w:tcBorders>
                  <w:vAlign w:val="center"/>
                </w:tcPr>
                <w:p w14:paraId="478C74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23C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A135211">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223FFB44">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0B97362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3.严格控制载畜量，实行以草定畜，在农牧交错区提倡农牧结合，发展生态产业，培育替代产业，减轻区内畜牧业对水源和生态系统的压力。</w:t>
                  </w:r>
                </w:p>
              </w:tc>
              <w:tc>
                <w:tcPr>
                  <w:tcW w:w="1762" w:type="pct"/>
                  <w:tcBorders>
                    <w:tl2br w:val="nil"/>
                    <w:tr2bl w:val="nil"/>
                  </w:tcBorders>
                  <w:vAlign w:val="center"/>
                </w:tcPr>
                <w:p w14:paraId="430600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5860BC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7B6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438B5A93">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restart"/>
                  <w:tcBorders>
                    <w:tl2br w:val="nil"/>
                    <w:tr2bl w:val="nil"/>
                  </w:tcBorders>
                  <w:vAlign w:val="center"/>
                </w:tcPr>
                <w:p w14:paraId="541E8B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防风固沙型</w:t>
                  </w:r>
                </w:p>
              </w:tc>
              <w:tc>
                <w:tcPr>
                  <w:tcW w:w="2368" w:type="pct"/>
                  <w:tcBorders>
                    <w:tl2br w:val="nil"/>
                    <w:tr2bl w:val="nil"/>
                  </w:tcBorders>
                  <w:vAlign w:val="center"/>
                </w:tcPr>
                <w:p w14:paraId="32E9CFD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1.对主要沙尘源区、沙尘暴频发区实行封禁管理。</w:t>
                  </w:r>
                </w:p>
              </w:tc>
              <w:tc>
                <w:tcPr>
                  <w:tcW w:w="1762" w:type="pct"/>
                  <w:tcBorders>
                    <w:tl2br w:val="nil"/>
                    <w:tr2bl w:val="nil"/>
                  </w:tcBorders>
                  <w:vAlign w:val="center"/>
                </w:tcPr>
                <w:p w14:paraId="4ED86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本项目占地不涉及沙尘源区、沙尘暴频发区。</w:t>
                  </w:r>
                </w:p>
              </w:tc>
              <w:tc>
                <w:tcPr>
                  <w:tcW w:w="271" w:type="pct"/>
                  <w:tcBorders>
                    <w:tl2br w:val="nil"/>
                    <w:tr2bl w:val="nil"/>
                  </w:tcBorders>
                  <w:vAlign w:val="center"/>
                </w:tcPr>
                <w:p w14:paraId="5EB1D7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019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4CCA3092">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03B63A2B">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00E23108">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2.严格控制放牧和草原生物资源的利用，加强植被恢复和保护。</w:t>
                  </w:r>
                </w:p>
              </w:tc>
              <w:tc>
                <w:tcPr>
                  <w:tcW w:w="1762" w:type="pct"/>
                  <w:tcBorders>
                    <w:tl2br w:val="nil"/>
                    <w:tr2bl w:val="nil"/>
                  </w:tcBorders>
                  <w:vAlign w:val="center"/>
                </w:tcPr>
                <w:p w14:paraId="007FB63C">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rPr>
                    <w:t>本项目临时占地恢复</w:t>
                  </w:r>
                  <w:r>
                    <w:rPr>
                      <w:rFonts w:hint="eastAsia" w:ascii="Times New Roman" w:hAnsi="Times New Roman" w:eastAsia="宋体" w:cs="Times New Roman"/>
                      <w:bCs/>
                      <w:color w:val="auto"/>
                      <w:sz w:val="21"/>
                      <w:szCs w:val="21"/>
                      <w:highlight w:val="none"/>
                      <w:lang w:eastAsia="zh-CN"/>
                    </w:rPr>
                    <w:t>按照</w:t>
                  </w:r>
                  <w:r>
                    <w:rPr>
                      <w:rFonts w:hint="default" w:ascii="Times New Roman" w:hAnsi="Times New Roman" w:cs="Times New Roman"/>
                      <w:bCs/>
                      <w:color w:val="auto"/>
                      <w:sz w:val="21"/>
                      <w:szCs w:val="21"/>
                      <w:highlight w:val="none"/>
                    </w:rPr>
                    <w:t>乔、灌、草</w:t>
                  </w:r>
                  <w:r>
                    <w:rPr>
                      <w:rFonts w:hint="eastAsia" w:ascii="Times New Roman" w:hAnsi="Times New Roman" w:eastAsia="宋体" w:cs="Times New Roman"/>
                      <w:bCs/>
                      <w:color w:val="auto"/>
                      <w:sz w:val="21"/>
                      <w:szCs w:val="21"/>
                      <w:highlight w:val="none"/>
                      <w:lang w:eastAsia="zh-CN"/>
                    </w:rPr>
                    <w:t>相</w:t>
                  </w:r>
                  <w:r>
                    <w:rPr>
                      <w:rFonts w:hint="default" w:ascii="Times New Roman" w:hAnsi="Times New Roman" w:cs="Times New Roman"/>
                      <w:bCs/>
                      <w:color w:val="auto"/>
                      <w:sz w:val="21"/>
                      <w:szCs w:val="21"/>
                      <w:highlight w:val="none"/>
                    </w:rPr>
                    <w:t>结合的措施进行恢复，临时占地全部恢复原有生态功能。</w:t>
                  </w:r>
                </w:p>
              </w:tc>
              <w:tc>
                <w:tcPr>
                  <w:tcW w:w="271" w:type="pct"/>
                  <w:tcBorders>
                    <w:tl2br w:val="nil"/>
                    <w:tr2bl w:val="nil"/>
                  </w:tcBorders>
                  <w:vAlign w:val="center"/>
                </w:tcPr>
                <w:p w14:paraId="3E7EC3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13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DA35968">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4EA99D95">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5C0F3CD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3.严格控制过度放牧、樵采、开荒，合理利用水资源，保障生态用水，提高区域生态系统防沙固沙的能力。</w:t>
                  </w:r>
                </w:p>
              </w:tc>
              <w:tc>
                <w:tcPr>
                  <w:tcW w:w="1762" w:type="pct"/>
                  <w:tcBorders>
                    <w:tl2br w:val="nil"/>
                    <w:tr2bl w:val="nil"/>
                  </w:tcBorders>
                  <w:vAlign w:val="center"/>
                </w:tcPr>
                <w:p w14:paraId="4F9CCF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本项目不涉及放牧、樵采、开荒</w:t>
                  </w:r>
                </w:p>
              </w:tc>
              <w:tc>
                <w:tcPr>
                  <w:tcW w:w="271" w:type="pct"/>
                  <w:tcBorders>
                    <w:tl2br w:val="nil"/>
                    <w:tr2bl w:val="nil"/>
                  </w:tcBorders>
                  <w:vAlign w:val="center"/>
                </w:tcPr>
                <w:p w14:paraId="4DD811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C70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07DF95F4">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27885B61">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5265262">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4.开展荒漠植被和沙化土地封禁保护，加强退化林带修复，禁止滥开垦、滥放牧和滥樵采，构建乔灌草相结合的防护林体系，对防风固沙林只能进行抚育和更新性质的采伐。</w:t>
                  </w:r>
                </w:p>
              </w:tc>
              <w:tc>
                <w:tcPr>
                  <w:tcW w:w="1762" w:type="pct"/>
                  <w:tcBorders>
                    <w:tl2br w:val="nil"/>
                    <w:tr2bl w:val="nil"/>
                  </w:tcBorders>
                  <w:vAlign w:val="center"/>
                </w:tcPr>
                <w:p w14:paraId="1A3351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3DCFEA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F4F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35599FF1">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4A59B418">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6E5EEADC">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5.转变畜牧业生产方式，实行禁牧休牧，推行舍饲圈养，以草定畜，严格控制载畜量。</w:t>
                  </w:r>
                </w:p>
              </w:tc>
              <w:tc>
                <w:tcPr>
                  <w:tcW w:w="1762" w:type="pct"/>
                  <w:tcBorders>
                    <w:tl2br w:val="nil"/>
                    <w:tr2bl w:val="nil"/>
                  </w:tcBorders>
                  <w:vAlign w:val="center"/>
                </w:tcPr>
                <w:p w14:paraId="4A64FA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1EEDAE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B3A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57FF6955">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7C78BF3C">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F4D6D70">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6.加大退耕还林力度，恢复草原植被。</w:t>
                  </w:r>
                </w:p>
              </w:tc>
              <w:tc>
                <w:tcPr>
                  <w:tcW w:w="1762" w:type="pct"/>
                  <w:tcBorders>
                    <w:tl2br w:val="nil"/>
                    <w:tr2bl w:val="nil"/>
                  </w:tcBorders>
                  <w:vAlign w:val="center"/>
                </w:tcPr>
                <w:p w14:paraId="186C39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0ADE3F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62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601F7727">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vMerge w:val="continue"/>
                  <w:tcBorders>
                    <w:tl2br w:val="nil"/>
                    <w:tr2bl w:val="nil"/>
                  </w:tcBorders>
                  <w:vAlign w:val="center"/>
                </w:tcPr>
                <w:p w14:paraId="322AFBD8">
                  <w:pPr>
                    <w:jc w:val="center"/>
                    <w:rPr>
                      <w:rFonts w:hint="default" w:ascii="Times New Roman" w:hAnsi="Times New Roman" w:eastAsia="宋体" w:cs="Times New Roman"/>
                      <w:color w:val="auto"/>
                      <w:sz w:val="21"/>
                      <w:szCs w:val="21"/>
                      <w:highlight w:val="none"/>
                    </w:rPr>
                  </w:pPr>
                </w:p>
              </w:tc>
              <w:tc>
                <w:tcPr>
                  <w:tcW w:w="2368" w:type="pct"/>
                  <w:tcBorders>
                    <w:tl2br w:val="nil"/>
                    <w:tr2bl w:val="nil"/>
                  </w:tcBorders>
                  <w:vAlign w:val="center"/>
                </w:tcPr>
                <w:p w14:paraId="360C5DC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7.加强对内陆河流的规划和管理，保护沙区湿地。</w:t>
                  </w:r>
                </w:p>
              </w:tc>
              <w:tc>
                <w:tcPr>
                  <w:tcW w:w="1762" w:type="pct"/>
                  <w:tcBorders>
                    <w:tl2br w:val="nil"/>
                    <w:tr2bl w:val="nil"/>
                  </w:tcBorders>
                  <w:vAlign w:val="center"/>
                </w:tcPr>
                <w:p w14:paraId="137703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w:t>
                  </w:r>
                </w:p>
              </w:tc>
              <w:tc>
                <w:tcPr>
                  <w:tcW w:w="271" w:type="pct"/>
                  <w:tcBorders>
                    <w:tl2br w:val="nil"/>
                    <w:tr2bl w:val="nil"/>
                  </w:tcBorders>
                  <w:vAlign w:val="center"/>
                </w:tcPr>
                <w:p w14:paraId="57D974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9E4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6D9A9754">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tcBorders>
                    <w:tl2br w:val="nil"/>
                    <w:tr2bl w:val="nil"/>
                  </w:tcBorders>
                  <w:vAlign w:val="center"/>
                </w:tcPr>
                <w:p w14:paraId="5EAC6C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禁止开发建设活动的</w:t>
                  </w:r>
                </w:p>
                <w:p w14:paraId="17B8FB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368" w:type="pct"/>
                  <w:tcBorders>
                    <w:tl2br w:val="nil"/>
                    <w:tr2bl w:val="nil"/>
                  </w:tcBorders>
                  <w:vAlign w:val="center"/>
                </w:tcPr>
                <w:p w14:paraId="2E921E86">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p w14:paraId="36A9CEAD">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762" w:type="pct"/>
                  <w:tcBorders>
                    <w:tl2br w:val="nil"/>
                    <w:tr2bl w:val="nil"/>
                  </w:tcBorders>
                  <w:vAlign w:val="center"/>
                </w:tcPr>
                <w:p w14:paraId="2B6A8E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输电线路，部分线路</w:t>
                  </w:r>
                  <w:r>
                    <w:rPr>
                      <w:rFonts w:hint="eastAsia"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占用河北滦河上游国家级自然保护区实验区和生态保护红线，属于</w:t>
                  </w:r>
                  <w:r>
                    <w:rPr>
                      <w:rFonts w:hint="default" w:ascii="Times New Roman" w:hAnsi="Times New Roman" w:eastAsia="宋体" w:cs="Times New Roman"/>
                      <w:color w:val="auto"/>
                      <w:kern w:val="2"/>
                      <w:sz w:val="21"/>
                      <w:szCs w:val="21"/>
                      <w:highlight w:val="none"/>
                    </w:rPr>
                    <w:t>必须且无法避让，符合县级以上国土空间规划的线性基础设施建设，</w:t>
                  </w:r>
                  <w:r>
                    <w:rPr>
                      <w:rFonts w:hint="default" w:ascii="Times New Roman" w:hAnsi="Times New Roman" w:eastAsia="宋体" w:cs="Times New Roman"/>
                      <w:color w:val="auto"/>
                      <w:sz w:val="21"/>
                      <w:szCs w:val="21"/>
                      <w:highlight w:val="none"/>
                    </w:rPr>
                    <w:t>国家林业和草原局出具了《关于同意华能围场“风光储氢热一体化”项目（光伏200MW）项目220kV送出线路工程穿越河北滦河上游国家级自然保护区实验区的行政许可决定》（林保许准（冀）[2024]10号），围场满族蒙古族自治县自然资源和规划局出具《华能围场“风光储氢热一体化”项目（光伏200MW）项目220kV送出线路工程不可避让生态保护红线报告》的审查意见和关于华能围场“风光储氢热一体化”项目（光伏200MW）项目220kV送出线路工程路径的说明：该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p>
              </w:tc>
              <w:tc>
                <w:tcPr>
                  <w:tcW w:w="271" w:type="pct"/>
                  <w:tcBorders>
                    <w:tl2br w:val="nil"/>
                    <w:tr2bl w:val="nil"/>
                  </w:tcBorders>
                  <w:vAlign w:val="center"/>
                </w:tcPr>
                <w:p w14:paraId="31D956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5BE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0" w:type="pct"/>
                  <w:vMerge w:val="continue"/>
                  <w:tcBorders>
                    <w:tl2br w:val="nil"/>
                    <w:tr2bl w:val="nil"/>
                  </w:tcBorders>
                  <w:vAlign w:val="center"/>
                </w:tcPr>
                <w:p w14:paraId="5B9AB37F">
                  <w:pPr>
                    <w:pStyle w:val="26"/>
                    <w:keepLines/>
                    <w:autoSpaceDE/>
                    <w:autoSpaceDN/>
                    <w:spacing w:line="240" w:lineRule="auto"/>
                    <w:rPr>
                      <w:rFonts w:hint="default" w:ascii="Times New Roman" w:hAnsi="Times New Roman" w:eastAsia="宋体" w:cs="Times New Roman"/>
                      <w:color w:val="auto"/>
                      <w:kern w:val="2"/>
                      <w:sz w:val="21"/>
                      <w:szCs w:val="21"/>
                      <w:highlight w:val="none"/>
                      <w:lang w:val="en-US"/>
                    </w:rPr>
                  </w:pPr>
                </w:p>
              </w:tc>
              <w:tc>
                <w:tcPr>
                  <w:tcW w:w="187" w:type="pct"/>
                  <w:tcBorders>
                    <w:tl2br w:val="nil"/>
                    <w:tr2bl w:val="nil"/>
                  </w:tcBorders>
                  <w:vAlign w:val="center"/>
                </w:tcPr>
                <w:p w14:paraId="58E4FD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限制开发建设活动的</w:t>
                  </w:r>
                </w:p>
                <w:p w14:paraId="63DE2D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要求</w:t>
                  </w:r>
                </w:p>
              </w:tc>
              <w:tc>
                <w:tcPr>
                  <w:tcW w:w="2368" w:type="pct"/>
                  <w:tcBorders>
                    <w:tl2br w:val="nil"/>
                    <w:tr2bl w:val="nil"/>
                  </w:tcBorders>
                  <w:vAlign w:val="center"/>
                </w:tcPr>
                <w:p w14:paraId="5D73613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1.严格控制矿产资源开发范围。非经国务院授权的有关主管部门同意，不得在下列地区新批固体矿产资源开发项目，严格控制新批液体、气体矿产资源开发项目：在机场、国防工程设施圈定地区以内</w:t>
                  </w:r>
                  <w:r>
                    <w:rPr>
                      <w:rFonts w:hint="eastAsia"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rPr>
                    <w:t>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762" w:type="pct"/>
                  <w:tcBorders>
                    <w:tl2br w:val="nil"/>
                    <w:tr2bl w:val="nil"/>
                  </w:tcBorders>
                  <w:vAlign w:val="center"/>
                </w:tcPr>
                <w:p w14:paraId="2E64F0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本项目输电线路，</w:t>
                  </w:r>
                  <w:r>
                    <w:rPr>
                      <w:rFonts w:hint="eastAsia" w:ascii="Times New Roman" w:hAnsi="Times New Roman" w:eastAsia="宋体" w:cs="Times New Roman"/>
                      <w:color w:val="auto"/>
                      <w:sz w:val="21"/>
                      <w:szCs w:val="21"/>
                      <w:highlight w:val="none"/>
                      <w:lang w:eastAsia="zh-CN"/>
                    </w:rPr>
                    <w:t>不涉及矿产开发和矿产勘查</w:t>
                  </w:r>
                  <w:r>
                    <w:rPr>
                      <w:rFonts w:hint="default" w:ascii="Times New Roman" w:hAnsi="Times New Roman" w:eastAsia="宋体" w:cs="Times New Roman"/>
                      <w:color w:val="auto"/>
                      <w:sz w:val="21"/>
                      <w:szCs w:val="21"/>
                      <w:highlight w:val="none"/>
                    </w:rPr>
                    <w:t>。</w:t>
                  </w:r>
                </w:p>
              </w:tc>
              <w:tc>
                <w:tcPr>
                  <w:tcW w:w="271" w:type="pct"/>
                  <w:tcBorders>
                    <w:tl2br w:val="nil"/>
                    <w:tr2bl w:val="nil"/>
                  </w:tcBorders>
                  <w:vAlign w:val="center"/>
                </w:tcPr>
                <w:p w14:paraId="71599BE7">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符合</w:t>
                  </w:r>
                </w:p>
              </w:tc>
            </w:tr>
          </w:tbl>
          <w:p w14:paraId="559092FB">
            <w:pPr>
              <w:autoSpaceDE/>
              <w:autoSpaceDN/>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综上所述，本项目建设符合《关于以改善环境质量为核心加强环境影响评价管理的通知》（环环评[2016]150号）、《承德市生态环境准入清单（2023年版）》的要求，项目建设可行。</w:t>
            </w:r>
          </w:p>
          <w:p w14:paraId="266384D9">
            <w:pPr>
              <w:pStyle w:val="23"/>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3、空间规划符合性分析</w:t>
            </w:r>
          </w:p>
          <w:p w14:paraId="52EC2E41">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（1）河北省主体功能区划符合性</w:t>
            </w:r>
          </w:p>
          <w:p w14:paraId="49B76102">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本项目位于河北省承德市围场满族蒙古族自治县老窝铺乡、城子镇</w:t>
            </w:r>
            <w:r>
              <w:rPr>
                <w:rFonts w:hint="eastAsia" w:eastAsia="宋体"/>
                <w:color w:val="auto"/>
                <w:lang w:eastAsia="zh-CN"/>
              </w:rPr>
              <w:t>、</w:t>
            </w:r>
            <w:r>
              <w:rPr>
                <w:rFonts w:hint="eastAsia" w:eastAsia="宋体"/>
                <w:color w:val="auto"/>
                <w:sz w:val="24"/>
                <w:szCs w:val="24"/>
                <w:lang w:eastAsia="zh-CN"/>
              </w:rPr>
              <w:t>御道口镇</w:t>
            </w:r>
            <w:r>
              <w:rPr>
                <w:rFonts w:hint="default" w:ascii="Times New Roman" w:hAnsi="Times New Roman" w:eastAsia="宋体" w:cs="Times New Roman"/>
                <w:bCs/>
                <w:color w:val="auto"/>
                <w:sz w:val="24"/>
                <w:highlight w:val="none"/>
              </w:rPr>
              <w:t>，对照《河北省主体功能区规划》，项目所在区域属于“限制开发区域—国家重点生态功能区—坝上高原山地区”。</w:t>
            </w:r>
          </w:p>
          <w:p w14:paraId="1B116B10">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区域现状：本区自然条件差异较大，西部和北部的坝上高原地区为内流区，东部和南部的燕山山区为外流区，是滦河、潮河和白河的发源地。区域面积31591平方公里，2011年人口163.71万人，地区生产总值274.23亿元，分别占全省的16.83%、2.26%和1.12%。人均地区生产总值16751元，公路网密度0.39公里/平方公里。</w:t>
            </w:r>
          </w:p>
          <w:p w14:paraId="0644F66B">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发展方向：公共基础设施。继续实施倾斜政策，大力支持坝上地区教育、医疗、文化、旅游等公共服务设施和农村交通、水利、电力、通讯等基础设施建设，重点推广风能、太阳能、沼气等清洁能源利用。</w:t>
            </w:r>
          </w:p>
          <w:p w14:paraId="1EAE23CA">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rPr>
              <w:t>项目的建设有利于改善地区电源结构，充分利用承德市太阳能资源，可较大幅度提高承德电网中的可再生能源比重，调整能源结构，有利于区域环境保护，符合河北省主体功能区划要求。</w:t>
            </w:r>
          </w:p>
          <w:p w14:paraId="199FC9B6">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（2）与《河北省生态功能区划》符合性分析</w:t>
            </w:r>
          </w:p>
          <w:p w14:paraId="220A0FFA">
            <w:pPr>
              <w:pStyle w:val="23"/>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根据《河北省生态功能区划》，本项目属于Ⅰ2-3御道口农牧与水土保持功能区、</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ROMAN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II</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1-2燕山山地北部水源涵养与水土保持生态功能区</w:t>
            </w:r>
            <w:r>
              <w:rPr>
                <w:rFonts w:hint="default" w:ascii="Times New Roman" w:hAnsi="Times New Roman" w:eastAsia="宋体" w:cs="Times New Roman"/>
                <w:bCs/>
                <w:color w:val="auto"/>
                <w:sz w:val="24"/>
                <w:highlight w:val="none"/>
              </w:rPr>
              <w:t>。根据本项目生态专项影响分析，本项目施工期对水土流失、水源涵养产生轻微影响，影响时段较短，项目施工期在采取生态保护及水土保持措施后，能够满足其所在功能区的环境保护要求。对区域生物多样性产生影响较小。</w:t>
            </w:r>
          </w:p>
          <w:p w14:paraId="6067B953">
            <w:pPr>
              <w:pStyle w:val="23"/>
              <w:numPr>
                <w:ilvl w:val="0"/>
                <w:numId w:val="1"/>
              </w:numPr>
              <w:spacing w:line="360" w:lineRule="auto"/>
              <w:ind w:firstLine="480" w:firstLineChars="200"/>
              <w:rPr>
                <w:rFonts w:hint="eastAsia" w:ascii="Times New Roman" w:hAnsi="Times New Roman" w:eastAsia="宋体" w:cs="Times New Roman"/>
                <w:bCs/>
                <w:color w:val="auto"/>
                <w:sz w:val="24"/>
                <w:highlight w:val="none"/>
                <w:lang w:eastAsia="zh-CN"/>
              </w:rPr>
            </w:pPr>
            <w:r>
              <w:rPr>
                <w:rFonts w:hint="eastAsia" w:ascii="Times New Roman" w:hAnsi="Times New Roman" w:eastAsia="宋体" w:cs="Times New Roman"/>
                <w:bCs/>
                <w:color w:val="auto"/>
                <w:sz w:val="24"/>
                <w:highlight w:val="none"/>
                <w:lang w:eastAsia="zh-CN"/>
              </w:rPr>
              <w:t>与国土空间规划的符合性分析</w:t>
            </w:r>
          </w:p>
          <w:p w14:paraId="180C4226">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①《承德市国土空间总体规划（2021-2035年）》</w:t>
            </w:r>
          </w:p>
          <w:p w14:paraId="08E4120B">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根据《承德市国土空间总体规划（2021-2035 年）》，其中围场县产业发展空间包含了建设清洁能源发电基地，根据《围场满族蒙古族自治县国土空间总体规划（2021-2035年）》，围场县发展定位包含了建设国家级清洁能源综合生产应用示范县，2025年初步实现产业转型升级，清洁能源产业体系初步形成，产城融合全面推进。</w:t>
            </w:r>
          </w:p>
          <w:p w14:paraId="159EDD4A">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本项目为绿色发电企业上网的输变电工程项目，本项目建设有利于清洁能源产业体系的形成，符合国土空间规划相关要求。</w:t>
            </w:r>
          </w:p>
          <w:p w14:paraId="5B3DC0AD">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②《围场满族蒙古族自治县国土空间总体规划（2021-2035年）》</w:t>
            </w:r>
          </w:p>
          <w:p w14:paraId="1CE7605D">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围场满族蒙古族自治县国土空间总体规划（2021-2035年）》，落实主体功能定位，统筹农业、生态、城镇空间。统筹御道口牧场管理区、塞罕坝机械林场国土空间开发保护格局。完善农业空间布局，严守耕地保护红线，确保粮食安全。提升燕山生态安全屏障和坝上高原生态防护区等重要地区生态功能，加强伊逊河、小滦河、阴河等重点流域生态保护修复，严格河湖水域空间管控，推进矿山综合治理，严格保护自然保护区、自然公园等自然保护地，筑牢首都北部生态安全屏障。强化中心城区辐射带动作用，构建分工合理、等级有序的镇村体系，因地制宜分片区分类型统筹村庄布局，推动城乡融合发展。严格管控城镇开发边界，合理安排新增城镇建设用地，加大存量用地挖潜力度，提高土地节约集约利用水平。</w:t>
            </w:r>
          </w:p>
          <w:p w14:paraId="5A34E271">
            <w:pPr>
              <w:pStyle w:val="2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本项目主要为</w:t>
            </w:r>
            <w:r>
              <w:rPr>
                <w:rFonts w:hint="eastAsia" w:ascii="Times New Roman" w:hAnsi="Times New Roman" w:eastAsia="宋体" w:cs="Times New Roman"/>
                <w:bCs/>
                <w:color w:val="auto"/>
                <w:sz w:val="24"/>
                <w:highlight w:val="none"/>
                <w:lang w:eastAsia="zh-CN"/>
              </w:rPr>
              <w:t>光伏发</w:t>
            </w:r>
            <w:r>
              <w:rPr>
                <w:rFonts w:hint="default" w:ascii="Times New Roman" w:hAnsi="Times New Roman" w:eastAsia="宋体" w:cs="Times New Roman"/>
                <w:bCs/>
                <w:color w:val="auto"/>
                <w:sz w:val="24"/>
                <w:highlight w:val="none"/>
              </w:rPr>
              <w:t>电项目配套输电项目，位于围场满族蒙古族自治县，项目目前已取得围场满族蒙古族自治县</w:t>
            </w:r>
            <w:r>
              <w:rPr>
                <w:rFonts w:hint="eastAsia" w:ascii="Times New Roman" w:hAnsi="Times New Roman" w:eastAsia="宋体" w:cs="Times New Roman"/>
                <w:bCs/>
                <w:color w:val="auto"/>
                <w:sz w:val="24"/>
                <w:highlight w:val="none"/>
                <w:lang w:eastAsia="zh-CN"/>
              </w:rPr>
              <w:t>自然资源和规划局出具的</w:t>
            </w:r>
            <w:r>
              <w:rPr>
                <w:rFonts w:hint="default" w:ascii="Times New Roman" w:hAnsi="Times New Roman" w:eastAsia="宋体" w:cs="Times New Roman"/>
                <w:bCs/>
                <w:color w:val="auto"/>
                <w:sz w:val="24"/>
                <w:highlight w:val="none"/>
              </w:rPr>
              <w:t>认定本项目符合国土空间规划说明（详见附件5），因此符合《围场满族蒙古族自治县国土空间总体规划（2021-2035 年）》相关要求。</w:t>
            </w:r>
          </w:p>
          <w:p w14:paraId="6B288567">
            <w:pPr>
              <w:adjustRightInd w:val="0"/>
              <w:snapToGrid w:val="0"/>
              <w:spacing w:line="44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4、环境保护规划符合性分析</w:t>
            </w:r>
          </w:p>
          <w:p w14:paraId="0C92A606">
            <w:pPr>
              <w:adjustRightInd w:val="0"/>
              <w:snapToGrid w:val="0"/>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（1）《河北省生态环境保护“十四五”规划》符合性分析</w:t>
            </w:r>
          </w:p>
          <w:p w14:paraId="70F7F357">
            <w:pPr>
              <w:adjustRightInd w:val="0"/>
              <w:snapToGrid w:val="0"/>
              <w:spacing w:line="44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河北省生态环境保护“十四五”规划》：河北省在“十四五”期间要调整优化能源供给结构；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到2025年，非化石能源消费占能源消费比重提高到13%以上，可再生能源装机占全部电力装机比重达到60%左右。</w:t>
            </w:r>
          </w:p>
          <w:p w14:paraId="733F5587">
            <w:pPr>
              <w:pStyle w:val="23"/>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符合《河北省生态环境保护“十四五”规划》中的相关要求。</w:t>
            </w:r>
          </w:p>
          <w:p w14:paraId="5FC0FEDF">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（2）承德市生态环境保护“十四五”规划</w:t>
            </w:r>
          </w:p>
          <w:p w14:paraId="09FEA155">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对照《承德市生态环境保护“十四五”规划》（承德市人民政府 2022年5月27日发布），在规划重点任务中提出了“推动能源清洁高效利用”，具体包括：调整优化能源供给结构。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坚持“增气减煤”同步，加强天然气基础设施建设，扩大管道气覆盖范围。因地制宜推进生物质热电联产，加快建设垃圾焚烧发电项目。到2025年，非化石能源消费占能源消费比重和可再生能源装机占全部电力装机比重明显提升。</w:t>
            </w:r>
          </w:p>
          <w:p w14:paraId="087FF813">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新能源光伏发电配套电力送出工程，本次环评是在原有“围环评﹝2022﹞20号”基础上输电辐射环评内容，属于承德市大力推进太阳能光伏发电的组成部分，工程实施有利于降低化石能源消费总量，提高可再生能源装机比重。因此，本项目符合承德市生态环境保护“十四五”规划相关要求。</w:t>
            </w:r>
          </w:p>
          <w:p w14:paraId="305C9B3D">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（3）《承德市重点水源涵养生态功能保护区规划》符合性</w:t>
            </w:r>
          </w:p>
          <w:p w14:paraId="6BBC3EAF">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w:t>
            </w:r>
            <w:r>
              <w:rPr>
                <w:rFonts w:hint="default" w:ascii="Times New Roman" w:hAnsi="Times New Roman" w:cs="Times New Roman"/>
                <w:bCs/>
                <w:color w:val="auto"/>
                <w:sz w:val="24"/>
                <w:highlight w:val="none"/>
              </w:rPr>
              <w:t>8015.92km</w:t>
            </w:r>
            <w:r>
              <w:rPr>
                <w:rFonts w:hint="default" w:ascii="Times New Roman" w:hAnsi="Times New Roman" w:cs="Times New Roman"/>
                <w:bCs/>
                <w:color w:val="auto"/>
                <w:sz w:val="24"/>
                <w:highlight w:val="none"/>
                <w:vertAlign w:val="superscript"/>
              </w:rPr>
              <w:t>2</w:t>
            </w:r>
            <w:r>
              <w:rPr>
                <w:rFonts w:hint="default" w:ascii="Times New Roman" w:hAnsi="Times New Roman" w:eastAsia="宋体" w:cs="Times New Roman"/>
                <w:bCs/>
                <w:color w:val="auto"/>
                <w:sz w:val="24"/>
                <w:highlight w:val="none"/>
              </w:rPr>
              <w:t>，占全市土地面积的</w:t>
            </w:r>
            <w:r>
              <w:rPr>
                <w:rFonts w:hint="default" w:ascii="Times New Roman" w:hAnsi="Times New Roman" w:cs="Times New Roman"/>
                <w:bCs/>
                <w:color w:val="auto"/>
                <w:sz w:val="24"/>
                <w:highlight w:val="none"/>
              </w:rPr>
              <w:t>20.29%</w:t>
            </w:r>
            <w:r>
              <w:rPr>
                <w:rFonts w:hint="default" w:ascii="Times New Roman" w:hAnsi="Times New Roman" w:eastAsia="宋体" w:cs="Times New Roman"/>
                <w:bCs/>
                <w:color w:val="auto"/>
                <w:sz w:val="24"/>
                <w:highlight w:val="none"/>
              </w:rPr>
              <w:t>。</w:t>
            </w:r>
          </w:p>
          <w:p w14:paraId="2FBDC360">
            <w:pPr>
              <w:pStyle w:val="23"/>
              <w:spacing w:line="48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本项目为</w:t>
            </w:r>
            <w:r>
              <w:rPr>
                <w:rFonts w:hint="eastAsia" w:ascii="Times New Roman" w:hAnsi="Times New Roman" w:eastAsia="宋体" w:cs="Times New Roman"/>
                <w:bCs/>
                <w:color w:val="auto"/>
                <w:sz w:val="24"/>
                <w:highlight w:val="none"/>
                <w:lang w:eastAsia="zh-CN"/>
              </w:rPr>
              <w:t>新能源光伏发电配套电力送出工程</w:t>
            </w:r>
            <w:r>
              <w:rPr>
                <w:rFonts w:hint="default" w:ascii="Times New Roman" w:hAnsi="Times New Roman" w:eastAsia="宋体" w:cs="Times New Roman"/>
                <w:bCs/>
                <w:color w:val="auto"/>
                <w:sz w:val="24"/>
                <w:highlight w:val="none"/>
              </w:rPr>
              <w:t>，本次环评是在原有“围环评﹝2022﹞20号”基础上输变电辐射环评内容，对照《承德市重点水源涵养生态功能保护区规划》，本项目线路</w:t>
            </w:r>
            <w:r>
              <w:rPr>
                <w:rFonts w:hint="eastAsia" w:ascii="Times New Roman" w:hAnsi="Times New Roman" w:eastAsia="宋体" w:cs="Times New Roman"/>
                <w:bCs/>
                <w:color w:val="auto"/>
                <w:sz w:val="24"/>
                <w:highlight w:val="none"/>
                <w:lang w:val="en-US" w:eastAsia="zh-CN"/>
              </w:rPr>
              <w:t>不涉及承德市重点水源涵养生态功能保护区</w:t>
            </w:r>
            <w:r>
              <w:rPr>
                <w:rFonts w:hint="default" w:ascii="Times New Roman" w:hAnsi="Times New Roman" w:eastAsia="宋体" w:cs="Times New Roman"/>
                <w:bCs/>
                <w:color w:val="auto"/>
                <w:sz w:val="24"/>
                <w:highlight w:val="none"/>
              </w:rPr>
              <w:t>，项目与承德市重点水源涵养生态功能保护区规划不冲突。本项目与承德市重点水源涵养生态功能保护</w:t>
            </w:r>
            <w:r>
              <w:rPr>
                <w:rFonts w:hint="eastAsia" w:ascii="Times New Roman" w:hAnsi="Times New Roman" w:eastAsia="宋体" w:cs="Times New Roman"/>
                <w:bCs/>
                <w:color w:val="auto"/>
                <w:sz w:val="24"/>
                <w:highlight w:val="none"/>
                <w:lang w:eastAsia="zh-CN"/>
              </w:rPr>
              <w:t>区规</w:t>
            </w:r>
            <w:r>
              <w:rPr>
                <w:rFonts w:hint="default" w:ascii="Times New Roman" w:hAnsi="Times New Roman" w:eastAsia="宋体" w:cs="Times New Roman"/>
                <w:bCs/>
                <w:color w:val="auto"/>
                <w:sz w:val="24"/>
                <w:highlight w:val="none"/>
              </w:rPr>
              <w:t>划位置关系见附图。</w:t>
            </w:r>
          </w:p>
          <w:p w14:paraId="1DFD00D6">
            <w:pPr>
              <w:pStyle w:val="23"/>
              <w:spacing w:line="480" w:lineRule="exact"/>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5、与冀环环评函﹝2019﹞308号符合性分析</w:t>
            </w:r>
          </w:p>
          <w:p w14:paraId="0E15C5BF">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产业政策符合性判定，本项目的建设符合国家、省管理要求，不在环境准入负面清单之列。对照《关于印发改善大气环境质量实施区域差别化环境准入的指导意见的通知》（冀环环评函﹝2019﹞308号），张家口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石制造、平板玻璃制造、氮肥制造等。</w:t>
            </w:r>
          </w:p>
          <w:p w14:paraId="744FE61C">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rPr>
              <w:t>不属于“改善大气环境质量实施差别化环境准入管理名录”中限制、禁止行业，符合关于印发改善大气环境质量实施区域差别化环境准入的指导意见的通知》（冀环环评函﹝2019﹞308号）要求。</w:t>
            </w:r>
          </w:p>
          <w:p w14:paraId="23347E32">
            <w:pPr>
              <w:pStyle w:val="23"/>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6</w:t>
            </w:r>
            <w:r>
              <w:rPr>
                <w:rFonts w:hint="default" w:ascii="Times New Roman" w:hAnsi="Times New Roman" w:eastAsia="宋体" w:cs="Times New Roman"/>
                <w:b/>
                <w:bCs/>
                <w:color w:val="auto"/>
                <w:sz w:val="24"/>
                <w:highlight w:val="none"/>
              </w:rPr>
              <w:t>、行业规划符合性</w:t>
            </w:r>
          </w:p>
          <w:p w14:paraId="2FDA0BCC">
            <w:pPr>
              <w:pStyle w:val="23"/>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（1）承德市电网布局相关规划符合性</w:t>
            </w:r>
          </w:p>
          <w:p w14:paraId="5B035D76">
            <w:pPr>
              <w:pStyle w:val="23"/>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承德市能源“十四五”规划和2035年远景目标纲要》提出，“构建综合能源体系，提升电力设施保障能力和智慧化水平，完善油气管网和新能源配套基础设施，强化能源安全保障能力。提升电力设施保障能力和智慧化水平。全力实施清洁能源送出工程，加快建设承德首座1000千伏特高压升压站，同步配套建设500千伏升压站项目，形成“三站一送大基地”清洁能源送出网架，着力提升清洁能源消纳送出能力。 ……加快推进智能电网和微电网示范项目建设。”</w:t>
            </w:r>
          </w:p>
          <w:p w14:paraId="2B25553B">
            <w:pPr>
              <w:pStyle w:val="23"/>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highlight w:val="none"/>
              </w:rPr>
              <w:t>，本次环评是在原有“</w:t>
            </w:r>
            <w:r>
              <w:rPr>
                <w:rFonts w:hint="default" w:ascii="Times New Roman" w:hAnsi="Times New Roman" w:eastAsia="宋体" w:cs="Times New Roman"/>
                <w:bCs/>
                <w:color w:val="auto"/>
                <w:sz w:val="24"/>
                <w:highlight w:val="none"/>
              </w:rPr>
              <w:t>围环评﹝2022﹞20号</w:t>
            </w:r>
            <w:r>
              <w:rPr>
                <w:rFonts w:hint="default" w:ascii="Times New Roman" w:hAnsi="Times New Roman" w:eastAsia="宋体" w:cs="Times New Roman"/>
                <w:color w:val="auto"/>
                <w:sz w:val="24"/>
                <w:highlight w:val="none"/>
              </w:rPr>
              <w:t>”基础上输变电辐射环评内容，有利于促进综合能源体系的构建，可保证清洁能源的顺利并网。</w:t>
            </w:r>
          </w:p>
          <w:p w14:paraId="52437859">
            <w:pPr>
              <w:pStyle w:val="23"/>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照电网发展规划，“至2025年，承德电网主体结构与2022年保持基本不变，依托承德、金山岭、御道口、宽城4座500kV升压站，在220kV层面建成承德~高寺台~隆城~周营子~金山岭~屯南~营子~柴河~热河~袁庄~西营子~袁庄~承德升压站的双环网结构，以及承德~榆树沟~瀑河~都山~承德东~森园~建平~承德不完全双环结构。”</w:t>
            </w:r>
          </w:p>
          <w:p w14:paraId="016CC5DA">
            <w:pPr>
              <w:spacing w:before="10" w:after="120" w:afterLines="50" w:line="360" w:lineRule="auto"/>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4862195" cy="2802890"/>
                  <wp:effectExtent l="0" t="0" r="1460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4862195" cy="2802890"/>
                          </a:xfrm>
                          <a:prstGeom prst="rect">
                            <a:avLst/>
                          </a:prstGeom>
                          <a:noFill/>
                          <a:ln>
                            <a:noFill/>
                          </a:ln>
                        </pic:spPr>
                      </pic:pic>
                    </a:graphicData>
                  </a:graphic>
                </wp:inline>
              </w:drawing>
            </w:r>
          </w:p>
          <w:p w14:paraId="44EEF5AA">
            <w:pPr>
              <w:pStyle w:val="24"/>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图1-1  本项目接入系统方案图</w:t>
            </w:r>
          </w:p>
          <w:p w14:paraId="1E5360D0">
            <w:pPr>
              <w:pStyle w:val="23"/>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2、与《输变电建设项目环境保护技术要求》相符性分析</w:t>
            </w:r>
          </w:p>
          <w:p w14:paraId="7FB5D9A2">
            <w:pPr>
              <w:pStyle w:val="14"/>
              <w:spacing w:before="0" w:beforeAutospacing="0" w:after="0" w:afterAutospacing="0" w:line="360" w:lineRule="auto"/>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本工程与《输变电建设项目环境保护技术要求》(HJ1113-2020)符合性分析见下表：</w:t>
            </w:r>
          </w:p>
          <w:p w14:paraId="7E6B2664">
            <w:pPr>
              <w:pStyle w:val="23"/>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w:t>
            </w:r>
            <w:r>
              <w:rPr>
                <w:rFonts w:hint="eastAsia" w:ascii="Times New Roman" w:hAnsi="Times New Roman"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与《输变电建设项目环境保护技术要求》符合性分析表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3978"/>
              <w:gridCol w:w="3056"/>
              <w:gridCol w:w="487"/>
            </w:tblGrid>
            <w:tr w14:paraId="4B19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791" w:type="pct"/>
                  <w:gridSpan w:val="2"/>
                  <w:vAlign w:val="center"/>
                </w:tcPr>
                <w:p w14:paraId="6FACC4FC">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《输变电建设项目环境保护技术要求》</w:t>
                  </w:r>
                </w:p>
              </w:tc>
              <w:tc>
                <w:tcPr>
                  <w:tcW w:w="1904" w:type="pct"/>
                  <w:vAlign w:val="center"/>
                </w:tcPr>
                <w:p w14:paraId="520DDEB9">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本项目情况</w:t>
                  </w:r>
                </w:p>
              </w:tc>
              <w:tc>
                <w:tcPr>
                  <w:tcW w:w="303" w:type="pct"/>
                  <w:vAlign w:val="center"/>
                </w:tcPr>
                <w:p w14:paraId="79263DB0">
                  <w:pPr>
                    <w:pStyle w:val="23"/>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符合性</w:t>
                  </w:r>
                </w:p>
              </w:tc>
            </w:tr>
            <w:tr w14:paraId="112D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2DF6D885">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5选址选线</w:t>
                  </w:r>
                </w:p>
              </w:tc>
              <w:tc>
                <w:tcPr>
                  <w:tcW w:w="2479" w:type="pct"/>
                  <w:vAlign w:val="center"/>
                </w:tcPr>
                <w:p w14:paraId="71DD2567">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 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904" w:type="pct"/>
                  <w:vAlign w:val="center"/>
                </w:tcPr>
                <w:p w14:paraId="4BF0DE5F">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本项目选线区域不可避让河北滦河上游国家级自然保护区实验区，国家林业和草原局出具了行政许可决定，采取措施后影响可接受，路线不涉及饮用水水源保护区，符合要求。</w:t>
                  </w:r>
                </w:p>
              </w:tc>
              <w:tc>
                <w:tcPr>
                  <w:tcW w:w="303" w:type="pct"/>
                  <w:vAlign w:val="center"/>
                </w:tcPr>
                <w:p w14:paraId="728FC963">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FC2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23BFDA84">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22EBCA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 变电工程在选址时应按终期规模综合考虑进出线走廊规划，避免进出线进入自然保护区、饮用水水源保护区等环境敏感区。</w:t>
                  </w:r>
                </w:p>
              </w:tc>
              <w:tc>
                <w:tcPr>
                  <w:tcW w:w="1904" w:type="pct"/>
                  <w:vAlign w:val="center"/>
                </w:tcPr>
                <w:p w14:paraId="2607AC62">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本项目不涉及变电工程，符合要求。</w:t>
                  </w:r>
                </w:p>
              </w:tc>
              <w:tc>
                <w:tcPr>
                  <w:tcW w:w="303" w:type="pct"/>
                  <w:vAlign w:val="center"/>
                </w:tcPr>
                <w:p w14:paraId="0F6CE60D">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EA2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681EF69">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31CA59D9">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 户外变电工程及规划架空进出线选址选线时，应关注以居住、医疗卫生、文化教育、科研、行政办公等为主要功能的区域，采取综合措施，减少电磁和声环境影响。</w:t>
                  </w:r>
                </w:p>
              </w:tc>
              <w:tc>
                <w:tcPr>
                  <w:tcW w:w="1904" w:type="pct"/>
                  <w:vAlign w:val="center"/>
                </w:tcPr>
                <w:p w14:paraId="3AE5B758">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线路评价范围内避让居住、医疗卫生、文化教育、科研、行政办公等为主要功能的区域。采取高架方式，减少电磁和声环境影响，符合要求。</w:t>
                  </w:r>
                </w:p>
              </w:tc>
              <w:tc>
                <w:tcPr>
                  <w:tcW w:w="303" w:type="pct"/>
                  <w:vAlign w:val="center"/>
                </w:tcPr>
                <w:p w14:paraId="19B778D2">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13A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96777E5">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516F6B33">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 同一走廊内的多回输电线路，宜采取同塔多回架设、并行架设等形式，减少新开辟走廊，优化线路走廊间距，降低环境影响。</w:t>
                  </w:r>
                </w:p>
              </w:tc>
              <w:tc>
                <w:tcPr>
                  <w:tcW w:w="1904" w:type="pct"/>
                  <w:vAlign w:val="center"/>
                </w:tcPr>
                <w:p w14:paraId="3A7069A8">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本项目不涉及多回输电线路，220kV线路采用单回架设，符合要求。</w:t>
                  </w:r>
                </w:p>
              </w:tc>
              <w:tc>
                <w:tcPr>
                  <w:tcW w:w="303" w:type="pct"/>
                  <w:vAlign w:val="center"/>
                </w:tcPr>
                <w:p w14:paraId="05921B9D">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508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3CADDFB1">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756B52F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 原则上避免在0类声环境功能区建设变电工程。</w:t>
                  </w:r>
                </w:p>
              </w:tc>
              <w:tc>
                <w:tcPr>
                  <w:tcW w:w="1904" w:type="pct"/>
                  <w:vAlign w:val="center"/>
                </w:tcPr>
                <w:p w14:paraId="315A49B0">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项目所在区域不涉及0类声环境功能区，符合要求。</w:t>
                  </w:r>
                </w:p>
              </w:tc>
              <w:tc>
                <w:tcPr>
                  <w:tcW w:w="303" w:type="pct"/>
                  <w:vAlign w:val="center"/>
                </w:tcPr>
                <w:p w14:paraId="6FC99FE7">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AC7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3AD751">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56319B0">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 变电工程选址时，应综合考虑减少土地占用、植被砍伐和弃土弃渣等，以减少对生态环境的不利影响。</w:t>
                  </w:r>
                </w:p>
              </w:tc>
              <w:tc>
                <w:tcPr>
                  <w:tcW w:w="1904" w:type="pct"/>
                  <w:vAlign w:val="center"/>
                </w:tcPr>
                <w:p w14:paraId="25DD57EB">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本项目不涉及变电工程，符合要求，线路土石方占地范围内平衡，不需设置弃土弃渣场，符合要求。</w:t>
                  </w:r>
                </w:p>
              </w:tc>
              <w:tc>
                <w:tcPr>
                  <w:tcW w:w="303" w:type="pct"/>
                  <w:vAlign w:val="center"/>
                </w:tcPr>
                <w:p w14:paraId="3782AA30">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85F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6E7639">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21BA532F">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 输电线路宜避让集中林区，以减少林木砍伐，保护生态环境。</w:t>
                  </w:r>
                </w:p>
              </w:tc>
              <w:tc>
                <w:tcPr>
                  <w:tcW w:w="1904" w:type="pct"/>
                  <w:vAlign w:val="center"/>
                </w:tcPr>
                <w:p w14:paraId="0415E9D3">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输电线路不占用集中林区，符合要求。</w:t>
                  </w:r>
                </w:p>
              </w:tc>
              <w:tc>
                <w:tcPr>
                  <w:tcW w:w="303" w:type="pct"/>
                  <w:vAlign w:val="center"/>
                </w:tcPr>
                <w:p w14:paraId="57B7FC86">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392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1125BAEA">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F8065D7">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 进入自然保护区的输电线路，应按照HJ19的要求开展生态现状调查，避让保护对象的集中分布区。</w:t>
                  </w:r>
                </w:p>
              </w:tc>
              <w:tc>
                <w:tcPr>
                  <w:tcW w:w="1904" w:type="pct"/>
                  <w:vAlign w:val="center"/>
                </w:tcPr>
                <w:p w14:paraId="2BCFEA35">
                  <w:pPr>
                    <w:pStyle w:val="2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本项目选线区域不可避让河北滦河上游国家级自然保护区实验区，国家林业和草原局出具了行政许可决定，本项目编制了生态专项，对生态现状进行了调查，符合要求。</w:t>
                  </w:r>
                </w:p>
              </w:tc>
              <w:tc>
                <w:tcPr>
                  <w:tcW w:w="303" w:type="pct"/>
                  <w:vAlign w:val="center"/>
                </w:tcPr>
                <w:p w14:paraId="6258CBE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94E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3579AE78">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6设计</w:t>
                  </w:r>
                </w:p>
              </w:tc>
              <w:tc>
                <w:tcPr>
                  <w:tcW w:w="2479" w:type="pct"/>
                  <w:vAlign w:val="center"/>
                </w:tcPr>
                <w:p w14:paraId="1826F9D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输电线路设计应因地制宜选择线路型式、架设高度、杆塔塔型、导线参数、相序布置等，减少电磁环境影响。</w:t>
                  </w:r>
                </w:p>
              </w:tc>
              <w:tc>
                <w:tcPr>
                  <w:tcW w:w="1904" w:type="pct"/>
                  <w:vAlign w:val="center"/>
                </w:tcPr>
                <w:p w14:paraId="2A4AF16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本工程选用高跨线，提升架设高度，减少电磁环境影响。</w:t>
                  </w:r>
                </w:p>
              </w:tc>
              <w:tc>
                <w:tcPr>
                  <w:tcW w:w="303" w:type="pct"/>
                  <w:vAlign w:val="center"/>
                </w:tcPr>
                <w:p w14:paraId="181B45B9">
                  <w:pPr>
                    <w:pStyle w:val="23"/>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1D8E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0588999C">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6479A3C0">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架空输电线路经过电磁环境敏感目标时，应采取避让或增加导线对地高度等措施，减少电磁环境影响。</w:t>
                  </w:r>
                </w:p>
              </w:tc>
              <w:tc>
                <w:tcPr>
                  <w:tcW w:w="1904" w:type="pct"/>
                  <w:vAlign w:val="center"/>
                </w:tcPr>
                <w:p w14:paraId="298BF1CA">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本工程避让电磁环境敏感目标，减少电磁环境影响。</w:t>
                  </w:r>
                </w:p>
              </w:tc>
              <w:tc>
                <w:tcPr>
                  <w:tcW w:w="303" w:type="pct"/>
                  <w:vAlign w:val="center"/>
                </w:tcPr>
                <w:p w14:paraId="78C7A194">
                  <w:pPr>
                    <w:pStyle w:val="23"/>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535E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05391E28">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7B46A3EB">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应按照避让、减缓、恢复的次序提出生态影响防护与恢复的措施。</w:t>
                  </w:r>
                </w:p>
              </w:tc>
              <w:tc>
                <w:tcPr>
                  <w:tcW w:w="1904" w:type="pct"/>
                  <w:vAlign w:val="center"/>
                </w:tcPr>
                <w:p w14:paraId="600B61D5">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本工程线路设计、施工采取避让、减缓、恢复措施降低对生态环境的影响。</w:t>
                  </w:r>
                </w:p>
              </w:tc>
              <w:tc>
                <w:tcPr>
                  <w:tcW w:w="303" w:type="pct"/>
                  <w:vAlign w:val="center"/>
                </w:tcPr>
                <w:p w14:paraId="2FB52523">
                  <w:pPr>
                    <w:pStyle w:val="23"/>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rPr>
                    <w:t>符合</w:t>
                  </w:r>
                </w:p>
              </w:tc>
            </w:tr>
            <w:tr w14:paraId="392B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restart"/>
                  <w:vAlign w:val="center"/>
                </w:tcPr>
                <w:p w14:paraId="698B63E4">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7施工</w:t>
                  </w:r>
                </w:p>
              </w:tc>
              <w:tc>
                <w:tcPr>
                  <w:tcW w:w="2479" w:type="pct"/>
                  <w:vAlign w:val="center"/>
                </w:tcPr>
                <w:p w14:paraId="2384052F">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施工临时道路应尽可能利用机耕路、林区小路等现有道路，新建道路应严格控制道路宽度，以减少临时工程对生态环境的影</w:t>
                  </w:r>
                  <w:r>
                    <w:rPr>
                      <w:rFonts w:hint="default" w:ascii="Times New Roman" w:hAnsi="Times New Roman" w:eastAsia="宋体" w:cs="Times New Roman"/>
                      <w:b w:val="0"/>
                      <w:color w:val="auto"/>
                      <w:spacing w:val="-9"/>
                      <w:highlight w:val="none"/>
                    </w:rPr>
                    <w:t>响。</w:t>
                  </w:r>
                </w:p>
              </w:tc>
              <w:tc>
                <w:tcPr>
                  <w:tcW w:w="1904" w:type="pct"/>
                  <w:vAlign w:val="center"/>
                </w:tcPr>
                <w:p w14:paraId="1AC7B05F">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建议施工单位充分利用已有的乡间道路等，减少临时道路，降低临时道路</w:t>
                  </w:r>
                  <w:r>
                    <w:rPr>
                      <w:rFonts w:hint="default" w:ascii="Times New Roman" w:hAnsi="Times New Roman" w:eastAsia="宋体" w:cs="Times New Roman"/>
                      <w:b w:val="0"/>
                      <w:color w:val="auto"/>
                      <w:spacing w:val="5"/>
                      <w:highlight w:val="none"/>
                    </w:rPr>
                    <w:t>对生态环境的碾压、破坏影响。</w:t>
                  </w:r>
                </w:p>
              </w:tc>
              <w:tc>
                <w:tcPr>
                  <w:tcW w:w="303" w:type="pct"/>
                  <w:vAlign w:val="center"/>
                </w:tcPr>
                <w:p w14:paraId="79C5ED3F">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08E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56016A3D">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0F55974E">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施工现场使用带油料的机械器具，应采取措施防止油料跑、冒、滴、漏，防止对土</w:t>
                  </w:r>
                  <w:r>
                    <w:rPr>
                      <w:rFonts w:hint="default" w:ascii="Times New Roman" w:hAnsi="Times New Roman" w:eastAsia="宋体" w:cs="Times New Roman"/>
                      <w:b w:val="0"/>
                      <w:color w:val="auto"/>
                      <w:spacing w:val="-1"/>
                      <w:highlight w:val="none"/>
                    </w:rPr>
                    <w:t>壤和水体造成污染。</w:t>
                  </w:r>
                </w:p>
              </w:tc>
              <w:tc>
                <w:tcPr>
                  <w:tcW w:w="1904" w:type="pct"/>
                  <w:vAlign w:val="center"/>
                </w:tcPr>
                <w:p w14:paraId="619A4973">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提出了施工现场防治机械器具的油</w:t>
                  </w:r>
                  <w:r>
                    <w:rPr>
                      <w:rFonts w:hint="default" w:ascii="Times New Roman" w:hAnsi="Times New Roman" w:eastAsia="宋体" w:cs="Times New Roman"/>
                      <w:b w:val="0"/>
                      <w:color w:val="auto"/>
                      <w:spacing w:val="-8"/>
                      <w:highlight w:val="none"/>
                    </w:rPr>
                    <w:t>料跑、冒、滴、漏措施，使用油毡、</w:t>
                  </w:r>
                  <w:r>
                    <w:rPr>
                      <w:rFonts w:hint="default" w:ascii="Times New Roman" w:hAnsi="Times New Roman" w:eastAsia="宋体" w:cs="Times New Roman"/>
                      <w:b w:val="0"/>
                      <w:color w:val="auto"/>
                      <w:spacing w:val="-1"/>
                      <w:highlight w:val="none"/>
                    </w:rPr>
                    <w:t>隔离等措施，避免对土壤、水体造</w:t>
                  </w:r>
                  <w:r>
                    <w:rPr>
                      <w:rFonts w:hint="default" w:ascii="Times New Roman" w:hAnsi="Times New Roman" w:eastAsia="宋体" w:cs="Times New Roman"/>
                      <w:b w:val="0"/>
                      <w:color w:val="auto"/>
                      <w:spacing w:val="-3"/>
                      <w:highlight w:val="none"/>
                    </w:rPr>
                    <w:t>成污染。</w:t>
                  </w:r>
                </w:p>
              </w:tc>
              <w:tc>
                <w:tcPr>
                  <w:tcW w:w="303" w:type="pct"/>
                  <w:vAlign w:val="center"/>
                </w:tcPr>
                <w:p w14:paraId="7700B0DE">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98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19077288">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4DC19CDA">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施工结束后，应及时清理施工现场，因地</w:t>
                  </w:r>
                  <w:r>
                    <w:rPr>
                      <w:rFonts w:hint="default" w:ascii="Times New Roman" w:hAnsi="Times New Roman" w:eastAsia="宋体" w:cs="Times New Roman"/>
                      <w:b w:val="0"/>
                      <w:color w:val="auto"/>
                      <w:spacing w:val="-1"/>
                      <w:highlight w:val="none"/>
                    </w:rPr>
                    <w:t>制宜进行土地功能恢复。</w:t>
                  </w:r>
                </w:p>
              </w:tc>
              <w:tc>
                <w:tcPr>
                  <w:tcW w:w="1904" w:type="pct"/>
                  <w:vAlign w:val="center"/>
                </w:tcPr>
                <w:p w14:paraId="17AB420C">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项目施工结束后应及时清理垃圾，做到工尽、料完、场地清。</w:t>
                  </w:r>
                </w:p>
              </w:tc>
              <w:tc>
                <w:tcPr>
                  <w:tcW w:w="303" w:type="pct"/>
                  <w:vAlign w:val="center"/>
                </w:tcPr>
                <w:p w14:paraId="20117A96">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383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4DEA56CE">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3210EECF">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施工期间禁止向水体排放、倾倒垃圾、弃</w:t>
                  </w:r>
                  <w:r>
                    <w:rPr>
                      <w:rFonts w:hint="default" w:ascii="Times New Roman" w:hAnsi="Times New Roman" w:eastAsia="宋体" w:cs="Times New Roman"/>
                      <w:b w:val="0"/>
                      <w:color w:val="auto"/>
                      <w:highlight w:val="none"/>
                    </w:rPr>
                    <w:t>土、弃渣，禁止排放未经处理的钻浆等废</w:t>
                  </w:r>
                  <w:r>
                    <w:rPr>
                      <w:rFonts w:hint="default" w:ascii="Times New Roman" w:hAnsi="Times New Roman" w:eastAsia="宋体" w:cs="Times New Roman"/>
                      <w:b w:val="0"/>
                      <w:color w:val="auto"/>
                      <w:spacing w:val="-4"/>
                      <w:highlight w:val="none"/>
                    </w:rPr>
                    <w:t>弃物。</w:t>
                  </w:r>
                </w:p>
              </w:tc>
              <w:tc>
                <w:tcPr>
                  <w:tcW w:w="1904" w:type="pct"/>
                  <w:vAlign w:val="center"/>
                </w:tcPr>
                <w:p w14:paraId="4EA64A19">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本项目无涉水工程，不向水体倾倒各类固体废物及渣土。</w:t>
                  </w:r>
                </w:p>
              </w:tc>
              <w:tc>
                <w:tcPr>
                  <w:tcW w:w="303" w:type="pct"/>
                  <w:vAlign w:val="center"/>
                </w:tcPr>
                <w:p w14:paraId="5C75852F">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29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7F94F730">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0DBEDFE">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施工过程中，应当加强对施工现场和物料</w:t>
                  </w:r>
                  <w:r>
                    <w:rPr>
                      <w:rFonts w:hint="default" w:ascii="Times New Roman" w:hAnsi="Times New Roman" w:eastAsia="宋体" w:cs="Times New Roman"/>
                      <w:b w:val="0"/>
                      <w:color w:val="auto"/>
                      <w:spacing w:val="-1"/>
                      <w:highlight w:val="none"/>
                    </w:rPr>
                    <w:t>运输的管理，在施工工地设置硬质围挡，</w:t>
                  </w:r>
                  <w:r>
                    <w:rPr>
                      <w:rFonts w:hint="default" w:ascii="Times New Roman" w:hAnsi="Times New Roman" w:eastAsia="宋体" w:cs="Times New Roman"/>
                      <w:b w:val="0"/>
                      <w:color w:val="auto"/>
                      <w:highlight w:val="none"/>
                    </w:rPr>
                    <w:t>保持道路清洁，管控料堆和渣土堆放，防</w:t>
                  </w:r>
                  <w:r>
                    <w:rPr>
                      <w:rFonts w:hint="default" w:ascii="Times New Roman" w:hAnsi="Times New Roman" w:eastAsia="宋体" w:cs="Times New Roman"/>
                      <w:b w:val="0"/>
                      <w:color w:val="auto"/>
                      <w:spacing w:val="-3"/>
                      <w:highlight w:val="none"/>
                    </w:rPr>
                    <w:t>治扬尘污染</w:t>
                  </w:r>
                </w:p>
              </w:tc>
              <w:tc>
                <w:tcPr>
                  <w:tcW w:w="1904" w:type="pct"/>
                  <w:vAlign w:val="center"/>
                </w:tcPr>
                <w:p w14:paraId="6045DEFF">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施工过程中提出了现场和物料运输管理的苫盖等抑尘措施，施工区域</w:t>
                  </w:r>
                  <w:r>
                    <w:rPr>
                      <w:rFonts w:hint="default" w:ascii="Times New Roman" w:hAnsi="Times New Roman" w:eastAsia="宋体" w:cs="Times New Roman"/>
                      <w:b w:val="0"/>
                      <w:color w:val="auto"/>
                      <w:spacing w:val="-9"/>
                      <w:highlight w:val="none"/>
                    </w:rPr>
                    <w:t>设置围挡、洒水抑尘、苫盖等措施，</w:t>
                  </w:r>
                  <w:r>
                    <w:rPr>
                      <w:rFonts w:hint="default" w:ascii="Times New Roman" w:hAnsi="Times New Roman" w:eastAsia="宋体" w:cs="Times New Roman"/>
                      <w:b w:val="0"/>
                      <w:color w:val="auto"/>
                      <w:spacing w:val="-4"/>
                      <w:highlight w:val="none"/>
                    </w:rPr>
                    <w:t>防治扬尘。</w:t>
                  </w:r>
                </w:p>
              </w:tc>
              <w:tc>
                <w:tcPr>
                  <w:tcW w:w="303" w:type="pct"/>
                  <w:vAlign w:val="center"/>
                </w:tcPr>
                <w:p w14:paraId="7388BF8A">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141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Merge w:val="continue"/>
                  <w:vAlign w:val="center"/>
                </w:tcPr>
                <w:p w14:paraId="2131F183">
                  <w:pPr>
                    <w:widowControl/>
                    <w:autoSpaceDE/>
                    <w:autoSpaceDN/>
                    <w:jc w:val="center"/>
                    <w:rPr>
                      <w:rFonts w:hint="default" w:ascii="Times New Roman" w:hAnsi="Times New Roman" w:eastAsia="宋体" w:cs="Times New Roman"/>
                      <w:color w:val="auto"/>
                      <w:sz w:val="21"/>
                      <w:szCs w:val="21"/>
                      <w:highlight w:val="none"/>
                    </w:rPr>
                  </w:pPr>
                </w:p>
              </w:tc>
              <w:tc>
                <w:tcPr>
                  <w:tcW w:w="2479" w:type="pct"/>
                  <w:vAlign w:val="center"/>
                </w:tcPr>
                <w:p w14:paraId="140AE464">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施工过程中产生的土石方、建筑垃圾、生活垃圾应分类集中收集，并按国家和地方有关规定定期进行清运处置，施工完成后</w:t>
                  </w:r>
                  <w:r>
                    <w:rPr>
                      <w:rFonts w:hint="default" w:ascii="Times New Roman" w:hAnsi="Times New Roman" w:eastAsia="宋体" w:cs="Times New Roman"/>
                      <w:b w:val="0"/>
                      <w:color w:val="auto"/>
                      <w:spacing w:val="-1"/>
                      <w:highlight w:val="none"/>
                    </w:rPr>
                    <w:t>及时做好迹地清理工作。</w:t>
                  </w:r>
                </w:p>
              </w:tc>
              <w:tc>
                <w:tcPr>
                  <w:tcW w:w="1904" w:type="pct"/>
                  <w:vAlign w:val="center"/>
                </w:tcPr>
                <w:p w14:paraId="00E893D8">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施工过程中施工区域设置垃圾桶，建筑垃圾、生活垃圾分类集中收集，定期清运的措施，施工结束后，及时进行垃圾清理，迹地恢</w:t>
                  </w:r>
                  <w:r>
                    <w:rPr>
                      <w:rFonts w:hint="default" w:ascii="Times New Roman" w:hAnsi="Times New Roman" w:eastAsia="宋体" w:cs="Times New Roman"/>
                      <w:b w:val="0"/>
                      <w:color w:val="auto"/>
                      <w:spacing w:val="-6"/>
                      <w:highlight w:val="none"/>
                    </w:rPr>
                    <w:t>复。</w:t>
                  </w:r>
                </w:p>
              </w:tc>
              <w:tc>
                <w:tcPr>
                  <w:tcW w:w="303" w:type="pct"/>
                  <w:vAlign w:val="center"/>
                </w:tcPr>
                <w:p w14:paraId="757C6BD4">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2C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12" w:type="pct"/>
                  <w:vAlign w:val="center"/>
                </w:tcPr>
                <w:p w14:paraId="0E45D5A2">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8运行</w:t>
                  </w:r>
                </w:p>
              </w:tc>
              <w:tc>
                <w:tcPr>
                  <w:tcW w:w="2479" w:type="pct"/>
                  <w:vAlign w:val="center"/>
                </w:tcPr>
                <w:p w14:paraId="282160CD">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highlight w:val="none"/>
                    </w:rPr>
                    <w:t>定期开展环境监测</w:t>
                  </w:r>
                </w:p>
              </w:tc>
              <w:tc>
                <w:tcPr>
                  <w:tcW w:w="1904" w:type="pct"/>
                  <w:vAlign w:val="center"/>
                </w:tcPr>
                <w:p w14:paraId="238B4DC0">
                  <w:pPr>
                    <w:pStyle w:val="24"/>
                    <w:spacing w:line="240" w:lineRule="auto"/>
                    <w:rPr>
                      <w:rFonts w:hint="default" w:ascii="Times New Roman" w:hAnsi="Times New Roman" w:eastAsia="宋体" w:cs="Times New Roman"/>
                      <w:b w:val="0"/>
                      <w:color w:val="auto"/>
                      <w:highlight w:val="none"/>
                    </w:rPr>
                  </w:pPr>
                  <w:r>
                    <w:rPr>
                      <w:rFonts w:hint="default" w:ascii="Times New Roman" w:hAnsi="Times New Roman" w:eastAsia="宋体" w:cs="Times New Roman"/>
                      <w:b w:val="0"/>
                      <w:color w:val="auto"/>
                      <w:spacing w:val="-1"/>
                      <w:highlight w:val="none"/>
                    </w:rPr>
                    <w:t>提出了运行期的环境监测计划</w:t>
                  </w:r>
                </w:p>
              </w:tc>
              <w:tc>
                <w:tcPr>
                  <w:tcW w:w="303" w:type="pct"/>
                  <w:vAlign w:val="center"/>
                </w:tcPr>
                <w:p w14:paraId="323277D9">
                  <w:pPr>
                    <w:pStyle w:val="2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7AC1437">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综上所述，本工程选址可行，选址满足《输变电建设项目环境保护技术要求》（HJ1113-2020）中相关技术要求。</w:t>
            </w:r>
          </w:p>
          <w:p w14:paraId="0F9045F2">
            <w:pPr>
              <w:pStyle w:val="23"/>
              <w:spacing w:line="480" w:lineRule="exact"/>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、与《河北省生态环境厅办公室关于进一步做好沙区建设项目环境影响评价工作的通知》（冀环办字函[2023]326号）符合性分析</w:t>
            </w:r>
          </w:p>
          <w:p w14:paraId="2CD7FEB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河北省生态环境厅办公室关于进一步做好沙区建设项目环境影响评价工作的通知》（冀环办字函[2023]326号）相关要求，按照“在沙化土地范围内从事开发建设活动的，必须事先就该项目可能对当地及相关地区生态产生的影响进行环境影响评价，依法提交环境影响报告”。沙区建设项目需做好环境影响评价制度执行工作。根据沙区范围主要涉及的地域，围场县部分区域属于沙区范围涉及区域。</w:t>
            </w:r>
          </w:p>
          <w:p w14:paraId="47E88C7D">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本项目位于围场县老窝铺乡、城子镇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项目线路占地范围在沙区范围内，施工单位充分利用已有的乡间道路等，减少临时道路，降低临时道路对生态环境的碾压、破坏影响。施工过程中按照水土保持方案采取工程措施、植被措施和临时措施降低对生态环境的影响。临时占地全部恢复原有功能，因此不会对沙区产生不利影响。</w:t>
            </w:r>
          </w:p>
          <w:p w14:paraId="4E2D0A09">
            <w:pPr>
              <w:pStyle w:val="23"/>
              <w:spacing w:line="480" w:lineRule="exact"/>
              <w:ind w:firstLine="482" w:firstLineChars="200"/>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rPr>
              <w:t>《河北滦河上游国家级自然保护区总体规划（2008~2015年）》</w:t>
            </w:r>
            <w:r>
              <w:rPr>
                <w:rFonts w:hint="default" w:ascii="Times New Roman" w:hAnsi="Times New Roman" w:eastAsia="宋体" w:cs="Times New Roman"/>
                <w:b/>
                <w:bCs/>
                <w:color w:val="auto"/>
                <w:sz w:val="24"/>
                <w:szCs w:val="24"/>
                <w:highlight w:val="none"/>
                <w:lang w:eastAsia="zh-CN"/>
              </w:rPr>
              <w:t>符合性分析</w:t>
            </w:r>
          </w:p>
          <w:p w14:paraId="00CA380C">
            <w:pPr>
              <w:pStyle w:val="23"/>
              <w:spacing w:line="48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根据《河北滦河上游国家级自然保护区总体规划（2008~2015年）》，保护区分为严格保护区域和一般保护区域：</w:t>
            </w:r>
          </w:p>
          <w:p w14:paraId="0C2A2079">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3.4.1严格保护区域</w:t>
            </w:r>
          </w:p>
          <w:p w14:paraId="5C2D1D4B">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范围包括核心区和缓冲区，以保护森林生态系统、野生动植物及其栖息地为目的，始终保持有利于自然生态系统稳定和珍稀动植物种群繁衍的自然状态。严格保护区域面积为25653hm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，占保护区总面积的50.65%。</w:t>
            </w:r>
          </w:p>
          <w:p w14:paraId="70CB53EE">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3.4.1.1核心区</w:t>
            </w:r>
          </w:p>
          <w:p w14:paraId="4A65CD4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核心区实行严格保护，禁止围垦、偷猎、盗伐及毁林开垦等破坏性人为活动，只供观测研究，除必要的定位观测等设施建设以外，不得设置和从事任何对生态环境造成破坏性影响或干扰的设施与活动。核心区的主要作用</w:t>
            </w:r>
            <w:r>
              <w:rPr>
                <w:rFonts w:hint="eastAsia" w:ascii="Times New Roman" w:hAnsi="Times New Roman" w:eastAsia="宋体" w:cs="Times New Roman"/>
                <w:color w:val="auto"/>
                <w:sz w:val="24"/>
                <w:szCs w:val="24"/>
                <w:highlight w:val="none"/>
                <w:lang w:eastAsia="zh-CN"/>
              </w:rPr>
              <w:t>是</w:t>
            </w:r>
            <w:r>
              <w:rPr>
                <w:rFonts w:hint="default" w:ascii="Times New Roman" w:hAnsi="Times New Roman" w:eastAsia="宋体" w:cs="Times New Roman"/>
                <w:color w:val="auto"/>
                <w:sz w:val="24"/>
                <w:szCs w:val="24"/>
                <w:highlight w:val="none"/>
              </w:rPr>
              <w:t>保护其中的自然资源与自然环境，保持其森林生态系统和物种不受人为的干扰，保持其丰富的生物多样性。</w:t>
            </w:r>
          </w:p>
          <w:p w14:paraId="49F3A76E">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3.4.1.2缓冲区</w:t>
            </w:r>
          </w:p>
          <w:p w14:paraId="15B539C5">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缓冲区对核心区生态环境的保护同样具有重要的意义，其作用是缓解外界压力、防止人为活动对核心区的影响，有效保护核心区。同时，通过森林生态系统的恢复，促进其更好地发挥水土保持的功能，促进珍稀植物的正常演替和濒危动物繁衍，提供向核心区过渡的机会。该区内可进行封山育林以恢复植被，改善珍稀濒危野生动植物的生存条件，还可以开展有组织的科研、教学、考察等工作。</w:t>
            </w:r>
          </w:p>
          <w:p w14:paraId="449F1B47">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3.4.2一般保护区域</w:t>
            </w:r>
          </w:p>
          <w:p w14:paraId="4431A7B1">
            <w:pPr>
              <w:pStyle w:val="23"/>
              <w:spacing w:line="480" w:lineRule="exact"/>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保护区的一般保护区域严格控制在实验区范围内，包括保护区界以内缓冲区界以外的区域，以持续恢复、繁育自然资源、改善自然环境和合理利用自然资源、发展地方经济为目的。区内可开展森林生态旅游、森林植被恢复、珍稀濒危动植物资源繁育、科普宣传教育、综合利用和保护管理站等活动，以增强保护区科研能力、经济实力和改善工作、生活条件，使其成为进行科学研究、教学实习、参观考察的基地。一般保护区域面积为24984.4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，占保护区总面积的49.35%。</w:t>
            </w:r>
            <w:r>
              <w:rPr>
                <w:rFonts w:hint="eastAsia" w:ascii="Times New Roman" w:hAnsi="Times New Roman" w:eastAsia="宋体" w:cs="Times New Roman"/>
                <w:color w:val="auto"/>
                <w:sz w:val="24"/>
                <w:szCs w:val="24"/>
                <w:highlight w:val="none"/>
                <w:lang w:eastAsia="zh-CN"/>
              </w:rPr>
              <w:t>”</w:t>
            </w:r>
          </w:p>
          <w:p w14:paraId="17035012">
            <w:pPr>
              <w:pStyle w:val="23"/>
              <w:spacing w:line="480" w:lineRule="exact"/>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本项目穿越保护区实验区</w:t>
            </w:r>
            <w:r>
              <w:rPr>
                <w:rFonts w:hint="eastAsia" w:ascii="Times New Roman" w:hAnsi="Times New Roman" w:eastAsia="宋体" w:cs="Times New Roman"/>
                <w:color w:val="auto"/>
                <w:sz w:val="24"/>
                <w:szCs w:val="24"/>
                <w:highlight w:val="none"/>
                <w:lang w:eastAsia="zh-CN"/>
              </w:rPr>
              <w:t>（一般保护区域）</w:t>
            </w:r>
            <w:r>
              <w:rPr>
                <w:rFonts w:hint="default" w:ascii="Times New Roman" w:hAnsi="Times New Roman" w:eastAsia="宋体" w:cs="Times New Roman"/>
                <w:color w:val="auto"/>
                <w:sz w:val="24"/>
                <w:szCs w:val="24"/>
                <w:highlight w:val="none"/>
              </w:rPr>
              <w:t>，可以促进当地经济和社会发展，国家林业和草原局出具了《关于同意华能围场“风光储氢热一体化”项目（光伏200MW）项目220kV送出线路工程穿越河北滦河上游国家级自然保护区实验区的行政许可决定》（林保许准（冀）[2024]10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符合《河北滦河上游国家级自然保护区总体规划（2008~2015年）》。</w:t>
            </w:r>
          </w:p>
        </w:tc>
      </w:tr>
    </w:tbl>
    <w:p w14:paraId="1E1A44D2">
      <w:pPr>
        <w:jc w:val="center"/>
        <w:rPr>
          <w:rFonts w:hint="default" w:ascii="Times New Roman" w:hAnsi="Times New Roman" w:eastAsia="宋体" w:cs="Times New Roman"/>
          <w:color w:val="auto"/>
          <w:sz w:val="21"/>
          <w:highlight w:val="none"/>
        </w:rPr>
        <w:sectPr>
          <w:footerReference r:id="rId5" w:type="default"/>
          <w:pgSz w:w="11910" w:h="16840"/>
          <w:pgMar w:top="1580" w:right="1320" w:bottom="1240" w:left="1340" w:header="0" w:footer="1043" w:gutter="0"/>
          <w:pgNumType w:start="1"/>
          <w:cols w:space="720" w:num="1"/>
          <w:docGrid w:linePitch="299" w:charSpace="0"/>
        </w:sectPr>
      </w:pPr>
    </w:p>
    <w:p w14:paraId="6F86DDBC">
      <w:pPr>
        <w:pStyle w:val="4"/>
        <w:spacing w:line="550" w:lineRule="exact"/>
        <w:ind w:left="635" w:right="652"/>
        <w:jc w:val="center"/>
        <w:outlineLvl w:val="0"/>
        <w:rPr>
          <w:rFonts w:hint="default" w:ascii="Times New Roman" w:hAnsi="Times New Roman" w:eastAsia="宋体" w:cs="Times New Roman"/>
          <w:color w:val="auto"/>
          <w:highlight w:val="none"/>
        </w:rPr>
      </w:pPr>
      <w:bookmarkStart w:id="2" w:name="_Toc150930987"/>
      <w:r>
        <w:rPr>
          <w:rFonts w:hint="default" w:ascii="Times New Roman" w:hAnsi="Times New Roman" w:eastAsia="宋体" w:cs="Times New Roman"/>
          <w:color w:val="auto"/>
          <w:highlight w:val="none"/>
        </w:rPr>
        <w:t>二、建设项目工程分析</w:t>
      </w:r>
      <w:bookmarkEnd w:id="2"/>
    </w:p>
    <w:p w14:paraId="23F572CE">
      <w:pPr>
        <w:pStyle w:val="4"/>
        <w:spacing w:before="3"/>
        <w:rPr>
          <w:rFonts w:hint="default" w:ascii="Times New Roman" w:hAnsi="Times New Roman" w:eastAsia="宋体" w:cs="Times New Roman"/>
          <w:color w:val="auto"/>
          <w:sz w:val="8"/>
          <w:highlight w:val="none"/>
        </w:rPr>
      </w:pPr>
    </w:p>
    <w:tbl>
      <w:tblPr>
        <w:tblStyle w:val="22"/>
        <w:tblW w:w="8984"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16"/>
        <w:gridCol w:w="8812"/>
      </w:tblGrid>
      <w:tr w14:paraId="42ADC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1A4205E8">
            <w:pPr>
              <w:pStyle w:val="23"/>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地理位置</w:t>
            </w:r>
          </w:p>
        </w:tc>
        <w:tc>
          <w:tcPr>
            <w:tcW w:w="8596" w:type="dxa"/>
            <w:tcBorders>
              <w:left w:val="single" w:color="000000" w:sz="4" w:space="0"/>
              <w:bottom w:val="single" w:color="000000" w:sz="4" w:space="0"/>
            </w:tcBorders>
          </w:tcPr>
          <w:p w14:paraId="71E94A2E">
            <w:pPr>
              <w:pStyle w:val="23"/>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，线路起点从</w:t>
            </w:r>
            <w:r>
              <w:rPr>
                <w:rFonts w:hint="default" w:ascii="Times New Roman" w:hAnsi="Times New Roman" w:eastAsia="宋体" w:cs="Times New Roman"/>
                <w:color w:val="auto"/>
                <w:sz w:val="24"/>
                <w:szCs w:val="24"/>
                <w:highlight w:val="none"/>
              </w:rPr>
              <w:t>华能围场风光储氢热一体化项目（光伏200MW）项目升压站</w:t>
            </w:r>
            <w:r>
              <w:rPr>
                <w:rFonts w:hint="default" w:ascii="Times New Roman" w:hAnsi="Times New Roman" w:eastAsia="宋体" w:cs="Times New Roman"/>
                <w:bCs/>
                <w:color w:val="auto"/>
                <w:sz w:val="24"/>
                <w:szCs w:val="24"/>
                <w:highlight w:val="none"/>
              </w:rPr>
              <w:t>，通过1回220kV线路接入</w:t>
            </w:r>
            <w:r>
              <w:rPr>
                <w:rFonts w:hint="default" w:ascii="Times New Roman" w:hAnsi="Times New Roman" w:eastAsia="宋体" w:cs="Times New Roman"/>
                <w:color w:val="auto"/>
                <w:sz w:val="24"/>
                <w:szCs w:val="24"/>
                <w:highlight w:val="none"/>
              </w:rPr>
              <w:t>华能围场风光储氢热一体化项目（风电200MW）项目</w:t>
            </w:r>
            <w:r>
              <w:rPr>
                <w:rFonts w:hint="default" w:ascii="Times New Roman" w:hAnsi="Times New Roman" w:eastAsia="宋体" w:cs="Times New Roman"/>
                <w:bCs/>
                <w:color w:val="auto"/>
                <w:sz w:val="24"/>
                <w:szCs w:val="24"/>
                <w:highlight w:val="none"/>
              </w:rPr>
              <w:t>升压站，线路全长约22.99km，采用单回路架（敷）设，采用1回型号为JL/G1A-300/40钢芯铝绞线。</w:t>
            </w:r>
          </w:p>
          <w:p w14:paraId="1DCFA9B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w:t>
            </w:r>
            <w:r>
              <w:rPr>
                <w:rFonts w:hint="eastAsia" w:ascii="Times New Roman" w:hAnsi="Times New Roman" w:eastAsia="宋体"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rPr>
              <w:t>″，北纬42°3′48.</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8″；线路终点坐标东经117°11′</w:t>
            </w:r>
            <w:r>
              <w:rPr>
                <w:rFonts w:hint="eastAsia" w:ascii="Times New Roman" w:hAnsi="Times New Roman" w:eastAsia="宋体" w:cs="Times New Roman"/>
                <w:color w:val="auto"/>
                <w:sz w:val="24"/>
                <w:szCs w:val="24"/>
                <w:highlight w:val="none"/>
                <w:lang w:val="en-US" w:eastAsia="zh-CN"/>
              </w:rPr>
              <w:t>7.199</w:t>
            </w:r>
            <w:r>
              <w:rPr>
                <w:rFonts w:hint="default" w:ascii="Times New Roman" w:hAnsi="Times New Roman" w:eastAsia="宋体" w:cs="Times New Roman"/>
                <w:color w:val="auto"/>
                <w:sz w:val="24"/>
                <w:szCs w:val="24"/>
                <w:highlight w:val="none"/>
              </w:rPr>
              <w:t>″，北纬41°58′</w:t>
            </w:r>
            <w:r>
              <w:rPr>
                <w:rFonts w:hint="eastAsia" w:ascii="Times New Roman" w:hAnsi="Times New Roman" w:eastAsia="宋体" w:cs="Times New Roman"/>
                <w:color w:val="auto"/>
                <w:sz w:val="24"/>
                <w:szCs w:val="24"/>
                <w:highlight w:val="none"/>
                <w:lang w:val="en-US" w:eastAsia="zh-CN"/>
              </w:rPr>
              <w:t>8.345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eastAsia="zh-CN"/>
              </w:rPr>
              <w:t>塔基</w:t>
            </w:r>
            <w:r>
              <w:rPr>
                <w:rFonts w:hint="default" w:ascii="Times New Roman" w:hAnsi="Times New Roman" w:eastAsia="宋体" w:cs="Times New Roman"/>
                <w:bCs/>
                <w:color w:val="auto"/>
                <w:sz w:val="24"/>
                <w:szCs w:val="24"/>
                <w:highlight w:val="none"/>
                <w:lang w:val="en-US" w:eastAsia="zh-CN"/>
              </w:rPr>
              <w:t>坐标见表2-1。</w:t>
            </w:r>
          </w:p>
          <w:p w14:paraId="64812F41">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拟建项目拐点塔基情况</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462"/>
              <w:gridCol w:w="1462"/>
              <w:gridCol w:w="1462"/>
              <w:gridCol w:w="1462"/>
              <w:gridCol w:w="1462"/>
            </w:tblGrid>
            <w:tr w14:paraId="2F51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378F4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杆塔编号</w:t>
                  </w:r>
                </w:p>
              </w:tc>
              <w:tc>
                <w:tcPr>
                  <w:tcW w:w="1462" w:type="dxa"/>
                  <w:vAlign w:val="center"/>
                </w:tcPr>
                <w:p w14:paraId="4FD725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横坐标（m）</w:t>
                  </w:r>
                </w:p>
              </w:tc>
              <w:tc>
                <w:tcPr>
                  <w:tcW w:w="1462" w:type="dxa"/>
                  <w:vAlign w:val="center"/>
                </w:tcPr>
                <w:p w14:paraId="1C940DE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纵坐标（</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baseline"/>
                      <w:lang w:eastAsia="zh-CN"/>
                    </w:rPr>
                    <w:t>）</w:t>
                  </w:r>
                </w:p>
              </w:tc>
              <w:tc>
                <w:tcPr>
                  <w:tcW w:w="1462" w:type="dxa"/>
                  <w:vAlign w:val="center"/>
                </w:tcPr>
                <w:p w14:paraId="34B1D9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至下一基塔的档距（m）</w:t>
                  </w:r>
                </w:p>
              </w:tc>
              <w:tc>
                <w:tcPr>
                  <w:tcW w:w="1462" w:type="dxa"/>
                  <w:vAlign w:val="center"/>
                </w:tcPr>
                <w:p w14:paraId="353DC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至下一基塔基的转角</w:t>
                  </w:r>
                </w:p>
              </w:tc>
              <w:tc>
                <w:tcPr>
                  <w:tcW w:w="1462" w:type="dxa"/>
                  <w:vAlign w:val="center"/>
                </w:tcPr>
                <w:p w14:paraId="53206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备注</w:t>
                  </w:r>
                </w:p>
              </w:tc>
            </w:tr>
            <w:tr w14:paraId="7DD1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1F03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w:t>
                  </w:r>
                </w:p>
              </w:tc>
              <w:tc>
                <w:tcPr>
                  <w:tcW w:w="1462" w:type="dxa"/>
                  <w:vAlign w:val="center"/>
                </w:tcPr>
                <w:p w14:paraId="3E370F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39500895.99</w:t>
                  </w:r>
                </w:p>
              </w:tc>
              <w:tc>
                <w:tcPr>
                  <w:tcW w:w="1462" w:type="dxa"/>
                  <w:vAlign w:val="center"/>
                </w:tcPr>
                <w:p w14:paraId="5E94879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4658639.97</w:t>
                  </w:r>
                </w:p>
              </w:tc>
              <w:tc>
                <w:tcPr>
                  <w:tcW w:w="1462" w:type="dxa"/>
                  <w:vAlign w:val="center"/>
                </w:tcPr>
                <w:p w14:paraId="09140B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395</w:t>
                  </w:r>
                </w:p>
              </w:tc>
              <w:tc>
                <w:tcPr>
                  <w:tcW w:w="1462" w:type="dxa"/>
                  <w:vAlign w:val="center"/>
                </w:tcPr>
                <w:p w14:paraId="193ED6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左89°59′59″</w:t>
                  </w:r>
                </w:p>
              </w:tc>
              <w:tc>
                <w:tcPr>
                  <w:tcW w:w="1462" w:type="dxa"/>
                  <w:vAlign w:val="center"/>
                </w:tcPr>
                <w:p w14:paraId="16C195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C2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A4A7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w:t>
                  </w:r>
                </w:p>
              </w:tc>
              <w:tc>
                <w:tcPr>
                  <w:tcW w:w="1462" w:type="dxa"/>
                  <w:vAlign w:val="center"/>
                </w:tcPr>
                <w:p w14:paraId="3D11BB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39501255.94</w:t>
                  </w:r>
                </w:p>
              </w:tc>
              <w:tc>
                <w:tcPr>
                  <w:tcW w:w="1462" w:type="dxa"/>
                  <w:vAlign w:val="center"/>
                </w:tcPr>
                <w:p w14:paraId="114C666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4658477.59</w:t>
                  </w:r>
                </w:p>
              </w:tc>
              <w:tc>
                <w:tcPr>
                  <w:tcW w:w="1462" w:type="dxa"/>
                  <w:vAlign w:val="center"/>
                </w:tcPr>
                <w:p w14:paraId="613A90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1462" w:type="dxa"/>
                  <w:vAlign w:val="center"/>
                </w:tcPr>
                <w:p w14:paraId="635172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58A13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11C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8432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w:t>
                  </w:r>
                </w:p>
              </w:tc>
              <w:tc>
                <w:tcPr>
                  <w:tcW w:w="1462" w:type="dxa"/>
                  <w:vAlign w:val="center"/>
                </w:tcPr>
                <w:p w14:paraId="497390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39501532.02</w:t>
                  </w:r>
                </w:p>
              </w:tc>
              <w:tc>
                <w:tcPr>
                  <w:tcW w:w="1462" w:type="dxa"/>
                  <w:vAlign w:val="center"/>
                </w:tcPr>
                <w:p w14:paraId="656D107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4658353.05</w:t>
                  </w:r>
                </w:p>
              </w:tc>
              <w:tc>
                <w:tcPr>
                  <w:tcW w:w="1462" w:type="dxa"/>
                  <w:vAlign w:val="center"/>
                </w:tcPr>
                <w:p w14:paraId="18D97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560</w:t>
                  </w:r>
                </w:p>
              </w:tc>
              <w:tc>
                <w:tcPr>
                  <w:tcW w:w="1462" w:type="dxa"/>
                  <w:vAlign w:val="center"/>
                </w:tcPr>
                <w:p w14:paraId="41FB1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右12°24′59″</w:t>
                  </w:r>
                </w:p>
              </w:tc>
              <w:tc>
                <w:tcPr>
                  <w:tcW w:w="1462" w:type="dxa"/>
                  <w:vAlign w:val="center"/>
                </w:tcPr>
                <w:p w14:paraId="2FF73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AC9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DB1A8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w:t>
                  </w:r>
                </w:p>
              </w:tc>
              <w:tc>
                <w:tcPr>
                  <w:tcW w:w="1462" w:type="dxa"/>
                  <w:vAlign w:val="center"/>
                </w:tcPr>
                <w:p w14:paraId="040B1C0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39501980.82</w:t>
                  </w:r>
                </w:p>
              </w:tc>
              <w:tc>
                <w:tcPr>
                  <w:tcW w:w="1462" w:type="dxa"/>
                  <w:vAlign w:val="center"/>
                </w:tcPr>
                <w:p w14:paraId="3147EC6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4658018.56</w:t>
                  </w:r>
                </w:p>
              </w:tc>
              <w:tc>
                <w:tcPr>
                  <w:tcW w:w="1462" w:type="dxa"/>
                  <w:vAlign w:val="center"/>
                </w:tcPr>
                <w:p w14:paraId="2A5053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362</w:t>
                  </w:r>
                </w:p>
              </w:tc>
              <w:tc>
                <w:tcPr>
                  <w:tcW w:w="1462" w:type="dxa"/>
                  <w:vAlign w:val="center"/>
                </w:tcPr>
                <w:p w14:paraId="4122FA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左55°55′10″</w:t>
                  </w:r>
                </w:p>
              </w:tc>
              <w:tc>
                <w:tcPr>
                  <w:tcW w:w="1462" w:type="dxa"/>
                  <w:vMerge w:val="restart"/>
                  <w:vAlign w:val="center"/>
                </w:tcPr>
                <w:p w14:paraId="4DE47E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国家林业和草原局出具了《关于同意华能围场“风光储氢热一体化”项目（光伏200MW）项目220kV送出线路工程穿越河北滦河上游国家级自然保护区实验区的行政许可决定》（林保许准（冀）[2024]10号），保护区内塔基23基，本项目与批复位置一致</w:t>
                  </w:r>
                </w:p>
              </w:tc>
            </w:tr>
            <w:tr w14:paraId="5DA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0C23C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w:t>
                  </w:r>
                </w:p>
              </w:tc>
              <w:tc>
                <w:tcPr>
                  <w:tcW w:w="1462" w:type="dxa"/>
                  <w:vAlign w:val="center"/>
                </w:tcPr>
                <w:p w14:paraId="74933E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39502322.48</w:t>
                  </w:r>
                </w:p>
              </w:tc>
              <w:tc>
                <w:tcPr>
                  <w:tcW w:w="1462" w:type="dxa"/>
                  <w:vAlign w:val="center"/>
                </w:tcPr>
                <w:p w14:paraId="7A73C33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4658137.69</w:t>
                  </w:r>
                </w:p>
              </w:tc>
              <w:tc>
                <w:tcPr>
                  <w:tcW w:w="1462" w:type="dxa"/>
                  <w:vAlign w:val="center"/>
                </w:tcPr>
                <w:p w14:paraId="6BD2C0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1462" w:type="dxa"/>
                  <w:vAlign w:val="center"/>
                </w:tcPr>
                <w:p w14:paraId="355D89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4161A8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9A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B3C8A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N6</w:t>
                  </w:r>
                </w:p>
              </w:tc>
              <w:tc>
                <w:tcPr>
                  <w:tcW w:w="1462" w:type="dxa"/>
                  <w:vAlign w:val="center"/>
                </w:tcPr>
                <w:p w14:paraId="467AD1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39502601.34</w:t>
                  </w:r>
                </w:p>
              </w:tc>
              <w:tc>
                <w:tcPr>
                  <w:tcW w:w="1462" w:type="dxa"/>
                  <w:vAlign w:val="center"/>
                </w:tcPr>
                <w:p w14:paraId="28516E98">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4658234.93</w:t>
                  </w:r>
                </w:p>
              </w:tc>
              <w:tc>
                <w:tcPr>
                  <w:tcW w:w="1462" w:type="dxa"/>
                  <w:vAlign w:val="center"/>
                </w:tcPr>
                <w:p w14:paraId="3958B5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1462" w:type="dxa"/>
                  <w:vAlign w:val="center"/>
                </w:tcPr>
                <w:p w14:paraId="0F035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7188F7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B2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989AD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N7</w:t>
                  </w:r>
                </w:p>
              </w:tc>
              <w:tc>
                <w:tcPr>
                  <w:tcW w:w="1462" w:type="dxa"/>
                  <w:vAlign w:val="center"/>
                </w:tcPr>
                <w:p w14:paraId="2BBDBE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39503014.84</w:t>
                  </w:r>
                </w:p>
              </w:tc>
              <w:tc>
                <w:tcPr>
                  <w:tcW w:w="1462" w:type="dxa"/>
                  <w:vAlign w:val="center"/>
                </w:tcPr>
                <w:p w14:paraId="1BCB0FE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4658379.11</w:t>
                  </w:r>
                </w:p>
              </w:tc>
              <w:tc>
                <w:tcPr>
                  <w:tcW w:w="1462" w:type="dxa"/>
                  <w:vAlign w:val="center"/>
                </w:tcPr>
                <w:p w14:paraId="6D22C7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1462" w:type="dxa"/>
                  <w:vAlign w:val="center"/>
                </w:tcPr>
                <w:p w14:paraId="6AA25A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4014FA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252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47838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N8</w:t>
                  </w:r>
                </w:p>
              </w:tc>
              <w:tc>
                <w:tcPr>
                  <w:tcW w:w="1462" w:type="dxa"/>
                  <w:vAlign w:val="center"/>
                </w:tcPr>
                <w:p w14:paraId="3F67AC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39503443.31</w:t>
                  </w:r>
                </w:p>
              </w:tc>
              <w:tc>
                <w:tcPr>
                  <w:tcW w:w="1462" w:type="dxa"/>
                  <w:vAlign w:val="center"/>
                </w:tcPr>
                <w:p w14:paraId="46AAAF9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4658528.50</w:t>
                  </w:r>
                </w:p>
              </w:tc>
              <w:tc>
                <w:tcPr>
                  <w:tcW w:w="1462" w:type="dxa"/>
                  <w:vAlign w:val="center"/>
                </w:tcPr>
                <w:p w14:paraId="0DC2E7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462" w:type="dxa"/>
                  <w:vAlign w:val="center"/>
                </w:tcPr>
                <w:p w14:paraId="36473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709FD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7A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6B491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N9</w:t>
                  </w:r>
                </w:p>
              </w:tc>
              <w:tc>
                <w:tcPr>
                  <w:tcW w:w="1462" w:type="dxa"/>
                  <w:vAlign w:val="center"/>
                </w:tcPr>
                <w:p w14:paraId="6F80FE3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39503650.01</w:t>
                  </w:r>
                </w:p>
              </w:tc>
              <w:tc>
                <w:tcPr>
                  <w:tcW w:w="1462" w:type="dxa"/>
                  <w:vAlign w:val="center"/>
                </w:tcPr>
                <w:p w14:paraId="5171E39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4658600.58</w:t>
                  </w:r>
                </w:p>
              </w:tc>
              <w:tc>
                <w:tcPr>
                  <w:tcW w:w="1462" w:type="dxa"/>
                  <w:vAlign w:val="center"/>
                </w:tcPr>
                <w:p w14:paraId="1F493E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1462" w:type="dxa"/>
                  <w:vAlign w:val="center"/>
                </w:tcPr>
                <w:p w14:paraId="46C97E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747B5A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FE8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E80B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N10</w:t>
                  </w:r>
                </w:p>
              </w:tc>
              <w:tc>
                <w:tcPr>
                  <w:tcW w:w="1462" w:type="dxa"/>
                  <w:vAlign w:val="center"/>
                </w:tcPr>
                <w:p w14:paraId="222B7B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39504093.31</w:t>
                  </w:r>
                </w:p>
              </w:tc>
              <w:tc>
                <w:tcPr>
                  <w:tcW w:w="1462" w:type="dxa"/>
                  <w:vAlign w:val="center"/>
                </w:tcPr>
                <w:p w14:paraId="67A0069A">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4658755.15</w:t>
                  </w:r>
                </w:p>
              </w:tc>
              <w:tc>
                <w:tcPr>
                  <w:tcW w:w="1462" w:type="dxa"/>
                  <w:vAlign w:val="center"/>
                </w:tcPr>
                <w:p w14:paraId="3AD49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618</w:t>
                  </w:r>
                </w:p>
              </w:tc>
              <w:tc>
                <w:tcPr>
                  <w:tcW w:w="1462" w:type="dxa"/>
                  <w:vAlign w:val="center"/>
                </w:tcPr>
                <w:p w14:paraId="45B1E0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7B3D39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1AA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38A0E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N11</w:t>
                  </w:r>
                </w:p>
              </w:tc>
              <w:tc>
                <w:tcPr>
                  <w:tcW w:w="1462" w:type="dxa"/>
                  <w:vAlign w:val="center"/>
                </w:tcPr>
                <w:p w14:paraId="0ADF900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39504676.58</w:t>
                  </w:r>
                </w:p>
              </w:tc>
              <w:tc>
                <w:tcPr>
                  <w:tcW w:w="1462" w:type="dxa"/>
                  <w:vAlign w:val="center"/>
                </w:tcPr>
                <w:p w14:paraId="37D2813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4658958.52</w:t>
                  </w:r>
                </w:p>
              </w:tc>
              <w:tc>
                <w:tcPr>
                  <w:tcW w:w="1462" w:type="dxa"/>
                  <w:vAlign w:val="center"/>
                </w:tcPr>
                <w:p w14:paraId="17BBB9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1462" w:type="dxa"/>
                  <w:vAlign w:val="center"/>
                </w:tcPr>
                <w:p w14:paraId="41588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718DA5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27F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4D28B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N12</w:t>
                  </w:r>
                </w:p>
              </w:tc>
              <w:tc>
                <w:tcPr>
                  <w:tcW w:w="1462" w:type="dxa"/>
                  <w:vAlign w:val="center"/>
                </w:tcPr>
                <w:p w14:paraId="0D5B8F9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39505176.93</w:t>
                  </w:r>
                </w:p>
              </w:tc>
              <w:tc>
                <w:tcPr>
                  <w:tcW w:w="1462" w:type="dxa"/>
                  <w:vAlign w:val="center"/>
                </w:tcPr>
                <w:p w14:paraId="2B9E3AC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4659132.99</w:t>
                  </w:r>
                </w:p>
              </w:tc>
              <w:tc>
                <w:tcPr>
                  <w:tcW w:w="1462" w:type="dxa"/>
                  <w:vAlign w:val="center"/>
                </w:tcPr>
                <w:p w14:paraId="2F4ADF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462" w:type="dxa"/>
                  <w:vAlign w:val="center"/>
                </w:tcPr>
                <w:p w14:paraId="075D9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右19°47′32″</w:t>
                  </w:r>
                </w:p>
              </w:tc>
              <w:tc>
                <w:tcPr>
                  <w:tcW w:w="1462" w:type="dxa"/>
                  <w:vMerge w:val="continue"/>
                  <w:vAlign w:val="center"/>
                </w:tcPr>
                <w:p w14:paraId="5D0002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450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C955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N13</w:t>
                  </w:r>
                </w:p>
              </w:tc>
              <w:tc>
                <w:tcPr>
                  <w:tcW w:w="1462" w:type="dxa"/>
                  <w:vAlign w:val="center"/>
                </w:tcPr>
                <w:p w14:paraId="17FF9AC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39505396.36</w:t>
                  </w:r>
                </w:p>
              </w:tc>
              <w:tc>
                <w:tcPr>
                  <w:tcW w:w="1462" w:type="dxa"/>
                  <w:vAlign w:val="center"/>
                </w:tcPr>
                <w:p w14:paraId="2C66FA0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4659130.80</w:t>
                  </w:r>
                </w:p>
              </w:tc>
              <w:tc>
                <w:tcPr>
                  <w:tcW w:w="1462" w:type="dxa"/>
                  <w:vAlign w:val="center"/>
                </w:tcPr>
                <w:p w14:paraId="7ACF34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691</w:t>
                  </w:r>
                </w:p>
              </w:tc>
              <w:tc>
                <w:tcPr>
                  <w:tcW w:w="1462" w:type="dxa"/>
                  <w:vAlign w:val="center"/>
                </w:tcPr>
                <w:p w14:paraId="2CA564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06705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E67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E85AD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N14</w:t>
                  </w:r>
                </w:p>
              </w:tc>
              <w:tc>
                <w:tcPr>
                  <w:tcW w:w="1462" w:type="dxa"/>
                  <w:vAlign w:val="center"/>
                </w:tcPr>
                <w:p w14:paraId="7A5DB50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39506087.48</w:t>
                  </w:r>
                </w:p>
              </w:tc>
              <w:tc>
                <w:tcPr>
                  <w:tcW w:w="1462" w:type="dxa"/>
                  <w:vAlign w:val="center"/>
                </w:tcPr>
                <w:p w14:paraId="1D7ABE1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4659123.93</w:t>
                  </w:r>
                </w:p>
              </w:tc>
              <w:tc>
                <w:tcPr>
                  <w:tcW w:w="1462" w:type="dxa"/>
                  <w:vAlign w:val="center"/>
                </w:tcPr>
                <w:p w14:paraId="52B93B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412</w:t>
                  </w:r>
                </w:p>
              </w:tc>
              <w:tc>
                <w:tcPr>
                  <w:tcW w:w="1462" w:type="dxa"/>
                  <w:vAlign w:val="center"/>
                </w:tcPr>
                <w:p w14:paraId="2169FF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右47°33′08″</w:t>
                  </w:r>
                </w:p>
              </w:tc>
              <w:tc>
                <w:tcPr>
                  <w:tcW w:w="1462" w:type="dxa"/>
                  <w:vMerge w:val="continue"/>
                  <w:vAlign w:val="center"/>
                </w:tcPr>
                <w:p w14:paraId="42B87D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8BE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9DEF4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N15</w:t>
                  </w:r>
                </w:p>
              </w:tc>
              <w:tc>
                <w:tcPr>
                  <w:tcW w:w="1462" w:type="dxa"/>
                  <w:vAlign w:val="center"/>
                </w:tcPr>
                <w:p w14:paraId="3C572DE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39506362.42</w:t>
                  </w:r>
                </w:p>
              </w:tc>
              <w:tc>
                <w:tcPr>
                  <w:tcW w:w="1462" w:type="dxa"/>
                  <w:vAlign w:val="center"/>
                </w:tcPr>
                <w:p w14:paraId="15E3431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4658817.25</w:t>
                  </w:r>
                </w:p>
              </w:tc>
              <w:tc>
                <w:tcPr>
                  <w:tcW w:w="1462" w:type="dxa"/>
                  <w:vAlign w:val="center"/>
                </w:tcPr>
                <w:p w14:paraId="65E421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1462" w:type="dxa"/>
                  <w:vAlign w:val="center"/>
                </w:tcPr>
                <w:p w14:paraId="451E75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左16°20′22″</w:t>
                  </w:r>
                </w:p>
              </w:tc>
              <w:tc>
                <w:tcPr>
                  <w:tcW w:w="1462" w:type="dxa"/>
                  <w:vMerge w:val="continue"/>
                  <w:vAlign w:val="center"/>
                </w:tcPr>
                <w:p w14:paraId="3F6E76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068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04877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N16</w:t>
                  </w:r>
                </w:p>
              </w:tc>
              <w:tc>
                <w:tcPr>
                  <w:tcW w:w="1462" w:type="dxa"/>
                  <w:vAlign w:val="center"/>
                </w:tcPr>
                <w:p w14:paraId="47742E6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39506734.37</w:t>
                  </w:r>
                </w:p>
              </w:tc>
              <w:tc>
                <w:tcPr>
                  <w:tcW w:w="1462" w:type="dxa"/>
                  <w:vAlign w:val="center"/>
                </w:tcPr>
                <w:p w14:paraId="3D81834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4658586.79</w:t>
                  </w:r>
                </w:p>
              </w:tc>
              <w:tc>
                <w:tcPr>
                  <w:tcW w:w="1462" w:type="dxa"/>
                  <w:vAlign w:val="center"/>
                </w:tcPr>
                <w:p w14:paraId="08A52C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1462" w:type="dxa"/>
                  <w:vAlign w:val="center"/>
                </w:tcPr>
                <w:p w14:paraId="0A0F68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左4°57′27″</w:t>
                  </w:r>
                </w:p>
              </w:tc>
              <w:tc>
                <w:tcPr>
                  <w:tcW w:w="1462" w:type="dxa"/>
                  <w:vMerge w:val="continue"/>
                  <w:vAlign w:val="center"/>
                </w:tcPr>
                <w:p w14:paraId="6F0A2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DD8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E3C9A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N17</w:t>
                  </w:r>
                </w:p>
              </w:tc>
              <w:tc>
                <w:tcPr>
                  <w:tcW w:w="1462" w:type="dxa"/>
                  <w:vAlign w:val="center"/>
                </w:tcPr>
                <w:p w14:paraId="163ED5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39507040.85</w:t>
                  </w:r>
                </w:p>
              </w:tc>
              <w:tc>
                <w:tcPr>
                  <w:tcW w:w="1462" w:type="dxa"/>
                  <w:vAlign w:val="center"/>
                </w:tcPr>
                <w:p w14:paraId="1DB5123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4658431.81</w:t>
                  </w:r>
                </w:p>
              </w:tc>
              <w:tc>
                <w:tcPr>
                  <w:tcW w:w="1462" w:type="dxa"/>
                  <w:vAlign w:val="center"/>
                </w:tcPr>
                <w:p w14:paraId="6C49BD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1462" w:type="dxa"/>
                  <w:vAlign w:val="center"/>
                </w:tcPr>
                <w:p w14:paraId="6859D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1C4F1B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D59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AD15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N18</w:t>
                  </w:r>
                </w:p>
              </w:tc>
              <w:tc>
                <w:tcPr>
                  <w:tcW w:w="1462" w:type="dxa"/>
                  <w:vAlign w:val="center"/>
                </w:tcPr>
                <w:p w14:paraId="569E100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39507218.24</w:t>
                  </w:r>
                </w:p>
              </w:tc>
              <w:tc>
                <w:tcPr>
                  <w:tcW w:w="1462" w:type="dxa"/>
                  <w:vAlign w:val="center"/>
                </w:tcPr>
                <w:p w14:paraId="2F5D467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4658342.11</w:t>
                  </w:r>
                </w:p>
              </w:tc>
              <w:tc>
                <w:tcPr>
                  <w:tcW w:w="1462" w:type="dxa"/>
                  <w:vAlign w:val="center"/>
                </w:tcPr>
                <w:p w14:paraId="30C1C0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328</w:t>
                  </w:r>
                </w:p>
              </w:tc>
              <w:tc>
                <w:tcPr>
                  <w:tcW w:w="1462" w:type="dxa"/>
                  <w:vAlign w:val="center"/>
                </w:tcPr>
                <w:p w14:paraId="59770F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0C1EE9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77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B129F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N19</w:t>
                  </w:r>
                </w:p>
              </w:tc>
              <w:tc>
                <w:tcPr>
                  <w:tcW w:w="1462" w:type="dxa"/>
                  <w:vAlign w:val="center"/>
                </w:tcPr>
                <w:p w14:paraId="4BC7A6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39507511.28</w:t>
                  </w:r>
                </w:p>
              </w:tc>
              <w:tc>
                <w:tcPr>
                  <w:tcW w:w="1462" w:type="dxa"/>
                  <w:vAlign w:val="center"/>
                </w:tcPr>
                <w:p w14:paraId="4DA8463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4658193.92</w:t>
                  </w:r>
                </w:p>
              </w:tc>
              <w:tc>
                <w:tcPr>
                  <w:tcW w:w="1462" w:type="dxa"/>
                  <w:vAlign w:val="center"/>
                </w:tcPr>
                <w:p w14:paraId="052FCB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286</w:t>
                  </w:r>
                </w:p>
              </w:tc>
              <w:tc>
                <w:tcPr>
                  <w:tcW w:w="1462" w:type="dxa"/>
                  <w:vAlign w:val="center"/>
                </w:tcPr>
                <w:p w14:paraId="529FAF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右27°50′20″</w:t>
                  </w:r>
                </w:p>
              </w:tc>
              <w:tc>
                <w:tcPr>
                  <w:tcW w:w="1462" w:type="dxa"/>
                  <w:vMerge w:val="continue"/>
                  <w:vAlign w:val="center"/>
                </w:tcPr>
                <w:p w14:paraId="64BC53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552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443335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N20</w:t>
                  </w:r>
                </w:p>
              </w:tc>
              <w:tc>
                <w:tcPr>
                  <w:tcW w:w="1462" w:type="dxa"/>
                  <w:vAlign w:val="center"/>
                </w:tcPr>
                <w:p w14:paraId="2E9FCB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39507676.61</w:t>
                  </w:r>
                </w:p>
              </w:tc>
              <w:tc>
                <w:tcPr>
                  <w:tcW w:w="1462" w:type="dxa"/>
                  <w:vAlign w:val="center"/>
                </w:tcPr>
                <w:p w14:paraId="5A89FF08">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4657960.71</w:t>
                  </w:r>
                </w:p>
              </w:tc>
              <w:tc>
                <w:tcPr>
                  <w:tcW w:w="1462" w:type="dxa"/>
                  <w:vAlign w:val="center"/>
                </w:tcPr>
                <w:p w14:paraId="2590E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462" w:type="dxa"/>
                  <w:vAlign w:val="center"/>
                </w:tcPr>
                <w:p w14:paraId="3B54E6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左40°17′41″</w:t>
                  </w:r>
                </w:p>
              </w:tc>
              <w:tc>
                <w:tcPr>
                  <w:tcW w:w="1462" w:type="dxa"/>
                  <w:vMerge w:val="continue"/>
                  <w:vAlign w:val="center"/>
                </w:tcPr>
                <w:p w14:paraId="41FEF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BE5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FF94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N21</w:t>
                  </w:r>
                </w:p>
              </w:tc>
              <w:tc>
                <w:tcPr>
                  <w:tcW w:w="1462" w:type="dxa"/>
                  <w:vAlign w:val="center"/>
                </w:tcPr>
                <w:p w14:paraId="61B0B5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39507807.39</w:t>
                  </w:r>
                </w:p>
              </w:tc>
              <w:tc>
                <w:tcPr>
                  <w:tcW w:w="1462" w:type="dxa"/>
                  <w:vAlign w:val="center"/>
                </w:tcPr>
                <w:p w14:paraId="7165D95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4657927.21</w:t>
                  </w:r>
                </w:p>
              </w:tc>
              <w:tc>
                <w:tcPr>
                  <w:tcW w:w="1462" w:type="dxa"/>
                  <w:vAlign w:val="center"/>
                </w:tcPr>
                <w:p w14:paraId="300EF1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1462" w:type="dxa"/>
                  <w:vAlign w:val="center"/>
                </w:tcPr>
                <w:p w14:paraId="5AB7D6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6E32F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741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69923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N22</w:t>
                  </w:r>
                </w:p>
              </w:tc>
              <w:tc>
                <w:tcPr>
                  <w:tcW w:w="1462" w:type="dxa"/>
                  <w:vAlign w:val="center"/>
                </w:tcPr>
                <w:p w14:paraId="526CF5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39508072.47</w:t>
                  </w:r>
                </w:p>
              </w:tc>
              <w:tc>
                <w:tcPr>
                  <w:tcW w:w="1462" w:type="dxa"/>
                  <w:vAlign w:val="center"/>
                </w:tcPr>
                <w:p w14:paraId="15EF4CB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4657859.30</w:t>
                  </w:r>
                </w:p>
              </w:tc>
              <w:tc>
                <w:tcPr>
                  <w:tcW w:w="1462" w:type="dxa"/>
                  <w:vAlign w:val="center"/>
                </w:tcPr>
                <w:p w14:paraId="1383AB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564</w:t>
                  </w:r>
                </w:p>
              </w:tc>
              <w:tc>
                <w:tcPr>
                  <w:tcW w:w="1462" w:type="dxa"/>
                  <w:vAlign w:val="center"/>
                </w:tcPr>
                <w:p w14:paraId="131D61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右47°8′27″</w:t>
                  </w:r>
                </w:p>
              </w:tc>
              <w:tc>
                <w:tcPr>
                  <w:tcW w:w="1462" w:type="dxa"/>
                  <w:vMerge w:val="continue"/>
                  <w:vAlign w:val="center"/>
                </w:tcPr>
                <w:p w14:paraId="12FCC5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28D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2" w:type="dxa"/>
                  <w:vAlign w:val="center"/>
                </w:tcPr>
                <w:p w14:paraId="5DF3FA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N23</w:t>
                  </w:r>
                </w:p>
              </w:tc>
              <w:tc>
                <w:tcPr>
                  <w:tcW w:w="1462" w:type="dxa"/>
                  <w:vAlign w:val="center"/>
                </w:tcPr>
                <w:p w14:paraId="34946AF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39508341.27</w:t>
                  </w:r>
                </w:p>
              </w:tc>
              <w:tc>
                <w:tcPr>
                  <w:tcW w:w="1462" w:type="dxa"/>
                  <w:vAlign w:val="center"/>
                </w:tcPr>
                <w:p w14:paraId="33227A0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4657363.99</w:t>
                  </w:r>
                </w:p>
              </w:tc>
              <w:tc>
                <w:tcPr>
                  <w:tcW w:w="1462" w:type="dxa"/>
                  <w:vAlign w:val="center"/>
                </w:tcPr>
                <w:p w14:paraId="58CF80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1462" w:type="dxa"/>
                  <w:vAlign w:val="center"/>
                </w:tcPr>
                <w:p w14:paraId="342135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右37°11′9″</w:t>
                  </w:r>
                </w:p>
              </w:tc>
              <w:tc>
                <w:tcPr>
                  <w:tcW w:w="1462" w:type="dxa"/>
                  <w:vMerge w:val="continue"/>
                  <w:vAlign w:val="center"/>
                </w:tcPr>
                <w:p w14:paraId="5C951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86A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1F95C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N24</w:t>
                  </w:r>
                </w:p>
              </w:tc>
              <w:tc>
                <w:tcPr>
                  <w:tcW w:w="1462" w:type="dxa"/>
                  <w:vAlign w:val="center"/>
                </w:tcPr>
                <w:p w14:paraId="4946F1D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39508277.13</w:t>
                  </w:r>
                </w:p>
              </w:tc>
              <w:tc>
                <w:tcPr>
                  <w:tcW w:w="1462" w:type="dxa"/>
                  <w:vAlign w:val="center"/>
                </w:tcPr>
                <w:p w14:paraId="0387B63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4656944.68</w:t>
                  </w:r>
                </w:p>
              </w:tc>
              <w:tc>
                <w:tcPr>
                  <w:tcW w:w="1462" w:type="dxa"/>
                  <w:vAlign w:val="center"/>
                </w:tcPr>
                <w:p w14:paraId="55B27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541</w:t>
                  </w:r>
                </w:p>
              </w:tc>
              <w:tc>
                <w:tcPr>
                  <w:tcW w:w="1462" w:type="dxa"/>
                  <w:vAlign w:val="center"/>
                </w:tcPr>
                <w:p w14:paraId="4B6C7E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左26°3′3″</w:t>
                  </w:r>
                </w:p>
              </w:tc>
              <w:tc>
                <w:tcPr>
                  <w:tcW w:w="1462" w:type="dxa"/>
                  <w:vMerge w:val="continue"/>
                  <w:vAlign w:val="center"/>
                </w:tcPr>
                <w:p w14:paraId="67D7FA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89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FEDCC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N25</w:t>
                  </w:r>
                </w:p>
              </w:tc>
              <w:tc>
                <w:tcPr>
                  <w:tcW w:w="1462" w:type="dxa"/>
                  <w:vAlign w:val="center"/>
                </w:tcPr>
                <w:p w14:paraId="60DD5C7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39508438.58</w:t>
                  </w:r>
                </w:p>
              </w:tc>
              <w:tc>
                <w:tcPr>
                  <w:tcW w:w="1462" w:type="dxa"/>
                  <w:vAlign w:val="center"/>
                </w:tcPr>
                <w:p w14:paraId="2F4DBEC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4656428.05</w:t>
                  </w:r>
                </w:p>
              </w:tc>
              <w:tc>
                <w:tcPr>
                  <w:tcW w:w="1462" w:type="dxa"/>
                  <w:vAlign w:val="center"/>
                </w:tcPr>
                <w:p w14:paraId="596A1E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1462" w:type="dxa"/>
                  <w:vAlign w:val="center"/>
                </w:tcPr>
                <w:p w14:paraId="729986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Merge w:val="continue"/>
                  <w:vAlign w:val="center"/>
                </w:tcPr>
                <w:p w14:paraId="105675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8CB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8A62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N26</w:t>
                  </w:r>
                </w:p>
              </w:tc>
              <w:tc>
                <w:tcPr>
                  <w:tcW w:w="1462" w:type="dxa"/>
                  <w:vAlign w:val="center"/>
                </w:tcPr>
                <w:p w14:paraId="3A116A6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39508573.11</w:t>
                  </w:r>
                </w:p>
              </w:tc>
              <w:tc>
                <w:tcPr>
                  <w:tcW w:w="1462" w:type="dxa"/>
                  <w:vAlign w:val="center"/>
                </w:tcPr>
                <w:p w14:paraId="16D40D8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4655997.52</w:t>
                  </w:r>
                </w:p>
              </w:tc>
              <w:tc>
                <w:tcPr>
                  <w:tcW w:w="1462" w:type="dxa"/>
                  <w:vAlign w:val="center"/>
                </w:tcPr>
                <w:p w14:paraId="0E00DE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443</w:t>
                  </w:r>
                </w:p>
              </w:tc>
              <w:tc>
                <w:tcPr>
                  <w:tcW w:w="1462" w:type="dxa"/>
                  <w:vAlign w:val="center"/>
                </w:tcPr>
                <w:p w14:paraId="44B41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左24°33′14″</w:t>
                  </w:r>
                </w:p>
              </w:tc>
              <w:tc>
                <w:tcPr>
                  <w:tcW w:w="1462" w:type="dxa"/>
                  <w:vMerge w:val="continue"/>
                  <w:vAlign w:val="center"/>
                </w:tcPr>
                <w:p w14:paraId="75FB1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7D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001E1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N27</w:t>
                  </w:r>
                </w:p>
              </w:tc>
              <w:tc>
                <w:tcPr>
                  <w:tcW w:w="1462" w:type="dxa"/>
                  <w:vAlign w:val="center"/>
                </w:tcPr>
                <w:p w14:paraId="5E2220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39508868.87</w:t>
                  </w:r>
                </w:p>
              </w:tc>
              <w:tc>
                <w:tcPr>
                  <w:tcW w:w="1462" w:type="dxa"/>
                  <w:vAlign w:val="center"/>
                </w:tcPr>
                <w:p w14:paraId="4C85690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4655667.97</w:t>
                  </w:r>
                </w:p>
              </w:tc>
              <w:tc>
                <w:tcPr>
                  <w:tcW w:w="1462" w:type="dxa"/>
                  <w:vAlign w:val="center"/>
                </w:tcPr>
                <w:p w14:paraId="29098F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338</w:t>
                  </w:r>
                </w:p>
              </w:tc>
              <w:tc>
                <w:tcPr>
                  <w:tcW w:w="1462" w:type="dxa"/>
                  <w:vAlign w:val="center"/>
                </w:tcPr>
                <w:p w14:paraId="5653AF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4F5686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2E7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6434F8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N28</w:t>
                  </w:r>
                </w:p>
              </w:tc>
              <w:tc>
                <w:tcPr>
                  <w:tcW w:w="1462" w:type="dxa"/>
                  <w:vAlign w:val="center"/>
                </w:tcPr>
                <w:p w14:paraId="4DD777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39509094.70</w:t>
                  </w:r>
                </w:p>
              </w:tc>
              <w:tc>
                <w:tcPr>
                  <w:tcW w:w="1462" w:type="dxa"/>
                  <w:vAlign w:val="center"/>
                </w:tcPr>
                <w:p w14:paraId="4BB7BAF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4655416.35</w:t>
                  </w:r>
                </w:p>
              </w:tc>
              <w:tc>
                <w:tcPr>
                  <w:tcW w:w="1462" w:type="dxa"/>
                  <w:vAlign w:val="center"/>
                </w:tcPr>
                <w:p w14:paraId="69718A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1462" w:type="dxa"/>
                  <w:vAlign w:val="center"/>
                </w:tcPr>
                <w:p w14:paraId="5DD55F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017E58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50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B2A8A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N29</w:t>
                  </w:r>
                </w:p>
              </w:tc>
              <w:tc>
                <w:tcPr>
                  <w:tcW w:w="1462" w:type="dxa"/>
                  <w:vAlign w:val="center"/>
                </w:tcPr>
                <w:p w14:paraId="49AC04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39509365.81</w:t>
                  </w:r>
                </w:p>
              </w:tc>
              <w:tc>
                <w:tcPr>
                  <w:tcW w:w="1462" w:type="dxa"/>
                  <w:vAlign w:val="center"/>
                </w:tcPr>
                <w:p w14:paraId="441D027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4655114.28</w:t>
                  </w:r>
                </w:p>
              </w:tc>
              <w:tc>
                <w:tcPr>
                  <w:tcW w:w="1462" w:type="dxa"/>
                  <w:vAlign w:val="center"/>
                </w:tcPr>
                <w:p w14:paraId="00A8B4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452</w:t>
                  </w:r>
                </w:p>
              </w:tc>
              <w:tc>
                <w:tcPr>
                  <w:tcW w:w="1462" w:type="dxa"/>
                  <w:vAlign w:val="center"/>
                </w:tcPr>
                <w:p w14:paraId="5C236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29257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F0D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61DF41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N30</w:t>
                  </w:r>
                </w:p>
              </w:tc>
              <w:tc>
                <w:tcPr>
                  <w:tcW w:w="1462" w:type="dxa"/>
                  <w:vAlign w:val="center"/>
                </w:tcPr>
                <w:p w14:paraId="55E117E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39509667.71</w:t>
                  </w:r>
                </w:p>
              </w:tc>
              <w:tc>
                <w:tcPr>
                  <w:tcW w:w="1462" w:type="dxa"/>
                  <w:vAlign w:val="center"/>
                </w:tcPr>
                <w:p w14:paraId="76F887D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4654777.89</w:t>
                  </w:r>
                </w:p>
              </w:tc>
              <w:tc>
                <w:tcPr>
                  <w:tcW w:w="1462" w:type="dxa"/>
                  <w:vAlign w:val="center"/>
                </w:tcPr>
                <w:p w14:paraId="5986BA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1462" w:type="dxa"/>
                  <w:vAlign w:val="center"/>
                </w:tcPr>
                <w:p w14:paraId="41ABD4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434786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D46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CC137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N31</w:t>
                  </w:r>
                </w:p>
              </w:tc>
              <w:tc>
                <w:tcPr>
                  <w:tcW w:w="1462" w:type="dxa"/>
                  <w:vAlign w:val="center"/>
                </w:tcPr>
                <w:p w14:paraId="0B79C59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39509882.74</w:t>
                  </w:r>
                </w:p>
              </w:tc>
              <w:tc>
                <w:tcPr>
                  <w:tcW w:w="1462" w:type="dxa"/>
                  <w:vAlign w:val="center"/>
                </w:tcPr>
                <w:p w14:paraId="1030A7C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4654538.30</w:t>
                  </w:r>
                </w:p>
              </w:tc>
              <w:tc>
                <w:tcPr>
                  <w:tcW w:w="1462" w:type="dxa"/>
                  <w:vAlign w:val="center"/>
                </w:tcPr>
                <w:p w14:paraId="55B7A5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462" w:type="dxa"/>
                  <w:vAlign w:val="center"/>
                </w:tcPr>
                <w:p w14:paraId="65F25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46C944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262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59289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N32</w:t>
                  </w:r>
                </w:p>
              </w:tc>
              <w:tc>
                <w:tcPr>
                  <w:tcW w:w="1462" w:type="dxa"/>
                  <w:vAlign w:val="center"/>
                </w:tcPr>
                <w:p w14:paraId="1CEB50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39510183.13</w:t>
                  </w:r>
                </w:p>
              </w:tc>
              <w:tc>
                <w:tcPr>
                  <w:tcW w:w="1462" w:type="dxa"/>
                  <w:vAlign w:val="center"/>
                </w:tcPr>
                <w:p w14:paraId="57723758">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4654203.60</w:t>
                  </w:r>
                </w:p>
              </w:tc>
              <w:tc>
                <w:tcPr>
                  <w:tcW w:w="1462" w:type="dxa"/>
                  <w:vAlign w:val="center"/>
                </w:tcPr>
                <w:p w14:paraId="62AB1E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462" w:type="dxa"/>
                  <w:vAlign w:val="center"/>
                </w:tcPr>
                <w:p w14:paraId="2714BA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154B5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CB2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33360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N33</w:t>
                  </w:r>
                </w:p>
              </w:tc>
              <w:tc>
                <w:tcPr>
                  <w:tcW w:w="1462" w:type="dxa"/>
                  <w:vAlign w:val="center"/>
                </w:tcPr>
                <w:p w14:paraId="6B6A57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39510329.38</w:t>
                  </w:r>
                </w:p>
              </w:tc>
              <w:tc>
                <w:tcPr>
                  <w:tcW w:w="1462" w:type="dxa"/>
                  <w:vAlign w:val="center"/>
                </w:tcPr>
                <w:p w14:paraId="75A767B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4654040.64</w:t>
                  </w:r>
                </w:p>
              </w:tc>
              <w:tc>
                <w:tcPr>
                  <w:tcW w:w="1462" w:type="dxa"/>
                  <w:vAlign w:val="center"/>
                </w:tcPr>
                <w:p w14:paraId="4F21FE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453</w:t>
                  </w:r>
                </w:p>
              </w:tc>
              <w:tc>
                <w:tcPr>
                  <w:tcW w:w="1462" w:type="dxa"/>
                  <w:vAlign w:val="center"/>
                </w:tcPr>
                <w:p w14:paraId="2CC51B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0D7144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2D7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A805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N34</w:t>
                  </w:r>
                </w:p>
              </w:tc>
              <w:tc>
                <w:tcPr>
                  <w:tcW w:w="1462" w:type="dxa"/>
                  <w:vAlign w:val="center"/>
                </w:tcPr>
                <w:p w14:paraId="52824D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39510632.10</w:t>
                  </w:r>
                </w:p>
              </w:tc>
              <w:tc>
                <w:tcPr>
                  <w:tcW w:w="1462" w:type="dxa"/>
                  <w:vAlign w:val="center"/>
                </w:tcPr>
                <w:p w14:paraId="73C5F72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4653703.35</w:t>
                  </w:r>
                </w:p>
              </w:tc>
              <w:tc>
                <w:tcPr>
                  <w:tcW w:w="1462" w:type="dxa"/>
                  <w:vAlign w:val="center"/>
                </w:tcPr>
                <w:p w14:paraId="456B6C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1462" w:type="dxa"/>
                  <w:vAlign w:val="center"/>
                </w:tcPr>
                <w:p w14:paraId="18EAED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33F3B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7C9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5AF7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N35</w:t>
                  </w:r>
                </w:p>
              </w:tc>
              <w:tc>
                <w:tcPr>
                  <w:tcW w:w="1462" w:type="dxa"/>
                  <w:vAlign w:val="center"/>
                </w:tcPr>
                <w:p w14:paraId="6792769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39510915.77</w:t>
                  </w:r>
                </w:p>
              </w:tc>
              <w:tc>
                <w:tcPr>
                  <w:tcW w:w="1462" w:type="dxa"/>
                  <w:vAlign w:val="center"/>
                </w:tcPr>
                <w:p w14:paraId="65B3A0B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4653387.29</w:t>
                  </w:r>
                </w:p>
              </w:tc>
              <w:tc>
                <w:tcPr>
                  <w:tcW w:w="1462" w:type="dxa"/>
                  <w:vAlign w:val="center"/>
                </w:tcPr>
                <w:p w14:paraId="352EC7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1462" w:type="dxa"/>
                  <w:vAlign w:val="center"/>
                </w:tcPr>
                <w:p w14:paraId="6B278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53889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E0C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F5C7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N36</w:t>
                  </w:r>
                </w:p>
              </w:tc>
              <w:tc>
                <w:tcPr>
                  <w:tcW w:w="1462" w:type="dxa"/>
                  <w:vAlign w:val="center"/>
                </w:tcPr>
                <w:p w14:paraId="36949E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39511115.68</w:t>
                  </w:r>
                </w:p>
              </w:tc>
              <w:tc>
                <w:tcPr>
                  <w:tcW w:w="1462" w:type="dxa"/>
                  <w:vAlign w:val="center"/>
                </w:tcPr>
                <w:p w14:paraId="762CC81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4653164.54</w:t>
                  </w:r>
                </w:p>
              </w:tc>
              <w:tc>
                <w:tcPr>
                  <w:tcW w:w="1462" w:type="dxa"/>
                  <w:vAlign w:val="center"/>
                </w:tcPr>
                <w:p w14:paraId="64C4A3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485</w:t>
                  </w:r>
                </w:p>
              </w:tc>
              <w:tc>
                <w:tcPr>
                  <w:tcW w:w="1462" w:type="dxa"/>
                  <w:vAlign w:val="center"/>
                </w:tcPr>
                <w:p w14:paraId="32F13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4AFC02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C7A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3FA4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N37</w:t>
                  </w:r>
                </w:p>
              </w:tc>
              <w:tc>
                <w:tcPr>
                  <w:tcW w:w="1462" w:type="dxa"/>
                  <w:vAlign w:val="center"/>
                </w:tcPr>
                <w:p w14:paraId="311152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39511439.57</w:t>
                  </w:r>
                </w:p>
              </w:tc>
              <w:tc>
                <w:tcPr>
                  <w:tcW w:w="1462" w:type="dxa"/>
                  <w:vAlign w:val="center"/>
                </w:tcPr>
                <w:p w14:paraId="6CF3905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4652803.66</w:t>
                  </w:r>
                </w:p>
              </w:tc>
              <w:tc>
                <w:tcPr>
                  <w:tcW w:w="1462" w:type="dxa"/>
                  <w:vAlign w:val="center"/>
                </w:tcPr>
                <w:p w14:paraId="1E53C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1462" w:type="dxa"/>
                  <w:vAlign w:val="center"/>
                </w:tcPr>
                <w:p w14:paraId="34EAF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1833BE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06A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7539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N38</w:t>
                  </w:r>
                </w:p>
              </w:tc>
              <w:tc>
                <w:tcPr>
                  <w:tcW w:w="1462" w:type="dxa"/>
                  <w:vAlign w:val="center"/>
                </w:tcPr>
                <w:p w14:paraId="66791E7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39511654.10</w:t>
                  </w:r>
                </w:p>
              </w:tc>
              <w:tc>
                <w:tcPr>
                  <w:tcW w:w="1462" w:type="dxa"/>
                  <w:vAlign w:val="center"/>
                </w:tcPr>
                <w:p w14:paraId="11F5E2D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4652564.63</w:t>
                  </w:r>
                </w:p>
              </w:tc>
              <w:tc>
                <w:tcPr>
                  <w:tcW w:w="1462" w:type="dxa"/>
                  <w:vAlign w:val="center"/>
                </w:tcPr>
                <w:p w14:paraId="224081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1462" w:type="dxa"/>
                  <w:vAlign w:val="center"/>
                </w:tcPr>
                <w:p w14:paraId="30B797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6D123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AD4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4276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N39</w:t>
                  </w:r>
                </w:p>
              </w:tc>
              <w:tc>
                <w:tcPr>
                  <w:tcW w:w="1462" w:type="dxa"/>
                  <w:vAlign w:val="center"/>
                </w:tcPr>
                <w:p w14:paraId="456581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39511921.70</w:t>
                  </w:r>
                </w:p>
              </w:tc>
              <w:tc>
                <w:tcPr>
                  <w:tcW w:w="1462" w:type="dxa"/>
                  <w:vAlign w:val="center"/>
                </w:tcPr>
                <w:p w14:paraId="28B0CAE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4652266.46</w:t>
                  </w:r>
                </w:p>
              </w:tc>
              <w:tc>
                <w:tcPr>
                  <w:tcW w:w="1462" w:type="dxa"/>
                  <w:vAlign w:val="center"/>
                </w:tcPr>
                <w:p w14:paraId="32DDD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1462" w:type="dxa"/>
                  <w:vAlign w:val="center"/>
                </w:tcPr>
                <w:p w14:paraId="5F8B6E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793F0B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4B5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7DE16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N40</w:t>
                  </w:r>
                </w:p>
              </w:tc>
              <w:tc>
                <w:tcPr>
                  <w:tcW w:w="1462" w:type="dxa"/>
                  <w:vAlign w:val="center"/>
                </w:tcPr>
                <w:p w14:paraId="3FB9D4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39512092.83</w:t>
                  </w:r>
                </w:p>
              </w:tc>
              <w:tc>
                <w:tcPr>
                  <w:tcW w:w="1462" w:type="dxa"/>
                  <w:vAlign w:val="center"/>
                </w:tcPr>
                <w:p w14:paraId="2CD1672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4652075.78</w:t>
                  </w:r>
                </w:p>
              </w:tc>
              <w:tc>
                <w:tcPr>
                  <w:tcW w:w="1462" w:type="dxa"/>
                  <w:vAlign w:val="center"/>
                </w:tcPr>
                <w:p w14:paraId="2D1A4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533</w:t>
                  </w:r>
                </w:p>
              </w:tc>
              <w:tc>
                <w:tcPr>
                  <w:tcW w:w="1462" w:type="dxa"/>
                  <w:vAlign w:val="center"/>
                </w:tcPr>
                <w:p w14:paraId="66DBAF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2F7FBD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F1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DEB3F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N41</w:t>
                  </w:r>
                </w:p>
              </w:tc>
              <w:tc>
                <w:tcPr>
                  <w:tcW w:w="1462" w:type="dxa"/>
                  <w:vAlign w:val="center"/>
                </w:tcPr>
                <w:p w14:paraId="1DE707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39512448.82</w:t>
                  </w:r>
                </w:p>
              </w:tc>
              <w:tc>
                <w:tcPr>
                  <w:tcW w:w="1462" w:type="dxa"/>
                  <w:vAlign w:val="center"/>
                </w:tcPr>
                <w:p w14:paraId="5E17BFC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4651679.13</w:t>
                  </w:r>
                </w:p>
              </w:tc>
              <w:tc>
                <w:tcPr>
                  <w:tcW w:w="1462" w:type="dxa"/>
                  <w:vAlign w:val="center"/>
                </w:tcPr>
                <w:p w14:paraId="79BEA3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1462" w:type="dxa"/>
                  <w:vAlign w:val="center"/>
                </w:tcPr>
                <w:p w14:paraId="46DE54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217532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1CE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4F8CA9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N42</w:t>
                  </w:r>
                </w:p>
              </w:tc>
              <w:tc>
                <w:tcPr>
                  <w:tcW w:w="1462" w:type="dxa"/>
                  <w:vAlign w:val="center"/>
                </w:tcPr>
                <w:p w14:paraId="110FD44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39512665.03</w:t>
                  </w:r>
                </w:p>
              </w:tc>
              <w:tc>
                <w:tcPr>
                  <w:tcW w:w="1462" w:type="dxa"/>
                  <w:vAlign w:val="center"/>
                </w:tcPr>
                <w:p w14:paraId="76D953E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4651438.22</w:t>
                  </w:r>
                </w:p>
              </w:tc>
              <w:tc>
                <w:tcPr>
                  <w:tcW w:w="1462" w:type="dxa"/>
                  <w:vAlign w:val="center"/>
                </w:tcPr>
                <w:p w14:paraId="4A403C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1462" w:type="dxa"/>
                  <w:vAlign w:val="center"/>
                </w:tcPr>
                <w:p w14:paraId="62B864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左19°28′54″</w:t>
                  </w:r>
                </w:p>
              </w:tc>
              <w:tc>
                <w:tcPr>
                  <w:tcW w:w="1462" w:type="dxa"/>
                  <w:vAlign w:val="center"/>
                </w:tcPr>
                <w:p w14:paraId="174800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47C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31A4C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N43</w:t>
                  </w:r>
                </w:p>
              </w:tc>
              <w:tc>
                <w:tcPr>
                  <w:tcW w:w="1462" w:type="dxa"/>
                  <w:vAlign w:val="center"/>
                </w:tcPr>
                <w:p w14:paraId="48EAD11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39512957.84</w:t>
                  </w:r>
                </w:p>
              </w:tc>
              <w:tc>
                <w:tcPr>
                  <w:tcW w:w="1462" w:type="dxa"/>
                  <w:vAlign w:val="center"/>
                </w:tcPr>
                <w:p w14:paraId="763F8EF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4651278.51</w:t>
                  </w:r>
                </w:p>
              </w:tc>
              <w:tc>
                <w:tcPr>
                  <w:tcW w:w="1462" w:type="dxa"/>
                  <w:vAlign w:val="center"/>
                </w:tcPr>
                <w:p w14:paraId="1A491C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2" w:type="dxa"/>
                  <w:vAlign w:val="center"/>
                </w:tcPr>
                <w:p w14:paraId="06BF34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右40°21′32″</w:t>
                  </w:r>
                </w:p>
              </w:tc>
              <w:tc>
                <w:tcPr>
                  <w:tcW w:w="1462" w:type="dxa"/>
                  <w:vAlign w:val="center"/>
                </w:tcPr>
                <w:p w14:paraId="38AF8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815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514C2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N44</w:t>
                  </w:r>
                </w:p>
              </w:tc>
              <w:tc>
                <w:tcPr>
                  <w:tcW w:w="1462" w:type="dxa"/>
                  <w:vAlign w:val="center"/>
                </w:tcPr>
                <w:p w14:paraId="30B3CA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39513069.84</w:t>
                  </w:r>
                </w:p>
              </w:tc>
              <w:tc>
                <w:tcPr>
                  <w:tcW w:w="1462" w:type="dxa"/>
                  <w:vAlign w:val="center"/>
                </w:tcPr>
                <w:p w14:paraId="76F0345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4650987.18</w:t>
                  </w:r>
                </w:p>
              </w:tc>
              <w:tc>
                <w:tcPr>
                  <w:tcW w:w="1462" w:type="dxa"/>
                  <w:vAlign w:val="center"/>
                </w:tcPr>
                <w:p w14:paraId="1CE46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212</w:t>
                  </w:r>
                </w:p>
              </w:tc>
              <w:tc>
                <w:tcPr>
                  <w:tcW w:w="1462" w:type="dxa"/>
                  <w:vAlign w:val="center"/>
                </w:tcPr>
                <w:p w14:paraId="33AC1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右16°36′27″</w:t>
                  </w:r>
                </w:p>
              </w:tc>
              <w:tc>
                <w:tcPr>
                  <w:tcW w:w="1462" w:type="dxa"/>
                  <w:vAlign w:val="center"/>
                </w:tcPr>
                <w:p w14:paraId="31A91F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37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450B4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N45</w:t>
                  </w:r>
                </w:p>
              </w:tc>
              <w:tc>
                <w:tcPr>
                  <w:tcW w:w="1462" w:type="dxa"/>
                  <w:vAlign w:val="center"/>
                </w:tcPr>
                <w:p w14:paraId="50CE25E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39513086.17</w:t>
                  </w:r>
                </w:p>
              </w:tc>
              <w:tc>
                <w:tcPr>
                  <w:tcW w:w="1462" w:type="dxa"/>
                  <w:vAlign w:val="center"/>
                </w:tcPr>
                <w:p w14:paraId="603C2F6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4650776.08</w:t>
                  </w:r>
                </w:p>
              </w:tc>
              <w:tc>
                <w:tcPr>
                  <w:tcW w:w="1462" w:type="dxa"/>
                  <w:vAlign w:val="center"/>
                </w:tcPr>
                <w:p w14:paraId="158E00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1462" w:type="dxa"/>
                  <w:vAlign w:val="center"/>
                </w:tcPr>
                <w:p w14:paraId="3694C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1EDF4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49D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0F207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N46</w:t>
                  </w:r>
                </w:p>
              </w:tc>
              <w:tc>
                <w:tcPr>
                  <w:tcW w:w="1462" w:type="dxa"/>
                  <w:vAlign w:val="center"/>
                </w:tcPr>
                <w:p w14:paraId="436A179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39513117.55</w:t>
                  </w:r>
                </w:p>
              </w:tc>
              <w:tc>
                <w:tcPr>
                  <w:tcW w:w="1462" w:type="dxa"/>
                  <w:vAlign w:val="center"/>
                </w:tcPr>
                <w:p w14:paraId="720B9D6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4650370.34</w:t>
                  </w:r>
                </w:p>
              </w:tc>
              <w:tc>
                <w:tcPr>
                  <w:tcW w:w="1462" w:type="dxa"/>
                  <w:vAlign w:val="center"/>
                </w:tcPr>
                <w:p w14:paraId="11CCB8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1462" w:type="dxa"/>
                  <w:vAlign w:val="center"/>
                </w:tcPr>
                <w:p w14:paraId="41BA09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51325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44E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E03D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N47</w:t>
                  </w:r>
                </w:p>
              </w:tc>
              <w:tc>
                <w:tcPr>
                  <w:tcW w:w="1462" w:type="dxa"/>
                  <w:vAlign w:val="center"/>
                </w:tcPr>
                <w:p w14:paraId="2A7B47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39513146.90</w:t>
                  </w:r>
                </w:p>
              </w:tc>
              <w:tc>
                <w:tcPr>
                  <w:tcW w:w="1462" w:type="dxa"/>
                  <w:vAlign w:val="center"/>
                </w:tcPr>
                <w:p w14:paraId="725875F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4649990.88</w:t>
                  </w:r>
                </w:p>
              </w:tc>
              <w:tc>
                <w:tcPr>
                  <w:tcW w:w="1462" w:type="dxa"/>
                  <w:vAlign w:val="center"/>
                </w:tcPr>
                <w:p w14:paraId="61E73D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1462" w:type="dxa"/>
                  <w:vAlign w:val="center"/>
                </w:tcPr>
                <w:p w14:paraId="694A7C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57A3D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1D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DD9C0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N48</w:t>
                  </w:r>
                </w:p>
              </w:tc>
              <w:tc>
                <w:tcPr>
                  <w:tcW w:w="1462" w:type="dxa"/>
                  <w:vAlign w:val="center"/>
                </w:tcPr>
                <w:p w14:paraId="78A81F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39513180.26</w:t>
                  </w:r>
                </w:p>
              </w:tc>
              <w:tc>
                <w:tcPr>
                  <w:tcW w:w="1462" w:type="dxa"/>
                  <w:vAlign w:val="center"/>
                </w:tcPr>
                <w:p w14:paraId="2BF0D96A">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4649559.64</w:t>
                  </w:r>
                </w:p>
              </w:tc>
              <w:tc>
                <w:tcPr>
                  <w:tcW w:w="1462" w:type="dxa"/>
                  <w:vAlign w:val="center"/>
                </w:tcPr>
                <w:p w14:paraId="6B46BC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1462" w:type="dxa"/>
                  <w:vAlign w:val="center"/>
                </w:tcPr>
                <w:p w14:paraId="2453BE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0C2720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72E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C7BB3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N49</w:t>
                  </w:r>
                </w:p>
              </w:tc>
              <w:tc>
                <w:tcPr>
                  <w:tcW w:w="1462" w:type="dxa"/>
                  <w:vAlign w:val="center"/>
                </w:tcPr>
                <w:p w14:paraId="4D0FB0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39513201.86</w:t>
                  </w:r>
                </w:p>
              </w:tc>
              <w:tc>
                <w:tcPr>
                  <w:tcW w:w="1462" w:type="dxa"/>
                  <w:vAlign w:val="center"/>
                </w:tcPr>
                <w:p w14:paraId="5E46E59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4649280.31</w:t>
                  </w:r>
                </w:p>
              </w:tc>
              <w:tc>
                <w:tcPr>
                  <w:tcW w:w="1462" w:type="dxa"/>
                  <w:vAlign w:val="center"/>
                </w:tcPr>
                <w:p w14:paraId="6CB1F4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605</w:t>
                  </w:r>
                </w:p>
              </w:tc>
              <w:tc>
                <w:tcPr>
                  <w:tcW w:w="1462" w:type="dxa"/>
                  <w:vAlign w:val="center"/>
                </w:tcPr>
                <w:p w14:paraId="4C8B6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21DE36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2B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483D5D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N50</w:t>
                  </w:r>
                </w:p>
              </w:tc>
              <w:tc>
                <w:tcPr>
                  <w:tcW w:w="1462" w:type="dxa"/>
                  <w:vAlign w:val="center"/>
                </w:tcPr>
                <w:p w14:paraId="2C4582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39513248.51</w:t>
                  </w:r>
                </w:p>
              </w:tc>
              <w:tc>
                <w:tcPr>
                  <w:tcW w:w="1462" w:type="dxa"/>
                  <w:vAlign w:val="center"/>
                </w:tcPr>
                <w:p w14:paraId="1B06EF2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4648677.16</w:t>
                  </w:r>
                </w:p>
              </w:tc>
              <w:tc>
                <w:tcPr>
                  <w:tcW w:w="1462" w:type="dxa"/>
                  <w:vAlign w:val="center"/>
                </w:tcPr>
                <w:p w14:paraId="395EA1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468</w:t>
                  </w:r>
                </w:p>
              </w:tc>
              <w:tc>
                <w:tcPr>
                  <w:tcW w:w="1462" w:type="dxa"/>
                  <w:vAlign w:val="center"/>
                </w:tcPr>
                <w:p w14:paraId="74D709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左4°41′22″</w:t>
                  </w:r>
                </w:p>
              </w:tc>
              <w:tc>
                <w:tcPr>
                  <w:tcW w:w="1462" w:type="dxa"/>
                  <w:vAlign w:val="center"/>
                </w:tcPr>
                <w:p w14:paraId="0D1529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91E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7B0899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N51</w:t>
                  </w:r>
                </w:p>
              </w:tc>
              <w:tc>
                <w:tcPr>
                  <w:tcW w:w="1462" w:type="dxa"/>
                  <w:vAlign w:val="center"/>
                </w:tcPr>
                <w:p w14:paraId="495BA7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39513322.69</w:t>
                  </w:r>
                </w:p>
              </w:tc>
              <w:tc>
                <w:tcPr>
                  <w:tcW w:w="1462" w:type="dxa"/>
                  <w:vAlign w:val="center"/>
                </w:tcPr>
                <w:p w14:paraId="44C4FE6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4648214.65</w:t>
                  </w:r>
                </w:p>
              </w:tc>
              <w:tc>
                <w:tcPr>
                  <w:tcW w:w="1462" w:type="dxa"/>
                  <w:vAlign w:val="center"/>
                </w:tcPr>
                <w:p w14:paraId="106A8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1462" w:type="dxa"/>
                  <w:vAlign w:val="center"/>
                </w:tcPr>
                <w:p w14:paraId="7DAB2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左60°8′25″</w:t>
                  </w:r>
                </w:p>
              </w:tc>
              <w:tc>
                <w:tcPr>
                  <w:tcW w:w="1462" w:type="dxa"/>
                  <w:vAlign w:val="center"/>
                </w:tcPr>
                <w:p w14:paraId="273321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0C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2C0F06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N52</w:t>
                  </w:r>
                </w:p>
              </w:tc>
              <w:tc>
                <w:tcPr>
                  <w:tcW w:w="1462" w:type="dxa"/>
                  <w:vAlign w:val="center"/>
                </w:tcPr>
                <w:p w14:paraId="6D0E1DC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39513512.67</w:t>
                  </w:r>
                </w:p>
              </w:tc>
              <w:tc>
                <w:tcPr>
                  <w:tcW w:w="1462" w:type="dxa"/>
                  <w:vAlign w:val="center"/>
                </w:tcPr>
                <w:p w14:paraId="2C6CF4E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4648142.68</w:t>
                  </w:r>
                </w:p>
              </w:tc>
              <w:tc>
                <w:tcPr>
                  <w:tcW w:w="1462" w:type="dxa"/>
                  <w:vAlign w:val="center"/>
                </w:tcPr>
                <w:p w14:paraId="136FE7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1462" w:type="dxa"/>
                  <w:vAlign w:val="center"/>
                </w:tcPr>
                <w:p w14:paraId="5ED45C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752E2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F6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D0C06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N53</w:t>
                  </w:r>
                </w:p>
              </w:tc>
              <w:tc>
                <w:tcPr>
                  <w:tcW w:w="1462" w:type="dxa"/>
                  <w:vAlign w:val="center"/>
                </w:tcPr>
                <w:p w14:paraId="581062A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39513710.14</w:t>
                  </w:r>
                </w:p>
              </w:tc>
              <w:tc>
                <w:tcPr>
                  <w:tcW w:w="1462" w:type="dxa"/>
                  <w:vAlign w:val="center"/>
                </w:tcPr>
                <w:p w14:paraId="1BD06CE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4648067.88</w:t>
                  </w:r>
                </w:p>
              </w:tc>
              <w:tc>
                <w:tcPr>
                  <w:tcW w:w="1462" w:type="dxa"/>
                  <w:vAlign w:val="center"/>
                </w:tcPr>
                <w:p w14:paraId="20FE72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555</w:t>
                  </w:r>
                </w:p>
              </w:tc>
              <w:tc>
                <w:tcPr>
                  <w:tcW w:w="1462" w:type="dxa"/>
                  <w:vAlign w:val="center"/>
                </w:tcPr>
                <w:p w14:paraId="4B50B3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左3°30′16″</w:t>
                  </w:r>
                </w:p>
              </w:tc>
              <w:tc>
                <w:tcPr>
                  <w:tcW w:w="1462" w:type="dxa"/>
                  <w:vAlign w:val="center"/>
                </w:tcPr>
                <w:p w14:paraId="6AAE43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460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0FAE0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N54</w:t>
                  </w:r>
                </w:p>
              </w:tc>
              <w:tc>
                <w:tcPr>
                  <w:tcW w:w="1462" w:type="dxa"/>
                  <w:vAlign w:val="center"/>
                </w:tcPr>
                <w:p w14:paraId="61C7F7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39514240.01</w:t>
                  </w:r>
                </w:p>
              </w:tc>
              <w:tc>
                <w:tcPr>
                  <w:tcW w:w="1462" w:type="dxa"/>
                  <w:vAlign w:val="center"/>
                </w:tcPr>
                <w:p w14:paraId="5C51CAE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4647903.43</w:t>
                  </w:r>
                </w:p>
              </w:tc>
              <w:tc>
                <w:tcPr>
                  <w:tcW w:w="1462" w:type="dxa"/>
                  <w:vAlign w:val="center"/>
                </w:tcPr>
                <w:p w14:paraId="2F857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446</w:t>
                  </w:r>
                </w:p>
              </w:tc>
              <w:tc>
                <w:tcPr>
                  <w:tcW w:w="1462" w:type="dxa"/>
                  <w:vAlign w:val="center"/>
                </w:tcPr>
                <w:p w14:paraId="022FD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左19°3′18″</w:t>
                  </w:r>
                </w:p>
              </w:tc>
              <w:tc>
                <w:tcPr>
                  <w:tcW w:w="1462" w:type="dxa"/>
                  <w:vAlign w:val="center"/>
                </w:tcPr>
                <w:p w14:paraId="43FE4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FFB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17A4B8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N55</w:t>
                  </w:r>
                </w:p>
              </w:tc>
              <w:tc>
                <w:tcPr>
                  <w:tcW w:w="1462" w:type="dxa"/>
                  <w:vAlign w:val="center"/>
                </w:tcPr>
                <w:p w14:paraId="653BA8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39514686.15</w:t>
                  </w:r>
                </w:p>
              </w:tc>
              <w:tc>
                <w:tcPr>
                  <w:tcW w:w="1462" w:type="dxa"/>
                  <w:vAlign w:val="center"/>
                </w:tcPr>
                <w:p w14:paraId="67888E9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4647917.55</w:t>
                  </w:r>
                </w:p>
              </w:tc>
              <w:tc>
                <w:tcPr>
                  <w:tcW w:w="1462" w:type="dxa"/>
                  <w:vAlign w:val="center"/>
                </w:tcPr>
                <w:p w14:paraId="589BE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388</w:t>
                  </w:r>
                </w:p>
              </w:tc>
              <w:tc>
                <w:tcPr>
                  <w:tcW w:w="1462" w:type="dxa"/>
                  <w:vAlign w:val="center"/>
                </w:tcPr>
                <w:p w14:paraId="5329F3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左19°43′14″</w:t>
                  </w:r>
                </w:p>
              </w:tc>
              <w:tc>
                <w:tcPr>
                  <w:tcW w:w="1462" w:type="dxa"/>
                  <w:vAlign w:val="center"/>
                </w:tcPr>
                <w:p w14:paraId="4E1A7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ADC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3912E4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N56</w:t>
                  </w:r>
                </w:p>
              </w:tc>
              <w:tc>
                <w:tcPr>
                  <w:tcW w:w="1462" w:type="dxa"/>
                  <w:vAlign w:val="center"/>
                </w:tcPr>
                <w:p w14:paraId="7B1E09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39515046.76</w:t>
                  </w:r>
                </w:p>
              </w:tc>
              <w:tc>
                <w:tcPr>
                  <w:tcW w:w="1462" w:type="dxa"/>
                  <w:vAlign w:val="center"/>
                </w:tcPr>
                <w:p w14:paraId="0815840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4648059.83</w:t>
                  </w:r>
                </w:p>
              </w:tc>
              <w:tc>
                <w:tcPr>
                  <w:tcW w:w="1462" w:type="dxa"/>
                  <w:vAlign w:val="center"/>
                </w:tcPr>
                <w:p w14:paraId="78EB2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1462" w:type="dxa"/>
                  <w:vAlign w:val="center"/>
                </w:tcPr>
                <w:p w14:paraId="263BA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62" w:type="dxa"/>
                  <w:vAlign w:val="center"/>
                </w:tcPr>
                <w:p w14:paraId="461E77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624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14:paraId="5C431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N57</w:t>
                  </w:r>
                </w:p>
              </w:tc>
              <w:tc>
                <w:tcPr>
                  <w:tcW w:w="1462" w:type="dxa"/>
                  <w:vAlign w:val="center"/>
                </w:tcPr>
                <w:p w14:paraId="7E8984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39515311.87</w:t>
                  </w:r>
                </w:p>
              </w:tc>
              <w:tc>
                <w:tcPr>
                  <w:tcW w:w="1462" w:type="dxa"/>
                  <w:vAlign w:val="center"/>
                </w:tcPr>
                <w:p w14:paraId="5A8FCF2A">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4648164.44</w:t>
                  </w:r>
                </w:p>
              </w:tc>
              <w:tc>
                <w:tcPr>
                  <w:tcW w:w="1462" w:type="dxa"/>
                  <w:vAlign w:val="center"/>
                </w:tcPr>
                <w:p w14:paraId="6BE799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2" w:type="dxa"/>
                  <w:vAlign w:val="center"/>
                </w:tcPr>
                <w:p w14:paraId="75FA5A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左20°54′23″</w:t>
                  </w:r>
                </w:p>
              </w:tc>
              <w:tc>
                <w:tcPr>
                  <w:tcW w:w="1462" w:type="dxa"/>
                  <w:vAlign w:val="center"/>
                </w:tcPr>
                <w:p w14:paraId="328F0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5A8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0" w:type="dxa"/>
                  <w:gridSpan w:val="5"/>
                  <w:vAlign w:val="center"/>
                </w:tcPr>
                <w:p w14:paraId="0A9F13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国家2000坐标系</w:t>
                  </w:r>
                </w:p>
              </w:tc>
              <w:tc>
                <w:tcPr>
                  <w:tcW w:w="1462" w:type="dxa"/>
                  <w:vAlign w:val="center"/>
                </w:tcPr>
                <w:p w14:paraId="6536FB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1F43A8A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p>
        </w:tc>
      </w:tr>
      <w:tr w14:paraId="6EB1CD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1F260B1D">
            <w:pPr>
              <w:pStyle w:val="23"/>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项目组成及规模</w:t>
            </w:r>
          </w:p>
        </w:tc>
        <w:tc>
          <w:tcPr>
            <w:tcW w:w="8596" w:type="dxa"/>
            <w:tcBorders>
              <w:left w:val="single" w:color="000000" w:sz="4" w:space="0"/>
              <w:bottom w:val="single" w:color="000000" w:sz="4" w:space="0"/>
            </w:tcBorders>
          </w:tcPr>
          <w:p w14:paraId="118528FC">
            <w:pPr>
              <w:pStyle w:val="23"/>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1、项目由来</w:t>
            </w:r>
          </w:p>
          <w:p w14:paraId="3C821008">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近年来，我国以风电、光伏发电为代表的新能源发展成效显著，“十四五”规划提出全面推进风电和太阳能发电大规模开发和高质量发展，因地制宜发展其他可再生能源。</w:t>
            </w:r>
          </w:p>
          <w:p w14:paraId="64ADDD7E">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承德地区太阳能资源比较丰富，适合建设光伏电站开发利用太阳能。围场满族蒙古族自治县阳洁光伏发电有限责任公司投资</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，项目位于河北省承德市</w:t>
            </w:r>
            <w:r>
              <w:rPr>
                <w:rFonts w:hint="default" w:ascii="Times New Roman" w:hAnsi="Times New Roman" w:eastAsia="宋体" w:cs="Times New Roman"/>
                <w:color w:val="auto"/>
                <w:sz w:val="24"/>
                <w:szCs w:val="24"/>
                <w:highlight w:val="none"/>
              </w:rPr>
              <w:t>围场满族蒙古族自治县老窝铺乡</w:t>
            </w:r>
            <w:r>
              <w:rPr>
                <w:rFonts w:hint="default" w:ascii="Times New Roman" w:hAnsi="Times New Roman" w:eastAsia="宋体" w:cs="Times New Roman"/>
                <w:bCs/>
                <w:color w:val="auto"/>
                <w:sz w:val="24"/>
                <w:szCs w:val="24"/>
                <w:highlight w:val="none"/>
              </w:rPr>
              <w:t>。</w:t>
            </w:r>
          </w:p>
          <w:p w14:paraId="7D171BC3">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2022年委托编制了《</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环境影响报告表》，2022年9月20日本项目环境影响报告表已取得承德市生态环境局围场满族蒙古族自治县分局关于《</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环境影响报告表》的批复，批复文号：围环评〔2022〕20号。</w:t>
            </w:r>
          </w:p>
          <w:p w14:paraId="1B2A4722">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围场满族蒙古族自治县阳洁光伏发电有限责任公司在围场满族蒙古族自治县境内拟建设“华能围场“风光储氢热一体化”项目（风电200MW）项目”，</w:t>
            </w:r>
            <w:r>
              <w:rPr>
                <w:rFonts w:hint="eastAsia" w:ascii="Times New Roman" w:hAnsi="Times New Roman" w:eastAsia="宋体" w:cs="Times New Roman"/>
                <w:bCs/>
                <w:color w:val="auto"/>
                <w:sz w:val="24"/>
                <w:szCs w:val="24"/>
                <w:highlight w:val="none"/>
                <w:lang w:eastAsia="zh-CN"/>
              </w:rPr>
              <w:t>该</w:t>
            </w:r>
            <w:r>
              <w:rPr>
                <w:rFonts w:hint="default" w:ascii="Times New Roman" w:hAnsi="Times New Roman" w:eastAsia="宋体" w:cs="Times New Roman"/>
                <w:bCs/>
                <w:color w:val="auto"/>
                <w:sz w:val="24"/>
                <w:szCs w:val="24"/>
                <w:highlight w:val="none"/>
              </w:rPr>
              <w:t>项目已于2023年1月5日取得承德市行政审批局的核准批复（承审批核字[2023]3号），于2023年1月17日取得承德市生态环境局围场满族蒙古族自治县分局出具的环评审批意见(围环评[2023]4号)。</w:t>
            </w:r>
          </w:p>
          <w:p w14:paraId="3047B11C">
            <w:pPr>
              <w:pStyle w:val="23"/>
              <w:spacing w:line="480" w:lineRule="exact"/>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2023年8月22日国网冀北电力有限公司经济技术研究院出具关于华能围场“风光储氢热一体化”项目（光伏200兆瓦）接入系统设计的评审意见（冀北经研〔2023〕300号），根据接入系统设计：新建华能光伏220千伏升压站，新建1台200兆伏安主变，华能光伏220千伏升压站升压后通过华能光伏220千伏升压站~华能风电220千伏升压站~牌楼500千伏变电站的220千伏线路并网运行。新建华能光伏220千伏升压站~华能风电220千伏升压站220千伏线路长度约24千米</w:t>
            </w:r>
            <w:r>
              <w:rPr>
                <w:rFonts w:hint="eastAsia" w:ascii="Times New Roman" w:hAnsi="Times New Roman" w:eastAsia="宋体" w:cs="Times New Roman"/>
                <w:color w:val="auto"/>
                <w:sz w:val="24"/>
                <w:szCs w:val="24"/>
                <w:highlight w:val="none"/>
                <w:lang w:eastAsia="zh-CN"/>
              </w:rPr>
              <w:t>，本项目属于</w:t>
            </w:r>
            <w:r>
              <w:rPr>
                <w:rFonts w:hint="default" w:ascii="Times New Roman" w:hAnsi="Times New Roman" w:eastAsia="宋体" w:cs="Times New Roman"/>
                <w:color w:val="auto"/>
                <w:sz w:val="24"/>
                <w:szCs w:val="24"/>
                <w:highlight w:val="none"/>
              </w:rPr>
              <w:t>“风光储氢热一体化”项目（光伏200MW）项目</w:t>
            </w:r>
            <w:r>
              <w:rPr>
                <w:rFonts w:hint="eastAsia" w:ascii="Times New Roman" w:hAnsi="Times New Roman" w:eastAsia="宋体" w:cs="Times New Roman"/>
                <w:color w:val="auto"/>
                <w:sz w:val="24"/>
                <w:szCs w:val="24"/>
                <w:highlight w:val="none"/>
                <w:lang w:eastAsia="zh-CN"/>
              </w:rPr>
              <w:t>光伏</w:t>
            </w:r>
            <w:r>
              <w:rPr>
                <w:rFonts w:hint="eastAsia" w:ascii="Times New Roman" w:hAnsi="Times New Roman" w:eastAsia="宋体" w:cs="Times New Roman"/>
                <w:color w:val="auto"/>
                <w:sz w:val="24"/>
                <w:szCs w:val="24"/>
                <w:highlight w:val="none"/>
                <w:lang w:val="en-US" w:eastAsia="zh-CN"/>
              </w:rPr>
              <w:t>220kV升压站到</w:t>
            </w:r>
            <w:r>
              <w:rPr>
                <w:rFonts w:hint="default" w:ascii="Times New Roman" w:hAnsi="Times New Roman" w:eastAsia="宋体" w:cs="Times New Roman"/>
                <w:bCs/>
                <w:color w:val="auto"/>
                <w:sz w:val="24"/>
                <w:szCs w:val="24"/>
                <w:highlight w:val="none"/>
              </w:rPr>
              <w:t>华能围场“风光储氢热一体化”项目（风电200MW）项目</w:t>
            </w:r>
            <w:r>
              <w:rPr>
                <w:rFonts w:hint="eastAsia" w:ascii="Times New Roman" w:hAnsi="Times New Roman" w:eastAsia="宋体" w:cs="Times New Roman"/>
                <w:bCs/>
                <w:color w:val="auto"/>
                <w:sz w:val="24"/>
                <w:szCs w:val="24"/>
                <w:highlight w:val="none"/>
                <w:lang w:eastAsia="zh-CN"/>
              </w:rPr>
              <w:t>风电</w:t>
            </w:r>
            <w:r>
              <w:rPr>
                <w:rFonts w:hint="eastAsia" w:ascii="Times New Roman" w:hAnsi="Times New Roman" w:eastAsia="宋体" w:cs="Times New Roman"/>
                <w:bCs/>
                <w:color w:val="auto"/>
                <w:sz w:val="24"/>
                <w:szCs w:val="24"/>
                <w:highlight w:val="none"/>
                <w:lang w:val="en-US" w:eastAsia="zh-CN"/>
              </w:rPr>
              <w:t>220kV升压站的联络线工程。本项目依托两端的升压站，待两端升压站运行后本项目才可正常运行。</w:t>
            </w:r>
          </w:p>
          <w:p w14:paraId="4C93F25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委托河北冀跃工程咨询有限公司正在编制《</w:t>
            </w:r>
            <w:r>
              <w:rPr>
                <w:rFonts w:hint="default" w:ascii="Times New Roman" w:hAnsi="Times New Roman" w:eastAsia="宋体" w:cs="Times New Roman"/>
                <w:color w:val="auto"/>
                <w:sz w:val="24"/>
                <w:szCs w:val="24"/>
                <w:highlight w:val="none"/>
              </w:rPr>
              <w:t>华能围场“风光储氢热一体化”项目（光伏200MW）项目</w:t>
            </w:r>
            <w:r>
              <w:rPr>
                <w:rFonts w:hint="eastAsia" w:ascii="Times New Roman" w:hAnsi="Times New Roman" w:eastAsia="宋体" w:cs="Times New Roman"/>
                <w:color w:val="auto"/>
                <w:sz w:val="24"/>
                <w:szCs w:val="24"/>
                <w:highlight w:val="none"/>
                <w:lang w:val="en-US" w:eastAsia="zh-CN"/>
              </w:rPr>
              <w:t>220kV升压站工程环境影响报告表</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委托河北蓝跃环保科技有限公司编制了《华能围场“风光储氢热一体化”项目（风电200MW）项目220kV升压站工程环境影响报告表》。线路依托的两端升压站内容合法合规</w:t>
            </w:r>
            <w:r>
              <w:rPr>
                <w:rFonts w:hint="default" w:ascii="Times New Roman" w:hAnsi="Times New Roman" w:eastAsia="宋体" w:cs="Times New Roman"/>
                <w:color w:val="auto"/>
                <w:sz w:val="24"/>
                <w:szCs w:val="24"/>
                <w:highlight w:val="none"/>
              </w:rPr>
              <w:t>。</w:t>
            </w:r>
          </w:p>
          <w:p w14:paraId="7A9104BE">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本项目为</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配套建设的输电线路工程，为满足</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输变电需求，</w:t>
            </w: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是必要的。</w:t>
            </w:r>
          </w:p>
          <w:p w14:paraId="286FE56F">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本项目电压等级为220kV，按照《建设项目环境影响评价分类管理名录》的有关规定，本项目类别属于“五十五、核与辐射”中“161输变电工程”，需编制环境影响报告表，202</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年</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rPr>
              <w:t>月，委托河北冀跃工程咨询有限公司开展</w:t>
            </w:r>
            <w:r>
              <w:rPr>
                <w:rFonts w:hint="default" w:ascii="Times New Roman" w:hAnsi="Times New Roman" w:eastAsia="宋体" w:cs="Times New Roman"/>
                <w:color w:val="auto"/>
                <w:sz w:val="24"/>
                <w:szCs w:val="24"/>
                <w:highlight w:val="none"/>
              </w:rPr>
              <w:t>华能围场“风光储氢热一体化”项目（光伏200MW）项目220kV送出线路工程项目</w:t>
            </w:r>
            <w:r>
              <w:rPr>
                <w:rFonts w:hint="default" w:ascii="Times New Roman" w:hAnsi="Times New Roman" w:eastAsia="宋体" w:cs="Times New Roman"/>
                <w:bCs/>
                <w:color w:val="auto"/>
                <w:sz w:val="24"/>
                <w:szCs w:val="24"/>
                <w:highlight w:val="none"/>
              </w:rPr>
              <w:t>的环境影响评价工作（详见附件1），我单位对本工程进行了实地踏勘和调查，收集了环境质量现状及有关工程资料，委托承德市东岭环境监测有限公司于2024年8月15日~16日开展环境现状</w:t>
            </w:r>
            <w:r>
              <w:rPr>
                <w:rFonts w:hint="eastAsia" w:ascii="Times New Roman" w:hAnsi="Times New Roman" w:eastAsia="宋体" w:cs="Times New Roman"/>
                <w:bCs/>
                <w:color w:val="auto"/>
                <w:sz w:val="24"/>
                <w:szCs w:val="24"/>
                <w:highlight w:val="none"/>
                <w:lang w:eastAsia="zh-CN"/>
              </w:rPr>
              <w:t>监测</w:t>
            </w:r>
            <w:r>
              <w:rPr>
                <w:rFonts w:hint="default" w:ascii="Times New Roman" w:hAnsi="Times New Roman" w:eastAsia="宋体" w:cs="Times New Roman"/>
                <w:bCs/>
                <w:color w:val="auto"/>
                <w:sz w:val="24"/>
                <w:szCs w:val="24"/>
                <w:highlight w:val="none"/>
              </w:rPr>
              <w:t>，在此基础上编制了本环境影响报告表。</w:t>
            </w:r>
          </w:p>
          <w:p w14:paraId="67C1A944">
            <w:pPr>
              <w:pStyle w:val="23"/>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2、接入系统和项目立项情况</w:t>
            </w:r>
          </w:p>
          <w:p w14:paraId="0B877CA8">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2023年8月22日，国网冀北电力有限公司经济技术研究院出具关于华能围场“风光储氢热一体化”项目（光伏200兆瓦）接入系统设计的评审意见（冀北经研〔2023〕300号），根据接入系统设计：新建华能光伏220千伏升压站，新建1台200兆伏安主变，电压等级220/35千伏。本工程200兆瓦光伏、30兆瓦/60兆瓦时储能系统分别通过8回、2回35千伏集电线路接入华能光伏220千伏升压站主变低压侧，升压后通过华能光伏220千伏升压站~华能风电220千伏升压站~牌楼500千伏变电站的220千伏线路并网运行。新建华能光伏220千伏升压站~华能风电220千伏升压站220千伏线路长度约24千米，导线型号不低于JL/G1A-240。</w:t>
            </w:r>
          </w:p>
          <w:p w14:paraId="67C60289">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本项目已于2024年2月5日取得承德市行政审批局关于华能围场“风光储氢热一体化”项目（光伏200MW）项目220kV送出线路工程项目核准的批复（承审批核字〔2024〕11号），项目代码2401-130800-89-01-759066。</w:t>
            </w:r>
          </w:p>
          <w:p w14:paraId="325C22E1">
            <w:pPr>
              <w:pStyle w:val="23"/>
              <w:spacing w:line="480" w:lineRule="exact"/>
              <w:ind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、项目基本概况</w:t>
            </w:r>
          </w:p>
          <w:p w14:paraId="13B2D4CD">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（1）工程名称：</w:t>
            </w:r>
            <w:r>
              <w:rPr>
                <w:rFonts w:hint="default" w:ascii="Times New Roman" w:hAnsi="Times New Roman" w:eastAsia="宋体" w:cs="Times New Roman"/>
                <w:color w:val="auto"/>
                <w:sz w:val="24"/>
                <w:szCs w:val="24"/>
                <w:highlight w:val="none"/>
              </w:rPr>
              <w:t>华能围场“风光储氢热一体化”项目（光伏200MW）项目220kV送出线路工程项目</w:t>
            </w:r>
          </w:p>
          <w:p w14:paraId="4E9A85C1">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（2）建设性质：新建</w:t>
            </w:r>
          </w:p>
          <w:p w14:paraId="190A0951">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（3）主要建设内容及建设规模：</w:t>
            </w:r>
          </w:p>
          <w:p w14:paraId="311437DA">
            <w:pPr>
              <w:pStyle w:val="23"/>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本工程起于华能围场风光储氢热一体化项目(光伏200MW)升压站，止于华能围场风光储氢热一体化项目(风电200MW)升压站，220kV送出线路长度约22.99km，初步设计</w:t>
            </w:r>
            <w:r>
              <w:rPr>
                <w:rFonts w:hint="default" w:ascii="Times New Roman" w:hAnsi="Times New Roman" w:eastAsia="宋体" w:cs="Times New Roman"/>
                <w:bCs/>
                <w:color w:val="auto"/>
                <w:sz w:val="24"/>
                <w:szCs w:val="24"/>
                <w:highlight w:val="none"/>
                <w:lang w:eastAsia="zh-CN"/>
              </w:rPr>
              <w:t>阶段优化设计，</w:t>
            </w:r>
            <w:r>
              <w:rPr>
                <w:rFonts w:hint="eastAsia" w:ascii="Times New Roman" w:hAnsi="Times New Roman" w:eastAsia="宋体" w:cs="Times New Roman"/>
                <w:bCs/>
                <w:color w:val="auto"/>
                <w:sz w:val="24"/>
                <w:szCs w:val="24"/>
                <w:highlight w:val="none"/>
                <w:lang w:eastAsia="zh-CN"/>
              </w:rPr>
              <w:t>相对可研阶段，在原有线路上通过调整杆塔位置、提高塔高、长距离、大跨度跨越自然保护区和生态保护红线，共计减少塔基</w:t>
            </w:r>
            <w:r>
              <w:rPr>
                <w:rFonts w:hint="eastAsia" w:ascii="Times New Roman" w:hAnsi="Times New Roman" w:eastAsia="宋体" w:cs="Times New Roman"/>
                <w:bCs/>
                <w:color w:val="auto"/>
                <w:sz w:val="24"/>
                <w:szCs w:val="24"/>
                <w:highlight w:val="none"/>
                <w:lang w:val="en-US" w:eastAsia="zh-CN"/>
              </w:rPr>
              <w:t>10基，</w:t>
            </w:r>
            <w:r>
              <w:rPr>
                <w:rFonts w:hint="eastAsia" w:ascii="Times New Roman" w:hAnsi="Times New Roman" w:eastAsia="宋体" w:cs="Times New Roman"/>
                <w:bCs/>
                <w:color w:val="auto"/>
                <w:sz w:val="24"/>
                <w:szCs w:val="24"/>
                <w:highlight w:val="none"/>
                <w:lang w:eastAsia="zh-CN"/>
              </w:rPr>
              <w:t>其中保护内减少</w:t>
            </w:r>
            <w:r>
              <w:rPr>
                <w:rFonts w:hint="eastAsia" w:ascii="Times New Roman" w:hAnsi="Times New Roman" w:eastAsia="宋体" w:cs="Times New Roman"/>
                <w:bCs/>
                <w:color w:val="auto"/>
                <w:sz w:val="24"/>
                <w:szCs w:val="24"/>
                <w:highlight w:val="none"/>
                <w:lang w:val="en-US" w:eastAsia="zh-CN"/>
              </w:rPr>
              <w:t>4基，国家林业和草原局出具的《关于同意华能围场“风光储氢热一体化”项目（光伏200MW）项目220kV送出线路工程穿越河北滦河上游国家级自然保护区实验区的行政许可决定》（林保许准（冀）[2024]10号）中保护区内塔基23基，本项目穿越河北滦河上游国家级自然保护区实验区的塔基也是23基，位置与已行政许可的位置一致，生态保护红线内减少塔基7基（含保护区塔基），</w:t>
            </w:r>
            <w:r>
              <w:rPr>
                <w:rFonts w:hint="default" w:ascii="Times New Roman" w:hAnsi="Times New Roman" w:eastAsia="宋体" w:cs="Times New Roman"/>
                <w:bCs/>
                <w:color w:val="auto"/>
                <w:sz w:val="24"/>
                <w:szCs w:val="24"/>
                <w:highlight w:val="none"/>
              </w:rPr>
              <w:t>新建铁塔总基数</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7基，其中单回路直线塔3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基、单回路耐张塔25基、双回路耐张塔1基，拟采用JL/G1A-300/40型号单导线及OPGW-17-150型号双光缆。</w:t>
            </w:r>
          </w:p>
          <w:p w14:paraId="6FAF6E59">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（4）建设地点：本项目位于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w:t>
            </w:r>
            <w:r>
              <w:rPr>
                <w:rFonts w:hint="eastAsia" w:ascii="Times New Roman" w:hAnsi="Times New Roman" w:eastAsia="宋体"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rPr>
              <w:t>″，北纬42°3′48.</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8″；线路终点坐标东经117°11′</w:t>
            </w:r>
            <w:r>
              <w:rPr>
                <w:rFonts w:hint="eastAsia" w:ascii="Times New Roman" w:hAnsi="Times New Roman" w:eastAsia="宋体" w:cs="Times New Roman"/>
                <w:color w:val="auto"/>
                <w:sz w:val="24"/>
                <w:szCs w:val="24"/>
                <w:highlight w:val="none"/>
                <w:lang w:val="en-US" w:eastAsia="zh-CN"/>
              </w:rPr>
              <w:t>7.199</w:t>
            </w:r>
            <w:r>
              <w:rPr>
                <w:rFonts w:hint="default" w:ascii="Times New Roman" w:hAnsi="Times New Roman" w:eastAsia="宋体" w:cs="Times New Roman"/>
                <w:color w:val="auto"/>
                <w:sz w:val="24"/>
                <w:szCs w:val="24"/>
                <w:highlight w:val="none"/>
              </w:rPr>
              <w:t>″，北纬41°58′</w:t>
            </w:r>
            <w:r>
              <w:rPr>
                <w:rFonts w:hint="eastAsia" w:ascii="Times New Roman" w:hAnsi="Times New Roman" w:eastAsia="宋体" w:cs="Times New Roman"/>
                <w:color w:val="auto"/>
                <w:sz w:val="24"/>
                <w:szCs w:val="24"/>
                <w:highlight w:val="none"/>
                <w:lang w:val="en-US" w:eastAsia="zh-CN"/>
              </w:rPr>
              <w:t>8.345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w:t>
            </w:r>
          </w:p>
          <w:p w14:paraId="38294977">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项目组成见表2-</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w:t>
            </w:r>
          </w:p>
          <w:p w14:paraId="72CB6368">
            <w:pPr>
              <w:pStyle w:val="2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项目组成情况一览表</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66"/>
              <w:gridCol w:w="1033"/>
              <w:gridCol w:w="6983"/>
            </w:tblGrid>
            <w:tr w14:paraId="79A14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4" w:hRule="atLeast"/>
                <w:jc w:val="center"/>
              </w:trPr>
              <w:tc>
                <w:tcPr>
                  <w:tcW w:w="436" w:type="pct"/>
                  <w:tcBorders>
                    <w:tl2br w:val="nil"/>
                    <w:tr2bl w:val="nil"/>
                  </w:tcBorders>
                  <w:vAlign w:val="center"/>
                </w:tcPr>
                <w:p w14:paraId="727AB796">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b/>
                      <w:bCs/>
                      <w:color w:val="auto"/>
                      <w:sz w:val="21"/>
                      <w:szCs w:val="24"/>
                    </w:rPr>
                  </w:pPr>
                  <w:r>
                    <w:rPr>
                      <w:rFonts w:ascii="Times New Roman"/>
                      <w:b/>
                      <w:bCs/>
                      <w:color w:val="auto"/>
                      <w:sz w:val="21"/>
                      <w:szCs w:val="24"/>
                    </w:rPr>
                    <w:t>类别</w:t>
                  </w:r>
                </w:p>
              </w:tc>
              <w:tc>
                <w:tcPr>
                  <w:tcW w:w="588" w:type="pct"/>
                  <w:tcBorders>
                    <w:tl2br w:val="nil"/>
                    <w:tr2bl w:val="nil"/>
                  </w:tcBorders>
                  <w:vAlign w:val="center"/>
                </w:tcPr>
                <w:p w14:paraId="68E1E5B9">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b/>
                      <w:bCs/>
                      <w:color w:val="auto"/>
                      <w:sz w:val="21"/>
                      <w:szCs w:val="24"/>
                    </w:rPr>
                  </w:pPr>
                  <w:r>
                    <w:rPr>
                      <w:rFonts w:ascii="Times New Roman"/>
                      <w:b/>
                      <w:bCs/>
                      <w:color w:val="auto"/>
                      <w:sz w:val="21"/>
                      <w:szCs w:val="24"/>
                    </w:rPr>
                    <w:t>名称</w:t>
                  </w:r>
                </w:p>
              </w:tc>
              <w:tc>
                <w:tcPr>
                  <w:tcW w:w="3975" w:type="pct"/>
                  <w:tcBorders>
                    <w:tl2br w:val="nil"/>
                    <w:tr2bl w:val="nil"/>
                  </w:tcBorders>
                  <w:vAlign w:val="center"/>
                </w:tcPr>
                <w:p w14:paraId="3D36C7F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b/>
                      <w:bCs/>
                      <w:color w:val="auto"/>
                      <w:sz w:val="21"/>
                      <w:szCs w:val="24"/>
                    </w:rPr>
                  </w:pPr>
                  <w:r>
                    <w:rPr>
                      <w:rFonts w:ascii="Times New Roman"/>
                      <w:b/>
                      <w:bCs/>
                      <w:color w:val="auto"/>
                      <w:sz w:val="21"/>
                      <w:szCs w:val="24"/>
                    </w:rPr>
                    <w:t>工程内容</w:t>
                  </w:r>
                </w:p>
              </w:tc>
            </w:tr>
            <w:tr w14:paraId="303C4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restart"/>
                  <w:tcBorders>
                    <w:tl2br w:val="nil"/>
                    <w:tr2bl w:val="nil"/>
                  </w:tcBorders>
                  <w:vAlign w:val="center"/>
                </w:tcPr>
                <w:p w14:paraId="3BD2D89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hint="eastAsia" w:ascii="Times New Roman"/>
                      <w:color w:val="auto"/>
                      <w:sz w:val="21"/>
                      <w:szCs w:val="24"/>
                    </w:rPr>
                    <w:t>主体工程</w:t>
                  </w:r>
                </w:p>
              </w:tc>
              <w:tc>
                <w:tcPr>
                  <w:tcW w:w="588" w:type="pct"/>
                  <w:tcBorders>
                    <w:tl2br w:val="nil"/>
                    <w:tr2bl w:val="nil"/>
                  </w:tcBorders>
                  <w:vAlign w:val="center"/>
                </w:tcPr>
                <w:p w14:paraId="22CCBA75">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起点</w:t>
                  </w:r>
                </w:p>
              </w:tc>
              <w:tc>
                <w:tcPr>
                  <w:tcW w:w="3975" w:type="pct"/>
                  <w:vAlign w:val="center"/>
                </w:tcPr>
                <w:p w14:paraId="2319CF8E">
                  <w:pPr>
                    <w:keepNext w:val="0"/>
                    <w:keepLines w:val="0"/>
                    <w:pageBreakBefore w:val="0"/>
                    <w:widowControl/>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华能围场风光储氢热一体化项目(光伏200MW)升压站</w:t>
                  </w:r>
                  <w:r>
                    <w:rPr>
                      <w:rFonts w:hint="eastAsia" w:ascii="Times New Roman" w:eastAsia="宋体"/>
                      <w:color w:val="auto"/>
                      <w:sz w:val="21"/>
                      <w:szCs w:val="21"/>
                      <w:lang w:eastAsia="zh-CN"/>
                    </w:rPr>
                    <w:t>西</w:t>
                  </w:r>
                  <w:r>
                    <w:rPr>
                      <w:rFonts w:hint="eastAsia" w:ascii="Times New Roman"/>
                      <w:color w:val="auto"/>
                      <w:sz w:val="21"/>
                      <w:szCs w:val="21"/>
                    </w:rPr>
                    <w:t>侧220kV架构</w:t>
                  </w:r>
                  <w:r>
                    <w:rPr>
                      <w:rFonts w:hint="eastAsia" w:ascii="Times New Roman" w:eastAsia="宋体"/>
                      <w:color w:val="auto"/>
                      <w:sz w:val="21"/>
                      <w:szCs w:val="21"/>
                      <w:lang w:eastAsia="zh-CN"/>
                    </w:rPr>
                    <w:t>仅有的</w:t>
                  </w:r>
                  <w:r>
                    <w:rPr>
                      <w:rFonts w:hint="eastAsia" w:ascii="Times New Roman" w:eastAsia="宋体"/>
                      <w:color w:val="auto"/>
                      <w:sz w:val="21"/>
                      <w:szCs w:val="21"/>
                      <w:lang w:val="en-US" w:eastAsia="zh-CN"/>
                    </w:rPr>
                    <w:t>1回</w:t>
                  </w:r>
                  <w:r>
                    <w:rPr>
                      <w:rFonts w:hint="eastAsia" w:ascii="Times New Roman"/>
                      <w:color w:val="auto"/>
                      <w:sz w:val="21"/>
                      <w:szCs w:val="21"/>
                    </w:rPr>
                    <w:t>出线间隔，架空出线。</w:t>
                  </w:r>
                </w:p>
              </w:tc>
            </w:tr>
            <w:tr w14:paraId="7B817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33545A8">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7DBDEDC2">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终点</w:t>
                  </w:r>
                </w:p>
              </w:tc>
              <w:tc>
                <w:tcPr>
                  <w:tcW w:w="3975" w:type="pct"/>
                  <w:vAlign w:val="center"/>
                </w:tcPr>
                <w:p w14:paraId="7A57205D">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4"/>
                    </w:rPr>
                  </w:pPr>
                  <w:r>
                    <w:rPr>
                      <w:rFonts w:ascii="Times New Roman"/>
                      <w:color w:val="auto"/>
                      <w:sz w:val="21"/>
                      <w:szCs w:val="21"/>
                    </w:rPr>
                    <w:t>华能围场风光储氢热一体化项目(风电200MW)升压站</w:t>
                  </w:r>
                  <w:r>
                    <w:rPr>
                      <w:rFonts w:hint="eastAsia" w:ascii="Times New Roman" w:eastAsia="宋体"/>
                      <w:color w:val="auto"/>
                      <w:sz w:val="21"/>
                      <w:szCs w:val="21"/>
                      <w:lang w:eastAsia="zh-CN"/>
                    </w:rPr>
                    <w:t>南侧</w:t>
                  </w:r>
                  <w:r>
                    <w:rPr>
                      <w:rFonts w:hint="eastAsia" w:ascii="Times New Roman"/>
                      <w:color w:val="auto"/>
                      <w:sz w:val="21"/>
                      <w:szCs w:val="21"/>
                    </w:rPr>
                    <w:t>220kV架构</w:t>
                  </w:r>
                  <w:r>
                    <w:rPr>
                      <w:rFonts w:hint="eastAsia" w:ascii="Times New Roman" w:eastAsia="宋体"/>
                      <w:color w:val="auto"/>
                      <w:sz w:val="21"/>
                      <w:szCs w:val="21"/>
                      <w:lang w:eastAsia="zh-CN"/>
                    </w:rPr>
                    <w:t>西</w:t>
                  </w:r>
                  <w:r>
                    <w:rPr>
                      <w:rFonts w:hint="eastAsia" w:ascii="Times New Roman"/>
                      <w:color w:val="auto"/>
                      <w:sz w:val="21"/>
                      <w:szCs w:val="21"/>
                    </w:rPr>
                    <w:t>起第</w:t>
                  </w:r>
                  <w:r>
                    <w:rPr>
                      <w:rFonts w:hint="eastAsia" w:ascii="Times New Roman" w:eastAsia="宋体"/>
                      <w:color w:val="auto"/>
                      <w:sz w:val="21"/>
                      <w:szCs w:val="21"/>
                      <w:lang w:val="en-US" w:eastAsia="zh-CN"/>
                    </w:rPr>
                    <w:t>2</w:t>
                  </w:r>
                  <w:r>
                    <w:rPr>
                      <w:rFonts w:hint="eastAsia" w:ascii="Times New Roman"/>
                      <w:color w:val="auto"/>
                      <w:sz w:val="21"/>
                      <w:szCs w:val="21"/>
                    </w:rPr>
                    <w:t>进线间隔，架空进线。</w:t>
                  </w:r>
                </w:p>
              </w:tc>
            </w:tr>
            <w:tr w14:paraId="3FA87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30CED914">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0A6A9754">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sz w:val="21"/>
                      <w:szCs w:val="21"/>
                    </w:rPr>
                    <w:t>工程特点</w:t>
                  </w:r>
                </w:p>
              </w:tc>
              <w:tc>
                <w:tcPr>
                  <w:tcW w:w="3975" w:type="pct"/>
                  <w:tcBorders>
                    <w:tl2br w:val="nil"/>
                    <w:tr2bl w:val="nil"/>
                  </w:tcBorders>
                  <w:vAlign w:val="center"/>
                </w:tcPr>
                <w:p w14:paraId="363C3ACC">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1"/>
                    </w:rPr>
                  </w:pPr>
                  <w:r>
                    <w:rPr>
                      <w:rFonts w:ascii="Times New Roman"/>
                      <w:color w:val="auto"/>
                      <w:sz w:val="21"/>
                      <w:szCs w:val="21"/>
                    </w:rPr>
                    <w:t>线路位于承德市</w:t>
                  </w:r>
                  <w:r>
                    <w:rPr>
                      <w:rFonts w:hint="eastAsia" w:ascii="Times New Roman"/>
                      <w:color w:val="auto"/>
                      <w:sz w:val="21"/>
                      <w:szCs w:val="21"/>
                    </w:rPr>
                    <w:t>围场</w:t>
                  </w:r>
                  <w:r>
                    <w:rPr>
                      <w:rFonts w:ascii="Times New Roman"/>
                      <w:color w:val="auto"/>
                      <w:sz w:val="21"/>
                      <w:szCs w:val="21"/>
                    </w:rPr>
                    <w:t>县</w:t>
                  </w:r>
                  <w:r>
                    <w:rPr>
                      <w:rFonts w:hint="eastAsia" w:ascii="Times New Roman"/>
                      <w:color w:val="auto"/>
                      <w:sz w:val="21"/>
                      <w:szCs w:val="21"/>
                    </w:rPr>
                    <w:t>老窝铺乡、城子镇、御道口镇境内</w:t>
                  </w:r>
                  <w:r>
                    <w:rPr>
                      <w:rFonts w:ascii="Times New Roman"/>
                      <w:color w:val="auto"/>
                      <w:sz w:val="21"/>
                      <w:szCs w:val="21"/>
                    </w:rPr>
                    <w:t>，</w:t>
                  </w:r>
                  <w:r>
                    <w:rPr>
                      <w:rFonts w:hint="eastAsia" w:ascii="Times New Roman"/>
                      <w:color w:val="auto"/>
                      <w:sz w:val="21"/>
                      <w:szCs w:val="21"/>
                    </w:rPr>
                    <w:t>大致呈西北至东南走向。</w:t>
                  </w:r>
                  <w:r>
                    <w:rPr>
                      <w:rFonts w:ascii="Times New Roman"/>
                      <w:color w:val="auto"/>
                      <w:sz w:val="21"/>
                      <w:szCs w:val="21"/>
                    </w:rPr>
                    <w:t>全线属低山、丘陵地貌，</w:t>
                  </w:r>
                  <w:r>
                    <w:rPr>
                      <w:rFonts w:hint="eastAsia" w:ascii="Times New Roman"/>
                      <w:color w:val="auto"/>
                      <w:sz w:val="21"/>
                      <w:szCs w:val="21"/>
                    </w:rPr>
                    <w:t>海拔高度在1050m～1650m之间</w:t>
                  </w:r>
                  <w:r>
                    <w:rPr>
                      <w:rFonts w:ascii="Times New Roman"/>
                      <w:color w:val="auto"/>
                      <w:sz w:val="21"/>
                      <w:szCs w:val="21"/>
                    </w:rPr>
                    <w:t>。</w:t>
                  </w:r>
                  <w:r>
                    <w:rPr>
                      <w:rFonts w:hint="eastAsia" w:ascii="Times New Roman"/>
                      <w:color w:val="auto"/>
                      <w:sz w:val="21"/>
                      <w:szCs w:val="21"/>
                    </w:rPr>
                    <w:t>线路沿线地势起伏及高差变化较大，多为山区林地，部分为耕地。</w:t>
                  </w:r>
                  <w:r>
                    <w:rPr>
                      <w:rFonts w:ascii="Times New Roman"/>
                      <w:color w:val="auto"/>
                      <w:sz w:val="21"/>
                      <w:szCs w:val="21"/>
                    </w:rPr>
                    <w:t>线路所经地区为非居民区，线路需</w:t>
                  </w:r>
                  <w:r>
                    <w:rPr>
                      <w:rFonts w:hint="eastAsia" w:ascii="Times New Roman"/>
                      <w:color w:val="auto"/>
                      <w:sz w:val="21"/>
                      <w:szCs w:val="21"/>
                    </w:rPr>
                    <w:t>穿越河北滦河上游国家级自然保护区试验区及</w:t>
                  </w:r>
                  <w:r>
                    <w:rPr>
                      <w:rFonts w:ascii="Times New Roman"/>
                      <w:color w:val="auto"/>
                      <w:sz w:val="21"/>
                      <w:szCs w:val="21"/>
                    </w:rPr>
                    <w:t>生态红线</w:t>
                  </w:r>
                  <w:r>
                    <w:rPr>
                      <w:rFonts w:hint="eastAsia" w:ascii="Times New Roman"/>
                      <w:color w:val="auto"/>
                      <w:sz w:val="21"/>
                      <w:szCs w:val="21"/>
                    </w:rPr>
                    <w:t>区</w:t>
                  </w:r>
                  <w:r>
                    <w:rPr>
                      <w:rFonts w:ascii="Times New Roman"/>
                      <w:color w:val="auto"/>
                      <w:sz w:val="21"/>
                      <w:szCs w:val="21"/>
                    </w:rPr>
                    <w:t>。</w:t>
                  </w:r>
                </w:p>
              </w:tc>
            </w:tr>
            <w:tr w14:paraId="2D16C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3BE97C7D">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07598F92">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sz w:val="21"/>
                      <w:szCs w:val="21"/>
                    </w:rPr>
                    <w:t>额定电压</w:t>
                  </w:r>
                </w:p>
              </w:tc>
              <w:tc>
                <w:tcPr>
                  <w:tcW w:w="3975" w:type="pct"/>
                  <w:tcBorders>
                    <w:tl2br w:val="nil"/>
                    <w:tr2bl w:val="nil"/>
                  </w:tcBorders>
                  <w:vAlign w:val="center"/>
                </w:tcPr>
                <w:p w14:paraId="11E58472">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kern w:val="0"/>
                      <w:sz w:val="21"/>
                      <w:szCs w:val="21"/>
                    </w:rPr>
                    <w:t>220kV</w:t>
                  </w:r>
                </w:p>
              </w:tc>
            </w:tr>
            <w:tr w14:paraId="72D32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9C66E81">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2F120C2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hint="eastAsia" w:ascii="Times New Roman" w:eastAsia="宋体"/>
                      <w:color w:val="auto"/>
                      <w:sz w:val="21"/>
                      <w:szCs w:val="21"/>
                      <w:lang w:eastAsia="zh-CN"/>
                    </w:rPr>
                  </w:pPr>
                  <w:r>
                    <w:rPr>
                      <w:rFonts w:hint="eastAsia" w:ascii="Times New Roman" w:eastAsia="宋体"/>
                      <w:color w:val="auto"/>
                      <w:sz w:val="21"/>
                      <w:szCs w:val="21"/>
                      <w:lang w:eastAsia="zh-CN"/>
                    </w:rPr>
                    <w:t>输送容量</w:t>
                  </w:r>
                </w:p>
              </w:tc>
              <w:tc>
                <w:tcPr>
                  <w:tcW w:w="3975" w:type="pct"/>
                  <w:tcBorders>
                    <w:tl2br w:val="nil"/>
                    <w:tr2bl w:val="nil"/>
                  </w:tcBorders>
                  <w:vAlign w:val="center"/>
                </w:tcPr>
                <w:p w14:paraId="40B3FEF4">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hint="default" w:ascii="Times New Roman" w:eastAsia="宋体"/>
                      <w:color w:val="auto"/>
                      <w:kern w:val="0"/>
                      <w:sz w:val="21"/>
                      <w:szCs w:val="21"/>
                      <w:lang w:val="en-US" w:eastAsia="zh-CN"/>
                    </w:rPr>
                  </w:pPr>
                  <w:r>
                    <w:rPr>
                      <w:rFonts w:hint="eastAsia" w:ascii="Times New Roman" w:eastAsia="宋体"/>
                      <w:color w:val="auto"/>
                      <w:kern w:val="0"/>
                      <w:sz w:val="21"/>
                      <w:szCs w:val="21"/>
                      <w:lang w:val="en-US" w:eastAsia="zh-CN"/>
                    </w:rPr>
                    <w:t>200MW</w:t>
                  </w:r>
                </w:p>
              </w:tc>
            </w:tr>
            <w:tr w14:paraId="05B6A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299406A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5C1B28DD">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回路数</w:t>
                  </w:r>
                </w:p>
              </w:tc>
              <w:tc>
                <w:tcPr>
                  <w:tcW w:w="3975" w:type="pct"/>
                  <w:tcBorders>
                    <w:tl2br w:val="nil"/>
                    <w:tr2bl w:val="nil"/>
                  </w:tcBorders>
                  <w:vAlign w:val="center"/>
                </w:tcPr>
                <w:p w14:paraId="18FB8F56">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单回</w:t>
                  </w:r>
                  <w:r>
                    <w:rPr>
                      <w:rFonts w:hint="eastAsia" w:ascii="Times New Roman"/>
                      <w:color w:val="auto"/>
                      <w:sz w:val="21"/>
                      <w:szCs w:val="24"/>
                    </w:rPr>
                    <w:t>（在终点处使用1基双回塔</w:t>
                  </w:r>
                  <w:r>
                    <w:rPr>
                      <w:rFonts w:hint="eastAsia" w:ascii="Times New Roman" w:eastAsia="宋体"/>
                      <w:color w:val="auto"/>
                      <w:sz w:val="21"/>
                      <w:szCs w:val="24"/>
                      <w:lang w:eastAsia="zh-CN"/>
                    </w:rPr>
                    <w:t>，本项目</w:t>
                  </w:r>
                  <w:r>
                    <w:rPr>
                      <w:rFonts w:hint="eastAsia" w:ascii="Times New Roman"/>
                      <w:color w:val="auto"/>
                      <w:sz w:val="21"/>
                      <w:szCs w:val="24"/>
                    </w:rPr>
                    <w:t>单侧挂线）</w:t>
                  </w:r>
                </w:p>
              </w:tc>
            </w:tr>
            <w:tr w14:paraId="4F202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A99BDCE">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07135564">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线路长度</w:t>
                  </w:r>
                </w:p>
              </w:tc>
              <w:tc>
                <w:tcPr>
                  <w:tcW w:w="3975" w:type="pct"/>
                  <w:tcBorders>
                    <w:tl2br w:val="nil"/>
                    <w:tr2bl w:val="nil"/>
                  </w:tcBorders>
                  <w:vAlign w:val="center"/>
                </w:tcPr>
                <w:p w14:paraId="0BBF90B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hint="eastAsia" w:ascii="Times New Roman"/>
                      <w:color w:val="auto"/>
                      <w:kern w:val="0"/>
                      <w:sz w:val="21"/>
                      <w:szCs w:val="21"/>
                    </w:rPr>
                    <w:t>路径全长约22.99km，全部为单回路架空架设（风电200MW升压站进站塔基为双回塔单侧挂线），其中穿越河北滦河上游国家级自然保护区实验区长度9094.58m（塔基23基），生态保护红线范围内长度12967m（塔基36基）。</w:t>
                  </w:r>
                </w:p>
              </w:tc>
            </w:tr>
            <w:tr w14:paraId="5DAA0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E90EABA">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3889AF6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曲折系数</w:t>
                  </w:r>
                </w:p>
              </w:tc>
              <w:tc>
                <w:tcPr>
                  <w:tcW w:w="3975" w:type="pct"/>
                  <w:tcBorders>
                    <w:tl2br w:val="nil"/>
                    <w:tr2bl w:val="nil"/>
                  </w:tcBorders>
                  <w:vAlign w:val="center"/>
                </w:tcPr>
                <w:p w14:paraId="151B9183">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hint="eastAsia" w:ascii="Times New Roman"/>
                      <w:color w:val="auto"/>
                      <w:sz w:val="21"/>
                      <w:szCs w:val="24"/>
                    </w:rPr>
                    <w:t>1</w:t>
                  </w:r>
                  <w:r>
                    <w:rPr>
                      <w:rFonts w:ascii="Times New Roman"/>
                      <w:color w:val="auto"/>
                      <w:sz w:val="21"/>
                      <w:szCs w:val="24"/>
                    </w:rPr>
                    <w:t>.3</w:t>
                  </w:r>
                </w:p>
              </w:tc>
            </w:tr>
            <w:tr w14:paraId="36208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F20CC35">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0846F363">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导线型号</w:t>
                  </w:r>
                </w:p>
              </w:tc>
              <w:tc>
                <w:tcPr>
                  <w:tcW w:w="3975" w:type="pct"/>
                  <w:tcBorders>
                    <w:tl2br w:val="nil"/>
                    <w:tr2bl w:val="nil"/>
                  </w:tcBorders>
                  <w:vAlign w:val="center"/>
                </w:tcPr>
                <w:p w14:paraId="24F3C02F">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sz w:val="21"/>
                      <w:szCs w:val="21"/>
                    </w:rPr>
                    <w:t>JL/G1A-300/40</w:t>
                  </w:r>
                </w:p>
              </w:tc>
            </w:tr>
            <w:tr w14:paraId="1F463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9C5E05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573B99CE">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地线型号</w:t>
                  </w:r>
                </w:p>
              </w:tc>
              <w:tc>
                <w:tcPr>
                  <w:tcW w:w="3975" w:type="pct"/>
                  <w:tcBorders>
                    <w:tl2br w:val="nil"/>
                    <w:tr2bl w:val="nil"/>
                  </w:tcBorders>
                  <w:vAlign w:val="center"/>
                </w:tcPr>
                <w:p w14:paraId="248862E2">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hint="eastAsia" w:ascii="Times New Roman"/>
                      <w:snapToGrid w:val="0"/>
                      <w:color w:val="auto"/>
                      <w:kern w:val="0"/>
                      <w:sz w:val="21"/>
                      <w:szCs w:val="21"/>
                    </w:rPr>
                    <w:t>2根24芯</w:t>
                  </w:r>
                  <w:r>
                    <w:rPr>
                      <w:rFonts w:ascii="Times New Roman"/>
                      <w:snapToGrid w:val="0"/>
                      <w:color w:val="auto"/>
                      <w:kern w:val="0"/>
                      <w:sz w:val="21"/>
                      <w:szCs w:val="21"/>
                    </w:rPr>
                    <w:t>OPGW-17-150</w:t>
                  </w:r>
                  <w:r>
                    <w:rPr>
                      <w:rFonts w:hint="eastAsia" w:ascii="Times New Roman"/>
                      <w:snapToGrid w:val="0"/>
                      <w:color w:val="auto"/>
                      <w:kern w:val="0"/>
                      <w:sz w:val="21"/>
                      <w:szCs w:val="21"/>
                    </w:rPr>
                    <w:t>光缆</w:t>
                  </w:r>
                  <w:r>
                    <w:rPr>
                      <w:rFonts w:ascii="Times New Roman"/>
                      <w:snapToGrid w:val="0"/>
                      <w:color w:val="auto"/>
                      <w:kern w:val="0"/>
                      <w:sz w:val="21"/>
                      <w:szCs w:val="21"/>
                    </w:rPr>
                    <w:t>。</w:t>
                  </w:r>
                </w:p>
              </w:tc>
            </w:tr>
            <w:tr w14:paraId="0A38E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31C51C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5079915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架设方式</w:t>
                  </w:r>
                </w:p>
              </w:tc>
              <w:tc>
                <w:tcPr>
                  <w:tcW w:w="3975" w:type="pct"/>
                  <w:tcBorders>
                    <w:tl2br w:val="nil"/>
                    <w:tr2bl w:val="nil"/>
                  </w:tcBorders>
                  <w:vAlign w:val="center"/>
                </w:tcPr>
                <w:p w14:paraId="62CA695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sz w:val="21"/>
                      <w:szCs w:val="21"/>
                    </w:rPr>
                    <w:t>架空挂线</w:t>
                  </w:r>
                </w:p>
              </w:tc>
            </w:tr>
            <w:tr w14:paraId="33F50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31099DA">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6EEB18D5">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铁塔数量</w:t>
                  </w:r>
                </w:p>
              </w:tc>
              <w:tc>
                <w:tcPr>
                  <w:tcW w:w="3975" w:type="pct"/>
                  <w:tcBorders>
                    <w:tl2br w:val="nil"/>
                    <w:tr2bl w:val="nil"/>
                  </w:tcBorders>
                  <w:vAlign w:val="center"/>
                </w:tcPr>
                <w:p w14:paraId="4C249F0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kern w:val="0"/>
                      <w:sz w:val="21"/>
                      <w:szCs w:val="21"/>
                    </w:rPr>
                  </w:pPr>
                  <w:r>
                    <w:rPr>
                      <w:rFonts w:hint="eastAsia" w:ascii="Times New Roman"/>
                      <w:color w:val="auto"/>
                      <w:kern w:val="0"/>
                      <w:sz w:val="21"/>
                      <w:szCs w:val="21"/>
                    </w:rPr>
                    <w:t>新建铁塔总基数57基，其中单回路直线塔31基、单回路耐张塔25基、双回路耐张塔1基。</w:t>
                  </w:r>
                </w:p>
              </w:tc>
            </w:tr>
            <w:tr w14:paraId="6CE4F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9C78246">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55DD8CEC">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塔型</w:t>
                  </w:r>
                </w:p>
              </w:tc>
              <w:tc>
                <w:tcPr>
                  <w:tcW w:w="3975" w:type="pct"/>
                  <w:tcBorders>
                    <w:tl2br w:val="nil"/>
                    <w:tr2bl w:val="nil"/>
                  </w:tcBorders>
                  <w:vAlign w:val="center"/>
                </w:tcPr>
                <w:p w14:paraId="2259DFA1">
                  <w:pPr>
                    <w:keepNext w:val="0"/>
                    <w:keepLines w:val="0"/>
                    <w:pageBreakBefore w:val="0"/>
                    <w:kinsoku/>
                    <w:wordWrap/>
                    <w:overflowPunct/>
                    <w:topLinePunct w:val="0"/>
                    <w:autoSpaceDE w:val="0"/>
                    <w:autoSpaceDN w:val="0"/>
                    <w:bidi w:val="0"/>
                    <w:adjustRightInd w:val="0"/>
                    <w:snapToGrid w:val="0"/>
                    <w:ind w:left="0" w:firstLine="0"/>
                    <w:jc w:val="left"/>
                    <w:textAlignment w:val="auto"/>
                    <w:rPr>
                      <w:rFonts w:ascii="Times New Roman"/>
                      <w:color w:val="auto"/>
                      <w:kern w:val="0"/>
                      <w:sz w:val="21"/>
                      <w:szCs w:val="21"/>
                    </w:rPr>
                  </w:pPr>
                  <w:r>
                    <w:rPr>
                      <w:rFonts w:hint="eastAsia" w:ascii="Times New Roman"/>
                      <w:color w:val="auto"/>
                      <w:kern w:val="0"/>
                      <w:sz w:val="21"/>
                      <w:szCs w:val="21"/>
                    </w:rPr>
                    <w:t>选用2A2模块的JC</w:t>
                  </w:r>
                  <w:r>
                    <w:rPr>
                      <w:rFonts w:ascii="Times New Roman"/>
                      <w:color w:val="auto"/>
                      <w:kern w:val="0"/>
                      <w:sz w:val="21"/>
                      <w:szCs w:val="21"/>
                    </w:rPr>
                    <w:t>1</w:t>
                  </w:r>
                  <w:r>
                    <w:rPr>
                      <w:rFonts w:hint="eastAsia" w:ascii="Times New Roman"/>
                      <w:color w:val="auto"/>
                      <w:kern w:val="0"/>
                      <w:sz w:val="21"/>
                      <w:szCs w:val="21"/>
                    </w:rPr>
                    <w:t>、JC</w:t>
                  </w:r>
                  <w:r>
                    <w:rPr>
                      <w:rFonts w:ascii="Times New Roman"/>
                      <w:color w:val="auto"/>
                      <w:kern w:val="0"/>
                      <w:sz w:val="21"/>
                      <w:szCs w:val="21"/>
                    </w:rPr>
                    <w:t>2</w:t>
                  </w:r>
                  <w:r>
                    <w:rPr>
                      <w:rFonts w:hint="eastAsia" w:ascii="Times New Roman"/>
                      <w:color w:val="auto"/>
                      <w:kern w:val="0"/>
                      <w:sz w:val="21"/>
                      <w:szCs w:val="21"/>
                    </w:rPr>
                    <w:t>、JC3、JC</w:t>
                  </w:r>
                  <w:r>
                    <w:rPr>
                      <w:rFonts w:ascii="Times New Roman"/>
                      <w:color w:val="auto"/>
                      <w:kern w:val="0"/>
                      <w:sz w:val="21"/>
                      <w:szCs w:val="21"/>
                    </w:rPr>
                    <w:t>4</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1、</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ZMC</w:t>
                  </w:r>
                  <w:r>
                    <w:rPr>
                      <w:rFonts w:ascii="Times New Roman"/>
                      <w:color w:val="auto"/>
                      <w:kern w:val="0"/>
                      <w:sz w:val="21"/>
                      <w:szCs w:val="21"/>
                    </w:rPr>
                    <w:t>3</w:t>
                  </w:r>
                  <w:r>
                    <w:rPr>
                      <w:rFonts w:hint="eastAsia" w:ascii="Times New Roman"/>
                      <w:color w:val="auto"/>
                      <w:kern w:val="0"/>
                      <w:sz w:val="21"/>
                      <w:szCs w:val="21"/>
                    </w:rPr>
                    <w:t>、ZMC</w:t>
                  </w:r>
                  <w:r>
                    <w:rPr>
                      <w:rFonts w:ascii="Times New Roman"/>
                      <w:color w:val="auto"/>
                      <w:kern w:val="0"/>
                      <w:sz w:val="21"/>
                      <w:szCs w:val="21"/>
                    </w:rPr>
                    <w:t>4</w:t>
                  </w:r>
                  <w:r>
                    <w:rPr>
                      <w:rFonts w:hint="eastAsia" w:ascii="Times New Roman"/>
                      <w:color w:val="auto"/>
                      <w:kern w:val="0"/>
                      <w:sz w:val="21"/>
                      <w:szCs w:val="21"/>
                    </w:rPr>
                    <w:t>、</w:t>
                  </w:r>
                  <w:r>
                    <w:rPr>
                      <w:rFonts w:ascii="Times New Roman"/>
                      <w:color w:val="auto"/>
                      <w:kern w:val="0"/>
                      <w:sz w:val="21"/>
                      <w:szCs w:val="21"/>
                    </w:rPr>
                    <w:t>ZMCK</w:t>
                  </w:r>
                  <w:r>
                    <w:rPr>
                      <w:rFonts w:hint="eastAsia" w:ascii="Times New Roman"/>
                      <w:color w:val="auto"/>
                      <w:kern w:val="0"/>
                      <w:sz w:val="21"/>
                      <w:szCs w:val="21"/>
                    </w:rPr>
                    <w:t>、DJC塔型及2E</w:t>
                  </w:r>
                  <w:r>
                    <w:rPr>
                      <w:rFonts w:ascii="Times New Roman"/>
                      <w:color w:val="auto"/>
                      <w:kern w:val="0"/>
                      <w:sz w:val="21"/>
                      <w:szCs w:val="21"/>
                    </w:rPr>
                    <w:t>6</w:t>
                  </w:r>
                  <w:r>
                    <w:rPr>
                      <w:rFonts w:hint="eastAsia" w:ascii="Times New Roman"/>
                      <w:color w:val="auto"/>
                      <w:kern w:val="0"/>
                      <w:sz w:val="21"/>
                      <w:szCs w:val="21"/>
                    </w:rPr>
                    <w:t>模块的SDJC塔型</w:t>
                  </w:r>
                </w:p>
              </w:tc>
            </w:tr>
            <w:tr w14:paraId="06C05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26A3BF07">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72E43599">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ascii="Times New Roman"/>
                      <w:color w:val="auto"/>
                      <w:sz w:val="21"/>
                      <w:szCs w:val="21"/>
                    </w:rPr>
                    <w:t>污区等级</w:t>
                  </w:r>
                </w:p>
              </w:tc>
              <w:tc>
                <w:tcPr>
                  <w:tcW w:w="3975" w:type="pct"/>
                  <w:tcBorders>
                    <w:tl2br w:val="nil"/>
                    <w:tr2bl w:val="nil"/>
                  </w:tcBorders>
                  <w:vAlign w:val="center"/>
                </w:tcPr>
                <w:p w14:paraId="37E9286B">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kern w:val="0"/>
                      <w:sz w:val="21"/>
                      <w:szCs w:val="21"/>
                    </w:rPr>
                    <w:t>全线按</w:t>
                  </w:r>
                  <w:r>
                    <w:rPr>
                      <w:rFonts w:hint="eastAsia" w:ascii="Times New Roman" w:eastAsia="宋体"/>
                      <w:color w:val="auto"/>
                      <w:kern w:val="0"/>
                      <w:sz w:val="21"/>
                      <w:szCs w:val="21"/>
                      <w:lang w:val="en-US" w:eastAsia="zh-CN"/>
                    </w:rPr>
                    <w:t>c</w:t>
                  </w:r>
                  <w:r>
                    <w:rPr>
                      <w:rFonts w:ascii="Times New Roman"/>
                      <w:color w:val="auto"/>
                      <w:kern w:val="0"/>
                      <w:sz w:val="21"/>
                      <w:szCs w:val="21"/>
                    </w:rPr>
                    <w:t>级污秽上限配置绝缘</w:t>
                  </w:r>
                </w:p>
              </w:tc>
            </w:tr>
            <w:tr w14:paraId="37835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B1044BA">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5A296012">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hint="eastAsia" w:ascii="Times New Roman"/>
                      <w:color w:val="auto"/>
                      <w:sz w:val="21"/>
                      <w:szCs w:val="21"/>
                    </w:rPr>
                    <w:t>地基形式</w:t>
                  </w:r>
                </w:p>
              </w:tc>
              <w:tc>
                <w:tcPr>
                  <w:tcW w:w="3975" w:type="pct"/>
                  <w:tcBorders>
                    <w:tl2br w:val="nil"/>
                    <w:tr2bl w:val="nil"/>
                  </w:tcBorders>
                  <w:vAlign w:val="center"/>
                </w:tcPr>
                <w:p w14:paraId="00577DD7">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kern w:val="0"/>
                      <w:sz w:val="21"/>
                      <w:szCs w:val="21"/>
                    </w:rPr>
                  </w:pPr>
                  <w:r>
                    <w:rPr>
                      <w:rFonts w:hint="eastAsia" w:ascii="Times New Roman"/>
                      <w:color w:val="auto"/>
                      <w:kern w:val="0"/>
                      <w:sz w:val="21"/>
                      <w:szCs w:val="21"/>
                    </w:rPr>
                    <w:t>掏挖基础及挖孔桩基础</w:t>
                  </w:r>
                </w:p>
              </w:tc>
            </w:tr>
            <w:tr w14:paraId="46B2D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4F1A28F">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tcBorders>
                    <w:tl2br w:val="nil"/>
                    <w:tr2bl w:val="nil"/>
                  </w:tcBorders>
                  <w:vAlign w:val="center"/>
                </w:tcPr>
                <w:p w14:paraId="04F62F21">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hint="eastAsia" w:ascii="Times New Roman"/>
                      <w:color w:val="auto"/>
                      <w:sz w:val="21"/>
                      <w:szCs w:val="24"/>
                    </w:rPr>
                    <w:t>长期</w:t>
                  </w:r>
                  <w:r>
                    <w:rPr>
                      <w:rFonts w:ascii="Times New Roman"/>
                      <w:color w:val="auto"/>
                      <w:sz w:val="21"/>
                      <w:szCs w:val="24"/>
                    </w:rPr>
                    <w:t>占地</w:t>
                  </w:r>
                </w:p>
              </w:tc>
              <w:tc>
                <w:tcPr>
                  <w:tcW w:w="3975" w:type="pct"/>
                  <w:tcBorders>
                    <w:tl2br w:val="nil"/>
                    <w:tr2bl w:val="nil"/>
                  </w:tcBorders>
                  <w:vAlign w:val="center"/>
                </w:tcPr>
                <w:p w14:paraId="737ABD08">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kern w:val="0"/>
                      <w:sz w:val="21"/>
                      <w:szCs w:val="21"/>
                    </w:rPr>
                  </w:pPr>
                  <w:r>
                    <w:rPr>
                      <w:rFonts w:ascii="Times New Roman"/>
                      <w:color w:val="auto"/>
                      <w:kern w:val="0"/>
                      <w:sz w:val="21"/>
                      <w:szCs w:val="21"/>
                    </w:rPr>
                    <w:t>塔基占地</w:t>
                  </w:r>
                  <w:r>
                    <w:rPr>
                      <w:rFonts w:hint="eastAsia" w:ascii="Times New Roman" w:eastAsia="宋体"/>
                      <w:color w:val="auto"/>
                      <w:kern w:val="0"/>
                      <w:sz w:val="21"/>
                      <w:szCs w:val="21"/>
                      <w:lang w:val="en-US" w:eastAsia="zh-CN"/>
                    </w:rPr>
                    <w:t>0.4h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r>
                    <w:rPr>
                      <w:rFonts w:ascii="Times New Roman"/>
                      <w:color w:val="auto"/>
                      <w:sz w:val="21"/>
                      <w:szCs w:val="24"/>
                    </w:rPr>
                    <w:t>主要占用林地</w:t>
                  </w:r>
                  <w:r>
                    <w:rPr>
                      <w:rFonts w:hint="eastAsia" w:ascii="Times New Roman"/>
                      <w:color w:val="auto"/>
                      <w:sz w:val="21"/>
                      <w:szCs w:val="24"/>
                    </w:rPr>
                    <w:t>。</w:t>
                  </w:r>
                </w:p>
              </w:tc>
            </w:tr>
            <w:tr w14:paraId="40FC6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restart"/>
                  <w:tcBorders>
                    <w:tl2br w:val="nil"/>
                    <w:tr2bl w:val="nil"/>
                  </w:tcBorders>
                  <w:vAlign w:val="center"/>
                </w:tcPr>
                <w:p w14:paraId="55EF78B6">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临时工程</w:t>
                  </w:r>
                </w:p>
              </w:tc>
              <w:tc>
                <w:tcPr>
                  <w:tcW w:w="588" w:type="pct"/>
                  <w:tcBorders>
                    <w:tl2br w:val="nil"/>
                    <w:tr2bl w:val="nil"/>
                  </w:tcBorders>
                  <w:vAlign w:val="center"/>
                </w:tcPr>
                <w:p w14:paraId="5EF6CA2A">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施工营地</w:t>
                  </w:r>
                </w:p>
              </w:tc>
              <w:tc>
                <w:tcPr>
                  <w:tcW w:w="3975" w:type="pct"/>
                  <w:tcBorders>
                    <w:tl2br w:val="nil"/>
                    <w:tr2bl w:val="nil"/>
                  </w:tcBorders>
                  <w:vAlign w:val="center"/>
                </w:tcPr>
                <w:p w14:paraId="3CB68440">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kern w:val="0"/>
                      <w:sz w:val="21"/>
                      <w:szCs w:val="21"/>
                    </w:rPr>
                  </w:pPr>
                  <w:r>
                    <w:rPr>
                      <w:rFonts w:ascii="Times New Roman"/>
                      <w:color w:val="auto"/>
                      <w:kern w:val="0"/>
                      <w:sz w:val="21"/>
                      <w:szCs w:val="21"/>
                    </w:rPr>
                    <w:t>不设置施工人员食宿营地，设备与设施营地利用牵张场及塔基占地。</w:t>
                  </w:r>
                </w:p>
              </w:tc>
            </w:tr>
            <w:tr w14:paraId="0A5D7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2D155CA9">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27907F63">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hint="eastAsia" w:ascii="Times New Roman"/>
                      <w:color w:val="auto"/>
                      <w:sz w:val="21"/>
                      <w:szCs w:val="21"/>
                    </w:rPr>
                    <w:t>塔基施工场地</w:t>
                  </w:r>
                </w:p>
              </w:tc>
              <w:tc>
                <w:tcPr>
                  <w:tcW w:w="3975" w:type="pct"/>
                  <w:tcBorders>
                    <w:tl2br w:val="nil"/>
                    <w:tr2bl w:val="nil"/>
                  </w:tcBorders>
                  <w:vAlign w:val="center"/>
                </w:tcPr>
                <w:p w14:paraId="6D73B115">
                  <w:pPr>
                    <w:keepNext w:val="0"/>
                    <w:keepLines w:val="0"/>
                    <w:pageBreakBefore w:val="0"/>
                    <w:widowControl/>
                    <w:kinsoku/>
                    <w:wordWrap/>
                    <w:overflowPunct/>
                    <w:topLinePunct w:val="0"/>
                    <w:autoSpaceDE w:val="0"/>
                    <w:autoSpaceDN w:val="0"/>
                    <w:bidi w:val="0"/>
                    <w:snapToGrid w:val="0"/>
                    <w:ind w:left="0" w:firstLine="0"/>
                    <w:jc w:val="center"/>
                    <w:textAlignment w:val="auto"/>
                    <w:rPr>
                      <w:rFonts w:ascii="Times New Roman"/>
                      <w:color w:val="auto"/>
                      <w:kern w:val="0"/>
                      <w:sz w:val="21"/>
                      <w:szCs w:val="21"/>
                    </w:rPr>
                  </w:pPr>
                  <w:r>
                    <w:rPr>
                      <w:rFonts w:ascii="Times New Roman"/>
                      <w:color w:val="auto"/>
                      <w:kern w:val="0"/>
                      <w:sz w:val="21"/>
                      <w:szCs w:val="21"/>
                    </w:rPr>
                    <w:t>塔基施工临时占地包含铁塔作业面、基础施工作业面等，根据设计资料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，合计约</w:t>
                  </w:r>
                  <w:r>
                    <w:rPr>
                      <w:rFonts w:hint="eastAsia" w:ascii="Times New Roman" w:eastAsia="宋体"/>
                      <w:color w:val="auto"/>
                      <w:kern w:val="0"/>
                      <w:sz w:val="21"/>
                      <w:szCs w:val="21"/>
                      <w:lang w:val="en-US" w:eastAsia="zh-CN"/>
                    </w:rPr>
                    <w:t>0.74h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p>
              </w:tc>
            </w:tr>
            <w:tr w14:paraId="12A7C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3E5303D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11C64E62">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施工便道</w:t>
                  </w:r>
                </w:p>
              </w:tc>
              <w:tc>
                <w:tcPr>
                  <w:tcW w:w="3975" w:type="pct"/>
                  <w:tcBorders>
                    <w:tl2br w:val="nil"/>
                    <w:tr2bl w:val="nil"/>
                  </w:tcBorders>
                  <w:vAlign w:val="center"/>
                </w:tcPr>
                <w:p w14:paraId="7FB9B6D3">
                  <w:pPr>
                    <w:keepNext w:val="0"/>
                    <w:keepLines w:val="0"/>
                    <w:pageBreakBefore w:val="0"/>
                    <w:kinsoku/>
                    <w:wordWrap/>
                    <w:overflowPunct/>
                    <w:topLinePunct w:val="0"/>
                    <w:autoSpaceDE w:val="0"/>
                    <w:autoSpaceDN w:val="0"/>
                    <w:bidi w:val="0"/>
                    <w:ind w:left="0" w:firstLine="0"/>
                    <w:jc w:val="left"/>
                    <w:textAlignment w:val="auto"/>
                    <w:rPr>
                      <w:rFonts w:ascii="Times New Roman"/>
                      <w:color w:val="auto"/>
                      <w:sz w:val="21"/>
                      <w:szCs w:val="24"/>
                    </w:rPr>
                  </w:pPr>
                  <w:r>
                    <w:rPr>
                      <w:rFonts w:hint="eastAsia" w:ascii="Times New Roman"/>
                      <w:color w:val="auto"/>
                      <w:sz w:val="21"/>
                      <w:szCs w:val="21"/>
                    </w:rPr>
                    <w:t>主要利用现有道路进行施工运输，河北滦河上游国家级自然保护区内采用骡马驮运，</w:t>
                  </w:r>
                  <w:r>
                    <w:rPr>
                      <w:rFonts w:ascii="Times New Roman"/>
                      <w:color w:val="auto"/>
                      <w:kern w:val="0"/>
                      <w:sz w:val="21"/>
                      <w:szCs w:val="21"/>
                    </w:rPr>
                    <w:t>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w:t>
                  </w:r>
                  <w:r>
                    <w:rPr>
                      <w:rFonts w:hint="eastAsia" w:ascii="Times New Roman"/>
                      <w:color w:val="auto"/>
                      <w:sz w:val="21"/>
                      <w:szCs w:val="21"/>
                    </w:rPr>
                    <w:t>保护区外施工便道占地约</w:t>
                  </w:r>
                  <w:r>
                    <w:rPr>
                      <w:rFonts w:hint="eastAsia" w:ascii="Times New Roman" w:eastAsia="宋体"/>
                      <w:color w:val="auto"/>
                      <w:sz w:val="21"/>
                      <w:szCs w:val="21"/>
                      <w:lang w:val="en-US" w:eastAsia="zh-CN"/>
                    </w:rPr>
                    <w:t>3h</w:t>
                  </w:r>
                  <w:r>
                    <w:rPr>
                      <w:rFonts w:hint="eastAsia" w:ascii="Times New Roman"/>
                      <w:color w:val="auto"/>
                      <w:sz w:val="21"/>
                      <w:szCs w:val="21"/>
                    </w:rPr>
                    <w:t>m</w:t>
                  </w:r>
                  <w:r>
                    <w:rPr>
                      <w:rFonts w:hint="eastAsia" w:ascii="Times New Roman"/>
                      <w:color w:val="auto"/>
                      <w:sz w:val="21"/>
                      <w:szCs w:val="21"/>
                      <w:vertAlign w:val="superscript"/>
                    </w:rPr>
                    <w:t>2</w:t>
                  </w:r>
                  <w:r>
                    <w:rPr>
                      <w:rFonts w:hint="eastAsia" w:ascii="Times New Roman"/>
                      <w:color w:val="auto"/>
                      <w:sz w:val="21"/>
                      <w:szCs w:val="21"/>
                    </w:rPr>
                    <w:t>。</w:t>
                  </w:r>
                </w:p>
              </w:tc>
            </w:tr>
            <w:tr w14:paraId="63D32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49F638DB">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05F012E9">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弃土弃渣</w:t>
                  </w:r>
                </w:p>
              </w:tc>
              <w:tc>
                <w:tcPr>
                  <w:tcW w:w="3975" w:type="pct"/>
                  <w:tcBorders>
                    <w:tl2br w:val="nil"/>
                    <w:tr2bl w:val="nil"/>
                  </w:tcBorders>
                  <w:vAlign w:val="center"/>
                </w:tcPr>
                <w:p w14:paraId="661236F4">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4"/>
                    </w:rPr>
                  </w:pPr>
                  <w:r>
                    <w:rPr>
                      <w:rFonts w:ascii="Times New Roman"/>
                      <w:color w:val="auto"/>
                      <w:kern w:val="0"/>
                      <w:sz w:val="21"/>
                      <w:szCs w:val="21"/>
                    </w:rPr>
                    <w:t>不设置弃土、弃渣场，弃土、弃渣依托当地地形地势就地平整堆砌。</w:t>
                  </w:r>
                </w:p>
              </w:tc>
            </w:tr>
            <w:tr w14:paraId="54CB9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364BD69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1673445B">
                  <w:pPr>
                    <w:keepNext w:val="0"/>
                    <w:keepLines w:val="0"/>
                    <w:pageBreakBefore w:val="0"/>
                    <w:kinsoku/>
                    <w:wordWrap/>
                    <w:overflowPunct/>
                    <w:topLinePunct w:val="0"/>
                    <w:autoSpaceDE w:val="0"/>
                    <w:autoSpaceDN w:val="0"/>
                    <w:bidi w:val="0"/>
                    <w:snapToGrid w:val="0"/>
                    <w:ind w:left="0" w:firstLine="0"/>
                    <w:jc w:val="center"/>
                    <w:textAlignment w:val="auto"/>
                    <w:rPr>
                      <w:rFonts w:ascii="Times New Roman"/>
                      <w:color w:val="auto"/>
                      <w:sz w:val="21"/>
                      <w:szCs w:val="21"/>
                    </w:rPr>
                  </w:pPr>
                  <w:r>
                    <w:rPr>
                      <w:rFonts w:ascii="Times New Roman"/>
                      <w:color w:val="auto"/>
                      <w:sz w:val="21"/>
                      <w:szCs w:val="21"/>
                    </w:rPr>
                    <w:t>牵张场</w:t>
                  </w:r>
                </w:p>
              </w:tc>
              <w:tc>
                <w:tcPr>
                  <w:tcW w:w="3975" w:type="pct"/>
                  <w:tcBorders>
                    <w:tl2br w:val="nil"/>
                    <w:tr2bl w:val="nil"/>
                  </w:tcBorders>
                </w:tcPr>
                <w:p w14:paraId="46EE5E1B">
                  <w:pPr>
                    <w:keepNext w:val="0"/>
                    <w:keepLines w:val="0"/>
                    <w:pageBreakBefore w:val="0"/>
                    <w:widowControl/>
                    <w:kinsoku/>
                    <w:wordWrap/>
                    <w:overflowPunct/>
                    <w:topLinePunct w:val="0"/>
                    <w:autoSpaceDE w:val="0"/>
                    <w:autoSpaceDN w:val="0"/>
                    <w:bidi w:val="0"/>
                    <w:snapToGrid w:val="0"/>
                    <w:ind w:left="0" w:firstLine="0"/>
                    <w:textAlignment w:val="auto"/>
                    <w:rPr>
                      <w:rFonts w:hint="eastAsia" w:ascii="Times New Roman" w:eastAsia="宋体"/>
                      <w:color w:val="auto"/>
                      <w:sz w:val="21"/>
                      <w:szCs w:val="24"/>
                      <w:lang w:eastAsia="zh-CN"/>
                    </w:rPr>
                  </w:pPr>
                  <w:r>
                    <w:rPr>
                      <w:rFonts w:ascii="Times New Roman"/>
                      <w:color w:val="auto"/>
                      <w:kern w:val="0"/>
                      <w:sz w:val="21"/>
                      <w:szCs w:val="21"/>
                    </w:rPr>
                    <w:t>每处布置牵张机、铁塔金具、导线等设施与材料。根据设计资料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，本线路工程共设计导线</w:t>
                  </w:r>
                  <w:r>
                    <w:rPr>
                      <w:rFonts w:hint="eastAsia" w:ascii="Times New Roman"/>
                      <w:color w:val="auto"/>
                      <w:kern w:val="0"/>
                      <w:sz w:val="21"/>
                      <w:szCs w:val="21"/>
                    </w:rPr>
                    <w:t>（包括地线）</w:t>
                  </w:r>
                  <w:r>
                    <w:rPr>
                      <w:rFonts w:ascii="Times New Roman"/>
                      <w:color w:val="auto"/>
                      <w:kern w:val="0"/>
                      <w:sz w:val="21"/>
                      <w:szCs w:val="21"/>
                    </w:rPr>
                    <w:t>牵张场5处，</w:t>
                  </w:r>
                  <w:r>
                    <w:rPr>
                      <w:rFonts w:hint="eastAsia" w:ascii="Times New Roman"/>
                      <w:color w:val="auto"/>
                      <w:kern w:val="0"/>
                      <w:sz w:val="21"/>
                      <w:szCs w:val="21"/>
                    </w:rPr>
                    <w:t>每处占地约</w:t>
                  </w:r>
                  <w:r>
                    <w:rPr>
                      <w:rFonts w:hint="eastAsia" w:ascii="Times New Roman" w:eastAsia="宋体"/>
                      <w:color w:val="auto"/>
                      <w:kern w:val="0"/>
                      <w:sz w:val="21"/>
                      <w:szCs w:val="21"/>
                      <w:lang w:val="en-US" w:eastAsia="zh-CN"/>
                    </w:rPr>
                    <w:t>0.12h</w:t>
                  </w:r>
                  <w:r>
                    <w:rPr>
                      <w:rFonts w:ascii="Times New Roman"/>
                      <w:color w:val="auto"/>
                      <w:kern w:val="0"/>
                      <w:sz w:val="21"/>
                      <w:szCs w:val="21"/>
                    </w:rPr>
                    <w:t>m</w:t>
                  </w:r>
                  <w:r>
                    <w:rPr>
                      <w:rFonts w:ascii="Times New Roman"/>
                      <w:color w:val="auto"/>
                      <w:kern w:val="0"/>
                      <w:sz w:val="21"/>
                      <w:szCs w:val="21"/>
                      <w:vertAlign w:val="superscript"/>
                    </w:rPr>
                    <w:t>2</w:t>
                  </w:r>
                  <w:r>
                    <w:rPr>
                      <w:rFonts w:hint="eastAsia" w:ascii="Times New Roman"/>
                      <w:color w:val="auto"/>
                      <w:kern w:val="0"/>
                      <w:sz w:val="21"/>
                      <w:szCs w:val="21"/>
                    </w:rPr>
                    <w:t>，</w:t>
                  </w:r>
                  <w:r>
                    <w:rPr>
                      <w:rFonts w:ascii="Times New Roman"/>
                      <w:color w:val="auto"/>
                      <w:kern w:val="0"/>
                      <w:sz w:val="21"/>
                      <w:szCs w:val="21"/>
                    </w:rPr>
                    <w:t>牵张场总占地合计</w:t>
                  </w:r>
                  <w:r>
                    <w:rPr>
                      <w:rFonts w:hint="eastAsia" w:ascii="Times New Roman" w:eastAsia="宋体"/>
                      <w:color w:val="auto"/>
                      <w:kern w:val="0"/>
                      <w:sz w:val="21"/>
                      <w:szCs w:val="21"/>
                      <w:lang w:val="en-US" w:eastAsia="zh-CN"/>
                    </w:rPr>
                    <w:t>0.6h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r>
                    <w:rPr>
                      <w:rFonts w:hint="eastAsia" w:ascii="Times New Roman"/>
                      <w:color w:val="auto"/>
                      <w:kern w:val="0"/>
                      <w:sz w:val="21"/>
                      <w:szCs w:val="21"/>
                    </w:rPr>
                    <w:t>牵张场全部位于河北滦河上游国家级自然保护区外</w:t>
                  </w:r>
                  <w:r>
                    <w:rPr>
                      <w:rFonts w:hint="eastAsia" w:ascii="Times New Roman" w:eastAsia="宋体"/>
                      <w:color w:val="auto"/>
                      <w:kern w:val="0"/>
                      <w:sz w:val="21"/>
                      <w:szCs w:val="21"/>
                      <w:lang w:eastAsia="zh-CN"/>
                    </w:rPr>
                    <w:t>，保护区内采用</w:t>
                  </w:r>
                  <w:r>
                    <w:rPr>
                      <w:rFonts w:hint="eastAsia" w:ascii="Times New Roman"/>
                      <w:color w:val="auto"/>
                      <w:kern w:val="0"/>
                      <w:sz w:val="21"/>
                      <w:szCs w:val="21"/>
                    </w:rPr>
                    <w:t>无人机架设方式完成牵张任务</w:t>
                  </w:r>
                  <w:r>
                    <w:rPr>
                      <w:rFonts w:hint="eastAsia" w:ascii="Times New Roman" w:eastAsia="宋体"/>
                      <w:color w:val="auto"/>
                      <w:kern w:val="0"/>
                      <w:sz w:val="21"/>
                      <w:szCs w:val="21"/>
                      <w:lang w:eastAsia="zh-CN"/>
                    </w:rPr>
                    <w:t>。</w:t>
                  </w:r>
                </w:p>
              </w:tc>
            </w:tr>
            <w:tr w14:paraId="4063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436" w:type="pct"/>
                  <w:vMerge w:val="restart"/>
                  <w:tcBorders>
                    <w:tl2br w:val="nil"/>
                    <w:tr2bl w:val="nil"/>
                  </w:tcBorders>
                  <w:vAlign w:val="center"/>
                </w:tcPr>
                <w:p w14:paraId="2259C1DC">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公用工程</w:t>
                  </w:r>
                </w:p>
              </w:tc>
              <w:tc>
                <w:tcPr>
                  <w:tcW w:w="588" w:type="pct"/>
                  <w:tcBorders>
                    <w:tl2br w:val="nil"/>
                    <w:tr2bl w:val="nil"/>
                  </w:tcBorders>
                  <w:vAlign w:val="center"/>
                </w:tcPr>
                <w:p w14:paraId="686EC7B9">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给水</w:t>
                  </w:r>
                </w:p>
              </w:tc>
              <w:tc>
                <w:tcPr>
                  <w:tcW w:w="3975" w:type="pct"/>
                  <w:tcBorders>
                    <w:tl2br w:val="nil"/>
                    <w:tr2bl w:val="nil"/>
                  </w:tcBorders>
                  <w:vAlign w:val="center"/>
                </w:tcPr>
                <w:p w14:paraId="7CF0E3E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引自附近村庄</w:t>
                  </w:r>
                </w:p>
              </w:tc>
            </w:tr>
            <w:tr w14:paraId="72BA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434A03C4">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vMerge w:val="restart"/>
                  <w:tcBorders>
                    <w:tl2br w:val="nil"/>
                    <w:tr2bl w:val="nil"/>
                  </w:tcBorders>
                  <w:vAlign w:val="center"/>
                </w:tcPr>
                <w:p w14:paraId="097F61A7">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排水</w:t>
                  </w:r>
                </w:p>
              </w:tc>
              <w:tc>
                <w:tcPr>
                  <w:tcW w:w="3975" w:type="pct"/>
                  <w:tcBorders>
                    <w:tl2br w:val="nil"/>
                    <w:tr2bl w:val="nil"/>
                  </w:tcBorders>
                  <w:vAlign w:val="center"/>
                </w:tcPr>
                <w:p w14:paraId="76D20946">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施工期：施工生活废水依托当地居民的生活污水处理设施；生产废水经沉淀池处理后用于场地泼洒抑尘。</w:t>
                  </w:r>
                </w:p>
              </w:tc>
            </w:tr>
            <w:tr w14:paraId="4E54A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00510378">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588" w:type="pct"/>
                  <w:vMerge w:val="continue"/>
                  <w:tcBorders>
                    <w:tl2br w:val="nil"/>
                    <w:tr2bl w:val="nil"/>
                  </w:tcBorders>
                  <w:vAlign w:val="center"/>
                </w:tcPr>
                <w:p w14:paraId="3EFEC878">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p>
              </w:tc>
              <w:tc>
                <w:tcPr>
                  <w:tcW w:w="3975" w:type="pct"/>
                  <w:tcBorders>
                    <w:tl2br w:val="nil"/>
                    <w:tr2bl w:val="nil"/>
                  </w:tcBorders>
                  <w:vAlign w:val="center"/>
                </w:tcPr>
                <w:p w14:paraId="4F5D6E13">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运营期：无废水产生。</w:t>
                  </w:r>
                </w:p>
              </w:tc>
            </w:tr>
            <w:tr w14:paraId="6E368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8" w:hRule="atLeast"/>
                <w:jc w:val="center"/>
              </w:trPr>
              <w:tc>
                <w:tcPr>
                  <w:tcW w:w="436" w:type="pct"/>
                  <w:vMerge w:val="continue"/>
                  <w:tcBorders>
                    <w:tl2br w:val="nil"/>
                    <w:tr2bl w:val="nil"/>
                  </w:tcBorders>
                  <w:vAlign w:val="center"/>
                </w:tcPr>
                <w:p w14:paraId="206D179D">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142F9836">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供电</w:t>
                  </w:r>
                </w:p>
              </w:tc>
              <w:tc>
                <w:tcPr>
                  <w:tcW w:w="3975" w:type="pct"/>
                  <w:tcBorders>
                    <w:tl2br w:val="nil"/>
                    <w:tr2bl w:val="nil"/>
                  </w:tcBorders>
                  <w:vAlign w:val="center"/>
                </w:tcPr>
                <w:p w14:paraId="00EF0F9C">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施工期临时用电引自附近线路；运营期项目区无人值守，定期巡查，无需供电</w:t>
                  </w:r>
                </w:p>
              </w:tc>
            </w:tr>
            <w:tr w14:paraId="77976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restart"/>
                  <w:tcBorders>
                    <w:tl2br w:val="nil"/>
                    <w:tr2bl w:val="nil"/>
                  </w:tcBorders>
                  <w:vAlign w:val="center"/>
                </w:tcPr>
                <w:p w14:paraId="3D9DC676">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环保工程</w:t>
                  </w:r>
                </w:p>
              </w:tc>
              <w:tc>
                <w:tcPr>
                  <w:tcW w:w="588" w:type="pct"/>
                  <w:tcBorders>
                    <w:tl2br w:val="nil"/>
                    <w:tr2bl w:val="nil"/>
                  </w:tcBorders>
                  <w:vAlign w:val="center"/>
                </w:tcPr>
                <w:p w14:paraId="68D36878">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废气</w:t>
                  </w:r>
                </w:p>
              </w:tc>
              <w:tc>
                <w:tcPr>
                  <w:tcW w:w="3975" w:type="pct"/>
                  <w:tcBorders>
                    <w:tl2br w:val="nil"/>
                    <w:tr2bl w:val="nil"/>
                  </w:tcBorders>
                  <w:vAlign w:val="center"/>
                </w:tcPr>
                <w:p w14:paraId="115BA800">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施工期：施工扬尘采用设置围挡、洒水降尘</w:t>
                  </w:r>
                  <w:r>
                    <w:rPr>
                      <w:rFonts w:hint="eastAsia" w:ascii="Times New Roman"/>
                      <w:color w:val="auto"/>
                      <w:sz w:val="21"/>
                      <w:szCs w:val="24"/>
                    </w:rPr>
                    <w:t>、车辆冲洗等</w:t>
                  </w:r>
                  <w:r>
                    <w:rPr>
                      <w:rFonts w:ascii="Times New Roman"/>
                      <w:color w:val="auto"/>
                      <w:sz w:val="21"/>
                      <w:szCs w:val="24"/>
                    </w:rPr>
                    <w:t>治理措施；物料运输篷布遮盖。</w:t>
                  </w:r>
                </w:p>
                <w:p w14:paraId="0448CAC4">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运营期：项目为输电线路运营期无废气产生。</w:t>
                  </w:r>
                </w:p>
              </w:tc>
            </w:tr>
            <w:tr w14:paraId="6577E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077B335D">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1C6E1E6D">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废水</w:t>
                  </w:r>
                </w:p>
              </w:tc>
              <w:tc>
                <w:tcPr>
                  <w:tcW w:w="3975" w:type="pct"/>
                  <w:tcBorders>
                    <w:tl2br w:val="nil"/>
                    <w:tr2bl w:val="nil"/>
                  </w:tcBorders>
                  <w:vAlign w:val="center"/>
                </w:tcPr>
                <w:p w14:paraId="4791F272">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产生的废水主要为基础养护废水、车辆清洗废水和施工人员生活污水。本工程施工人员住宿租用当地民房解决，施工人员生活污水依托当地的生活污水处理设施处理。线路施工过程中产生的基础养护废水和车辆清洗废水，均经沉淀池沉淀处理后用于施工场地抑尘。</w:t>
                  </w:r>
                </w:p>
                <w:p w14:paraId="450ED7C1">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运营期：无废水产生。</w:t>
                  </w:r>
                </w:p>
              </w:tc>
            </w:tr>
            <w:tr w14:paraId="07F1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43E0D819">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23CEFDD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噪声</w:t>
                  </w:r>
                </w:p>
              </w:tc>
              <w:tc>
                <w:tcPr>
                  <w:tcW w:w="3975" w:type="pct"/>
                  <w:tcBorders>
                    <w:tl2br w:val="nil"/>
                    <w:tr2bl w:val="nil"/>
                  </w:tcBorders>
                  <w:vAlign w:val="center"/>
                </w:tcPr>
                <w:p w14:paraId="56EC0062">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施工期：施工期噪声主要为运输车辆交通噪声、挖掘机、装载机等施工、牵张场内牵张机等噪声；主要采取选用低噪声设备、注意设备维护保养合理操作；合理布置施工现场</w:t>
                  </w:r>
                  <w:r>
                    <w:rPr>
                      <w:rFonts w:hint="eastAsia" w:ascii="Times New Roman"/>
                      <w:color w:val="auto"/>
                      <w:sz w:val="21"/>
                      <w:szCs w:val="24"/>
                    </w:rPr>
                    <w:t>，设置围挡</w:t>
                  </w:r>
                  <w:r>
                    <w:rPr>
                      <w:rFonts w:ascii="Times New Roman"/>
                      <w:color w:val="auto"/>
                      <w:sz w:val="21"/>
                      <w:szCs w:val="24"/>
                    </w:rPr>
                    <w:t>；合理安排施工时间；运输车辆在穿越附近居民点时应控制车速、禁鸣，加强车辆维护；牵张场选择时应远离村庄。</w:t>
                  </w:r>
                </w:p>
                <w:p w14:paraId="36D7980D">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hint="eastAsia" w:ascii="Times New Roman"/>
                      <w:color w:val="auto"/>
                      <w:sz w:val="21"/>
                      <w:szCs w:val="24"/>
                    </w:rPr>
                    <w:t>运营</w:t>
                  </w:r>
                  <w:r>
                    <w:rPr>
                      <w:rFonts w:ascii="Times New Roman"/>
                      <w:color w:val="auto"/>
                      <w:sz w:val="21"/>
                      <w:szCs w:val="24"/>
                    </w:rPr>
                    <w:t>期：选用工艺好的导线来降低输电线运营过程产生的电晕噪声。</w:t>
                  </w:r>
                </w:p>
              </w:tc>
            </w:tr>
            <w:tr w14:paraId="5B0EA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22" w:hRule="atLeast"/>
                <w:jc w:val="center"/>
              </w:trPr>
              <w:tc>
                <w:tcPr>
                  <w:tcW w:w="436" w:type="pct"/>
                  <w:vMerge w:val="continue"/>
                  <w:tcBorders>
                    <w:tl2br w:val="nil"/>
                    <w:tr2bl w:val="nil"/>
                  </w:tcBorders>
                  <w:vAlign w:val="center"/>
                </w:tcPr>
                <w:p w14:paraId="45798C47">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63074A58">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固废</w:t>
                  </w:r>
                </w:p>
              </w:tc>
              <w:tc>
                <w:tcPr>
                  <w:tcW w:w="3975" w:type="pct"/>
                  <w:tcBorders>
                    <w:tl2br w:val="nil"/>
                    <w:tr2bl w:val="nil"/>
                  </w:tcBorders>
                  <w:vAlign w:val="center"/>
                </w:tcPr>
                <w:p w14:paraId="29BC07E8">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施工期：生活垃圾集中收集后定期清运；建筑垃圾集中堆放，运至指定场所处理；施工的土石方尽量做到“挖填平衡”</w:t>
                  </w:r>
                  <w:r>
                    <w:rPr>
                      <w:rFonts w:hint="eastAsia" w:ascii="Times New Roman"/>
                      <w:color w:val="auto"/>
                      <w:sz w:val="21"/>
                      <w:szCs w:val="24"/>
                    </w:rPr>
                    <w:t>；施工遮挡隔离措施。</w:t>
                  </w:r>
                </w:p>
                <w:p w14:paraId="2D882560">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运营期：无固废产生</w:t>
                  </w:r>
                </w:p>
              </w:tc>
            </w:tr>
            <w:tr w14:paraId="4695B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90" w:hRule="atLeast"/>
                <w:jc w:val="center"/>
              </w:trPr>
              <w:tc>
                <w:tcPr>
                  <w:tcW w:w="436" w:type="pct"/>
                  <w:vMerge w:val="continue"/>
                  <w:tcBorders>
                    <w:tl2br w:val="nil"/>
                    <w:tr2bl w:val="nil"/>
                  </w:tcBorders>
                  <w:vAlign w:val="center"/>
                </w:tcPr>
                <w:p w14:paraId="5B790AAE">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4D9B971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电磁</w:t>
                  </w:r>
                </w:p>
              </w:tc>
              <w:tc>
                <w:tcPr>
                  <w:tcW w:w="3975" w:type="pct"/>
                  <w:tcBorders>
                    <w:tl2br w:val="nil"/>
                    <w:tr2bl w:val="nil"/>
                  </w:tcBorders>
                  <w:vAlign w:val="center"/>
                </w:tcPr>
                <w:p w14:paraId="64FF498E">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施工期：无。</w:t>
                  </w:r>
                </w:p>
                <w:p w14:paraId="30B5B962">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运营期：在本项目在选线过程中，对沿线与环境有关的地方政府、军事、林业、矿业、通信、文物等部门进行了收资调研和路径协调工作，并根据有关部门的意见对线路进行了优化工作，避开了相关的环境敏感点。</w:t>
                  </w:r>
                  <w:r>
                    <w:rPr>
                      <w:rFonts w:hint="eastAsia" w:ascii="Times New Roman"/>
                      <w:color w:val="auto"/>
                      <w:kern w:val="0"/>
                      <w:sz w:val="21"/>
                      <w:szCs w:val="21"/>
                    </w:rPr>
                    <w:t>科学设置导线排列方式、选购光洁度高的导线。加强线路日常管理和维护，使线路保持良好的运行状态。导线的挂设高度</w:t>
                  </w:r>
                  <w:r>
                    <w:rPr>
                      <w:rFonts w:ascii="Times New Roman"/>
                      <w:color w:val="auto"/>
                      <w:kern w:val="0"/>
                      <w:sz w:val="21"/>
                      <w:szCs w:val="21"/>
                    </w:rPr>
                    <w:t>应确保与</w:t>
                  </w:r>
                  <w:r>
                    <w:rPr>
                      <w:rFonts w:hint="eastAsia" w:ascii="Times New Roman"/>
                      <w:color w:val="auto"/>
                      <w:kern w:val="0"/>
                      <w:sz w:val="21"/>
                      <w:szCs w:val="21"/>
                    </w:rPr>
                    <w:t>各种</w:t>
                  </w:r>
                  <w:r>
                    <w:rPr>
                      <w:rFonts w:ascii="Times New Roman"/>
                      <w:color w:val="auto"/>
                      <w:kern w:val="0"/>
                      <w:sz w:val="21"/>
                      <w:szCs w:val="21"/>
                    </w:rPr>
                    <w:t>跨越物留有足够净空距离</w:t>
                  </w:r>
                  <w:r>
                    <w:rPr>
                      <w:rFonts w:hint="eastAsia" w:ascii="Times New Roman"/>
                      <w:color w:val="auto"/>
                      <w:kern w:val="0"/>
                      <w:sz w:val="21"/>
                      <w:szCs w:val="21"/>
                    </w:rPr>
                    <w:t>。</w:t>
                  </w:r>
                </w:p>
              </w:tc>
            </w:tr>
            <w:tr w14:paraId="447CA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continue"/>
                  <w:tcBorders>
                    <w:tl2br w:val="nil"/>
                    <w:tr2bl w:val="nil"/>
                  </w:tcBorders>
                  <w:vAlign w:val="center"/>
                </w:tcPr>
                <w:p w14:paraId="783C57CA">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3E00E708">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生态保护</w:t>
                  </w:r>
                </w:p>
              </w:tc>
              <w:tc>
                <w:tcPr>
                  <w:tcW w:w="3975" w:type="pct"/>
                  <w:tcBorders>
                    <w:tl2br w:val="nil"/>
                    <w:tr2bl w:val="nil"/>
                  </w:tcBorders>
                  <w:vAlign w:val="center"/>
                </w:tcPr>
                <w:p w14:paraId="43ABE11E">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设计期：优化选址选线，尽量避让生态环境敏感目标，线路工程按照土石方挖填平衡进行设计，经过林区应尽量采用架高杆塔跨越方式，山区铁塔采用高低脚设计。</w:t>
                  </w:r>
                </w:p>
                <w:p w14:paraId="590981D3">
                  <w:pPr>
                    <w:keepNext w:val="0"/>
                    <w:keepLines w:val="0"/>
                    <w:pageBreakBefore w:val="0"/>
                    <w:kinsoku/>
                    <w:wordWrap/>
                    <w:overflowPunct/>
                    <w:topLinePunct w:val="0"/>
                    <w:autoSpaceDE w:val="0"/>
                    <w:autoSpaceDN w:val="0"/>
                    <w:bidi w:val="0"/>
                    <w:adjustRightInd w:val="0"/>
                    <w:snapToGrid w:val="0"/>
                    <w:ind w:left="0" w:firstLine="0"/>
                    <w:textAlignment w:val="auto"/>
                    <w:rPr>
                      <w:rFonts w:hint="default" w:ascii="Times New Roman" w:eastAsia="宋体"/>
                      <w:color w:val="auto"/>
                      <w:sz w:val="21"/>
                      <w:szCs w:val="24"/>
                      <w:lang w:val="en-US" w:eastAsia="zh-CN"/>
                    </w:rPr>
                  </w:pPr>
                  <w:r>
                    <w:rPr>
                      <w:rFonts w:hint="eastAsia" w:ascii="Times New Roman" w:eastAsia="宋体"/>
                      <w:color w:val="auto"/>
                      <w:sz w:val="21"/>
                      <w:szCs w:val="24"/>
                      <w:lang w:eastAsia="zh-CN"/>
                    </w:rPr>
                    <w:t>施工期在河北省木兰围场国有林场内长度为</w:t>
                  </w:r>
                  <w:r>
                    <w:rPr>
                      <w:rFonts w:hint="eastAsia" w:ascii="Times New Roman" w:eastAsia="宋体"/>
                      <w:color w:val="auto"/>
                      <w:sz w:val="21"/>
                      <w:szCs w:val="24"/>
                      <w:lang w:val="en-US" w:eastAsia="zh-CN"/>
                    </w:rPr>
                    <w:t>1.8km，占地1.014亩（约676m</w:t>
                  </w:r>
                  <w:r>
                    <w:rPr>
                      <w:rFonts w:hint="eastAsia" w:ascii="Times New Roman" w:eastAsia="宋体"/>
                      <w:color w:val="auto"/>
                      <w:sz w:val="21"/>
                      <w:szCs w:val="24"/>
                      <w:vertAlign w:val="superscript"/>
                      <w:lang w:val="en-US" w:eastAsia="zh-CN"/>
                    </w:rPr>
                    <w:t>2</w:t>
                  </w:r>
                  <w:r>
                    <w:rPr>
                      <w:rFonts w:hint="eastAsia" w:ascii="Times New Roman" w:eastAsia="宋体"/>
                      <w:color w:val="auto"/>
                      <w:sz w:val="21"/>
                      <w:szCs w:val="24"/>
                      <w:lang w:val="en-US" w:eastAsia="zh-CN"/>
                    </w:rPr>
                    <w:t>），并支付了补偿金，国有林场段林地恢复有</w:t>
                  </w:r>
                  <w:r>
                    <w:rPr>
                      <w:rFonts w:hint="eastAsia" w:ascii="Times New Roman" w:eastAsia="宋体"/>
                      <w:color w:val="auto"/>
                      <w:sz w:val="21"/>
                      <w:szCs w:val="24"/>
                      <w:lang w:eastAsia="zh-CN"/>
                    </w:rPr>
                    <w:t>河北省木兰围场国有林场进行实施。其余段有围场满族蒙古族自治县阳洁光伏发电有限责任公司进行生态恢复，目前正在进行施工完毕塔基的土地平整、覆土，并进行苫盖，待具体植被种植条件后进行植被恢复。</w:t>
                  </w:r>
                </w:p>
                <w:p w14:paraId="33E8131E">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施工期：限制施工作业带范围，施工作业主要在远离生态红线的一侧，减少施工开挖面积和临时占地面积，表土分层堆放，分层回填；在施工区域设置警示牌，施工临时占地及时恢复，临时弃土、土石料场风季用苫布遮盖；优化土方平衡，弃土及时清运，减少二次倒运和堆放；施工结束后，及时对施工碾压过的土地进行人工洒水，使土壤自然疏松，按原来的地貌选择合适的草种或树木进行恢复性种植，在恢复期间注意保护，减少人畜和车辆的影响。</w:t>
                  </w:r>
                </w:p>
                <w:p w14:paraId="693229DB">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hint="eastAsia" w:ascii="Times New Roman"/>
                      <w:color w:val="auto"/>
                      <w:sz w:val="21"/>
                      <w:szCs w:val="24"/>
                    </w:rPr>
                    <w:t>运营期：为降低鸟类撞击铁塔或导线造成的影响，需在塔基安装驱鸟器，在导线悬垂串及跳线串上方安装防鸟刺。</w:t>
                  </w:r>
                </w:p>
              </w:tc>
            </w:tr>
            <w:tr w14:paraId="6281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7E095931">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47AFA715">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ascii="Times New Roman"/>
                      <w:color w:val="auto"/>
                      <w:sz w:val="21"/>
                      <w:szCs w:val="24"/>
                    </w:rPr>
                    <w:t>水土流失工程</w:t>
                  </w:r>
                </w:p>
              </w:tc>
              <w:tc>
                <w:tcPr>
                  <w:tcW w:w="3975" w:type="pct"/>
                  <w:tcBorders>
                    <w:tl2br w:val="nil"/>
                    <w:tr2bl w:val="nil"/>
                  </w:tcBorders>
                  <w:vAlign w:val="center"/>
                </w:tcPr>
                <w:p w14:paraId="38A9BB41">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4"/>
                    </w:rPr>
                  </w:pPr>
                  <w:r>
                    <w:rPr>
                      <w:rFonts w:ascii="Times New Roman"/>
                      <w:color w:val="auto"/>
                      <w:sz w:val="21"/>
                      <w:szCs w:val="24"/>
                    </w:rPr>
                    <w:t>对因永久塔基占地的水土流失采取工程措施，对扰动的地表采取砾石覆盖措施，施工结束及时表土回填，并采取植被恢复措施；对于占用的林地、耕地已签订补偿协议；临时堆土场采用防护</w:t>
                  </w:r>
                  <w:r>
                    <w:rPr>
                      <w:rFonts w:hint="eastAsia" w:ascii="Times New Roman" w:eastAsia="宋体"/>
                      <w:color w:val="auto"/>
                      <w:sz w:val="21"/>
                      <w:szCs w:val="24"/>
                      <w:lang w:val="en-US" w:eastAsia="zh-CN"/>
                    </w:rPr>
                    <w:t>措施</w:t>
                  </w:r>
                  <w:r>
                    <w:rPr>
                      <w:rFonts w:ascii="Times New Roman"/>
                      <w:color w:val="auto"/>
                      <w:sz w:val="21"/>
                      <w:szCs w:val="24"/>
                    </w:rPr>
                    <w:t>，及时回填，减少临时堆土量；</w:t>
                  </w:r>
                </w:p>
              </w:tc>
            </w:tr>
            <w:tr w14:paraId="7166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restart"/>
                  <w:tcBorders>
                    <w:tl2br w:val="nil"/>
                    <w:tr2bl w:val="nil"/>
                  </w:tcBorders>
                  <w:vAlign w:val="center"/>
                </w:tcPr>
                <w:p w14:paraId="1B0AA49B">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hint="eastAsia" w:ascii="Times New Roman"/>
                      <w:color w:val="auto"/>
                      <w:sz w:val="21"/>
                      <w:szCs w:val="24"/>
                    </w:rPr>
                    <w:t>依托工程</w:t>
                  </w:r>
                </w:p>
              </w:tc>
              <w:tc>
                <w:tcPr>
                  <w:tcW w:w="588" w:type="pct"/>
                  <w:tcBorders>
                    <w:tl2br w:val="nil"/>
                    <w:tr2bl w:val="nil"/>
                  </w:tcBorders>
                  <w:vAlign w:val="center"/>
                </w:tcPr>
                <w:p w14:paraId="02597D5E">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r>
                    <w:rPr>
                      <w:rFonts w:hint="eastAsia" w:ascii="Times New Roman"/>
                      <w:color w:val="auto"/>
                      <w:sz w:val="21"/>
                      <w:szCs w:val="24"/>
                    </w:rPr>
                    <w:t>华能光伏起点升压站</w:t>
                  </w:r>
                </w:p>
              </w:tc>
              <w:tc>
                <w:tcPr>
                  <w:tcW w:w="3975" w:type="pct"/>
                  <w:tcBorders>
                    <w:tl2br w:val="nil"/>
                    <w:tr2bl w:val="nil"/>
                  </w:tcBorders>
                  <w:vAlign w:val="center"/>
                </w:tcPr>
                <w:p w14:paraId="3E2B3552">
                  <w:pPr>
                    <w:keepNext w:val="0"/>
                    <w:keepLines w:val="0"/>
                    <w:pageBreakBefore w:val="0"/>
                    <w:kinsoku/>
                    <w:wordWrap/>
                    <w:overflowPunct/>
                    <w:topLinePunct w:val="0"/>
                    <w:autoSpaceDE w:val="0"/>
                    <w:autoSpaceDN w:val="0"/>
                    <w:bidi w:val="0"/>
                    <w:snapToGrid w:val="0"/>
                    <w:ind w:left="0" w:firstLine="0"/>
                    <w:jc w:val="left"/>
                    <w:textAlignment w:val="auto"/>
                    <w:rPr>
                      <w:rFonts w:ascii="Times New Roman"/>
                      <w:color w:val="auto"/>
                      <w:kern w:val="0"/>
                      <w:sz w:val="21"/>
                      <w:szCs w:val="21"/>
                    </w:rPr>
                  </w:pPr>
                  <w:r>
                    <w:rPr>
                      <w:rFonts w:hint="eastAsia" w:ascii="Times New Roman"/>
                      <w:color w:val="auto"/>
                      <w:kern w:val="0"/>
                      <w:sz w:val="21"/>
                      <w:szCs w:val="21"/>
                    </w:rPr>
                    <w:t>该站为建设单位建设，为220kV升压站。其设计：建设1台</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00MVA主变，电压等级为220/35kV。220kV出线1回，为架空出线；35kV规划出线</w:t>
                  </w:r>
                  <w:r>
                    <w:rPr>
                      <w:rFonts w:hint="eastAsia" w:ascii="Times New Roman" w:eastAsia="宋体"/>
                      <w:color w:val="auto"/>
                      <w:kern w:val="0"/>
                      <w:sz w:val="21"/>
                      <w:szCs w:val="21"/>
                      <w:lang w:val="en-US" w:eastAsia="zh-CN"/>
                    </w:rPr>
                    <w:t>10</w:t>
                  </w:r>
                  <w:r>
                    <w:rPr>
                      <w:rFonts w:hint="eastAsia" w:ascii="Times New Roman"/>
                      <w:color w:val="auto"/>
                      <w:kern w:val="0"/>
                      <w:sz w:val="21"/>
                      <w:szCs w:val="21"/>
                    </w:rPr>
                    <w:t>回为电缆出线。</w:t>
                  </w:r>
                </w:p>
                <w:p w14:paraId="1AA97125">
                  <w:pPr>
                    <w:keepNext w:val="0"/>
                    <w:keepLines w:val="0"/>
                    <w:pageBreakBefore w:val="0"/>
                    <w:kinsoku/>
                    <w:wordWrap/>
                    <w:overflowPunct/>
                    <w:topLinePunct w:val="0"/>
                    <w:autoSpaceDE w:val="0"/>
                    <w:autoSpaceDN w:val="0"/>
                    <w:bidi w:val="0"/>
                    <w:snapToGrid w:val="0"/>
                    <w:ind w:left="0" w:firstLine="0"/>
                    <w:jc w:val="left"/>
                    <w:textAlignment w:val="auto"/>
                    <w:rPr>
                      <w:rFonts w:ascii="Times New Roman"/>
                      <w:color w:val="auto"/>
                      <w:sz w:val="21"/>
                      <w:szCs w:val="24"/>
                    </w:rPr>
                  </w:pPr>
                  <w:r>
                    <w:rPr>
                      <w:rFonts w:hint="eastAsia" w:ascii="Times New Roman"/>
                      <w:color w:val="auto"/>
                      <w:kern w:val="0"/>
                      <w:sz w:val="21"/>
                      <w:szCs w:val="21"/>
                    </w:rPr>
                    <w:t>其建设项目《</w:t>
                  </w:r>
                  <w:r>
                    <w:rPr>
                      <w:rFonts w:hint="default" w:ascii="Times New Roman" w:hAnsi="Times New Roman" w:eastAsia="宋体" w:cs="Times New Roman"/>
                      <w:color w:val="auto"/>
                      <w:kern w:val="2"/>
                      <w:sz w:val="21"/>
                      <w:szCs w:val="21"/>
                      <w:highlight w:val="none"/>
                    </w:rPr>
                    <w:t>华能围场风光储氢热一体化项目(光伏200MW)</w:t>
                  </w:r>
                  <w:r>
                    <w:rPr>
                      <w:rFonts w:hint="eastAsia" w:ascii="Times New Roman"/>
                      <w:color w:val="auto"/>
                      <w:kern w:val="0"/>
                      <w:sz w:val="21"/>
                      <w:szCs w:val="21"/>
                    </w:rPr>
                    <w:t>220kV升压站工程环境影响报告表》</w:t>
                  </w:r>
                  <w:r>
                    <w:rPr>
                      <w:rFonts w:hint="eastAsia" w:ascii="Times New Roman" w:eastAsia="宋体"/>
                      <w:color w:val="auto"/>
                      <w:kern w:val="0"/>
                      <w:sz w:val="21"/>
                      <w:szCs w:val="21"/>
                      <w:lang w:eastAsia="zh-CN"/>
                    </w:rPr>
                    <w:t>已委托编制</w:t>
                  </w:r>
                  <w:r>
                    <w:rPr>
                      <w:rFonts w:hint="eastAsia" w:ascii="Times New Roman"/>
                      <w:color w:val="auto"/>
                      <w:kern w:val="0"/>
                      <w:sz w:val="21"/>
                      <w:szCs w:val="21"/>
                    </w:rPr>
                    <w:t>。</w:t>
                  </w:r>
                </w:p>
              </w:tc>
            </w:tr>
            <w:tr w14:paraId="5460B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continue"/>
                  <w:tcBorders>
                    <w:tl2br w:val="nil"/>
                    <w:tr2bl w:val="nil"/>
                  </w:tcBorders>
                  <w:vAlign w:val="center"/>
                </w:tcPr>
                <w:p w14:paraId="009FF853">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4"/>
                    </w:rPr>
                  </w:pPr>
                </w:p>
              </w:tc>
              <w:tc>
                <w:tcPr>
                  <w:tcW w:w="588" w:type="pct"/>
                  <w:tcBorders>
                    <w:tl2br w:val="nil"/>
                    <w:tr2bl w:val="nil"/>
                  </w:tcBorders>
                  <w:vAlign w:val="center"/>
                </w:tcPr>
                <w:p w14:paraId="1406491E">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ascii="Times New Roman"/>
                      <w:color w:val="auto"/>
                      <w:sz w:val="21"/>
                      <w:szCs w:val="21"/>
                    </w:rPr>
                  </w:pPr>
                  <w:r>
                    <w:rPr>
                      <w:rFonts w:hint="eastAsia" w:ascii="Times New Roman"/>
                      <w:snapToGrid w:val="0"/>
                      <w:color w:val="auto"/>
                      <w:kern w:val="0"/>
                      <w:sz w:val="21"/>
                      <w:szCs w:val="21"/>
                    </w:rPr>
                    <w:t>华能风电终点升压站</w:t>
                  </w:r>
                </w:p>
              </w:tc>
              <w:tc>
                <w:tcPr>
                  <w:tcW w:w="3975" w:type="pct"/>
                  <w:tcBorders>
                    <w:tl2br w:val="nil"/>
                    <w:tr2bl w:val="nil"/>
                  </w:tcBorders>
                  <w:vAlign w:val="center"/>
                </w:tcPr>
                <w:p w14:paraId="502FC9E2">
                  <w:pPr>
                    <w:keepNext w:val="0"/>
                    <w:keepLines w:val="0"/>
                    <w:pageBreakBefore w:val="0"/>
                    <w:kinsoku/>
                    <w:wordWrap/>
                    <w:overflowPunct/>
                    <w:topLinePunct w:val="0"/>
                    <w:autoSpaceDE w:val="0"/>
                    <w:autoSpaceDN w:val="0"/>
                    <w:bidi w:val="0"/>
                    <w:adjustRightInd w:val="0"/>
                    <w:snapToGrid w:val="0"/>
                    <w:ind w:left="0" w:firstLine="0"/>
                    <w:textAlignment w:val="auto"/>
                    <w:rPr>
                      <w:rFonts w:ascii="Times New Roman"/>
                      <w:color w:val="auto"/>
                      <w:sz w:val="21"/>
                      <w:szCs w:val="21"/>
                    </w:rPr>
                  </w:pPr>
                  <w:r>
                    <w:rPr>
                      <w:rFonts w:hint="eastAsia" w:ascii="Times New Roman"/>
                      <w:color w:val="auto"/>
                      <w:sz w:val="21"/>
                      <w:szCs w:val="21"/>
                    </w:rPr>
                    <w:t>该站为建设单位建设，为220kV升压站。其设计：建设1台</w:t>
                  </w:r>
                  <w:r>
                    <w:rPr>
                      <w:rFonts w:ascii="Times New Roman"/>
                      <w:color w:val="auto"/>
                      <w:sz w:val="21"/>
                      <w:szCs w:val="21"/>
                    </w:rPr>
                    <w:t>2</w:t>
                  </w:r>
                  <w:r>
                    <w:rPr>
                      <w:rFonts w:hint="eastAsia" w:ascii="Times New Roman"/>
                      <w:color w:val="auto"/>
                      <w:sz w:val="21"/>
                      <w:szCs w:val="21"/>
                    </w:rPr>
                    <w:t>00MVA主变，电压等级为220/35kV。220kV出线</w:t>
                  </w:r>
                  <w:r>
                    <w:rPr>
                      <w:rFonts w:ascii="Times New Roman"/>
                      <w:color w:val="auto"/>
                      <w:sz w:val="21"/>
                      <w:szCs w:val="21"/>
                    </w:rPr>
                    <w:t>4</w:t>
                  </w:r>
                  <w:r>
                    <w:rPr>
                      <w:rFonts w:hint="eastAsia" w:ascii="Times New Roman"/>
                      <w:color w:val="auto"/>
                      <w:sz w:val="21"/>
                      <w:szCs w:val="21"/>
                    </w:rPr>
                    <w:t>回，为架空出线。本项目接入该变电站</w:t>
                  </w:r>
                  <w:r>
                    <w:rPr>
                      <w:rFonts w:hint="eastAsia" w:ascii="Times New Roman" w:eastAsia="宋体"/>
                      <w:color w:val="auto"/>
                      <w:sz w:val="21"/>
                      <w:szCs w:val="21"/>
                      <w:lang w:eastAsia="zh-CN"/>
                    </w:rPr>
                    <w:t>南</w:t>
                  </w:r>
                  <w:r>
                    <w:rPr>
                      <w:rFonts w:hint="eastAsia" w:ascii="Times New Roman"/>
                      <w:color w:val="auto"/>
                      <w:sz w:val="21"/>
                      <w:szCs w:val="21"/>
                    </w:rPr>
                    <w:t>侧220kV架构自</w:t>
                  </w:r>
                  <w:r>
                    <w:rPr>
                      <w:rFonts w:hint="eastAsia" w:ascii="Times New Roman" w:eastAsia="宋体"/>
                      <w:color w:val="auto"/>
                      <w:sz w:val="21"/>
                      <w:szCs w:val="21"/>
                      <w:lang w:eastAsia="zh-CN"/>
                    </w:rPr>
                    <w:t>西</w:t>
                  </w:r>
                  <w:r>
                    <w:rPr>
                      <w:rFonts w:hint="eastAsia" w:ascii="Times New Roman"/>
                      <w:color w:val="auto"/>
                      <w:sz w:val="21"/>
                      <w:szCs w:val="21"/>
                    </w:rPr>
                    <w:t>向</w:t>
                  </w:r>
                  <w:r>
                    <w:rPr>
                      <w:rFonts w:hint="eastAsia" w:ascii="Times New Roman" w:eastAsia="宋体"/>
                      <w:color w:val="auto"/>
                      <w:sz w:val="21"/>
                      <w:szCs w:val="21"/>
                      <w:lang w:eastAsia="zh-CN"/>
                    </w:rPr>
                    <w:t>东</w:t>
                  </w:r>
                  <w:r>
                    <w:rPr>
                      <w:rFonts w:hint="eastAsia" w:ascii="Times New Roman"/>
                      <w:color w:val="auto"/>
                      <w:sz w:val="21"/>
                      <w:szCs w:val="21"/>
                    </w:rPr>
                    <w:t>第</w:t>
                  </w:r>
                  <w:r>
                    <w:rPr>
                      <w:rFonts w:hint="eastAsia" w:ascii="Times New Roman" w:eastAsia="宋体"/>
                      <w:color w:val="auto"/>
                      <w:sz w:val="21"/>
                      <w:szCs w:val="21"/>
                      <w:lang w:val="en-US" w:eastAsia="zh-CN"/>
                    </w:rPr>
                    <w:t>2</w:t>
                  </w:r>
                  <w:r>
                    <w:rPr>
                      <w:rFonts w:hint="eastAsia" w:ascii="Times New Roman"/>
                      <w:color w:val="auto"/>
                      <w:sz w:val="21"/>
                      <w:szCs w:val="21"/>
                    </w:rPr>
                    <w:t>出线间隔。目前项目正在建设。该升压站辐射环境影响评价与本项目环评审批同期进行。</w:t>
                  </w:r>
                </w:p>
              </w:tc>
            </w:tr>
            <w:tr w14:paraId="56A88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1024" w:type="pct"/>
                  <w:gridSpan w:val="2"/>
                  <w:tcBorders>
                    <w:tl2br w:val="nil"/>
                    <w:tr2bl w:val="nil"/>
                  </w:tcBorders>
                  <w:vAlign w:val="center"/>
                </w:tcPr>
                <w:p w14:paraId="6A5BE78E">
                  <w:pPr>
                    <w:keepNext w:val="0"/>
                    <w:keepLines w:val="0"/>
                    <w:pageBreakBefore w:val="0"/>
                    <w:kinsoku/>
                    <w:wordWrap/>
                    <w:overflowPunct/>
                    <w:topLinePunct w:val="0"/>
                    <w:autoSpaceDE w:val="0"/>
                    <w:autoSpaceDN w:val="0"/>
                    <w:bidi w:val="0"/>
                    <w:adjustRightInd w:val="0"/>
                    <w:snapToGrid w:val="0"/>
                    <w:ind w:left="0" w:firstLine="0"/>
                    <w:jc w:val="center"/>
                    <w:textAlignment w:val="auto"/>
                    <w:rPr>
                      <w:rFonts w:hint="eastAsia" w:ascii="Times New Roman" w:eastAsia="宋体"/>
                      <w:snapToGrid w:val="0"/>
                      <w:color w:val="auto"/>
                      <w:kern w:val="0"/>
                      <w:sz w:val="21"/>
                      <w:szCs w:val="21"/>
                      <w:lang w:eastAsia="zh-CN"/>
                    </w:rPr>
                  </w:pPr>
                  <w:r>
                    <w:rPr>
                      <w:rFonts w:hint="eastAsia" w:ascii="Times New Roman" w:eastAsia="宋体"/>
                      <w:snapToGrid w:val="0"/>
                      <w:color w:val="auto"/>
                      <w:kern w:val="0"/>
                      <w:sz w:val="21"/>
                      <w:szCs w:val="21"/>
                      <w:lang w:eastAsia="zh-CN"/>
                    </w:rPr>
                    <w:t>施工进度</w:t>
                  </w:r>
                </w:p>
              </w:tc>
              <w:tc>
                <w:tcPr>
                  <w:tcW w:w="3975" w:type="pct"/>
                  <w:tcBorders>
                    <w:tl2br w:val="nil"/>
                    <w:tr2bl w:val="nil"/>
                  </w:tcBorders>
                  <w:vAlign w:val="center"/>
                </w:tcPr>
                <w:p w14:paraId="5BC9C2CE">
                  <w:pPr>
                    <w:keepNext w:val="0"/>
                    <w:keepLines w:val="0"/>
                    <w:pageBreakBefore w:val="0"/>
                    <w:kinsoku/>
                    <w:wordWrap/>
                    <w:overflowPunct/>
                    <w:topLinePunct w:val="0"/>
                    <w:autoSpaceDE w:val="0"/>
                    <w:autoSpaceDN w:val="0"/>
                    <w:bidi w:val="0"/>
                    <w:adjustRightInd w:val="0"/>
                    <w:snapToGrid w:val="0"/>
                    <w:ind w:left="0" w:firstLine="0"/>
                    <w:textAlignment w:val="auto"/>
                    <w:rPr>
                      <w:rFonts w:hint="default" w:ascii="Times New Roman" w:eastAsia="宋体"/>
                      <w:color w:val="auto"/>
                      <w:sz w:val="21"/>
                      <w:szCs w:val="21"/>
                      <w:lang w:val="en-US" w:eastAsia="zh-CN"/>
                    </w:rPr>
                  </w:pPr>
                  <w:r>
                    <w:rPr>
                      <w:rFonts w:hint="eastAsia" w:ascii="Times New Roman" w:eastAsia="宋体"/>
                      <w:color w:val="auto"/>
                      <w:sz w:val="21"/>
                      <w:szCs w:val="21"/>
                      <w:lang w:eastAsia="zh-CN"/>
                    </w:rPr>
                    <w:t>项目塔基塔身已施工完成，导线未架设完成，计划</w:t>
                  </w:r>
                  <w:r>
                    <w:rPr>
                      <w:rFonts w:hint="eastAsia" w:ascii="Times New Roman" w:eastAsia="宋体"/>
                      <w:color w:val="auto"/>
                      <w:sz w:val="21"/>
                      <w:szCs w:val="21"/>
                      <w:lang w:val="en-US" w:eastAsia="zh-CN"/>
                    </w:rPr>
                    <w:t>2024年12月导线架设完成，2025年6月之前完成生态恢复工作。</w:t>
                  </w:r>
                </w:p>
              </w:tc>
            </w:tr>
          </w:tbl>
          <w:p w14:paraId="0E21F2A1">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（5）沿线环境状况</w:t>
            </w:r>
          </w:p>
          <w:p w14:paraId="4765D56B">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220kV线路工程全线位于承德市围场满族蒙古族自治县老窝铺乡、城子镇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hint="default" w:ascii="Times New Roman" w:hAnsi="Times New Roman" w:eastAsia="宋体" w:cs="Times New Roman"/>
                <w:bCs/>
                <w:color w:val="auto"/>
                <w:sz w:val="24"/>
                <w:szCs w:val="24"/>
                <w:highlight w:val="none"/>
              </w:rPr>
              <w:t>，线路沿线地势起伏及高差变化较大，多为山区林地，部分为耕地。本项目路径图见附图2，周边关系图见附图3。</w:t>
            </w:r>
          </w:p>
          <w:p w14:paraId="28B935ED">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（6）线路路径</w:t>
            </w:r>
          </w:p>
          <w:p w14:paraId="64568695">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自华能围场光伏220kV升压站架构出线后，向东南方向走线到达J3（</w:t>
            </w:r>
            <w:r>
              <w:rPr>
                <w:rFonts w:hint="eastAsia" w:ascii="Times New Roman" w:hAnsi="Times New Roman" w:eastAsia="宋体" w:cs="Times New Roman"/>
                <w:bCs/>
                <w:color w:val="auto"/>
                <w:sz w:val="24"/>
                <w:szCs w:val="24"/>
                <w:highlight w:val="none"/>
                <w:lang w:val="en-US" w:eastAsia="zh-CN"/>
              </w:rPr>
              <w:t>4号塔</w:t>
            </w:r>
            <w:r>
              <w:rPr>
                <w:rFonts w:hint="default" w:ascii="Times New Roman" w:hAnsi="Times New Roman" w:eastAsia="宋体" w:cs="Times New Roman"/>
                <w:bCs/>
                <w:color w:val="auto"/>
                <w:sz w:val="24"/>
                <w:szCs w:val="24"/>
                <w:highlight w:val="none"/>
              </w:rPr>
              <w:t>进入河北滦河上游国家级自然保护区实验区），至二道岔北山附近后左转向东偏北方向到达J5，右转向东南方向到达大台子北侧J8，之后送出线路架空穿越220kV点祥线到达J10，右转后线路呈东南方向到达三号沟东侧J13（出河北滦河上游国家级自然保护区实验区</w:t>
            </w:r>
            <w:r>
              <w:rPr>
                <w:rFonts w:hint="eastAsia" w:ascii="Times New Roman" w:hAnsi="Times New Roman" w:eastAsia="宋体" w:cs="Times New Roman"/>
                <w:bCs/>
                <w:color w:val="auto"/>
                <w:sz w:val="24"/>
                <w:szCs w:val="24"/>
                <w:highlight w:val="none"/>
                <w:lang w:eastAsia="zh-CN"/>
              </w:rPr>
              <w:t>，保护区内最后一基塔为</w:t>
            </w:r>
            <w:r>
              <w:rPr>
                <w:rFonts w:hint="eastAsia" w:ascii="Times New Roman" w:hAnsi="Times New Roman" w:eastAsia="宋体" w:cs="Times New Roman"/>
                <w:bCs/>
                <w:color w:val="auto"/>
                <w:sz w:val="24"/>
                <w:szCs w:val="24"/>
                <w:highlight w:val="none"/>
                <w:lang w:val="en-US" w:eastAsia="zh-CN"/>
              </w:rPr>
              <w:t>26号塔</w:t>
            </w:r>
            <w:r>
              <w:rPr>
                <w:rFonts w:hint="default" w:ascii="Times New Roman" w:hAnsi="Times New Roman" w:eastAsia="宋体" w:cs="Times New Roman"/>
                <w:bCs/>
                <w:color w:val="auto"/>
                <w:sz w:val="24"/>
                <w:szCs w:val="24"/>
                <w:highlight w:val="none"/>
              </w:rPr>
              <w:t>），继续向东南</w:t>
            </w:r>
            <w:r>
              <w:rPr>
                <w:rFonts w:hint="eastAsia" w:ascii="Times New Roman" w:hAnsi="Times New Roman" w:eastAsia="宋体" w:cs="Times New Roman"/>
                <w:bCs/>
                <w:color w:val="auto"/>
                <w:sz w:val="24"/>
                <w:szCs w:val="24"/>
                <w:highlight w:val="none"/>
                <w:lang w:eastAsia="zh-CN"/>
              </w:rPr>
              <w:t>至</w:t>
            </w:r>
            <w:r>
              <w:rPr>
                <w:rFonts w:hint="default" w:ascii="Times New Roman" w:hAnsi="Times New Roman" w:eastAsia="宋体" w:cs="Times New Roman"/>
                <w:bCs/>
                <w:color w:val="auto"/>
                <w:sz w:val="24"/>
                <w:szCs w:val="24"/>
                <w:highlight w:val="none"/>
              </w:rPr>
              <w:t>哈啦吗嘎沟西侧J14，右转跨越35kV牌后线和35kV牌老线后到达J15，左转向东南方向至J16，再左转跨越35kV牌老线后向东北方向架设至华能200兆瓦风电升压站西侧，建设一座双回路终端塔，</w:t>
            </w:r>
            <w:r>
              <w:rPr>
                <w:rFonts w:hint="default" w:ascii="Times New Roman" w:hAnsi="Times New Roman" w:eastAsia="宋体" w:cs="Times New Roman"/>
                <w:bCs/>
                <w:color w:val="auto"/>
                <w:sz w:val="24"/>
                <w:szCs w:val="24"/>
                <w:highlight w:val="none"/>
                <w:lang w:eastAsia="zh-CN"/>
              </w:rPr>
              <w:t>单侧挂线</w:t>
            </w:r>
            <w:r>
              <w:rPr>
                <w:rFonts w:hint="default" w:ascii="Times New Roman" w:hAnsi="Times New Roman" w:eastAsia="宋体" w:cs="Times New Roman"/>
                <w:bCs/>
                <w:color w:val="auto"/>
                <w:sz w:val="24"/>
                <w:szCs w:val="24"/>
                <w:highlight w:val="none"/>
              </w:rPr>
              <w:t>至风电进线架构。</w:t>
            </w:r>
          </w:p>
          <w:p w14:paraId="6675F8E3">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（7）线路交叉跨越情况及塔型选型</w:t>
            </w:r>
          </w:p>
          <w:p w14:paraId="56DA18D8">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本项目线路整体走向为自西向东。主要交叉钻跨越情况见表2-</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w:t>
            </w:r>
          </w:p>
          <w:p w14:paraId="07F80464">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本项目主要交叉钻跨越情况一览表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8"/>
              <w:gridCol w:w="1610"/>
              <w:gridCol w:w="1610"/>
              <w:gridCol w:w="2555"/>
            </w:tblGrid>
            <w:tr w14:paraId="021F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0CD35B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线路名称</w:t>
                  </w:r>
                </w:p>
              </w:tc>
              <w:tc>
                <w:tcPr>
                  <w:tcW w:w="916" w:type="pct"/>
                  <w:vAlign w:val="center"/>
                </w:tcPr>
                <w:p w14:paraId="6B92689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16" w:type="pct"/>
                  <w:vAlign w:val="center"/>
                </w:tcPr>
                <w:p w14:paraId="6AC39B7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w:t>
                  </w:r>
                </w:p>
              </w:tc>
              <w:tc>
                <w:tcPr>
                  <w:tcW w:w="1454" w:type="pct"/>
                  <w:vAlign w:val="center"/>
                </w:tcPr>
                <w:p w14:paraId="6D30BF1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r>
            <w:tr w14:paraId="6A01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0D0DD98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220kV点祥线路</w:t>
                  </w:r>
                </w:p>
              </w:tc>
              <w:tc>
                <w:tcPr>
                  <w:tcW w:w="916" w:type="pct"/>
                  <w:vAlign w:val="center"/>
                </w:tcPr>
                <w:p w14:paraId="675E0C0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1E000AB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54" w:type="pct"/>
                  <w:vAlign w:val="center"/>
                </w:tcPr>
                <w:p w14:paraId="02A75F5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钻越</w:t>
                  </w:r>
                </w:p>
              </w:tc>
            </w:tr>
            <w:tr w14:paraId="79ED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62905F2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35kV线路</w:t>
                  </w:r>
                </w:p>
              </w:tc>
              <w:tc>
                <w:tcPr>
                  <w:tcW w:w="916" w:type="pct"/>
                  <w:vAlign w:val="center"/>
                </w:tcPr>
                <w:p w14:paraId="579E398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6C12916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54" w:type="pct"/>
                  <w:vAlign w:val="center"/>
                </w:tcPr>
                <w:p w14:paraId="1F617C6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架空跨越，35kV牌老线2次，35kV牌后线1次</w:t>
                  </w:r>
                </w:p>
              </w:tc>
            </w:tr>
            <w:tr w14:paraId="7028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245DE8D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10kV线路</w:t>
                  </w:r>
                </w:p>
              </w:tc>
              <w:tc>
                <w:tcPr>
                  <w:tcW w:w="916" w:type="pct"/>
                  <w:vAlign w:val="center"/>
                </w:tcPr>
                <w:p w14:paraId="41BACFB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36C01F4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037D120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3102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E929B5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380V线路</w:t>
                  </w:r>
                </w:p>
              </w:tc>
              <w:tc>
                <w:tcPr>
                  <w:tcW w:w="916" w:type="pct"/>
                  <w:vAlign w:val="center"/>
                </w:tcPr>
                <w:p w14:paraId="395DCB0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5E43438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5583814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7FB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58BE628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通讯线</w:t>
                  </w:r>
                </w:p>
              </w:tc>
              <w:tc>
                <w:tcPr>
                  <w:tcW w:w="916" w:type="pct"/>
                  <w:vAlign w:val="center"/>
                </w:tcPr>
                <w:p w14:paraId="1AD7B5A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6060C03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454" w:type="pct"/>
                  <w:vAlign w:val="center"/>
                </w:tcPr>
                <w:p w14:paraId="7ABB54D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67C2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349C665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土路</w:t>
                  </w:r>
                </w:p>
              </w:tc>
              <w:tc>
                <w:tcPr>
                  <w:tcW w:w="916" w:type="pct"/>
                  <w:vAlign w:val="center"/>
                </w:tcPr>
                <w:p w14:paraId="6F0F451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37D963C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54" w:type="pct"/>
                  <w:vAlign w:val="center"/>
                </w:tcPr>
                <w:p w14:paraId="29D4E78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4BEE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27A3FE5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普通公路</w:t>
                  </w:r>
                </w:p>
              </w:tc>
              <w:tc>
                <w:tcPr>
                  <w:tcW w:w="916" w:type="pct"/>
                  <w:vAlign w:val="center"/>
                </w:tcPr>
                <w:p w14:paraId="59617F8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w:t>
                  </w:r>
                </w:p>
              </w:tc>
              <w:tc>
                <w:tcPr>
                  <w:tcW w:w="916" w:type="pct"/>
                  <w:vAlign w:val="center"/>
                </w:tcPr>
                <w:p w14:paraId="0C66977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454" w:type="pct"/>
                  <w:vAlign w:val="center"/>
                </w:tcPr>
                <w:p w14:paraId="56CE85C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架空跨越</w:t>
                  </w:r>
                </w:p>
              </w:tc>
            </w:tr>
            <w:tr w14:paraId="2EB3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pct"/>
                  <w:vAlign w:val="center"/>
                </w:tcPr>
                <w:p w14:paraId="077AA5B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林中立塔</w:t>
                  </w:r>
                </w:p>
              </w:tc>
              <w:tc>
                <w:tcPr>
                  <w:tcW w:w="916" w:type="pct"/>
                  <w:vAlign w:val="center"/>
                </w:tcPr>
                <w:p w14:paraId="0735570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w:t>
                  </w:r>
                </w:p>
              </w:tc>
              <w:tc>
                <w:tcPr>
                  <w:tcW w:w="916" w:type="pct"/>
                  <w:vAlign w:val="center"/>
                </w:tcPr>
                <w:p w14:paraId="245925D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454" w:type="pct"/>
                  <w:vAlign w:val="center"/>
                </w:tcPr>
                <w:p w14:paraId="0B0DE26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砍伐</w:t>
                  </w:r>
                </w:p>
              </w:tc>
            </w:tr>
          </w:tbl>
          <w:p w14:paraId="3415FF96">
            <w:pPr>
              <w:adjustRightInd w:val="0"/>
              <w:snapToGrid w:val="0"/>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本工程全线为非居民</w:t>
            </w:r>
            <w:r>
              <w:rPr>
                <w:rFonts w:hint="eastAsia" w:ascii="Times New Roman" w:hAnsi="Times New Roman" w:eastAsia="宋体" w:cs="Times New Roman"/>
                <w:snapToGrid w:val="0"/>
                <w:color w:val="auto"/>
                <w:kern w:val="2"/>
                <w:sz w:val="24"/>
                <w:szCs w:val="24"/>
                <w:highlight w:val="none"/>
                <w:lang w:val="en-US" w:eastAsia="zh-CN"/>
              </w:rPr>
              <w:t>区</w:t>
            </w:r>
            <w:r>
              <w:rPr>
                <w:rFonts w:hint="default" w:ascii="Times New Roman" w:hAnsi="Times New Roman" w:eastAsia="宋体" w:cs="Times New Roman"/>
                <w:snapToGrid w:val="0"/>
                <w:color w:val="auto"/>
                <w:kern w:val="2"/>
                <w:sz w:val="24"/>
                <w:szCs w:val="24"/>
                <w:highlight w:val="none"/>
              </w:rPr>
              <w:t>，依据《110kV～750kV架空输电线路设计规范》（GB50545-2010）要求</w:t>
            </w:r>
            <w:r>
              <w:rPr>
                <w:rFonts w:hint="default" w:ascii="Times New Roman" w:hAnsi="Times New Roman" w:eastAsia="宋体" w:cs="Times New Roman"/>
                <w:snapToGrid w:val="0"/>
                <w:color w:val="auto"/>
                <w:kern w:val="2"/>
                <w:sz w:val="24"/>
                <w:szCs w:val="24"/>
                <w:highlight w:val="none"/>
                <w:lang w:eastAsia="zh-CN"/>
              </w:rPr>
              <w:t>和本项目平断面定位图</w:t>
            </w:r>
            <w:r>
              <w:rPr>
                <w:rFonts w:hint="default" w:ascii="Times New Roman" w:hAnsi="Times New Roman" w:eastAsia="宋体" w:cs="Times New Roman"/>
                <w:snapToGrid w:val="0"/>
                <w:color w:val="auto"/>
                <w:kern w:val="2"/>
                <w:sz w:val="24"/>
                <w:szCs w:val="24"/>
                <w:highlight w:val="none"/>
              </w:rPr>
              <w:t>，导线对地距离不小于下表所列数值。</w:t>
            </w:r>
          </w:p>
          <w:p w14:paraId="4AFAFCA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导线对地距离</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4395"/>
            </w:tblGrid>
            <w:tr w14:paraId="1F87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19BB605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线路所经地区</w:t>
                  </w:r>
                </w:p>
              </w:tc>
              <w:tc>
                <w:tcPr>
                  <w:tcW w:w="2500" w:type="pct"/>
                  <w:vAlign w:val="center"/>
                </w:tcPr>
                <w:p w14:paraId="446CDDD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最小距离（m）</w:t>
                  </w:r>
                </w:p>
              </w:tc>
            </w:tr>
            <w:tr w14:paraId="4534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3477294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非居民区</w:t>
                  </w:r>
                </w:p>
              </w:tc>
              <w:tc>
                <w:tcPr>
                  <w:tcW w:w="2500" w:type="pct"/>
                  <w:vAlign w:val="center"/>
                </w:tcPr>
                <w:p w14:paraId="5A77E90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11.35</w:t>
                  </w:r>
                </w:p>
              </w:tc>
            </w:tr>
            <w:tr w14:paraId="167C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vAlign w:val="center"/>
                </w:tcPr>
                <w:p w14:paraId="3491525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根据平断面定位图可知，导线最小对地垂直距离为11.35m（N1~N2之间）</w:t>
                  </w:r>
                </w:p>
              </w:tc>
            </w:tr>
          </w:tbl>
          <w:p w14:paraId="0BB2A7EC">
            <w:pPr>
              <w:adjustRightInd w:val="0"/>
              <w:snapToGrid w:val="0"/>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本线路与被交叉跨越物的距离，按《110kV～750kV架空输电线路设计规范》（GB 50545-2010）应符合下表要求：</w:t>
            </w:r>
          </w:p>
          <w:p w14:paraId="5FE0C48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线路与被交叉跨越物的最小垂直距离</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7"/>
              <w:gridCol w:w="4096"/>
            </w:tblGrid>
            <w:tr w14:paraId="5F33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4CE046E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被交叉跨越物名称</w:t>
                  </w:r>
                </w:p>
              </w:tc>
              <w:tc>
                <w:tcPr>
                  <w:tcW w:w="2331" w:type="pct"/>
                  <w:vAlign w:val="center"/>
                </w:tcPr>
                <w:p w14:paraId="530E1B2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最小垂直距离（m）</w:t>
                  </w:r>
                </w:p>
              </w:tc>
            </w:tr>
            <w:tr w14:paraId="4FBE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640512B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220kV线路</w:t>
                  </w:r>
                </w:p>
              </w:tc>
              <w:tc>
                <w:tcPr>
                  <w:tcW w:w="2331" w:type="pct"/>
                  <w:vAlign w:val="center"/>
                </w:tcPr>
                <w:p w14:paraId="31ACDD9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14:paraId="3FB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5E40424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其他公路</w:t>
                  </w:r>
                </w:p>
              </w:tc>
              <w:tc>
                <w:tcPr>
                  <w:tcW w:w="2331" w:type="pct"/>
                  <w:vAlign w:val="center"/>
                </w:tcPr>
                <w:p w14:paraId="623C55F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8.0（至路面）</w:t>
                  </w:r>
                </w:p>
              </w:tc>
            </w:tr>
            <w:tr w14:paraId="0763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5BCB56A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弱电线路</w:t>
                  </w:r>
                </w:p>
              </w:tc>
              <w:tc>
                <w:tcPr>
                  <w:tcW w:w="2331" w:type="pct"/>
                  <w:vAlign w:val="center"/>
                </w:tcPr>
                <w:p w14:paraId="22C8AB6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14:paraId="7869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05921D6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110kV以下电力线路</w:t>
                  </w:r>
                </w:p>
              </w:tc>
              <w:tc>
                <w:tcPr>
                  <w:tcW w:w="2331" w:type="pct"/>
                  <w:vAlign w:val="center"/>
                </w:tcPr>
                <w:p w14:paraId="517E615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14:paraId="43E8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745F037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树木</w:t>
                  </w:r>
                </w:p>
              </w:tc>
              <w:tc>
                <w:tcPr>
                  <w:tcW w:w="2331" w:type="pct"/>
                  <w:vAlign w:val="center"/>
                </w:tcPr>
                <w:p w14:paraId="7C14C57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bl>
          <w:p w14:paraId="479CEBD4">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新建铁塔总基数</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7基，其中单回路直线塔3</w:t>
            </w:r>
            <w:r>
              <w:rPr>
                <w:rFonts w:hint="default" w:ascii="Times New Roman" w:hAnsi="Times New Roman" w:eastAsia="宋体" w:cs="Times New Roman"/>
                <w:snapToGrid w:val="0"/>
                <w:color w:val="auto"/>
                <w:kern w:val="2"/>
                <w:sz w:val="24"/>
                <w:szCs w:val="24"/>
                <w:highlight w:val="none"/>
                <w:lang w:val="en-US" w:eastAsia="zh-CN"/>
              </w:rPr>
              <w:t>1</w:t>
            </w:r>
            <w:r>
              <w:rPr>
                <w:rFonts w:hint="default" w:ascii="Times New Roman" w:hAnsi="Times New Roman" w:eastAsia="宋体" w:cs="Times New Roman"/>
                <w:snapToGrid w:val="0"/>
                <w:color w:val="auto"/>
                <w:kern w:val="2"/>
                <w:sz w:val="24"/>
                <w:szCs w:val="24"/>
                <w:highlight w:val="none"/>
              </w:rPr>
              <w:t>基、单回路耐张塔</w:t>
            </w:r>
            <w:r>
              <w:rPr>
                <w:rFonts w:hint="default" w:ascii="Times New Roman" w:hAnsi="Times New Roman" w:eastAsia="宋体" w:cs="Times New Roman"/>
                <w:snapToGrid w:val="0"/>
                <w:color w:val="auto"/>
                <w:kern w:val="2"/>
                <w:sz w:val="24"/>
                <w:szCs w:val="24"/>
                <w:highlight w:val="none"/>
                <w:lang w:val="en-US" w:eastAsia="zh-CN"/>
              </w:rPr>
              <w:t>25</w:t>
            </w:r>
            <w:r>
              <w:rPr>
                <w:rFonts w:hint="default" w:ascii="Times New Roman" w:hAnsi="Times New Roman" w:eastAsia="宋体" w:cs="Times New Roman"/>
                <w:snapToGrid w:val="0"/>
                <w:color w:val="auto"/>
                <w:kern w:val="2"/>
                <w:sz w:val="24"/>
                <w:szCs w:val="24"/>
                <w:highlight w:val="none"/>
              </w:rPr>
              <w:t>基</w:t>
            </w:r>
            <w:r>
              <w:rPr>
                <w:rStyle w:val="19"/>
                <w:rFonts w:hint="default" w:ascii="Times New Roman" w:hAnsi="Times New Roman" w:cs="Times New Roman" w:eastAsiaTheme="minorEastAsia"/>
                <w:color w:val="auto"/>
                <w:kern w:val="2"/>
                <w:sz w:val="24"/>
                <w:szCs w:val="24"/>
                <w:highlight w:val="none"/>
                <w:lang w:val="en-US" w:eastAsia="zh-CN"/>
              </w:rPr>
              <w:t>、双回路耐张塔1基（单侧挂线）</w:t>
            </w:r>
            <w:r>
              <w:rPr>
                <w:rFonts w:hint="default" w:ascii="Times New Roman" w:hAnsi="Times New Roman" w:eastAsia="宋体" w:cs="Times New Roman"/>
                <w:snapToGrid w:val="0"/>
                <w:color w:val="auto"/>
                <w:kern w:val="2"/>
                <w:sz w:val="24"/>
                <w:szCs w:val="24"/>
                <w:highlight w:val="none"/>
              </w:rPr>
              <w:t>，杆塔图详见附图5。</w:t>
            </w:r>
          </w:p>
          <w:p w14:paraId="6A0FF217">
            <w:pPr>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铁塔使用条件一览表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365"/>
              <w:gridCol w:w="1230"/>
              <w:gridCol w:w="2655"/>
              <w:gridCol w:w="2146"/>
            </w:tblGrid>
            <w:tr w14:paraId="03B3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055826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杆塔编号</w:t>
                  </w:r>
                </w:p>
              </w:tc>
              <w:tc>
                <w:tcPr>
                  <w:tcW w:w="1365" w:type="dxa"/>
                  <w:vAlign w:val="center"/>
                </w:tcPr>
                <w:p w14:paraId="208B7F2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塔型</w:t>
                  </w:r>
                </w:p>
              </w:tc>
              <w:tc>
                <w:tcPr>
                  <w:tcW w:w="1230" w:type="dxa"/>
                  <w:vAlign w:val="center"/>
                </w:tcPr>
                <w:p w14:paraId="48399C7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呼高</w:t>
                  </w:r>
                  <w:r>
                    <w:rPr>
                      <w:rFonts w:hint="default" w:ascii="Times New Roman" w:hAnsi="Times New Roman" w:eastAsia="宋体" w:cs="Times New Roman"/>
                      <w:color w:val="auto"/>
                      <w:sz w:val="21"/>
                      <w:szCs w:val="21"/>
                      <w:vertAlign w:val="baseline"/>
                      <w:lang w:val="en-US" w:eastAsia="zh-CN"/>
                    </w:rPr>
                    <w:t>（m）</w:t>
                  </w:r>
                </w:p>
              </w:tc>
              <w:tc>
                <w:tcPr>
                  <w:tcW w:w="2655" w:type="dxa"/>
                  <w:vAlign w:val="center"/>
                </w:tcPr>
                <w:p w14:paraId="28BEE15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至下一基塔的档距（m）</w:t>
                  </w:r>
                </w:p>
              </w:tc>
              <w:tc>
                <w:tcPr>
                  <w:tcW w:w="2146" w:type="dxa"/>
                  <w:vAlign w:val="center"/>
                </w:tcPr>
                <w:p w14:paraId="75CAB49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至下一基塔基的转角</w:t>
                  </w:r>
                </w:p>
              </w:tc>
            </w:tr>
            <w:tr w14:paraId="489D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000D63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w:t>
                  </w:r>
                </w:p>
              </w:tc>
              <w:tc>
                <w:tcPr>
                  <w:tcW w:w="1365" w:type="dxa"/>
                  <w:vAlign w:val="center"/>
                </w:tcPr>
                <w:p w14:paraId="6FB87E4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2A2-DJC</w:t>
                  </w:r>
                </w:p>
              </w:tc>
              <w:tc>
                <w:tcPr>
                  <w:tcW w:w="1230" w:type="dxa"/>
                  <w:vAlign w:val="center"/>
                </w:tcPr>
                <w:p w14:paraId="424E66E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21</w:t>
                  </w:r>
                </w:p>
              </w:tc>
              <w:tc>
                <w:tcPr>
                  <w:tcW w:w="2655" w:type="dxa"/>
                  <w:vAlign w:val="center"/>
                </w:tcPr>
                <w:p w14:paraId="1A70B05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395</w:t>
                  </w:r>
                </w:p>
              </w:tc>
              <w:tc>
                <w:tcPr>
                  <w:tcW w:w="2146" w:type="dxa"/>
                  <w:vAlign w:val="center"/>
                </w:tcPr>
                <w:p w14:paraId="79C5F18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左89°59′59″</w:t>
                  </w:r>
                </w:p>
              </w:tc>
            </w:tr>
            <w:tr w14:paraId="3116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CB39E5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w:t>
                  </w:r>
                </w:p>
              </w:tc>
              <w:tc>
                <w:tcPr>
                  <w:tcW w:w="1365" w:type="dxa"/>
                  <w:vAlign w:val="center"/>
                </w:tcPr>
                <w:p w14:paraId="37C39A6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ZMC3</w:t>
                  </w:r>
                </w:p>
              </w:tc>
              <w:tc>
                <w:tcPr>
                  <w:tcW w:w="1230" w:type="dxa"/>
                  <w:vAlign w:val="center"/>
                </w:tcPr>
                <w:p w14:paraId="79D1BAC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w:t>
                  </w:r>
                </w:p>
              </w:tc>
              <w:tc>
                <w:tcPr>
                  <w:tcW w:w="2655" w:type="dxa"/>
                  <w:vAlign w:val="center"/>
                </w:tcPr>
                <w:p w14:paraId="173D954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2146" w:type="dxa"/>
                  <w:vAlign w:val="center"/>
                </w:tcPr>
                <w:p w14:paraId="792C897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352B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7E2C235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w:t>
                  </w:r>
                </w:p>
              </w:tc>
              <w:tc>
                <w:tcPr>
                  <w:tcW w:w="1365" w:type="dxa"/>
                  <w:vAlign w:val="center"/>
                </w:tcPr>
                <w:p w14:paraId="68737C6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0350723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502CE59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560</w:t>
                  </w:r>
                </w:p>
              </w:tc>
              <w:tc>
                <w:tcPr>
                  <w:tcW w:w="2146" w:type="dxa"/>
                  <w:vAlign w:val="center"/>
                </w:tcPr>
                <w:p w14:paraId="48CF978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右12°24′59″</w:t>
                  </w:r>
                </w:p>
              </w:tc>
            </w:tr>
            <w:tr w14:paraId="76BE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89D4C8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w:t>
                  </w:r>
                </w:p>
              </w:tc>
              <w:tc>
                <w:tcPr>
                  <w:tcW w:w="1365" w:type="dxa"/>
                  <w:vAlign w:val="center"/>
                </w:tcPr>
                <w:p w14:paraId="2FE71D5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JC3</w:t>
                  </w:r>
                </w:p>
              </w:tc>
              <w:tc>
                <w:tcPr>
                  <w:tcW w:w="1230" w:type="dxa"/>
                  <w:vAlign w:val="center"/>
                </w:tcPr>
                <w:p w14:paraId="2F9D50B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747E37E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362</w:t>
                  </w:r>
                </w:p>
              </w:tc>
              <w:tc>
                <w:tcPr>
                  <w:tcW w:w="2146" w:type="dxa"/>
                  <w:vAlign w:val="center"/>
                </w:tcPr>
                <w:p w14:paraId="0B0CDA6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左55°55′10″</w:t>
                  </w:r>
                </w:p>
              </w:tc>
            </w:tr>
            <w:tr w14:paraId="6DB4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1C1A4A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w:t>
                  </w:r>
                </w:p>
              </w:tc>
              <w:tc>
                <w:tcPr>
                  <w:tcW w:w="1365" w:type="dxa"/>
                  <w:vAlign w:val="center"/>
                </w:tcPr>
                <w:p w14:paraId="3EAFF72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6C4971A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50E9BD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2146" w:type="dxa"/>
                  <w:vAlign w:val="center"/>
                </w:tcPr>
                <w:p w14:paraId="3AFA888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15A5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970201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N6</w:t>
                  </w:r>
                </w:p>
              </w:tc>
              <w:tc>
                <w:tcPr>
                  <w:tcW w:w="1365" w:type="dxa"/>
                  <w:vAlign w:val="center"/>
                </w:tcPr>
                <w:p w14:paraId="474250F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767ECBF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6CA336F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2146" w:type="dxa"/>
                  <w:vAlign w:val="center"/>
                </w:tcPr>
                <w:p w14:paraId="514436B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6F0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32F420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N7</w:t>
                  </w:r>
                </w:p>
              </w:tc>
              <w:tc>
                <w:tcPr>
                  <w:tcW w:w="1365" w:type="dxa"/>
                  <w:vAlign w:val="center"/>
                </w:tcPr>
                <w:p w14:paraId="2E161BF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7A3C694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26741B9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2146" w:type="dxa"/>
                  <w:vAlign w:val="center"/>
                </w:tcPr>
                <w:p w14:paraId="463EE04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28CF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E1B8D1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N8</w:t>
                  </w:r>
                </w:p>
              </w:tc>
              <w:tc>
                <w:tcPr>
                  <w:tcW w:w="1365" w:type="dxa"/>
                  <w:vAlign w:val="center"/>
                </w:tcPr>
                <w:p w14:paraId="5E8E7B0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6171E66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2655" w:type="dxa"/>
                  <w:vAlign w:val="center"/>
                </w:tcPr>
                <w:p w14:paraId="325731B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2146" w:type="dxa"/>
                  <w:vAlign w:val="center"/>
                </w:tcPr>
                <w:p w14:paraId="0AF0393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BE6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D26028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N9</w:t>
                  </w:r>
                </w:p>
              </w:tc>
              <w:tc>
                <w:tcPr>
                  <w:tcW w:w="1365" w:type="dxa"/>
                  <w:vAlign w:val="center"/>
                </w:tcPr>
                <w:p w14:paraId="775CE1E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5FD3CE0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w:t>
                  </w:r>
                </w:p>
              </w:tc>
              <w:tc>
                <w:tcPr>
                  <w:tcW w:w="2655" w:type="dxa"/>
                  <w:vAlign w:val="center"/>
                </w:tcPr>
                <w:p w14:paraId="304CB82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2146" w:type="dxa"/>
                  <w:vAlign w:val="center"/>
                </w:tcPr>
                <w:p w14:paraId="2F09308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C0F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60DD4B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N10</w:t>
                  </w:r>
                </w:p>
              </w:tc>
              <w:tc>
                <w:tcPr>
                  <w:tcW w:w="1365" w:type="dxa"/>
                  <w:vAlign w:val="center"/>
                </w:tcPr>
                <w:p w14:paraId="672154B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ZMC3</w:t>
                  </w:r>
                </w:p>
              </w:tc>
              <w:tc>
                <w:tcPr>
                  <w:tcW w:w="1230" w:type="dxa"/>
                  <w:vAlign w:val="center"/>
                </w:tcPr>
                <w:p w14:paraId="74EA0E9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5715096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618</w:t>
                  </w:r>
                </w:p>
              </w:tc>
              <w:tc>
                <w:tcPr>
                  <w:tcW w:w="2146" w:type="dxa"/>
                  <w:vAlign w:val="center"/>
                </w:tcPr>
                <w:p w14:paraId="47FC355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B8A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4786B5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N11</w:t>
                  </w:r>
                </w:p>
              </w:tc>
              <w:tc>
                <w:tcPr>
                  <w:tcW w:w="1365" w:type="dxa"/>
                  <w:vAlign w:val="center"/>
                </w:tcPr>
                <w:p w14:paraId="6F660D2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ZMC3</w:t>
                  </w:r>
                </w:p>
              </w:tc>
              <w:tc>
                <w:tcPr>
                  <w:tcW w:w="1230" w:type="dxa"/>
                  <w:vAlign w:val="center"/>
                </w:tcPr>
                <w:p w14:paraId="17B69FF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07A656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2146" w:type="dxa"/>
                  <w:vAlign w:val="center"/>
                </w:tcPr>
                <w:p w14:paraId="5BC8CCD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0B8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BC8521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N12</w:t>
                  </w:r>
                </w:p>
              </w:tc>
              <w:tc>
                <w:tcPr>
                  <w:tcW w:w="1365" w:type="dxa"/>
                  <w:vAlign w:val="center"/>
                </w:tcPr>
                <w:p w14:paraId="754EDF8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2875DCD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5A76700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2146" w:type="dxa"/>
                  <w:vAlign w:val="center"/>
                </w:tcPr>
                <w:p w14:paraId="7AA14F1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右19°47′32″</w:t>
                  </w:r>
                </w:p>
              </w:tc>
            </w:tr>
            <w:tr w14:paraId="41C8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7E020B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N13</w:t>
                  </w:r>
                </w:p>
              </w:tc>
              <w:tc>
                <w:tcPr>
                  <w:tcW w:w="1365" w:type="dxa"/>
                  <w:vAlign w:val="center"/>
                </w:tcPr>
                <w:p w14:paraId="71EEFB6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ZMC4</w:t>
                  </w:r>
                </w:p>
              </w:tc>
              <w:tc>
                <w:tcPr>
                  <w:tcW w:w="1230" w:type="dxa"/>
                  <w:vAlign w:val="center"/>
                </w:tcPr>
                <w:p w14:paraId="1ACE556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33</w:t>
                  </w:r>
                </w:p>
              </w:tc>
              <w:tc>
                <w:tcPr>
                  <w:tcW w:w="2655" w:type="dxa"/>
                  <w:vAlign w:val="center"/>
                </w:tcPr>
                <w:p w14:paraId="7917628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691</w:t>
                  </w:r>
                </w:p>
              </w:tc>
              <w:tc>
                <w:tcPr>
                  <w:tcW w:w="2146" w:type="dxa"/>
                  <w:vAlign w:val="center"/>
                </w:tcPr>
                <w:p w14:paraId="1F29A45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348F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32BD9E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N14</w:t>
                  </w:r>
                </w:p>
              </w:tc>
              <w:tc>
                <w:tcPr>
                  <w:tcW w:w="1365" w:type="dxa"/>
                  <w:vAlign w:val="center"/>
                </w:tcPr>
                <w:p w14:paraId="5FD21C1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JC3</w:t>
                  </w:r>
                </w:p>
              </w:tc>
              <w:tc>
                <w:tcPr>
                  <w:tcW w:w="1230" w:type="dxa"/>
                  <w:vAlign w:val="center"/>
                </w:tcPr>
                <w:p w14:paraId="4F5B220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214F9D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412</w:t>
                  </w:r>
                </w:p>
              </w:tc>
              <w:tc>
                <w:tcPr>
                  <w:tcW w:w="2146" w:type="dxa"/>
                  <w:vAlign w:val="center"/>
                </w:tcPr>
                <w:p w14:paraId="2E641D7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右47°33′08″</w:t>
                  </w:r>
                </w:p>
              </w:tc>
            </w:tr>
            <w:tr w14:paraId="34D6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CDD89D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N15</w:t>
                  </w:r>
                </w:p>
              </w:tc>
              <w:tc>
                <w:tcPr>
                  <w:tcW w:w="1365" w:type="dxa"/>
                  <w:vAlign w:val="center"/>
                </w:tcPr>
                <w:p w14:paraId="158458A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4DCDB06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B32364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2146" w:type="dxa"/>
                  <w:vAlign w:val="center"/>
                </w:tcPr>
                <w:p w14:paraId="286E698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左16°20′22″</w:t>
                  </w:r>
                </w:p>
              </w:tc>
            </w:tr>
            <w:tr w14:paraId="00CF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25A1AB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N16</w:t>
                  </w:r>
                </w:p>
              </w:tc>
              <w:tc>
                <w:tcPr>
                  <w:tcW w:w="1365" w:type="dxa"/>
                  <w:vAlign w:val="center"/>
                </w:tcPr>
                <w:p w14:paraId="4A71BD4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7D2530D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101F354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w:t>
                  </w:r>
                </w:p>
              </w:tc>
              <w:tc>
                <w:tcPr>
                  <w:tcW w:w="2146" w:type="dxa"/>
                  <w:vAlign w:val="center"/>
                </w:tcPr>
                <w:p w14:paraId="5D45FE2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左4°57′27″</w:t>
                  </w:r>
                </w:p>
              </w:tc>
            </w:tr>
            <w:tr w14:paraId="5F1A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64BF57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N17</w:t>
                  </w:r>
                </w:p>
              </w:tc>
              <w:tc>
                <w:tcPr>
                  <w:tcW w:w="1365" w:type="dxa"/>
                  <w:vAlign w:val="center"/>
                </w:tcPr>
                <w:p w14:paraId="5ED6BD8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ZMCK</w:t>
                  </w:r>
                </w:p>
              </w:tc>
              <w:tc>
                <w:tcPr>
                  <w:tcW w:w="1230" w:type="dxa"/>
                  <w:vAlign w:val="center"/>
                </w:tcPr>
                <w:p w14:paraId="079A53E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2655" w:type="dxa"/>
                  <w:vAlign w:val="center"/>
                </w:tcPr>
                <w:p w14:paraId="20AE0B8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2146" w:type="dxa"/>
                  <w:vAlign w:val="center"/>
                </w:tcPr>
                <w:p w14:paraId="562D787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D27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3CD3F0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N18</w:t>
                  </w:r>
                </w:p>
              </w:tc>
              <w:tc>
                <w:tcPr>
                  <w:tcW w:w="1365" w:type="dxa"/>
                  <w:vAlign w:val="center"/>
                </w:tcPr>
                <w:p w14:paraId="0DCE8F0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644C813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33</w:t>
                  </w:r>
                </w:p>
              </w:tc>
              <w:tc>
                <w:tcPr>
                  <w:tcW w:w="2655" w:type="dxa"/>
                  <w:vAlign w:val="center"/>
                </w:tcPr>
                <w:p w14:paraId="3FB92BF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328</w:t>
                  </w:r>
                </w:p>
              </w:tc>
              <w:tc>
                <w:tcPr>
                  <w:tcW w:w="2146" w:type="dxa"/>
                  <w:vAlign w:val="center"/>
                </w:tcPr>
                <w:p w14:paraId="56C6899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B50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7EF3A06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N19</w:t>
                  </w:r>
                </w:p>
              </w:tc>
              <w:tc>
                <w:tcPr>
                  <w:tcW w:w="1365" w:type="dxa"/>
                  <w:vAlign w:val="center"/>
                </w:tcPr>
                <w:p w14:paraId="7B1531A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JC2</w:t>
                  </w:r>
                </w:p>
              </w:tc>
              <w:tc>
                <w:tcPr>
                  <w:tcW w:w="1230" w:type="dxa"/>
                  <w:vAlign w:val="center"/>
                </w:tcPr>
                <w:p w14:paraId="499C1B7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18894FD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286</w:t>
                  </w:r>
                </w:p>
              </w:tc>
              <w:tc>
                <w:tcPr>
                  <w:tcW w:w="2146" w:type="dxa"/>
                  <w:vAlign w:val="center"/>
                </w:tcPr>
                <w:p w14:paraId="4E51696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右27°50′20″</w:t>
                  </w:r>
                </w:p>
              </w:tc>
            </w:tr>
            <w:tr w14:paraId="6006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FC878B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N20</w:t>
                  </w:r>
                </w:p>
              </w:tc>
              <w:tc>
                <w:tcPr>
                  <w:tcW w:w="1365" w:type="dxa"/>
                  <w:vAlign w:val="center"/>
                </w:tcPr>
                <w:p w14:paraId="2A48030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JC3</w:t>
                  </w:r>
                </w:p>
              </w:tc>
              <w:tc>
                <w:tcPr>
                  <w:tcW w:w="1230" w:type="dxa"/>
                  <w:vAlign w:val="center"/>
                </w:tcPr>
                <w:p w14:paraId="21B969F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3C508C8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2146" w:type="dxa"/>
                  <w:vAlign w:val="center"/>
                </w:tcPr>
                <w:p w14:paraId="0461E1A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左40°17′41″</w:t>
                  </w:r>
                </w:p>
              </w:tc>
            </w:tr>
            <w:tr w14:paraId="3487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DC1B91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N21</w:t>
                  </w:r>
                </w:p>
              </w:tc>
              <w:tc>
                <w:tcPr>
                  <w:tcW w:w="1365" w:type="dxa"/>
                  <w:vAlign w:val="center"/>
                </w:tcPr>
                <w:p w14:paraId="3A2949A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ZMC1</w:t>
                  </w:r>
                </w:p>
              </w:tc>
              <w:tc>
                <w:tcPr>
                  <w:tcW w:w="1230" w:type="dxa"/>
                  <w:vAlign w:val="center"/>
                </w:tcPr>
                <w:p w14:paraId="1070598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22D6CA7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2146" w:type="dxa"/>
                  <w:vAlign w:val="center"/>
                </w:tcPr>
                <w:p w14:paraId="7B418FC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543B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5ACA31F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N22</w:t>
                  </w:r>
                </w:p>
              </w:tc>
              <w:tc>
                <w:tcPr>
                  <w:tcW w:w="1365" w:type="dxa"/>
                  <w:vAlign w:val="center"/>
                </w:tcPr>
                <w:p w14:paraId="6A3DE9B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JC3</w:t>
                  </w:r>
                </w:p>
              </w:tc>
              <w:tc>
                <w:tcPr>
                  <w:tcW w:w="1230" w:type="dxa"/>
                  <w:vAlign w:val="center"/>
                </w:tcPr>
                <w:p w14:paraId="5F97826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7AF09E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564</w:t>
                  </w:r>
                </w:p>
              </w:tc>
              <w:tc>
                <w:tcPr>
                  <w:tcW w:w="2146" w:type="dxa"/>
                  <w:vAlign w:val="center"/>
                </w:tcPr>
                <w:p w14:paraId="6344D71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右47°8′27″</w:t>
                  </w:r>
                </w:p>
              </w:tc>
            </w:tr>
            <w:tr w14:paraId="5002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5BE08C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N23</w:t>
                  </w:r>
                </w:p>
              </w:tc>
              <w:tc>
                <w:tcPr>
                  <w:tcW w:w="1365" w:type="dxa"/>
                  <w:vAlign w:val="center"/>
                </w:tcPr>
                <w:p w14:paraId="4947C98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JC2</w:t>
                  </w:r>
                </w:p>
              </w:tc>
              <w:tc>
                <w:tcPr>
                  <w:tcW w:w="1230" w:type="dxa"/>
                  <w:vAlign w:val="center"/>
                </w:tcPr>
                <w:p w14:paraId="0BF3043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55A48D0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2146" w:type="dxa"/>
                  <w:vAlign w:val="center"/>
                </w:tcPr>
                <w:p w14:paraId="0A15611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右37°11′9″</w:t>
                  </w:r>
                </w:p>
              </w:tc>
            </w:tr>
            <w:tr w14:paraId="6C5F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5E1B6AF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N24</w:t>
                  </w:r>
                </w:p>
              </w:tc>
              <w:tc>
                <w:tcPr>
                  <w:tcW w:w="1365" w:type="dxa"/>
                  <w:vAlign w:val="center"/>
                </w:tcPr>
                <w:p w14:paraId="16040E8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JC2</w:t>
                  </w:r>
                </w:p>
              </w:tc>
              <w:tc>
                <w:tcPr>
                  <w:tcW w:w="1230" w:type="dxa"/>
                  <w:vAlign w:val="center"/>
                </w:tcPr>
                <w:p w14:paraId="50C2DB0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0DE2FB6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541</w:t>
                  </w:r>
                </w:p>
              </w:tc>
              <w:tc>
                <w:tcPr>
                  <w:tcW w:w="2146" w:type="dxa"/>
                  <w:vAlign w:val="center"/>
                </w:tcPr>
                <w:p w14:paraId="47DC621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左26°3′3″</w:t>
                  </w:r>
                </w:p>
              </w:tc>
            </w:tr>
            <w:tr w14:paraId="3017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3536FE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N25</w:t>
                  </w:r>
                </w:p>
              </w:tc>
              <w:tc>
                <w:tcPr>
                  <w:tcW w:w="1365" w:type="dxa"/>
                  <w:vAlign w:val="center"/>
                </w:tcPr>
                <w:p w14:paraId="53A4624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ZMC3</w:t>
                  </w:r>
                </w:p>
              </w:tc>
              <w:tc>
                <w:tcPr>
                  <w:tcW w:w="1230" w:type="dxa"/>
                  <w:vAlign w:val="center"/>
                </w:tcPr>
                <w:p w14:paraId="046291A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42</w:t>
                  </w:r>
                </w:p>
              </w:tc>
              <w:tc>
                <w:tcPr>
                  <w:tcW w:w="2655" w:type="dxa"/>
                  <w:vAlign w:val="center"/>
                </w:tcPr>
                <w:p w14:paraId="35D4943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451</w:t>
                  </w:r>
                </w:p>
              </w:tc>
              <w:tc>
                <w:tcPr>
                  <w:tcW w:w="2146" w:type="dxa"/>
                  <w:vAlign w:val="center"/>
                </w:tcPr>
                <w:p w14:paraId="13F12CB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17D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16E42A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N26</w:t>
                  </w:r>
                </w:p>
              </w:tc>
              <w:tc>
                <w:tcPr>
                  <w:tcW w:w="1365" w:type="dxa"/>
                  <w:vAlign w:val="center"/>
                </w:tcPr>
                <w:p w14:paraId="1012EC1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JC2</w:t>
                  </w:r>
                </w:p>
              </w:tc>
              <w:tc>
                <w:tcPr>
                  <w:tcW w:w="1230" w:type="dxa"/>
                  <w:vAlign w:val="center"/>
                </w:tcPr>
                <w:p w14:paraId="43B96C0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6CC9B9D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443</w:t>
                  </w:r>
                </w:p>
              </w:tc>
              <w:tc>
                <w:tcPr>
                  <w:tcW w:w="2146" w:type="dxa"/>
                  <w:vAlign w:val="center"/>
                </w:tcPr>
                <w:p w14:paraId="2B8E872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左24°33′14″</w:t>
                  </w:r>
                </w:p>
              </w:tc>
            </w:tr>
            <w:tr w14:paraId="3C27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D6F564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N27</w:t>
                  </w:r>
                </w:p>
              </w:tc>
              <w:tc>
                <w:tcPr>
                  <w:tcW w:w="1365" w:type="dxa"/>
                  <w:vAlign w:val="center"/>
                </w:tcPr>
                <w:p w14:paraId="2F07718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0FBB0F5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3E91492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338</w:t>
                  </w:r>
                </w:p>
              </w:tc>
              <w:tc>
                <w:tcPr>
                  <w:tcW w:w="2146" w:type="dxa"/>
                  <w:vAlign w:val="center"/>
                </w:tcPr>
                <w:p w14:paraId="661A22D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390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6654A3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N28</w:t>
                  </w:r>
                </w:p>
              </w:tc>
              <w:tc>
                <w:tcPr>
                  <w:tcW w:w="1365" w:type="dxa"/>
                  <w:vAlign w:val="center"/>
                </w:tcPr>
                <w:p w14:paraId="4F6A18F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ZMC1</w:t>
                  </w:r>
                </w:p>
              </w:tc>
              <w:tc>
                <w:tcPr>
                  <w:tcW w:w="1230" w:type="dxa"/>
                  <w:vAlign w:val="center"/>
                </w:tcPr>
                <w:p w14:paraId="27B3EE1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141B8B0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2146" w:type="dxa"/>
                  <w:vAlign w:val="center"/>
                </w:tcPr>
                <w:p w14:paraId="671D637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151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42FB72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N29</w:t>
                  </w:r>
                </w:p>
              </w:tc>
              <w:tc>
                <w:tcPr>
                  <w:tcW w:w="1365" w:type="dxa"/>
                  <w:vAlign w:val="center"/>
                </w:tcPr>
                <w:p w14:paraId="775F790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22D6F8C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21</w:t>
                  </w:r>
                </w:p>
              </w:tc>
              <w:tc>
                <w:tcPr>
                  <w:tcW w:w="2655" w:type="dxa"/>
                  <w:vAlign w:val="center"/>
                </w:tcPr>
                <w:p w14:paraId="2A1BFD1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452</w:t>
                  </w:r>
                </w:p>
              </w:tc>
              <w:tc>
                <w:tcPr>
                  <w:tcW w:w="2146" w:type="dxa"/>
                  <w:vAlign w:val="center"/>
                </w:tcPr>
                <w:p w14:paraId="527D3D4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93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2527CF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N30</w:t>
                  </w:r>
                </w:p>
              </w:tc>
              <w:tc>
                <w:tcPr>
                  <w:tcW w:w="1365" w:type="dxa"/>
                  <w:vAlign w:val="center"/>
                </w:tcPr>
                <w:p w14:paraId="487758B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ZMCK</w:t>
                  </w:r>
                </w:p>
              </w:tc>
              <w:tc>
                <w:tcPr>
                  <w:tcW w:w="1230" w:type="dxa"/>
                  <w:vAlign w:val="center"/>
                </w:tcPr>
                <w:p w14:paraId="59A0064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51</w:t>
                  </w:r>
                </w:p>
              </w:tc>
              <w:tc>
                <w:tcPr>
                  <w:tcW w:w="2655" w:type="dxa"/>
                  <w:vAlign w:val="center"/>
                </w:tcPr>
                <w:p w14:paraId="0B5671F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2146" w:type="dxa"/>
                  <w:vAlign w:val="center"/>
                </w:tcPr>
                <w:p w14:paraId="04FD968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012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FA1B0D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N31</w:t>
                  </w:r>
                </w:p>
              </w:tc>
              <w:tc>
                <w:tcPr>
                  <w:tcW w:w="1365" w:type="dxa"/>
                  <w:vAlign w:val="center"/>
                </w:tcPr>
                <w:p w14:paraId="44F56AE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64B7924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0227903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2146" w:type="dxa"/>
                  <w:vAlign w:val="center"/>
                </w:tcPr>
                <w:p w14:paraId="72A0C50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23E0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59C48AA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N32</w:t>
                  </w:r>
                </w:p>
              </w:tc>
              <w:tc>
                <w:tcPr>
                  <w:tcW w:w="1365" w:type="dxa"/>
                  <w:vAlign w:val="center"/>
                </w:tcPr>
                <w:p w14:paraId="0B7CDC5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49C67F4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33D74E4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2146" w:type="dxa"/>
                  <w:vAlign w:val="center"/>
                </w:tcPr>
                <w:p w14:paraId="60F420B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50E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5DE1864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N33</w:t>
                  </w:r>
                </w:p>
              </w:tc>
              <w:tc>
                <w:tcPr>
                  <w:tcW w:w="1365" w:type="dxa"/>
                  <w:vAlign w:val="center"/>
                </w:tcPr>
                <w:p w14:paraId="42A8B66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ZMC1</w:t>
                  </w:r>
                </w:p>
              </w:tc>
              <w:tc>
                <w:tcPr>
                  <w:tcW w:w="1230" w:type="dxa"/>
                  <w:vAlign w:val="center"/>
                </w:tcPr>
                <w:p w14:paraId="0E0E73C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5D17349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453</w:t>
                  </w:r>
                </w:p>
              </w:tc>
              <w:tc>
                <w:tcPr>
                  <w:tcW w:w="2146" w:type="dxa"/>
                  <w:vAlign w:val="center"/>
                </w:tcPr>
                <w:p w14:paraId="76FF6D9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423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DDA8BD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N34</w:t>
                  </w:r>
                </w:p>
              </w:tc>
              <w:tc>
                <w:tcPr>
                  <w:tcW w:w="1365" w:type="dxa"/>
                  <w:vAlign w:val="center"/>
                </w:tcPr>
                <w:p w14:paraId="66591ED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4874E9B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41603B8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2146" w:type="dxa"/>
                  <w:vAlign w:val="center"/>
                </w:tcPr>
                <w:p w14:paraId="33C2E05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35F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14:paraId="6468A7A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N35</w:t>
                  </w:r>
                </w:p>
              </w:tc>
              <w:tc>
                <w:tcPr>
                  <w:tcW w:w="1365" w:type="dxa"/>
                  <w:vAlign w:val="center"/>
                </w:tcPr>
                <w:p w14:paraId="0E68550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ZMC1</w:t>
                  </w:r>
                </w:p>
              </w:tc>
              <w:tc>
                <w:tcPr>
                  <w:tcW w:w="1230" w:type="dxa"/>
                  <w:vAlign w:val="center"/>
                </w:tcPr>
                <w:p w14:paraId="5A2CC1B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5497E9D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2146" w:type="dxa"/>
                  <w:vAlign w:val="center"/>
                </w:tcPr>
                <w:p w14:paraId="2732FCD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5EE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E132D8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N36</w:t>
                  </w:r>
                </w:p>
              </w:tc>
              <w:tc>
                <w:tcPr>
                  <w:tcW w:w="1365" w:type="dxa"/>
                  <w:vAlign w:val="center"/>
                </w:tcPr>
                <w:p w14:paraId="5752982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74A2CF1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6B45FB0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485</w:t>
                  </w:r>
                </w:p>
              </w:tc>
              <w:tc>
                <w:tcPr>
                  <w:tcW w:w="2146" w:type="dxa"/>
                  <w:vAlign w:val="center"/>
                </w:tcPr>
                <w:p w14:paraId="2E23613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1FD2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64763D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N37</w:t>
                  </w:r>
                </w:p>
              </w:tc>
              <w:tc>
                <w:tcPr>
                  <w:tcW w:w="1365" w:type="dxa"/>
                  <w:vAlign w:val="center"/>
                </w:tcPr>
                <w:p w14:paraId="786E2E5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325D1FA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21</w:t>
                  </w:r>
                </w:p>
              </w:tc>
              <w:tc>
                <w:tcPr>
                  <w:tcW w:w="2655" w:type="dxa"/>
                  <w:vAlign w:val="center"/>
                </w:tcPr>
                <w:p w14:paraId="7BE8AE0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2146" w:type="dxa"/>
                  <w:vAlign w:val="center"/>
                </w:tcPr>
                <w:p w14:paraId="1A16E4B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522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188E8E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N38</w:t>
                  </w:r>
                </w:p>
              </w:tc>
              <w:tc>
                <w:tcPr>
                  <w:tcW w:w="1365" w:type="dxa"/>
                  <w:vAlign w:val="center"/>
                </w:tcPr>
                <w:p w14:paraId="0AEF670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3E00BA6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6D0D675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2146" w:type="dxa"/>
                  <w:vAlign w:val="center"/>
                </w:tcPr>
                <w:p w14:paraId="56EB4FF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79B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896C92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N39</w:t>
                  </w:r>
                </w:p>
              </w:tc>
              <w:tc>
                <w:tcPr>
                  <w:tcW w:w="1365" w:type="dxa"/>
                  <w:vAlign w:val="center"/>
                </w:tcPr>
                <w:p w14:paraId="4D8D626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0B18D90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27</w:t>
                  </w:r>
                </w:p>
              </w:tc>
              <w:tc>
                <w:tcPr>
                  <w:tcW w:w="2655" w:type="dxa"/>
                  <w:vAlign w:val="center"/>
                </w:tcPr>
                <w:p w14:paraId="24260B7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2146" w:type="dxa"/>
                  <w:vAlign w:val="center"/>
                </w:tcPr>
                <w:p w14:paraId="04C4B0A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0A7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31A377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N40</w:t>
                  </w:r>
                </w:p>
              </w:tc>
              <w:tc>
                <w:tcPr>
                  <w:tcW w:w="1365" w:type="dxa"/>
                  <w:vAlign w:val="center"/>
                </w:tcPr>
                <w:p w14:paraId="311E2F8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34E1BD9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24</w:t>
                  </w:r>
                </w:p>
              </w:tc>
              <w:tc>
                <w:tcPr>
                  <w:tcW w:w="2655" w:type="dxa"/>
                  <w:vAlign w:val="center"/>
                </w:tcPr>
                <w:p w14:paraId="08DBCC3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533</w:t>
                  </w:r>
                </w:p>
              </w:tc>
              <w:tc>
                <w:tcPr>
                  <w:tcW w:w="2146" w:type="dxa"/>
                  <w:vAlign w:val="center"/>
                </w:tcPr>
                <w:p w14:paraId="1FA9CEF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48CF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5A6985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N41</w:t>
                  </w:r>
                </w:p>
              </w:tc>
              <w:tc>
                <w:tcPr>
                  <w:tcW w:w="1365" w:type="dxa"/>
                  <w:vAlign w:val="center"/>
                </w:tcPr>
                <w:p w14:paraId="240F3D3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540E6C2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26FB236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2146" w:type="dxa"/>
                  <w:vAlign w:val="center"/>
                </w:tcPr>
                <w:p w14:paraId="23F41D7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22B2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DC89EE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N42</w:t>
                  </w:r>
                </w:p>
              </w:tc>
              <w:tc>
                <w:tcPr>
                  <w:tcW w:w="1365" w:type="dxa"/>
                  <w:vAlign w:val="center"/>
                </w:tcPr>
                <w:p w14:paraId="2BE869D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5FF90FA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50F3E90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334</w:t>
                  </w:r>
                </w:p>
              </w:tc>
              <w:tc>
                <w:tcPr>
                  <w:tcW w:w="2146" w:type="dxa"/>
                  <w:vAlign w:val="center"/>
                </w:tcPr>
                <w:p w14:paraId="24F142A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左19°28′54″</w:t>
                  </w:r>
                </w:p>
              </w:tc>
            </w:tr>
            <w:tr w14:paraId="2E5D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3F6365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N43</w:t>
                  </w:r>
                </w:p>
              </w:tc>
              <w:tc>
                <w:tcPr>
                  <w:tcW w:w="1365" w:type="dxa"/>
                  <w:vAlign w:val="center"/>
                </w:tcPr>
                <w:p w14:paraId="6B9ECF2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JC3</w:t>
                  </w:r>
                </w:p>
              </w:tc>
              <w:tc>
                <w:tcPr>
                  <w:tcW w:w="1230" w:type="dxa"/>
                  <w:vAlign w:val="center"/>
                </w:tcPr>
                <w:p w14:paraId="1FC8112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2EB2E1F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2146" w:type="dxa"/>
                  <w:vAlign w:val="center"/>
                </w:tcPr>
                <w:p w14:paraId="3A0DCF4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右40°21′32″</w:t>
                  </w:r>
                </w:p>
              </w:tc>
            </w:tr>
            <w:tr w14:paraId="1DB0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451FCF5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N44</w:t>
                  </w:r>
                </w:p>
              </w:tc>
              <w:tc>
                <w:tcPr>
                  <w:tcW w:w="1365" w:type="dxa"/>
                  <w:vAlign w:val="center"/>
                </w:tcPr>
                <w:p w14:paraId="68B23C1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4B4D706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0D74453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212</w:t>
                  </w:r>
                </w:p>
              </w:tc>
              <w:tc>
                <w:tcPr>
                  <w:tcW w:w="2146" w:type="dxa"/>
                  <w:vAlign w:val="center"/>
                </w:tcPr>
                <w:p w14:paraId="53E272F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右16°36′27″</w:t>
                  </w:r>
                </w:p>
              </w:tc>
            </w:tr>
            <w:tr w14:paraId="4AE9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C660A9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N45</w:t>
                  </w:r>
                </w:p>
              </w:tc>
              <w:tc>
                <w:tcPr>
                  <w:tcW w:w="1365" w:type="dxa"/>
                  <w:vAlign w:val="center"/>
                </w:tcPr>
                <w:p w14:paraId="42E120F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ZMCK</w:t>
                  </w:r>
                </w:p>
              </w:tc>
              <w:tc>
                <w:tcPr>
                  <w:tcW w:w="1230" w:type="dxa"/>
                  <w:vAlign w:val="center"/>
                </w:tcPr>
                <w:p w14:paraId="48840A2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2655" w:type="dxa"/>
                  <w:vAlign w:val="center"/>
                </w:tcPr>
                <w:p w14:paraId="14FB300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2146" w:type="dxa"/>
                  <w:vAlign w:val="center"/>
                </w:tcPr>
                <w:p w14:paraId="062D0A5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9F6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AB1F7DA">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N46</w:t>
                  </w:r>
                </w:p>
              </w:tc>
              <w:tc>
                <w:tcPr>
                  <w:tcW w:w="1365" w:type="dxa"/>
                  <w:vAlign w:val="center"/>
                </w:tcPr>
                <w:p w14:paraId="7B1544E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0BB9C10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2655" w:type="dxa"/>
                  <w:vAlign w:val="center"/>
                </w:tcPr>
                <w:p w14:paraId="671B5FE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2146" w:type="dxa"/>
                  <w:vAlign w:val="center"/>
                </w:tcPr>
                <w:p w14:paraId="0F3ECE7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8EB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E58647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N47</w:t>
                  </w:r>
                </w:p>
              </w:tc>
              <w:tc>
                <w:tcPr>
                  <w:tcW w:w="1365" w:type="dxa"/>
                  <w:vAlign w:val="center"/>
                </w:tcPr>
                <w:p w14:paraId="0BFB838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2954E11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5D08DDEB">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2146" w:type="dxa"/>
                  <w:vAlign w:val="center"/>
                </w:tcPr>
                <w:p w14:paraId="344A778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5B9E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7E3B3EC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N48</w:t>
                  </w:r>
                </w:p>
              </w:tc>
              <w:tc>
                <w:tcPr>
                  <w:tcW w:w="1365" w:type="dxa"/>
                  <w:vAlign w:val="center"/>
                </w:tcPr>
                <w:p w14:paraId="188CD01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ZMC2</w:t>
                  </w:r>
                </w:p>
              </w:tc>
              <w:tc>
                <w:tcPr>
                  <w:tcW w:w="1230" w:type="dxa"/>
                  <w:vAlign w:val="center"/>
                </w:tcPr>
                <w:p w14:paraId="18DB386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24BE2AD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2146" w:type="dxa"/>
                  <w:vAlign w:val="center"/>
                </w:tcPr>
                <w:p w14:paraId="359A076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7955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09694FD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N49</w:t>
                  </w:r>
                </w:p>
              </w:tc>
              <w:tc>
                <w:tcPr>
                  <w:tcW w:w="1365" w:type="dxa"/>
                  <w:vAlign w:val="center"/>
                </w:tcPr>
                <w:p w14:paraId="615A394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5BE2026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13DA71F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605</w:t>
                  </w:r>
                </w:p>
              </w:tc>
              <w:tc>
                <w:tcPr>
                  <w:tcW w:w="2146" w:type="dxa"/>
                  <w:vAlign w:val="center"/>
                </w:tcPr>
                <w:p w14:paraId="358744E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25CD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1E6C4B3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N50</w:t>
                  </w:r>
                </w:p>
              </w:tc>
              <w:tc>
                <w:tcPr>
                  <w:tcW w:w="1365" w:type="dxa"/>
                  <w:vAlign w:val="center"/>
                </w:tcPr>
                <w:p w14:paraId="6289A9C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26F9995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6F94A5E1">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468</w:t>
                  </w:r>
                </w:p>
              </w:tc>
              <w:tc>
                <w:tcPr>
                  <w:tcW w:w="2146" w:type="dxa"/>
                  <w:vAlign w:val="center"/>
                </w:tcPr>
                <w:p w14:paraId="39654FD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左4°41′22″</w:t>
                  </w:r>
                </w:p>
              </w:tc>
            </w:tr>
            <w:tr w14:paraId="52EC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4D76C0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N51</w:t>
                  </w:r>
                </w:p>
              </w:tc>
              <w:tc>
                <w:tcPr>
                  <w:tcW w:w="1365" w:type="dxa"/>
                  <w:vAlign w:val="center"/>
                </w:tcPr>
                <w:p w14:paraId="5A54B40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JC4</w:t>
                  </w:r>
                </w:p>
              </w:tc>
              <w:tc>
                <w:tcPr>
                  <w:tcW w:w="1230" w:type="dxa"/>
                  <w:vAlign w:val="center"/>
                </w:tcPr>
                <w:p w14:paraId="59A85E7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30</w:t>
                  </w:r>
                </w:p>
              </w:tc>
              <w:tc>
                <w:tcPr>
                  <w:tcW w:w="2655" w:type="dxa"/>
                  <w:vAlign w:val="center"/>
                </w:tcPr>
                <w:p w14:paraId="4D6720F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2146" w:type="dxa"/>
                  <w:vAlign w:val="center"/>
                </w:tcPr>
                <w:p w14:paraId="1E1DC14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左60°8′25″</w:t>
                  </w:r>
                </w:p>
              </w:tc>
            </w:tr>
            <w:tr w14:paraId="2942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23CECAF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N52</w:t>
                  </w:r>
                </w:p>
              </w:tc>
              <w:tc>
                <w:tcPr>
                  <w:tcW w:w="1365" w:type="dxa"/>
                  <w:vAlign w:val="center"/>
                </w:tcPr>
                <w:p w14:paraId="2D4E0E6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ZMC3</w:t>
                  </w:r>
                </w:p>
              </w:tc>
              <w:tc>
                <w:tcPr>
                  <w:tcW w:w="1230" w:type="dxa"/>
                  <w:vAlign w:val="center"/>
                </w:tcPr>
                <w:p w14:paraId="09618B0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27</w:t>
                  </w:r>
                </w:p>
              </w:tc>
              <w:tc>
                <w:tcPr>
                  <w:tcW w:w="2655" w:type="dxa"/>
                  <w:vAlign w:val="center"/>
                </w:tcPr>
                <w:p w14:paraId="73176D20">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2146" w:type="dxa"/>
                  <w:vAlign w:val="center"/>
                </w:tcPr>
                <w:p w14:paraId="2B5C633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0274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7959C72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N53</w:t>
                  </w:r>
                </w:p>
              </w:tc>
              <w:tc>
                <w:tcPr>
                  <w:tcW w:w="1365" w:type="dxa"/>
                  <w:vAlign w:val="center"/>
                </w:tcPr>
                <w:p w14:paraId="2140AF7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3EA055B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2870793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555</w:t>
                  </w:r>
                </w:p>
              </w:tc>
              <w:tc>
                <w:tcPr>
                  <w:tcW w:w="2146" w:type="dxa"/>
                  <w:vAlign w:val="center"/>
                </w:tcPr>
                <w:p w14:paraId="2E3FAF2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左3°30′16″</w:t>
                  </w:r>
                </w:p>
              </w:tc>
            </w:tr>
            <w:tr w14:paraId="480F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A1FB91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N54</w:t>
                  </w:r>
                </w:p>
              </w:tc>
              <w:tc>
                <w:tcPr>
                  <w:tcW w:w="1365" w:type="dxa"/>
                  <w:vAlign w:val="center"/>
                </w:tcPr>
                <w:p w14:paraId="798BBEB9">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3C6F9D0E">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7ABB145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446</w:t>
                  </w:r>
                </w:p>
              </w:tc>
              <w:tc>
                <w:tcPr>
                  <w:tcW w:w="2146" w:type="dxa"/>
                  <w:vAlign w:val="center"/>
                </w:tcPr>
                <w:p w14:paraId="21549E7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左19°3′18″</w:t>
                  </w:r>
                </w:p>
              </w:tc>
            </w:tr>
            <w:tr w14:paraId="2977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372E83E2">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N55</w:t>
                  </w:r>
                </w:p>
              </w:tc>
              <w:tc>
                <w:tcPr>
                  <w:tcW w:w="1365" w:type="dxa"/>
                  <w:vAlign w:val="center"/>
                </w:tcPr>
                <w:p w14:paraId="4A9E048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JC1</w:t>
                  </w:r>
                </w:p>
              </w:tc>
              <w:tc>
                <w:tcPr>
                  <w:tcW w:w="1230" w:type="dxa"/>
                  <w:vAlign w:val="center"/>
                </w:tcPr>
                <w:p w14:paraId="0F6304E8">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149B0D7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388</w:t>
                  </w:r>
                </w:p>
              </w:tc>
              <w:tc>
                <w:tcPr>
                  <w:tcW w:w="2146" w:type="dxa"/>
                  <w:vAlign w:val="center"/>
                </w:tcPr>
                <w:p w14:paraId="13DDE18F">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左19°43′14″</w:t>
                  </w:r>
                </w:p>
              </w:tc>
            </w:tr>
            <w:tr w14:paraId="004F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7389C7F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N56</w:t>
                  </w:r>
                </w:p>
              </w:tc>
              <w:tc>
                <w:tcPr>
                  <w:tcW w:w="1365" w:type="dxa"/>
                  <w:vAlign w:val="center"/>
                </w:tcPr>
                <w:p w14:paraId="3920B3E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2A2-</w:t>
                  </w:r>
                  <w:r>
                    <w:rPr>
                      <w:rFonts w:hint="default" w:ascii="Times New Roman" w:hAnsi="Times New Roman" w:eastAsia="宋体" w:cs="Times New Roman"/>
                      <w:b w:val="0"/>
                      <w:bCs/>
                      <w:color w:val="auto"/>
                      <w:spacing w:val="6"/>
                      <w:sz w:val="21"/>
                      <w:szCs w:val="21"/>
                      <w:highlight w:val="none"/>
                      <w:lang w:val="en-US" w:eastAsia="zh-CN"/>
                    </w:rPr>
                    <w:t>ZMC1</w:t>
                  </w:r>
                </w:p>
              </w:tc>
              <w:tc>
                <w:tcPr>
                  <w:tcW w:w="1230" w:type="dxa"/>
                  <w:vAlign w:val="center"/>
                </w:tcPr>
                <w:p w14:paraId="52DF477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24</w:t>
                  </w:r>
                </w:p>
              </w:tc>
              <w:tc>
                <w:tcPr>
                  <w:tcW w:w="2655" w:type="dxa"/>
                  <w:vAlign w:val="center"/>
                </w:tcPr>
                <w:p w14:paraId="2868512C">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2146" w:type="dxa"/>
                  <w:vAlign w:val="center"/>
                </w:tcPr>
                <w:p w14:paraId="43F5371D">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6D5C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14:paraId="6A2D4A35">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N57</w:t>
                  </w:r>
                </w:p>
              </w:tc>
              <w:tc>
                <w:tcPr>
                  <w:tcW w:w="1365" w:type="dxa"/>
                  <w:vAlign w:val="center"/>
                </w:tcPr>
                <w:p w14:paraId="4748AFF6">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color w:val="auto"/>
                      <w:spacing w:val="6"/>
                      <w:sz w:val="21"/>
                      <w:szCs w:val="21"/>
                      <w:highlight w:val="none"/>
                    </w:rPr>
                    <w:t>2E6-SDJC</w:t>
                  </w:r>
                </w:p>
              </w:tc>
              <w:tc>
                <w:tcPr>
                  <w:tcW w:w="1230" w:type="dxa"/>
                  <w:vAlign w:val="center"/>
                </w:tcPr>
                <w:p w14:paraId="5F6954A4">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2655" w:type="dxa"/>
                  <w:vAlign w:val="center"/>
                </w:tcPr>
                <w:p w14:paraId="3D433543">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146" w:type="dxa"/>
                  <w:vAlign w:val="center"/>
                </w:tcPr>
                <w:p w14:paraId="09E80727">
                  <w:pPr>
                    <w:keepNext w:val="0"/>
                    <w:keepLines w:val="0"/>
                    <w:pageBreakBefore w:val="0"/>
                    <w:widowControl/>
                    <w:suppressLineNumbers w:val="0"/>
                    <w:kinsoku/>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左20°54′23″</w:t>
                  </w:r>
                </w:p>
              </w:tc>
            </w:tr>
          </w:tbl>
          <w:p w14:paraId="5C8FB99E">
            <w:pPr>
              <w:pStyle w:val="23"/>
              <w:spacing w:line="360" w:lineRule="auto"/>
              <w:ind w:firstLine="422" w:firstLineChars="200"/>
              <w:jc w:val="center"/>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铁塔</w:t>
            </w:r>
            <w:r>
              <w:rPr>
                <w:rFonts w:hint="eastAsia" w:ascii="Times New Roman" w:hAnsi="Times New Roman" w:eastAsia="宋体" w:cs="Times New Roman"/>
                <w:b/>
                <w:bCs/>
                <w:color w:val="auto"/>
                <w:sz w:val="21"/>
                <w:szCs w:val="21"/>
                <w:highlight w:val="none"/>
                <w:lang w:eastAsia="zh-CN"/>
              </w:rPr>
              <w:t>使用量统计</w:t>
            </w:r>
            <w:r>
              <w:rPr>
                <w:rFonts w:hint="default" w:ascii="Times New Roman" w:hAnsi="Times New Roman" w:eastAsia="宋体" w:cs="Times New Roman"/>
                <w:b/>
                <w:bCs/>
                <w:color w:val="auto"/>
                <w:sz w:val="21"/>
                <w:szCs w:val="21"/>
                <w:highlight w:val="none"/>
              </w:rPr>
              <w:t>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9"/>
              <w:gridCol w:w="2610"/>
              <w:gridCol w:w="2520"/>
              <w:gridCol w:w="2292"/>
            </w:tblGrid>
            <w:tr w14:paraId="5604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A3A6E9E">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5"/>
                      <w:highlight w:val="none"/>
                    </w:rPr>
                    <w:t>序号</w:t>
                  </w:r>
                </w:p>
              </w:tc>
              <w:tc>
                <w:tcPr>
                  <w:tcW w:w="2610" w:type="dxa"/>
                  <w:vAlign w:val="center"/>
                </w:tcPr>
                <w:p w14:paraId="066B5A87">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塔型</w:t>
                  </w:r>
                </w:p>
              </w:tc>
              <w:tc>
                <w:tcPr>
                  <w:tcW w:w="2520" w:type="dxa"/>
                  <w:vAlign w:val="center"/>
                </w:tcPr>
                <w:p w14:paraId="56053F11">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呼称高（m）</w:t>
                  </w:r>
                </w:p>
              </w:tc>
              <w:tc>
                <w:tcPr>
                  <w:tcW w:w="2292" w:type="dxa"/>
                  <w:vAlign w:val="center"/>
                </w:tcPr>
                <w:p w14:paraId="5127C449">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基数</w:t>
                  </w:r>
                </w:p>
              </w:tc>
            </w:tr>
            <w:tr w14:paraId="072D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5EB20DD">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c>
                <w:tcPr>
                  <w:tcW w:w="2610" w:type="dxa"/>
                  <w:vAlign w:val="center"/>
                </w:tcPr>
                <w:p w14:paraId="7643B428">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2A2-DJC</w:t>
                  </w:r>
                </w:p>
              </w:tc>
              <w:tc>
                <w:tcPr>
                  <w:tcW w:w="2520" w:type="dxa"/>
                  <w:vAlign w:val="center"/>
                </w:tcPr>
                <w:p w14:paraId="22BE354C">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7B99D07D">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7F13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E7258A6">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w:t>
                  </w:r>
                </w:p>
              </w:tc>
              <w:tc>
                <w:tcPr>
                  <w:tcW w:w="2610" w:type="dxa"/>
                  <w:vMerge w:val="restart"/>
                  <w:vAlign w:val="center"/>
                </w:tcPr>
                <w:p w14:paraId="5A49BBF2">
                  <w:pPr>
                    <w:pStyle w:val="24"/>
                    <w:autoSpaceDE/>
                    <w:autoSpaceDN/>
                    <w:spacing w:line="240" w:lineRule="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2A2-JC1</w:t>
                  </w:r>
                </w:p>
              </w:tc>
              <w:tc>
                <w:tcPr>
                  <w:tcW w:w="2520" w:type="dxa"/>
                  <w:vAlign w:val="center"/>
                </w:tcPr>
                <w:p w14:paraId="03E0B3E5">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744FCA65">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r>
            <w:tr w14:paraId="07E7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78B1A79">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c>
                <w:tcPr>
                  <w:tcW w:w="2610" w:type="dxa"/>
                  <w:vMerge w:val="continue"/>
                  <w:vAlign w:val="center"/>
                </w:tcPr>
                <w:p w14:paraId="5EBD52CB">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52E1C837">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3E4E04A4">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4</w:t>
                  </w:r>
                </w:p>
              </w:tc>
            </w:tr>
            <w:tr w14:paraId="24B6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C231B0A">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4</w:t>
                  </w:r>
                </w:p>
              </w:tc>
              <w:tc>
                <w:tcPr>
                  <w:tcW w:w="2610" w:type="dxa"/>
                  <w:vMerge w:val="continue"/>
                  <w:vAlign w:val="center"/>
                </w:tcPr>
                <w:p w14:paraId="0ECC6DED">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18213B07">
                  <w:pPr>
                    <w:pStyle w:val="24"/>
                    <w:autoSpaceDE/>
                    <w:autoSpaceDN/>
                    <w:spacing w:line="240" w:lineRule="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2C5A562D">
                  <w:pPr>
                    <w:pStyle w:val="24"/>
                    <w:autoSpaceDE/>
                    <w:autoSpaceDN/>
                    <w:spacing w:line="240" w:lineRule="auto"/>
                    <w:rPr>
                      <w:rFonts w:hint="default"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lang w:val="en-US" w:eastAsia="zh-CN"/>
                    </w:rPr>
                    <w:t>4</w:t>
                  </w:r>
                </w:p>
              </w:tc>
            </w:tr>
            <w:tr w14:paraId="2EC3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2CEE509">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w:t>
                  </w:r>
                </w:p>
              </w:tc>
              <w:tc>
                <w:tcPr>
                  <w:tcW w:w="2610" w:type="dxa"/>
                  <w:vMerge w:val="restart"/>
                  <w:vAlign w:val="center"/>
                </w:tcPr>
                <w:p w14:paraId="5EC0DE67">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2A2-JC2</w:t>
                  </w:r>
                </w:p>
              </w:tc>
              <w:tc>
                <w:tcPr>
                  <w:tcW w:w="2520" w:type="dxa"/>
                  <w:vAlign w:val="center"/>
                </w:tcPr>
                <w:p w14:paraId="3C5693D8">
                  <w:pPr>
                    <w:pStyle w:val="24"/>
                    <w:autoSpaceDE/>
                    <w:autoSpaceDN/>
                    <w:spacing w:line="240" w:lineRule="auto"/>
                    <w:rPr>
                      <w:rFonts w:hint="eastAsia"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19525487">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6E76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D52BE81">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c>
                <w:tcPr>
                  <w:tcW w:w="2610" w:type="dxa"/>
                  <w:vMerge w:val="continue"/>
                  <w:vAlign w:val="center"/>
                </w:tcPr>
                <w:p w14:paraId="7912120E">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474D06DD">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1A1A551B">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4E6D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62D1BEF">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c>
                <w:tcPr>
                  <w:tcW w:w="2610" w:type="dxa"/>
                  <w:vMerge w:val="continue"/>
                  <w:vAlign w:val="center"/>
                </w:tcPr>
                <w:p w14:paraId="65B066D7">
                  <w:pPr>
                    <w:autoSpaceDE/>
                    <w:autoSpaceDN/>
                    <w:jc w:val="center"/>
                    <w:rPr>
                      <w:rFonts w:hint="default" w:ascii="Times New Roman" w:hAnsi="Times New Roman" w:eastAsia="宋体" w:cs="Times New Roman"/>
                      <w:bCs/>
                      <w:color w:val="auto"/>
                      <w:sz w:val="21"/>
                      <w:szCs w:val="21"/>
                      <w:highlight w:val="none"/>
                    </w:rPr>
                  </w:pPr>
                </w:p>
              </w:tc>
              <w:tc>
                <w:tcPr>
                  <w:tcW w:w="2520" w:type="dxa"/>
                  <w:vAlign w:val="center"/>
                </w:tcPr>
                <w:p w14:paraId="2DCB6237">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30</w:t>
                  </w:r>
                </w:p>
              </w:tc>
              <w:tc>
                <w:tcPr>
                  <w:tcW w:w="2292" w:type="dxa"/>
                  <w:vAlign w:val="center"/>
                </w:tcPr>
                <w:p w14:paraId="19AE901C">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p>
              </w:tc>
            </w:tr>
            <w:tr w14:paraId="6C8E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BDE9F7C">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8</w:t>
                  </w:r>
                </w:p>
              </w:tc>
              <w:tc>
                <w:tcPr>
                  <w:tcW w:w="2610" w:type="dxa"/>
                  <w:vMerge w:val="restart"/>
                  <w:vAlign w:val="center"/>
                </w:tcPr>
                <w:p w14:paraId="4659A765">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2A2-JC3</w:t>
                  </w:r>
                </w:p>
              </w:tc>
              <w:tc>
                <w:tcPr>
                  <w:tcW w:w="2520" w:type="dxa"/>
                  <w:vAlign w:val="center"/>
                </w:tcPr>
                <w:p w14:paraId="5903FBD0">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564EF811">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18F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A27CBBC">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9</w:t>
                  </w:r>
                </w:p>
              </w:tc>
              <w:tc>
                <w:tcPr>
                  <w:tcW w:w="2610" w:type="dxa"/>
                  <w:vMerge w:val="continue"/>
                  <w:vAlign w:val="center"/>
                </w:tcPr>
                <w:p w14:paraId="3DEF6FC3">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05DF280C">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2EDCE6A8">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44E6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0B18E8B">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10</w:t>
                  </w:r>
                </w:p>
              </w:tc>
              <w:tc>
                <w:tcPr>
                  <w:tcW w:w="2610" w:type="dxa"/>
                  <w:vMerge w:val="continue"/>
                  <w:vAlign w:val="center"/>
                </w:tcPr>
                <w:p w14:paraId="14BD75F6">
                  <w:pPr>
                    <w:autoSpaceDE/>
                    <w:autoSpaceDN/>
                    <w:jc w:val="center"/>
                    <w:rPr>
                      <w:rFonts w:hint="default" w:ascii="Times New Roman" w:hAnsi="Times New Roman" w:eastAsia="宋体" w:cs="Times New Roman"/>
                      <w:bCs/>
                      <w:color w:val="auto"/>
                      <w:sz w:val="21"/>
                      <w:szCs w:val="21"/>
                      <w:highlight w:val="none"/>
                    </w:rPr>
                  </w:pPr>
                </w:p>
              </w:tc>
              <w:tc>
                <w:tcPr>
                  <w:tcW w:w="2520" w:type="dxa"/>
                  <w:vAlign w:val="center"/>
                </w:tcPr>
                <w:p w14:paraId="47679CFF">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30</w:t>
                  </w:r>
                </w:p>
              </w:tc>
              <w:tc>
                <w:tcPr>
                  <w:tcW w:w="2292" w:type="dxa"/>
                  <w:vAlign w:val="center"/>
                </w:tcPr>
                <w:p w14:paraId="61D56A49">
                  <w:pPr>
                    <w:pStyle w:val="24"/>
                    <w:autoSpaceDE/>
                    <w:autoSpaceDN/>
                    <w:spacing w:line="240" w:lineRule="auto"/>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3</w:t>
                  </w:r>
                </w:p>
              </w:tc>
            </w:tr>
            <w:tr w14:paraId="2574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E9B6DA3">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11</w:t>
                  </w:r>
                </w:p>
              </w:tc>
              <w:tc>
                <w:tcPr>
                  <w:tcW w:w="2610" w:type="dxa"/>
                  <w:vAlign w:val="center"/>
                </w:tcPr>
                <w:p w14:paraId="52EB2D3E">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2A2-JC4</w:t>
                  </w:r>
                </w:p>
              </w:tc>
              <w:tc>
                <w:tcPr>
                  <w:tcW w:w="2520" w:type="dxa"/>
                  <w:vAlign w:val="center"/>
                </w:tcPr>
                <w:p w14:paraId="56208A32">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56B3182F">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16AD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FAF5DB2">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12</w:t>
                  </w:r>
                </w:p>
              </w:tc>
              <w:tc>
                <w:tcPr>
                  <w:tcW w:w="2610" w:type="dxa"/>
                  <w:vMerge w:val="restart"/>
                  <w:vAlign w:val="center"/>
                </w:tcPr>
                <w:p w14:paraId="436AF5B9">
                  <w:pPr>
                    <w:pStyle w:val="24"/>
                    <w:autoSpaceDE/>
                    <w:autoSpaceDN/>
                    <w:spacing w:line="240" w:lineRule="auto"/>
                    <w:rPr>
                      <w:rFonts w:hint="default" w:ascii="Times New Roman" w:hAnsi="Times New Roman" w:eastAsia="宋体" w:cs="Times New Roman"/>
                      <w:b w:val="0"/>
                      <w:bCs/>
                      <w:color w:val="auto"/>
                      <w:spacing w:val="6"/>
                      <w:highlight w:val="none"/>
                      <w:lang w:val="en-US"/>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ZMC1</w:t>
                  </w:r>
                </w:p>
              </w:tc>
              <w:tc>
                <w:tcPr>
                  <w:tcW w:w="2520" w:type="dxa"/>
                  <w:vAlign w:val="center"/>
                </w:tcPr>
                <w:p w14:paraId="418D48B8">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0C40A16E">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r>
            <w:tr w14:paraId="0A28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39B8F5F">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13</w:t>
                  </w:r>
                </w:p>
              </w:tc>
              <w:tc>
                <w:tcPr>
                  <w:tcW w:w="2610" w:type="dxa"/>
                  <w:vMerge w:val="continue"/>
                  <w:vAlign w:val="center"/>
                </w:tcPr>
                <w:p w14:paraId="58FEC46B">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0F2150F1">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566BC032">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609D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09A62EA">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14</w:t>
                  </w:r>
                </w:p>
              </w:tc>
              <w:tc>
                <w:tcPr>
                  <w:tcW w:w="2610" w:type="dxa"/>
                  <w:vMerge w:val="restart"/>
                  <w:vAlign w:val="center"/>
                </w:tcPr>
                <w:p w14:paraId="387A3278">
                  <w:pPr>
                    <w:pStyle w:val="24"/>
                    <w:autoSpaceDE/>
                    <w:autoSpaceDN/>
                    <w:spacing w:line="240" w:lineRule="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ZMC2</w:t>
                  </w:r>
                </w:p>
              </w:tc>
              <w:tc>
                <w:tcPr>
                  <w:tcW w:w="2520" w:type="dxa"/>
                  <w:vAlign w:val="center"/>
                </w:tcPr>
                <w:p w14:paraId="18CF6945">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72F9D471">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2A28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139" w:type="dxa"/>
                  <w:vAlign w:val="center"/>
                </w:tcPr>
                <w:p w14:paraId="4BA78ACD">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15</w:t>
                  </w:r>
                </w:p>
              </w:tc>
              <w:tc>
                <w:tcPr>
                  <w:tcW w:w="2610" w:type="dxa"/>
                  <w:vMerge w:val="continue"/>
                  <w:vAlign w:val="center"/>
                </w:tcPr>
                <w:p w14:paraId="792CC03B">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7278D986">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129E7D4D">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034C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8211630">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16</w:t>
                  </w:r>
                </w:p>
              </w:tc>
              <w:tc>
                <w:tcPr>
                  <w:tcW w:w="2610" w:type="dxa"/>
                  <w:vMerge w:val="continue"/>
                  <w:vAlign w:val="center"/>
                </w:tcPr>
                <w:p w14:paraId="371AFB58">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2D3B1B45">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77136E71">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r>
            <w:tr w14:paraId="6A49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820CF82">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17</w:t>
                  </w:r>
                </w:p>
              </w:tc>
              <w:tc>
                <w:tcPr>
                  <w:tcW w:w="2610" w:type="dxa"/>
                  <w:vMerge w:val="continue"/>
                  <w:vAlign w:val="center"/>
                </w:tcPr>
                <w:p w14:paraId="26537303">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22134092">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30</w:t>
                  </w:r>
                </w:p>
              </w:tc>
              <w:tc>
                <w:tcPr>
                  <w:tcW w:w="2292" w:type="dxa"/>
                  <w:vAlign w:val="center"/>
                </w:tcPr>
                <w:p w14:paraId="79C25184">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2CAD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227F158">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18</w:t>
                  </w:r>
                </w:p>
              </w:tc>
              <w:tc>
                <w:tcPr>
                  <w:tcW w:w="2610" w:type="dxa"/>
                  <w:vMerge w:val="continue"/>
                  <w:vAlign w:val="center"/>
                </w:tcPr>
                <w:p w14:paraId="114C57C4">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7511F003">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33</w:t>
                  </w:r>
                </w:p>
              </w:tc>
              <w:tc>
                <w:tcPr>
                  <w:tcW w:w="2292" w:type="dxa"/>
                  <w:vAlign w:val="center"/>
                </w:tcPr>
                <w:p w14:paraId="2F3FA1DF">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249B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EEE7438">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19</w:t>
                  </w:r>
                </w:p>
              </w:tc>
              <w:tc>
                <w:tcPr>
                  <w:tcW w:w="2610" w:type="dxa"/>
                  <w:vMerge w:val="continue"/>
                  <w:vAlign w:val="center"/>
                </w:tcPr>
                <w:p w14:paraId="156E4F54">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1504EF77">
                  <w:pPr>
                    <w:pStyle w:val="24"/>
                    <w:autoSpaceDE/>
                    <w:autoSpaceDN/>
                    <w:spacing w:line="240" w:lineRule="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36</w:t>
                  </w:r>
                </w:p>
              </w:tc>
              <w:tc>
                <w:tcPr>
                  <w:tcW w:w="2292" w:type="dxa"/>
                  <w:vAlign w:val="center"/>
                </w:tcPr>
                <w:p w14:paraId="086C38D9">
                  <w:pPr>
                    <w:pStyle w:val="24"/>
                    <w:autoSpaceDE/>
                    <w:autoSpaceDN/>
                    <w:spacing w:line="240" w:lineRule="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1EFC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84EF2F0">
                  <w:pPr>
                    <w:pStyle w:val="24"/>
                    <w:autoSpaceDE/>
                    <w:autoSpaceDN/>
                    <w:spacing w:line="240" w:lineRule="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20</w:t>
                  </w:r>
                </w:p>
              </w:tc>
              <w:tc>
                <w:tcPr>
                  <w:tcW w:w="2610" w:type="dxa"/>
                  <w:vMerge w:val="restart"/>
                  <w:vAlign w:val="center"/>
                </w:tcPr>
                <w:p w14:paraId="25FCA412">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2A2-ZMC3</w:t>
                  </w:r>
                </w:p>
              </w:tc>
              <w:tc>
                <w:tcPr>
                  <w:tcW w:w="2520" w:type="dxa"/>
                  <w:vAlign w:val="center"/>
                </w:tcPr>
                <w:p w14:paraId="56B6675A">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14C45E7A">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1</w:t>
                  </w:r>
                </w:p>
              </w:tc>
            </w:tr>
            <w:tr w14:paraId="7BAF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AAF9933">
                  <w:pPr>
                    <w:pStyle w:val="24"/>
                    <w:autoSpaceDE/>
                    <w:autoSpaceDN/>
                    <w:spacing w:line="240" w:lineRule="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21</w:t>
                  </w:r>
                </w:p>
              </w:tc>
              <w:tc>
                <w:tcPr>
                  <w:tcW w:w="2610" w:type="dxa"/>
                  <w:vMerge w:val="continue"/>
                  <w:vAlign w:val="center"/>
                </w:tcPr>
                <w:p w14:paraId="05BF3F83">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6AD9EC82">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30</w:t>
                  </w:r>
                </w:p>
              </w:tc>
              <w:tc>
                <w:tcPr>
                  <w:tcW w:w="2292" w:type="dxa"/>
                  <w:vAlign w:val="center"/>
                </w:tcPr>
                <w:p w14:paraId="05B0C4D3">
                  <w:pPr>
                    <w:pStyle w:val="24"/>
                    <w:autoSpaceDE/>
                    <w:autoSpaceDN/>
                    <w:spacing w:line="240" w:lineRule="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08DF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5DE0CE9">
                  <w:pPr>
                    <w:pStyle w:val="24"/>
                    <w:autoSpaceDE/>
                    <w:autoSpaceDN/>
                    <w:spacing w:line="240" w:lineRule="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22</w:t>
                  </w:r>
                </w:p>
              </w:tc>
              <w:tc>
                <w:tcPr>
                  <w:tcW w:w="2610" w:type="dxa"/>
                  <w:vMerge w:val="continue"/>
                  <w:vAlign w:val="center"/>
                </w:tcPr>
                <w:p w14:paraId="0A8B982A">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3C2BCC7A">
                  <w:pPr>
                    <w:pStyle w:val="24"/>
                    <w:autoSpaceDE/>
                    <w:autoSpaceDN/>
                    <w:spacing w:line="240" w:lineRule="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spacing w:val="2"/>
                      <w:highlight w:val="none"/>
                      <w:lang w:val="en-US" w:eastAsia="zh-CN"/>
                    </w:rPr>
                    <w:t>41</w:t>
                  </w:r>
                </w:p>
              </w:tc>
              <w:tc>
                <w:tcPr>
                  <w:tcW w:w="2292" w:type="dxa"/>
                  <w:vAlign w:val="center"/>
                </w:tcPr>
                <w:p w14:paraId="24C4EEA1">
                  <w:pPr>
                    <w:pStyle w:val="24"/>
                    <w:autoSpaceDE/>
                    <w:autoSpaceDN/>
                    <w:spacing w:line="240" w:lineRule="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68F9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2E9B767">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23</w:t>
                  </w:r>
                </w:p>
              </w:tc>
              <w:tc>
                <w:tcPr>
                  <w:tcW w:w="2610" w:type="dxa"/>
                  <w:vAlign w:val="center"/>
                </w:tcPr>
                <w:p w14:paraId="735F2F9D">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2A2-ZMC4</w:t>
                  </w:r>
                </w:p>
              </w:tc>
              <w:tc>
                <w:tcPr>
                  <w:tcW w:w="2520" w:type="dxa"/>
                  <w:vAlign w:val="center"/>
                </w:tcPr>
                <w:p w14:paraId="3F3284B4">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33</w:t>
                  </w:r>
                </w:p>
              </w:tc>
              <w:tc>
                <w:tcPr>
                  <w:tcW w:w="2292" w:type="dxa"/>
                  <w:vAlign w:val="center"/>
                </w:tcPr>
                <w:p w14:paraId="3D13A3C3">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2859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4348361">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24</w:t>
                  </w:r>
                </w:p>
              </w:tc>
              <w:tc>
                <w:tcPr>
                  <w:tcW w:w="2610" w:type="dxa"/>
                  <w:vMerge w:val="restart"/>
                  <w:vAlign w:val="center"/>
                </w:tcPr>
                <w:p w14:paraId="18C88980">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2A2-ZMCK</w:t>
                  </w:r>
                </w:p>
              </w:tc>
              <w:tc>
                <w:tcPr>
                  <w:tcW w:w="2520" w:type="dxa"/>
                  <w:vAlign w:val="center"/>
                </w:tcPr>
                <w:p w14:paraId="620009C7">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45</w:t>
                  </w:r>
                </w:p>
              </w:tc>
              <w:tc>
                <w:tcPr>
                  <w:tcW w:w="2292" w:type="dxa"/>
                  <w:vAlign w:val="center"/>
                </w:tcPr>
                <w:p w14:paraId="4C8822FC">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3D85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4FDA7E4">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25</w:t>
                  </w:r>
                </w:p>
              </w:tc>
              <w:tc>
                <w:tcPr>
                  <w:tcW w:w="2610" w:type="dxa"/>
                  <w:vMerge w:val="continue"/>
                  <w:vAlign w:val="center"/>
                </w:tcPr>
                <w:p w14:paraId="311ADB52">
                  <w:pPr>
                    <w:pStyle w:val="24"/>
                    <w:autoSpaceDE/>
                    <w:autoSpaceDN/>
                    <w:spacing w:line="240" w:lineRule="auto"/>
                    <w:rPr>
                      <w:rFonts w:hint="default" w:ascii="Times New Roman" w:hAnsi="Times New Roman" w:eastAsia="宋体" w:cs="Times New Roman"/>
                      <w:b w:val="0"/>
                      <w:bCs/>
                      <w:color w:val="auto"/>
                      <w:spacing w:val="6"/>
                      <w:highlight w:val="none"/>
                    </w:rPr>
                  </w:pPr>
                </w:p>
              </w:tc>
              <w:tc>
                <w:tcPr>
                  <w:tcW w:w="2520" w:type="dxa"/>
                  <w:vAlign w:val="center"/>
                </w:tcPr>
                <w:p w14:paraId="538A5A5A">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51</w:t>
                  </w:r>
                </w:p>
              </w:tc>
              <w:tc>
                <w:tcPr>
                  <w:tcW w:w="2292" w:type="dxa"/>
                  <w:vAlign w:val="center"/>
                </w:tcPr>
                <w:p w14:paraId="43135E54">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w:t>
                  </w:r>
                </w:p>
              </w:tc>
            </w:tr>
            <w:tr w14:paraId="14BC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A235E82">
                  <w:pPr>
                    <w:pStyle w:val="24"/>
                    <w:autoSpaceDE/>
                    <w:autoSpaceDN/>
                    <w:spacing w:line="240" w:lineRule="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26</w:t>
                  </w:r>
                </w:p>
              </w:tc>
              <w:tc>
                <w:tcPr>
                  <w:tcW w:w="2610" w:type="dxa"/>
                  <w:vAlign w:val="center"/>
                </w:tcPr>
                <w:p w14:paraId="5F797F86">
                  <w:pPr>
                    <w:pStyle w:val="24"/>
                    <w:autoSpaceDE/>
                    <w:autoSpaceDN/>
                    <w:spacing w:line="240" w:lineRule="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2E6-SDJC</w:t>
                  </w:r>
                </w:p>
              </w:tc>
              <w:tc>
                <w:tcPr>
                  <w:tcW w:w="2520" w:type="dxa"/>
                  <w:vAlign w:val="center"/>
                </w:tcPr>
                <w:p w14:paraId="5447F0C0">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18</w:t>
                  </w:r>
                </w:p>
              </w:tc>
              <w:tc>
                <w:tcPr>
                  <w:tcW w:w="2292" w:type="dxa"/>
                  <w:vAlign w:val="center"/>
                </w:tcPr>
                <w:p w14:paraId="06CF6080">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0589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749" w:type="dxa"/>
                  <w:gridSpan w:val="2"/>
                  <w:vAlign w:val="center"/>
                </w:tcPr>
                <w:p w14:paraId="7E8681F0">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合计</w:t>
                  </w:r>
                </w:p>
              </w:tc>
              <w:tc>
                <w:tcPr>
                  <w:tcW w:w="2520" w:type="dxa"/>
                  <w:vAlign w:val="center"/>
                </w:tcPr>
                <w:p w14:paraId="703BFF86">
                  <w:pPr>
                    <w:autoSpaceDE/>
                    <w:autoSpaceDN/>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292" w:type="dxa"/>
                  <w:vAlign w:val="center"/>
                </w:tcPr>
                <w:p w14:paraId="32E07E27">
                  <w:pPr>
                    <w:pStyle w:val="24"/>
                    <w:autoSpaceDE/>
                    <w:autoSpaceDN/>
                    <w:spacing w:line="240" w:lineRule="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3"/>
                      <w:highlight w:val="none"/>
                      <w:lang w:val="en-US" w:eastAsia="zh-CN"/>
                    </w:rPr>
                    <w:t>5</w:t>
                  </w:r>
                  <w:r>
                    <w:rPr>
                      <w:rFonts w:hint="default" w:ascii="Times New Roman" w:hAnsi="Times New Roman" w:eastAsia="宋体" w:cs="Times New Roman"/>
                      <w:b w:val="0"/>
                      <w:bCs/>
                      <w:color w:val="auto"/>
                      <w:spacing w:val="-3"/>
                      <w:highlight w:val="none"/>
                    </w:rPr>
                    <w:t>7</w:t>
                  </w:r>
                </w:p>
              </w:tc>
            </w:tr>
          </w:tbl>
          <w:p w14:paraId="658F2BC7">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（8）工程占地</w:t>
            </w:r>
          </w:p>
          <w:p w14:paraId="2795D55E">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根据设计资料</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、《华能围场“风光储氢热一体化”项目（光伏200MW）项目220kV送出线路工程水土保持方案报告表》及行政许可决定。</w:t>
            </w:r>
          </w:p>
          <w:p w14:paraId="408F680E">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施工人员租住周边村民用房，施工现场不单独设置施工营地。</w:t>
            </w:r>
          </w:p>
          <w:p w14:paraId="5897B71A">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7基，塔基永久占地约为</w:t>
            </w:r>
            <w:r>
              <w:rPr>
                <w:rFonts w:hint="eastAsia" w:ascii="Times New Roman" w:hAnsi="Times New Roman" w:eastAsia="宋体" w:cs="Times New Roman"/>
                <w:color w:val="auto"/>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4F584E5D">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铁塔塔基施工区临时占地合计</w:t>
            </w:r>
            <w:r>
              <w:rPr>
                <w:rFonts w:hint="eastAsia" w:ascii="Times New Roman" w:hAnsi="Times New Roman" w:eastAsia="宋体" w:cs="Times New Roman"/>
                <w:snapToGrid w:val="0"/>
                <w:color w:val="auto"/>
                <w:kern w:val="2"/>
                <w:sz w:val="24"/>
                <w:szCs w:val="24"/>
                <w:highlight w:val="none"/>
                <w:lang w:val="en-US" w:eastAsia="zh-CN"/>
              </w:rPr>
              <w:t>0.74h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9C33189">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w:t>
            </w:r>
            <w:r>
              <w:rPr>
                <w:rFonts w:hint="eastAsia" w:ascii="Times New Roman" w:hAnsi="Times New Roman" w:eastAsia="宋体" w:cs="Times New Roman"/>
                <w:snapToGrid w:val="0"/>
                <w:color w:val="auto"/>
                <w:kern w:val="2"/>
                <w:sz w:val="24"/>
                <w:szCs w:val="24"/>
                <w:highlight w:val="none"/>
                <w:lang w:val="en-US" w:eastAsia="zh-CN"/>
              </w:rPr>
              <w:t>100</w:t>
            </w:r>
            <w:r>
              <w:rPr>
                <w:rFonts w:hint="default" w:ascii="Times New Roman" w:hAnsi="Times New Roman" w:eastAsia="宋体" w:cs="Times New Roman"/>
                <w:snapToGrid w:val="0"/>
                <w:color w:val="auto"/>
                <w:kern w:val="2"/>
                <w:sz w:val="24"/>
                <w:szCs w:val="24"/>
                <w:highlight w:val="none"/>
              </w:rPr>
              <w:t>00m，道路宽约3m，铁塔塔基临时占地合计</w:t>
            </w:r>
            <w:r>
              <w:rPr>
                <w:rFonts w:hint="eastAsia" w:ascii="Times New Roman" w:hAnsi="Times New Roman" w:eastAsia="宋体" w:cs="Times New Roman"/>
                <w:snapToGrid w:val="0"/>
                <w:color w:val="auto"/>
                <w:kern w:val="2"/>
                <w:sz w:val="24"/>
                <w:szCs w:val="24"/>
                <w:highlight w:val="none"/>
                <w:lang w:val="en-US" w:eastAsia="zh-CN"/>
              </w:rPr>
              <w:t>3.0h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20500FE4">
            <w:pPr>
              <w:pStyle w:val="23"/>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牵张场全部位于</w:t>
            </w:r>
            <w:r>
              <w:rPr>
                <w:rFonts w:hint="default" w:ascii="Times New Roman" w:hAnsi="Times New Roman" w:eastAsia="宋体" w:cs="Times New Roman"/>
                <w:bCs/>
                <w:color w:val="auto"/>
                <w:sz w:val="24"/>
                <w:szCs w:val="24"/>
                <w:highlight w:val="none"/>
              </w:rPr>
              <w:t>河北滦河上游国家级自然保护区</w:t>
            </w:r>
            <w:r>
              <w:rPr>
                <w:rFonts w:hint="eastAsia" w:ascii="Times New Roman" w:hAnsi="Times New Roman" w:eastAsia="宋体" w:cs="Times New Roman"/>
                <w:bCs/>
                <w:color w:val="auto"/>
                <w:sz w:val="24"/>
                <w:szCs w:val="24"/>
                <w:highlight w:val="none"/>
                <w:lang w:eastAsia="zh-CN"/>
              </w:rPr>
              <w:t>外</w:t>
            </w:r>
            <w:r>
              <w:rPr>
                <w:rFonts w:hint="default" w:ascii="Times New Roman" w:hAnsi="Times New Roman" w:eastAsia="宋体" w:cs="Times New Roman"/>
                <w:color w:val="auto"/>
                <w:sz w:val="24"/>
                <w:szCs w:val="24"/>
                <w:highlight w:val="none"/>
              </w:rPr>
              <w:t>，保护区内采用无人机架设方式完成牵张任务</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snapToGrid w:val="0"/>
                <w:color w:val="auto"/>
                <w:kern w:val="2"/>
                <w:sz w:val="24"/>
                <w:szCs w:val="24"/>
                <w:highlight w:val="none"/>
              </w:rPr>
              <w:t>每处占地面积1</w:t>
            </w:r>
            <w:r>
              <w:rPr>
                <w:rFonts w:hint="eastAsia" w:ascii="Times New Roman" w:hAnsi="Times New Roman" w:eastAsia="宋体" w:cs="Times New Roman"/>
                <w:snapToGrid w:val="0"/>
                <w:color w:val="auto"/>
                <w:kern w:val="2"/>
                <w:sz w:val="24"/>
                <w:szCs w:val="24"/>
                <w:highlight w:val="none"/>
                <w:lang w:val="en-US" w:eastAsia="zh-CN"/>
              </w:rPr>
              <w:t>2</w:t>
            </w:r>
            <w:r>
              <w:rPr>
                <w:rFonts w:hint="default" w:ascii="Times New Roman" w:hAnsi="Times New Roman" w:eastAsia="宋体" w:cs="Times New Roman"/>
                <w:snapToGrid w:val="0"/>
                <w:color w:val="auto"/>
                <w:kern w:val="2"/>
                <w:sz w:val="24"/>
                <w:szCs w:val="24"/>
                <w:highlight w:val="none"/>
              </w:rPr>
              <w:t>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，属临时占地。牵张场占地合计</w:t>
            </w:r>
            <w:r>
              <w:rPr>
                <w:rFonts w:hint="eastAsia" w:ascii="Times New Roman" w:hAnsi="Times New Roman" w:eastAsia="宋体" w:cs="Times New Roman"/>
                <w:snapToGrid w:val="0"/>
                <w:color w:val="auto"/>
                <w:kern w:val="2"/>
                <w:sz w:val="24"/>
                <w:szCs w:val="24"/>
                <w:highlight w:val="none"/>
                <w:lang w:val="en-US" w:eastAsia="zh-CN"/>
              </w:rPr>
              <w:t>0.6</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3A7E5D5E">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综上所述，本项目塔基永久占地合计</w:t>
            </w:r>
            <w:r>
              <w:rPr>
                <w:rFonts w:hint="eastAsia" w:ascii="Times New Roman" w:hAnsi="Times New Roman" w:eastAsia="宋体" w:cs="Times New Roman"/>
                <w:snapToGrid w:val="0"/>
                <w:color w:val="auto"/>
                <w:kern w:val="2"/>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，临时占地合计</w:t>
            </w:r>
            <w:r>
              <w:rPr>
                <w:rFonts w:hint="eastAsia" w:ascii="Times New Roman" w:hAnsi="Times New Roman" w:eastAsia="宋体" w:cs="Times New Roman"/>
                <w:snapToGrid w:val="0"/>
                <w:color w:val="auto"/>
                <w:kern w:val="2"/>
                <w:sz w:val="24"/>
                <w:szCs w:val="24"/>
                <w:highlight w:val="none"/>
                <w:lang w:val="en-US" w:eastAsia="zh-CN"/>
              </w:rPr>
              <w:t>4.34h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1CD0BA30">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（9）本项目土方量情况</w:t>
            </w:r>
          </w:p>
          <w:p w14:paraId="0E839184">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项目建设期土石方挖填总量为3.14万m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，其中挖方总量</w:t>
            </w:r>
            <w:r>
              <w:rPr>
                <w:rFonts w:hint="eastAsia" w:ascii="Times New Roman" w:hAnsi="Times New Roman" w:eastAsia="宋体" w:cs="Times New Roman"/>
                <w:snapToGrid w:val="0"/>
                <w:color w:val="auto"/>
                <w:kern w:val="2"/>
                <w:sz w:val="24"/>
                <w:szCs w:val="24"/>
                <w:highlight w:val="none"/>
                <w:lang w:val="en-US" w:eastAsia="zh-CN"/>
              </w:rPr>
              <w:t>1.63</w:t>
            </w:r>
            <w:r>
              <w:rPr>
                <w:rFonts w:hint="default" w:ascii="Times New Roman" w:hAnsi="Times New Roman" w:eastAsia="宋体" w:cs="Times New Roman"/>
                <w:snapToGrid w:val="0"/>
                <w:color w:val="auto"/>
                <w:kern w:val="2"/>
                <w:sz w:val="24"/>
                <w:szCs w:val="24"/>
                <w:highlight w:val="none"/>
              </w:rPr>
              <w:t>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，填方总量1.51万m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，余方0.12万m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。塔基础开挖土石方用于回填后产生余</w:t>
            </w:r>
            <w:r>
              <w:rPr>
                <w:rFonts w:hint="eastAsia" w:ascii="Times New Roman" w:hAnsi="Times New Roman" w:eastAsia="宋体" w:cs="Times New Roman"/>
                <w:snapToGrid w:val="0"/>
                <w:color w:val="auto"/>
                <w:kern w:val="2"/>
                <w:sz w:val="24"/>
                <w:szCs w:val="24"/>
                <w:highlight w:val="none"/>
                <w:lang w:eastAsia="zh-CN"/>
              </w:rPr>
              <w:t>方</w:t>
            </w:r>
            <w:r>
              <w:rPr>
                <w:rFonts w:hint="default" w:ascii="Times New Roman" w:hAnsi="Times New Roman" w:eastAsia="宋体" w:cs="Times New Roman"/>
                <w:snapToGrid w:val="0"/>
                <w:color w:val="auto"/>
                <w:kern w:val="2"/>
                <w:sz w:val="24"/>
                <w:szCs w:val="24"/>
                <w:highlight w:val="none"/>
              </w:rPr>
              <w:t>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w:t>
            </w:r>
            <w:r>
              <w:rPr>
                <w:rFonts w:hint="eastAsia" w:ascii="Times New Roman" w:hAnsi="Times New Roman" w:eastAsia="宋体" w:cs="Times New Roman"/>
                <w:snapToGrid w:val="0"/>
                <w:color w:val="auto"/>
                <w:kern w:val="2"/>
                <w:sz w:val="24"/>
                <w:szCs w:val="24"/>
                <w:highlight w:val="none"/>
                <w:lang w:eastAsia="zh-CN"/>
              </w:rPr>
              <w:t>方全部平铺于塔基占地范围内合理利用</w:t>
            </w:r>
            <w:r>
              <w:rPr>
                <w:rFonts w:hint="default" w:ascii="Times New Roman" w:hAnsi="Times New Roman" w:eastAsia="宋体" w:cs="Times New Roman"/>
                <w:snapToGrid w:val="0"/>
                <w:color w:val="auto"/>
                <w:kern w:val="2"/>
                <w:sz w:val="24"/>
                <w:szCs w:val="24"/>
                <w:highlight w:val="none"/>
              </w:rPr>
              <w:t>。</w:t>
            </w:r>
          </w:p>
          <w:p w14:paraId="4CE0B08B">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2-8    表土平衡一览表（单位：万m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76024172">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567680" cy="1081405"/>
                  <wp:effectExtent l="0" t="0" r="1397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0"/>
                          <a:stretch>
                            <a:fillRect/>
                          </a:stretch>
                        </pic:blipFill>
                        <pic:spPr>
                          <a:xfrm>
                            <a:off x="0" y="0"/>
                            <a:ext cx="5567680" cy="1081405"/>
                          </a:xfrm>
                          <a:prstGeom prst="rect">
                            <a:avLst/>
                          </a:prstGeom>
                          <a:noFill/>
                          <a:ln>
                            <a:noFill/>
                          </a:ln>
                        </pic:spPr>
                      </pic:pic>
                    </a:graphicData>
                  </a:graphic>
                </wp:inline>
              </w:drawing>
            </w:r>
          </w:p>
          <w:p w14:paraId="5BFF6BAF">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snapToGrid w:val="0"/>
                <w:color w:val="auto"/>
                <w:kern w:val="2"/>
                <w:sz w:val="24"/>
                <w:szCs w:val="24"/>
                <w:highlight w:val="none"/>
              </w:rPr>
            </w:pPr>
            <w:r>
              <w:rPr>
                <w:rFonts w:hint="eastAsia" w:ascii="Times New Roman" w:hAnsi="Times New Roman" w:eastAsia="宋体" w:cs="Times New Roman"/>
                <w:snapToGrid w:val="0"/>
                <w:color w:val="auto"/>
                <w:kern w:val="2"/>
                <w:sz w:val="24"/>
                <w:szCs w:val="24"/>
                <w:highlight w:val="none"/>
              </w:rPr>
              <w:t>备注：塔基施工区和牵张场区主要施工内容为铁塔安装施工及牵张架线施工，水土流失因素以人工、机械压占为主，为减少地表扰动，方案设计对塔基施工区和牵张场区扰动区域采取彩条布铺垫防护措施，不再进行剥表施工。</w:t>
            </w:r>
          </w:p>
          <w:p w14:paraId="5074EE96">
            <w:pPr>
              <w:pStyle w:val="23"/>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37530" cy="2068195"/>
                  <wp:effectExtent l="0" t="0" r="1270"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5637530" cy="2068195"/>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图2-1  表土平衡一览图（单位：万m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3ED244F8">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2-9    一般土石方平衡一览表（单位：万m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07C34305">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85155" cy="1671955"/>
                  <wp:effectExtent l="0" t="0" r="10795"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2"/>
                          <a:stretch>
                            <a:fillRect/>
                          </a:stretch>
                        </pic:blipFill>
                        <pic:spPr>
                          <a:xfrm>
                            <a:off x="0" y="0"/>
                            <a:ext cx="5685155" cy="1671955"/>
                          </a:xfrm>
                          <a:prstGeom prst="rect">
                            <a:avLst/>
                          </a:prstGeom>
                          <a:noFill/>
                          <a:ln>
                            <a:noFill/>
                          </a:ln>
                        </pic:spPr>
                      </pic:pic>
                    </a:graphicData>
                  </a:graphic>
                </wp:inline>
              </w:drawing>
            </w:r>
          </w:p>
          <w:p w14:paraId="71DEE1E1">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34990" cy="3568700"/>
                  <wp:effectExtent l="0" t="0" r="3810" b="1270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3"/>
                          <a:stretch>
                            <a:fillRect/>
                          </a:stretch>
                        </pic:blipFill>
                        <pic:spPr>
                          <a:xfrm>
                            <a:off x="0" y="0"/>
                            <a:ext cx="5634990" cy="3568700"/>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图2-2  一般土石方平衡一览图（单位：万m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687232C4">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（10）劳动定员</w:t>
            </w:r>
          </w:p>
          <w:p w14:paraId="001283CA">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本项目不需设置劳动定员。</w:t>
            </w:r>
          </w:p>
          <w:p w14:paraId="61569627">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（11）给排水</w:t>
            </w:r>
          </w:p>
          <w:p w14:paraId="51CB31BB">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给水：施工期用水从附近村庄采用罐车拉取，无废水外排。</w:t>
            </w:r>
          </w:p>
          <w:p w14:paraId="7B3FB90F">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运行期不涉及用水。</w:t>
            </w:r>
          </w:p>
          <w:p w14:paraId="56AB6464">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（12）主要经济技术指标</w:t>
            </w:r>
          </w:p>
          <w:p w14:paraId="0837388F">
            <w:pPr>
              <w:pStyle w:val="23"/>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本工程总投资约</w:t>
            </w:r>
            <w:r>
              <w:rPr>
                <w:rFonts w:hint="default" w:ascii="Times New Roman" w:hAnsi="Times New Roman" w:eastAsia="宋体" w:cs="Times New Roman"/>
                <w:color w:val="auto"/>
                <w:sz w:val="24"/>
                <w:szCs w:val="24"/>
                <w:highlight w:val="none"/>
              </w:rPr>
              <w:t>3829.44</w:t>
            </w:r>
            <w:r>
              <w:rPr>
                <w:rFonts w:hint="default" w:ascii="Times New Roman" w:hAnsi="Times New Roman" w:eastAsia="宋体" w:cs="Times New Roman"/>
                <w:snapToGrid w:val="0"/>
                <w:color w:val="auto"/>
                <w:kern w:val="2"/>
                <w:sz w:val="24"/>
                <w:szCs w:val="24"/>
                <w:highlight w:val="none"/>
              </w:rPr>
              <w:t>万元，其中环保投资约</w:t>
            </w:r>
            <w:r>
              <w:rPr>
                <w:rFonts w:hint="default" w:ascii="Times New Roman" w:hAnsi="Times New Roman" w:eastAsia="宋体" w:cs="Times New Roman"/>
                <w:snapToGrid w:val="0"/>
                <w:color w:val="auto"/>
                <w:kern w:val="2"/>
                <w:sz w:val="24"/>
                <w:szCs w:val="24"/>
                <w:highlight w:val="none"/>
                <w:lang w:val="en-US" w:eastAsia="zh-CN"/>
              </w:rPr>
              <w:t>24</w:t>
            </w:r>
            <w:r>
              <w:rPr>
                <w:rFonts w:hint="default" w:ascii="Times New Roman" w:hAnsi="Times New Roman" w:eastAsia="宋体" w:cs="Times New Roman"/>
                <w:snapToGrid w:val="0"/>
                <w:color w:val="auto"/>
                <w:kern w:val="2"/>
                <w:sz w:val="24"/>
                <w:szCs w:val="24"/>
                <w:highlight w:val="none"/>
              </w:rPr>
              <w:t>0万元，约占总投资的</w:t>
            </w:r>
            <w:r>
              <w:rPr>
                <w:rFonts w:hint="default" w:ascii="Times New Roman" w:hAnsi="Times New Roman" w:eastAsia="宋体" w:cs="Times New Roman"/>
                <w:snapToGrid w:val="0"/>
                <w:color w:val="auto"/>
                <w:kern w:val="2"/>
                <w:sz w:val="24"/>
                <w:szCs w:val="24"/>
                <w:highlight w:val="none"/>
                <w:lang w:val="en-US" w:eastAsia="zh-CN"/>
              </w:rPr>
              <w:t>6.27</w:t>
            </w:r>
            <w:r>
              <w:rPr>
                <w:rFonts w:hint="default" w:ascii="Times New Roman" w:hAnsi="Times New Roman" w:eastAsia="宋体" w:cs="Times New Roman"/>
                <w:snapToGrid w:val="0"/>
                <w:color w:val="auto"/>
                <w:kern w:val="2"/>
                <w:sz w:val="24"/>
                <w:szCs w:val="24"/>
                <w:highlight w:val="none"/>
              </w:rPr>
              <w:t>%。</w:t>
            </w:r>
          </w:p>
          <w:p w14:paraId="49816C76">
            <w:pPr>
              <w:pStyle w:val="23"/>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5、公用工程</w:t>
            </w:r>
          </w:p>
          <w:p w14:paraId="052AD2A6">
            <w:pPr>
              <w:pStyle w:val="4"/>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各塔基的施工电源，通过施工承包方自备的发电机解决。</w:t>
            </w:r>
          </w:p>
          <w:p w14:paraId="56DFCD5F">
            <w:pPr>
              <w:pStyle w:val="23"/>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6、建设周期</w:t>
            </w:r>
          </w:p>
          <w:p w14:paraId="39DD0266">
            <w:pPr>
              <w:pStyle w:val="23"/>
              <w:spacing w:line="360" w:lineRule="auto"/>
              <w:ind w:firstLine="480" w:firstLineChars="200"/>
              <w:rPr>
                <w:rFonts w:hint="default" w:ascii="Times New Roman" w:hAnsi="Times New Roman" w:eastAsia="宋体" w:cs="Times New Roman"/>
                <w:bCs/>
                <w:color w:val="auto"/>
                <w:spacing w:val="4"/>
                <w:sz w:val="24"/>
                <w:szCs w:val="24"/>
                <w:highlight w:val="none"/>
              </w:rPr>
            </w:pPr>
            <w:r>
              <w:rPr>
                <w:rFonts w:hint="default" w:ascii="Times New Roman" w:hAnsi="Times New Roman" w:eastAsia="宋体" w:cs="Times New Roman"/>
                <w:bCs/>
                <w:color w:val="auto"/>
                <w:sz w:val="24"/>
                <w:szCs w:val="24"/>
                <w:highlight w:val="none"/>
              </w:rPr>
              <w:t>本项目建设周期为4个月。</w:t>
            </w:r>
          </w:p>
        </w:tc>
      </w:tr>
      <w:tr w14:paraId="5E85C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bottom w:val="single" w:color="000000" w:sz="4" w:space="0"/>
              <w:right w:val="single" w:color="000000" w:sz="4" w:space="0"/>
            </w:tcBorders>
            <w:vAlign w:val="center"/>
          </w:tcPr>
          <w:p w14:paraId="361E29C4">
            <w:pPr>
              <w:pStyle w:val="23"/>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总平面及现场布置</w:t>
            </w:r>
          </w:p>
        </w:tc>
        <w:tc>
          <w:tcPr>
            <w:tcW w:w="8596" w:type="dxa"/>
            <w:tcBorders>
              <w:left w:val="single" w:color="000000" w:sz="4" w:space="0"/>
              <w:bottom w:val="single" w:color="000000" w:sz="4" w:space="0"/>
            </w:tcBorders>
          </w:tcPr>
          <w:p w14:paraId="3E3504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1、220kV输电线路总平面布置</w:t>
            </w:r>
          </w:p>
          <w:p w14:paraId="1501CBFF">
            <w:pPr>
              <w:pStyle w:val="23"/>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根据设计资料、《华能围场“风光储氢热一体化”项目（光伏200MW）项目220kV送出线路工程水土保持方案报告表》及行政许可决定。</w:t>
            </w:r>
          </w:p>
          <w:p w14:paraId="12FD09A4">
            <w:pPr>
              <w:pStyle w:val="23"/>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eastAsia" w:ascii="Times New Roman" w:hAnsi="Times New Roman" w:eastAsia="宋体" w:cs="Times New Roman"/>
                <w:snapToGrid w:val="0"/>
                <w:color w:val="auto"/>
                <w:kern w:val="2"/>
                <w:sz w:val="24"/>
                <w:szCs w:val="24"/>
                <w:highlight w:val="none"/>
                <w:lang w:val="en-US" w:eastAsia="zh-CN"/>
              </w:rPr>
              <w:t>57</w:t>
            </w:r>
            <w:r>
              <w:rPr>
                <w:rFonts w:hint="default" w:ascii="Times New Roman" w:hAnsi="Times New Roman" w:eastAsia="宋体" w:cs="Times New Roman"/>
                <w:snapToGrid w:val="0"/>
                <w:color w:val="auto"/>
                <w:kern w:val="2"/>
                <w:sz w:val="24"/>
                <w:szCs w:val="24"/>
                <w:highlight w:val="none"/>
              </w:rPr>
              <w:t>基，塔基永久占地约为</w:t>
            </w:r>
            <w:r>
              <w:rPr>
                <w:rFonts w:hint="eastAsia" w:ascii="Times New Roman" w:hAnsi="Times New Roman" w:eastAsia="宋体" w:cs="Times New Roman"/>
                <w:snapToGrid w:val="0"/>
                <w:color w:val="auto"/>
                <w:kern w:val="2"/>
                <w:sz w:val="24"/>
                <w:szCs w:val="24"/>
                <w:highlight w:val="none"/>
                <w:lang w:val="en-US" w:eastAsia="zh-CN"/>
              </w:rPr>
              <w:t>4000</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6BEEB1C5">
            <w:pPr>
              <w:pStyle w:val="23"/>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铁塔塔基施工区临时占地合计</w:t>
            </w:r>
            <w:r>
              <w:rPr>
                <w:rFonts w:hint="eastAsia" w:ascii="Times New Roman" w:hAnsi="Times New Roman" w:eastAsia="宋体" w:cs="Times New Roman"/>
                <w:snapToGrid w:val="0"/>
                <w:color w:val="auto"/>
                <w:kern w:val="2"/>
                <w:sz w:val="24"/>
                <w:szCs w:val="24"/>
                <w:highlight w:val="none"/>
                <w:lang w:val="en-US" w:eastAsia="zh-CN"/>
              </w:rPr>
              <w:t>0.74h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1CDA9237">
            <w:pPr>
              <w:pStyle w:val="23"/>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w:t>
            </w:r>
            <w:r>
              <w:rPr>
                <w:rFonts w:hint="eastAsia" w:ascii="Times New Roman" w:hAnsi="Times New Roman" w:eastAsia="宋体" w:cs="Times New Roman"/>
                <w:snapToGrid w:val="0"/>
                <w:color w:val="auto"/>
                <w:kern w:val="2"/>
                <w:sz w:val="24"/>
                <w:szCs w:val="24"/>
                <w:highlight w:val="none"/>
                <w:lang w:val="en-US" w:eastAsia="zh-CN"/>
              </w:rPr>
              <w:t>100</w:t>
            </w:r>
            <w:r>
              <w:rPr>
                <w:rFonts w:hint="default" w:ascii="Times New Roman" w:hAnsi="Times New Roman" w:eastAsia="宋体" w:cs="Times New Roman"/>
                <w:snapToGrid w:val="0"/>
                <w:color w:val="auto"/>
                <w:kern w:val="2"/>
                <w:sz w:val="24"/>
                <w:szCs w:val="24"/>
                <w:highlight w:val="none"/>
              </w:rPr>
              <w:t>00m，道路宽约3m，铁塔塔基临时占地合计</w:t>
            </w:r>
            <w:r>
              <w:rPr>
                <w:rFonts w:hint="eastAsia" w:ascii="Times New Roman" w:hAnsi="Times New Roman" w:eastAsia="宋体" w:cs="Times New Roman"/>
                <w:snapToGrid w:val="0"/>
                <w:color w:val="auto"/>
                <w:kern w:val="2"/>
                <w:sz w:val="24"/>
                <w:szCs w:val="24"/>
                <w:highlight w:val="none"/>
                <w:lang w:val="en-US" w:eastAsia="zh-CN"/>
              </w:rPr>
              <w:t>3.0h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2B5873D2">
            <w:pPr>
              <w:pStyle w:val="23"/>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进入保护区之前</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N1塔附近</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设置1处、出保护区之后设置1处</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N27号塔</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、J14</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N43号塔</w:t>
            </w:r>
            <w:r>
              <w:rPr>
                <w:rFonts w:hint="eastAsia" w:ascii="Times New Roman" w:hAnsi="Times New Roman" w:eastAsia="宋体" w:cs="Times New Roman"/>
                <w:snapToGrid w:val="0"/>
                <w:color w:val="auto"/>
                <w:kern w:val="2"/>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处附近、</w:t>
            </w:r>
            <w:r>
              <w:rPr>
                <w:rFonts w:hint="eastAsia" w:ascii="Times New Roman" w:hAnsi="Times New Roman" w:eastAsia="宋体" w:cs="Times New Roman"/>
                <w:snapToGrid w:val="0"/>
                <w:color w:val="auto"/>
                <w:kern w:val="2"/>
                <w:sz w:val="24"/>
                <w:szCs w:val="24"/>
                <w:highlight w:val="none"/>
                <w:lang w:val="en-US" w:eastAsia="zh-CN"/>
              </w:rPr>
              <w:t>N51号塔</w:t>
            </w:r>
            <w:r>
              <w:rPr>
                <w:rFonts w:hint="default" w:ascii="Times New Roman" w:hAnsi="Times New Roman" w:eastAsia="宋体" w:cs="Times New Roman"/>
                <w:snapToGrid w:val="0"/>
                <w:color w:val="auto"/>
                <w:kern w:val="2"/>
                <w:sz w:val="24"/>
                <w:szCs w:val="24"/>
                <w:highlight w:val="none"/>
              </w:rPr>
              <w:t>处附近、</w:t>
            </w:r>
            <w:r>
              <w:rPr>
                <w:rFonts w:hint="eastAsia" w:ascii="Times New Roman" w:hAnsi="Times New Roman" w:eastAsia="宋体" w:cs="Times New Roman"/>
                <w:snapToGrid w:val="0"/>
                <w:color w:val="auto"/>
                <w:kern w:val="2"/>
                <w:sz w:val="24"/>
                <w:szCs w:val="24"/>
                <w:highlight w:val="none"/>
                <w:lang w:val="en-US" w:eastAsia="zh-CN"/>
              </w:rPr>
              <w:t>N57</w:t>
            </w:r>
            <w:r>
              <w:rPr>
                <w:rFonts w:hint="default" w:ascii="Times New Roman" w:hAnsi="Times New Roman" w:eastAsia="宋体" w:cs="Times New Roman"/>
                <w:snapToGrid w:val="0"/>
                <w:color w:val="auto"/>
                <w:kern w:val="2"/>
                <w:sz w:val="24"/>
                <w:szCs w:val="24"/>
                <w:highlight w:val="none"/>
              </w:rPr>
              <w:t>号塔附近），牵张场全部位于</w:t>
            </w:r>
            <w:r>
              <w:rPr>
                <w:rFonts w:hint="default" w:ascii="Times New Roman" w:hAnsi="Times New Roman" w:eastAsia="宋体" w:cs="Times New Roman"/>
                <w:bCs/>
                <w:color w:val="auto"/>
                <w:sz w:val="24"/>
                <w:szCs w:val="24"/>
                <w:highlight w:val="none"/>
              </w:rPr>
              <w:t>河北滦河上游国家级自然保护区</w:t>
            </w:r>
            <w:r>
              <w:rPr>
                <w:rFonts w:hint="eastAsia" w:ascii="Times New Roman" w:hAnsi="Times New Roman" w:eastAsia="宋体" w:cs="Times New Roman"/>
                <w:bCs/>
                <w:color w:val="auto"/>
                <w:sz w:val="24"/>
                <w:szCs w:val="24"/>
                <w:highlight w:val="none"/>
                <w:lang w:eastAsia="zh-CN"/>
              </w:rPr>
              <w:t>外</w:t>
            </w:r>
            <w:r>
              <w:rPr>
                <w:rFonts w:hint="default" w:ascii="Times New Roman" w:hAnsi="Times New Roman" w:eastAsia="宋体" w:cs="Times New Roman"/>
                <w:color w:val="auto"/>
                <w:sz w:val="24"/>
                <w:szCs w:val="24"/>
                <w:highlight w:val="none"/>
              </w:rPr>
              <w:t>，保护区内采用无人机架设方式完成牵张任务</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snapToGrid w:val="0"/>
                <w:color w:val="auto"/>
                <w:kern w:val="2"/>
                <w:sz w:val="24"/>
                <w:szCs w:val="24"/>
                <w:highlight w:val="none"/>
              </w:rPr>
              <w:t>每处占地面积1</w:t>
            </w:r>
            <w:r>
              <w:rPr>
                <w:rFonts w:hint="eastAsia" w:ascii="Times New Roman" w:hAnsi="Times New Roman" w:eastAsia="宋体" w:cs="Times New Roman"/>
                <w:snapToGrid w:val="0"/>
                <w:color w:val="auto"/>
                <w:kern w:val="2"/>
                <w:sz w:val="24"/>
                <w:szCs w:val="24"/>
                <w:highlight w:val="none"/>
                <w:lang w:val="en-US" w:eastAsia="zh-CN"/>
              </w:rPr>
              <w:t>2</w:t>
            </w:r>
            <w:r>
              <w:rPr>
                <w:rFonts w:hint="default" w:ascii="Times New Roman" w:hAnsi="Times New Roman" w:eastAsia="宋体" w:cs="Times New Roman"/>
                <w:snapToGrid w:val="0"/>
                <w:color w:val="auto"/>
                <w:kern w:val="2"/>
                <w:sz w:val="24"/>
                <w:szCs w:val="24"/>
                <w:highlight w:val="none"/>
              </w:rPr>
              <w:t>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，属临时占地。牵张场占地合计</w:t>
            </w:r>
            <w:r>
              <w:rPr>
                <w:rFonts w:hint="eastAsia" w:ascii="Times New Roman" w:hAnsi="Times New Roman" w:eastAsia="宋体" w:cs="Times New Roman"/>
                <w:snapToGrid w:val="0"/>
                <w:color w:val="auto"/>
                <w:kern w:val="2"/>
                <w:sz w:val="24"/>
                <w:szCs w:val="24"/>
                <w:highlight w:val="none"/>
                <w:lang w:val="en-US" w:eastAsia="zh-CN"/>
              </w:rPr>
              <w:t>0.6</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3FA3D47D">
            <w:pPr>
              <w:pStyle w:val="23"/>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综上所述，本项目塔基永久占地合计</w:t>
            </w:r>
            <w:r>
              <w:rPr>
                <w:rFonts w:hint="eastAsia" w:ascii="Times New Roman" w:hAnsi="Times New Roman" w:eastAsia="宋体" w:cs="Times New Roman"/>
                <w:snapToGrid w:val="0"/>
                <w:color w:val="auto"/>
                <w:kern w:val="2"/>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，临时占地合计</w:t>
            </w:r>
            <w:r>
              <w:rPr>
                <w:rFonts w:hint="eastAsia" w:ascii="Times New Roman" w:hAnsi="Times New Roman" w:eastAsia="宋体" w:cs="Times New Roman"/>
                <w:snapToGrid w:val="0"/>
                <w:color w:val="auto"/>
                <w:kern w:val="2"/>
                <w:sz w:val="24"/>
                <w:szCs w:val="24"/>
                <w:highlight w:val="none"/>
                <w:lang w:val="en-US" w:eastAsia="zh-CN"/>
              </w:rPr>
              <w:t>4.34h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541FD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2、施工营地的布设</w:t>
            </w:r>
          </w:p>
          <w:p w14:paraId="4F9692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highlight w:val="none"/>
              </w:rPr>
              <w:t>本项目租住附近民房，不设置施工营地，不需设置取土场、弃土场。</w:t>
            </w:r>
          </w:p>
        </w:tc>
      </w:tr>
      <w:tr w14:paraId="49836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top w:val="single" w:color="000000" w:sz="4" w:space="0"/>
              <w:bottom w:val="single" w:color="000000" w:sz="4" w:space="0"/>
              <w:right w:val="single" w:color="000000" w:sz="4" w:space="0"/>
            </w:tcBorders>
            <w:vAlign w:val="center"/>
          </w:tcPr>
          <w:p w14:paraId="4D8A0E48">
            <w:pPr>
              <w:pStyle w:val="23"/>
              <w:spacing w:line="360" w:lineRule="auto"/>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施工方案</w:t>
            </w:r>
          </w:p>
        </w:tc>
        <w:tc>
          <w:tcPr>
            <w:tcW w:w="8596" w:type="dxa"/>
            <w:tcBorders>
              <w:top w:val="single" w:color="000000" w:sz="4" w:space="0"/>
              <w:left w:val="single" w:color="000000" w:sz="4" w:space="0"/>
              <w:bottom w:val="single" w:color="000000" w:sz="4" w:space="0"/>
            </w:tcBorders>
          </w:tcPr>
          <w:p w14:paraId="4452CDC7">
            <w:pPr>
              <w:snapToGrid w:val="0"/>
              <w:spacing w:line="480" w:lineRule="exac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pacing w:val="-1"/>
                <w:sz w:val="24"/>
                <w:szCs w:val="24"/>
                <w:highlight w:val="none"/>
              </w:rPr>
              <w:t>一</w:t>
            </w:r>
            <w:r>
              <w:rPr>
                <w:rFonts w:hint="default" w:ascii="Times New Roman" w:hAnsi="Times New Roman" w:eastAsia="宋体" w:cs="Times New Roman"/>
                <w:b/>
                <w:bCs/>
                <w:color w:val="auto"/>
                <w:sz w:val="24"/>
                <w:szCs w:val="24"/>
                <w:highlight w:val="none"/>
              </w:rPr>
              <w:t>、施工期</w:t>
            </w:r>
            <w:r>
              <w:rPr>
                <w:rFonts w:hint="default" w:ascii="Times New Roman" w:hAnsi="Times New Roman" w:eastAsia="宋体" w:cs="Times New Roman"/>
                <w:b/>
                <w:color w:val="auto"/>
                <w:sz w:val="24"/>
                <w:szCs w:val="24"/>
                <w:highlight w:val="none"/>
              </w:rPr>
              <w:t>工艺流程简述（图示）</w:t>
            </w:r>
          </w:p>
          <w:p w14:paraId="37AD1B2B">
            <w:pPr>
              <w:autoSpaceDE/>
              <w:autoSpaceDN/>
              <w:adjustRightInd w:val="0"/>
              <w:spacing w:line="460" w:lineRule="exact"/>
              <w:ind w:firstLine="480"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pacing w:val="-1"/>
                <w:sz w:val="24"/>
                <w:szCs w:val="24"/>
                <w:highlight w:val="none"/>
              </w:rPr>
              <w:t>、施工工艺和方法</w:t>
            </w:r>
          </w:p>
          <w:p w14:paraId="06F80C3A">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（1）架空线路</w:t>
            </w:r>
          </w:p>
          <w:p w14:paraId="74F9CB1C">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a.塔基施工</w:t>
            </w:r>
          </w:p>
          <w:p w14:paraId="2DF1DA4C">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杆塔建设所使用材料采用汽车运输方式运送到施工处附近。本项目线路全线采用常规基础。施工用混凝土均为外购商品混凝土，不在现场进行搅拌。</w:t>
            </w:r>
          </w:p>
          <w:p w14:paraId="32506975">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b.组塔施工</w:t>
            </w:r>
          </w:p>
          <w:p w14:paraId="51EA6ACB">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杆塔组立分为整体组立和分解组立两大类。采用整体组立杆塔施工工艺，须先在地面对杆塔进行整体组装，从而减少高空作业，提高施工效率，并且有利于安全作业，提高经济效益。但整体组立杆塔容易受地形条件、铁塔型式和起吊设备的限制，此种情况下，可采用杆塔分解组立的施工方法。本项目杆塔在建设过程中，根据具体杆塔所处的地形条件和杆塔型式采用适宜的施工方法。</w:t>
            </w:r>
          </w:p>
          <w:p w14:paraId="290FDDEA">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c.架线施工</w:t>
            </w:r>
          </w:p>
          <w:p w14:paraId="60C130A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各线路导、地线均采用张力放线施工方法，防止在放线过程中导、地线落地拖拉及相互摩擦。采用张力放线施工时需设置牵张场地，一般利用当地道路；当塔位离施工道路较远或不能满足要求时，根据工程实际情况设置牵张设备、布置导线及施工操作等要求，在施工结束后，牵张场地等临时占地恢复原来使用功能。</w:t>
            </w:r>
          </w:p>
          <w:p w14:paraId="6E73431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本项目输电线路架线施工将跨越各类基础设施，主要包括：电力线、通信线等。本项目架线采用张力放线施工方法，张力架线全过程中导(地)线是架空状态的，一旦发生张力失控，导(地)线将落至被跨越设施，从而对被跨越设施产生影响。因此，目前跨越架线施工一般采用跨越架施工方式，通过在被跨越设施两侧设立跨越架，跨越架之间架设承力索，通过承力索进行封顶网安装，有效遮护被跨越物，起到保护被跨越物作用。应用跨越架的结构形式有：木(竹)质结构跨越架、悬索式跨越架。</w:t>
            </w:r>
          </w:p>
          <w:p w14:paraId="56E0ADF4">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I.木(竹)质结构跨越架</w:t>
            </w:r>
          </w:p>
          <w:p w14:paraId="047E4E46">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用经纬仪测出线路与被跨越设施交叉的中心点，定出两侧跨越架的设置位置。跨越架横向中心线必须在线路的中心线上。于指定地点安装木(竹)质结构跨越架，跨越架体搭设完成后，用钢丝绳连接成一体加强跨越架的稳定性，同时钢丝绳作为封顶网的承力索。在承托线上铺封顶网(麻绳或尼龙绳编织)并作为展放导地线的滑道。跨越架线完成后，及时拆除跨越架。</w:t>
            </w:r>
          </w:p>
          <w:p w14:paraId="7C8D84BB">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II.悬索式跨越架</w:t>
            </w:r>
          </w:p>
          <w:p w14:paraId="5C29E7B4">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主要是利用被跨越设施两侧跨越塔做支撑，在两塔之间架设承力索，通过承力索进行封顶网安装有效遮护被跨越物，起到保护被跨越物作用。</w:t>
            </w:r>
          </w:p>
          <w:p w14:paraId="4EAAC246">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线路工程跨越施工时，应对被跨越设施进行现场调查，了解跨越地形条件、跨越设施的位置、跨越物的重要程度等内容，选用合适的跨越方式进行施工，不会对跨越设施产生影响。</w:t>
            </w:r>
          </w:p>
          <w:p w14:paraId="07EBE820">
            <w:pPr>
              <w:autoSpaceDE/>
              <w:autoSpaceDN/>
              <w:adjustRightInd w:val="0"/>
              <w:spacing w:line="46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线路施工流程见下图。</w:t>
            </w:r>
          </w:p>
          <w:p w14:paraId="0034CE4C">
            <w:pPr>
              <w:autoSpaceDE/>
              <w:autoSpaceDN/>
              <w:adjustRightInd w:val="0"/>
              <w:jc w:val="center"/>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Cs w:val="21"/>
                <w:highlight w:val="none"/>
              </w:rPr>
              <w:drawing>
                <wp:inline distT="0" distB="0" distL="114300" distR="114300">
                  <wp:extent cx="5292725" cy="1193165"/>
                  <wp:effectExtent l="0" t="0" r="3175" b="6985"/>
                  <wp:docPr id="4" name="图片 2" descr="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线路"/>
                          <pic:cNvPicPr>
                            <a:picLocks noChangeAspect="1"/>
                          </pic:cNvPicPr>
                        </pic:nvPicPr>
                        <pic:blipFill>
                          <a:blip r:embed="rId34"/>
                          <a:srcRect t="5772" r="-95" b="10764"/>
                          <a:stretch>
                            <a:fillRect/>
                          </a:stretch>
                        </pic:blipFill>
                        <pic:spPr>
                          <a:xfrm>
                            <a:off x="0" y="0"/>
                            <a:ext cx="5292725" cy="1193165"/>
                          </a:xfrm>
                          <a:prstGeom prst="rect">
                            <a:avLst/>
                          </a:prstGeom>
                          <a:noFill/>
                          <a:ln>
                            <a:noFill/>
                          </a:ln>
                        </pic:spPr>
                      </pic:pic>
                    </a:graphicData>
                  </a:graphic>
                </wp:inline>
              </w:drawing>
            </w:r>
          </w:p>
          <w:p w14:paraId="04DAF5B5">
            <w:pPr>
              <w:autoSpaceDE/>
              <w:autoSpaceDN/>
              <w:adjustRightInd w:val="0"/>
              <w:spacing w:line="480" w:lineRule="exact"/>
              <w:ind w:firstLine="418" w:firstLineChars="200"/>
              <w:jc w:val="center"/>
              <w:textAlignment w:val="baseline"/>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图2-</w:t>
            </w:r>
            <w:r>
              <w:rPr>
                <w:rFonts w:hint="eastAsia" w:ascii="Times New Roman" w:hAnsi="Times New Roman" w:eastAsia="宋体" w:cs="Times New Roman"/>
                <w:b/>
                <w:bCs/>
                <w:color w:val="auto"/>
                <w:spacing w:val="-1"/>
                <w:sz w:val="21"/>
                <w:szCs w:val="21"/>
                <w:highlight w:val="none"/>
                <w:lang w:val="en-US" w:eastAsia="zh-CN"/>
              </w:rPr>
              <w:t>3</w:t>
            </w:r>
            <w:r>
              <w:rPr>
                <w:rFonts w:hint="default" w:ascii="Times New Roman" w:hAnsi="Times New Roman" w:eastAsia="宋体" w:cs="Times New Roman"/>
                <w:b/>
                <w:bCs/>
                <w:color w:val="auto"/>
                <w:spacing w:val="-1"/>
                <w:sz w:val="21"/>
                <w:szCs w:val="21"/>
                <w:highlight w:val="none"/>
              </w:rPr>
              <w:t xml:space="preserve">    架空线路施工流程图</w:t>
            </w:r>
          </w:p>
          <w:p w14:paraId="5F10C7CB">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（2）保护区段施工工艺</w:t>
            </w:r>
          </w:p>
          <w:p w14:paraId="21CD90F3">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a.塔基开挖</w:t>
            </w:r>
          </w:p>
          <w:p w14:paraId="4A702685">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塔基等建筑材料采取人工或者牲畜运输，基础施工也采取人工分层开挖。每个塔基开挖4个直径80cm深4m的圆柱形土坑，单个塔基的开挖土方大概为2m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，由人工搅拌水泥浇筑，开挖土方均在塔基占地范围内的合理位置填埋。</w:t>
            </w:r>
          </w:p>
          <w:p w14:paraId="663E7193">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rPr>
                <w:rFonts w:hint="eastAsia" w:ascii="Times New Roman" w:hAnsi="Times New Roman" w:eastAsia="宋体" w:cs="Times New Roman"/>
                <w:color w:val="auto"/>
                <w:spacing w:val="-1"/>
                <w:sz w:val="24"/>
                <w:szCs w:val="24"/>
                <w:highlight w:val="none"/>
                <w:lang w:val="en-US" w:eastAsia="zh-CN"/>
              </w:rPr>
            </w:pPr>
            <w:r>
              <w:rPr>
                <w:rFonts w:hint="eastAsia" w:ascii="Times New Roman" w:hAnsi="Times New Roman" w:eastAsia="宋体" w:cs="Times New Roman"/>
                <w:color w:val="auto"/>
                <w:spacing w:val="-1"/>
                <w:sz w:val="24"/>
                <w:szCs w:val="24"/>
                <w:highlight w:val="none"/>
                <w:lang w:val="en-US" w:eastAsia="zh-CN"/>
              </w:rPr>
              <w:drawing>
                <wp:inline distT="0" distB="0" distL="114300" distR="114300">
                  <wp:extent cx="2747010" cy="1544320"/>
                  <wp:effectExtent l="0" t="0" r="15240" b="17780"/>
                  <wp:docPr id="16" name="图片 16" descr="4a0e96779cf27d72ac2589758bb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a0e96779cf27d72ac2589758bb5f40"/>
                          <pic:cNvPicPr>
                            <a:picLocks noChangeAspect="1"/>
                          </pic:cNvPicPr>
                        </pic:nvPicPr>
                        <pic:blipFill>
                          <a:blip r:embed="rId35"/>
                          <a:stretch>
                            <a:fillRect/>
                          </a:stretch>
                        </pic:blipFill>
                        <pic:spPr>
                          <a:xfrm>
                            <a:off x="0" y="0"/>
                            <a:ext cx="2747010" cy="1544320"/>
                          </a:xfrm>
                          <a:prstGeom prst="rect">
                            <a:avLst/>
                          </a:prstGeom>
                        </pic:spPr>
                      </pic:pic>
                    </a:graphicData>
                  </a:graphic>
                </wp:inline>
              </w:drawing>
            </w:r>
            <w:r>
              <w:rPr>
                <w:rFonts w:hint="eastAsia" w:ascii="Times New Roman" w:hAnsi="Times New Roman" w:eastAsia="宋体" w:cs="Times New Roman"/>
                <w:color w:val="auto"/>
                <w:spacing w:val="-1"/>
                <w:sz w:val="24"/>
                <w:szCs w:val="24"/>
                <w:highlight w:val="none"/>
                <w:lang w:val="en-US" w:eastAsia="zh-CN"/>
              </w:rPr>
              <w:drawing>
                <wp:inline distT="0" distB="0" distL="114300" distR="114300">
                  <wp:extent cx="2755265" cy="1549400"/>
                  <wp:effectExtent l="0" t="0" r="6985" b="12700"/>
                  <wp:docPr id="17" name="图片 17" descr="0c04004714df4bc3f7eb41bb40e9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c04004714df4bc3f7eb41bb40e974e"/>
                          <pic:cNvPicPr>
                            <a:picLocks noChangeAspect="1"/>
                          </pic:cNvPicPr>
                        </pic:nvPicPr>
                        <pic:blipFill>
                          <a:blip r:embed="rId36"/>
                          <a:stretch>
                            <a:fillRect/>
                          </a:stretch>
                        </pic:blipFill>
                        <pic:spPr>
                          <a:xfrm>
                            <a:off x="0" y="0"/>
                            <a:ext cx="2755265" cy="1549400"/>
                          </a:xfrm>
                          <a:prstGeom prst="rect">
                            <a:avLst/>
                          </a:prstGeom>
                        </pic:spPr>
                      </pic:pic>
                    </a:graphicData>
                  </a:graphic>
                </wp:inline>
              </w:drawing>
            </w:r>
            <w:r>
              <w:rPr>
                <w:rFonts w:hint="eastAsia" w:ascii="Times New Roman" w:hAnsi="Times New Roman" w:eastAsia="宋体" w:cs="Times New Roman"/>
                <w:b/>
                <w:bCs/>
                <w:color w:val="auto"/>
                <w:spacing w:val="-1"/>
                <w:sz w:val="21"/>
                <w:szCs w:val="21"/>
                <w:highlight w:val="none"/>
                <w:lang w:val="en-US" w:eastAsia="zh-CN"/>
              </w:rPr>
              <w:t>图2-4    保护区内骡马驮运施工图和保护区内现有道路</w:t>
            </w:r>
          </w:p>
          <w:p w14:paraId="0497F032">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b.组塔</w:t>
            </w:r>
          </w:p>
          <w:p w14:paraId="53E64ED5">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根据《国家电网公司关于印发标准化建设成果（35～750kV输变电工程通用设计、通用设备）应用目录（2016年版）的通知》，本次工程线路位于围场县，属于山地项目，塔型选择采用高低腿铁塔，尽量减少占地和土方开挖量。塔基的建构材料由牲畜运输到占地范围内，由人工的方式进行组装，减少对保护区环境的破坏。保护区内涉及转角塔13座，直角塔10座。</w:t>
            </w:r>
          </w:p>
          <w:p w14:paraId="456B22B6">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c.架线工艺</w:t>
            </w:r>
          </w:p>
          <w:p w14:paraId="3A1F7815">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架线施工时采用张力架线，施工过程中钢丝绳及导线始终不落地，效率高，速度快，对保护区影响小。初级导引绳采用无人机不落地展放，全程不砍伐通道。在展放过程中，利用无人机牵引初级导引绳逐基通过放线段塔顶，塔上人员通过专用工具将初级导引绳置入塔顶的朝天滑车轮槽中，逐次完成每基塔的操作。后续各级引绳及导地线通近逐级牵引及分相移位全过程带张力展放。</w:t>
            </w:r>
          </w:p>
          <w:p w14:paraId="6B9259B5">
            <w:pPr>
              <w:autoSpaceDE/>
              <w:autoSpaceDN/>
              <w:adjustRightInd w:val="0"/>
              <w:spacing w:line="480" w:lineRule="exact"/>
              <w:ind w:firstLine="476" w:firstLineChars="200"/>
              <w:textAlignment w:val="baseline"/>
              <w:rPr>
                <w:rFonts w:hint="eastAsia" w:ascii="Times New Roman" w:hAnsi="Times New Roman" w:eastAsia="宋体" w:cs="Times New Roman"/>
                <w:color w:val="auto"/>
                <w:spacing w:val="-1"/>
                <w:sz w:val="24"/>
                <w:szCs w:val="24"/>
                <w:highlight w:val="none"/>
                <w:lang w:eastAsia="zh-CN"/>
              </w:rPr>
            </w:pPr>
            <w:r>
              <w:rPr>
                <w:rFonts w:hint="eastAsia" w:ascii="Times New Roman" w:hAnsi="Times New Roman" w:eastAsia="宋体" w:cs="Times New Roman"/>
                <w:color w:val="auto"/>
                <w:spacing w:val="-1"/>
                <w:sz w:val="24"/>
                <w:szCs w:val="24"/>
                <w:highlight w:val="none"/>
                <w:lang w:eastAsia="zh-CN"/>
              </w:rPr>
              <w:t>其中保护内线路采用无人机分段紧线，不在保护区内设置牵张场。</w:t>
            </w:r>
          </w:p>
          <w:p w14:paraId="644EA0E8">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2、施工时序及建设周期</w:t>
            </w:r>
          </w:p>
          <w:p w14:paraId="377FD7F9">
            <w:pPr>
              <w:autoSpaceDE/>
              <w:autoSpaceDN/>
              <w:adjustRightInd w:val="0"/>
              <w:spacing w:line="480" w:lineRule="exact"/>
              <w:ind w:firstLine="476"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建设内容主要包括施工准备、塔基施工、组塔施工、架线施工、验收消缺、运行等。整个项目建设周期为4个月。</w:t>
            </w:r>
          </w:p>
          <w:p w14:paraId="3E8D3051">
            <w:pPr>
              <w:autoSpaceDE/>
              <w:autoSpaceDN/>
              <w:adjustRightInd w:val="0"/>
              <w:spacing w:line="480" w:lineRule="exact"/>
              <w:ind w:firstLine="476" w:firstLineChars="200"/>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pacing w:val="-1"/>
                <w:sz w:val="24"/>
                <w:szCs w:val="24"/>
                <w:highlight w:val="none"/>
              </w:rPr>
              <w:t>施工准备期10天，塔基施工60天，组塔、架线施工约35天，验收消缺、试运行约15天。</w:t>
            </w:r>
          </w:p>
        </w:tc>
      </w:tr>
      <w:tr w14:paraId="381FE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388" w:type="dxa"/>
            <w:tcBorders>
              <w:top w:val="single" w:color="000000" w:sz="4" w:space="0"/>
              <w:right w:val="single" w:color="000000" w:sz="4" w:space="0"/>
            </w:tcBorders>
            <w:vAlign w:val="center"/>
          </w:tcPr>
          <w:p w14:paraId="51994029">
            <w:pPr>
              <w:pStyle w:val="23"/>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596" w:type="dxa"/>
            <w:tcBorders>
              <w:top w:val="single" w:color="000000" w:sz="4" w:space="0"/>
              <w:left w:val="single" w:color="000000" w:sz="4" w:space="0"/>
            </w:tcBorders>
            <w:vAlign w:val="center"/>
          </w:tcPr>
          <w:p w14:paraId="7F3F3D4E">
            <w:pPr>
              <w:spacing w:line="4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bl>
    <w:p w14:paraId="4B31F743">
      <w:pPr>
        <w:spacing w:line="345" w:lineRule="exact"/>
        <w:rPr>
          <w:rFonts w:hint="default" w:ascii="Times New Roman" w:hAnsi="Times New Roman" w:eastAsia="宋体" w:cs="Times New Roman"/>
          <w:color w:val="auto"/>
          <w:sz w:val="21"/>
          <w:highlight w:val="none"/>
        </w:rPr>
        <w:sectPr>
          <w:pgSz w:w="11910" w:h="16840"/>
          <w:pgMar w:top="1580" w:right="1320" w:bottom="1000" w:left="1340" w:header="0" w:footer="907" w:gutter="0"/>
          <w:cols w:space="720" w:num="1"/>
        </w:sectPr>
      </w:pPr>
    </w:p>
    <w:p w14:paraId="01B9414B">
      <w:pPr>
        <w:pStyle w:val="4"/>
        <w:spacing w:line="550" w:lineRule="exact"/>
        <w:ind w:left="635" w:right="652"/>
        <w:jc w:val="center"/>
        <w:outlineLvl w:val="0"/>
        <w:rPr>
          <w:rFonts w:hint="default" w:ascii="Times New Roman" w:hAnsi="Times New Roman" w:eastAsia="宋体" w:cs="Times New Roman"/>
          <w:color w:val="auto"/>
          <w:highlight w:val="none"/>
        </w:rPr>
      </w:pPr>
      <w:bookmarkStart w:id="3" w:name="_Toc150930988"/>
      <w:r>
        <w:rPr>
          <w:rFonts w:hint="default" w:ascii="Times New Roman" w:hAnsi="Times New Roman" w:eastAsia="宋体" w:cs="Times New Roman"/>
          <w:color w:val="auto"/>
          <w:highlight w:val="none"/>
        </w:rPr>
        <w:t>三、生态环境现状、保护目标及评价标准</w:t>
      </w:r>
      <w:bookmarkEnd w:id="3"/>
    </w:p>
    <w:p w14:paraId="3B0A9810">
      <w:pPr>
        <w:pStyle w:val="4"/>
        <w:spacing w:before="5"/>
        <w:rPr>
          <w:rFonts w:hint="default" w:ascii="Times New Roman" w:hAnsi="Times New Roman" w:eastAsia="宋体" w:cs="Times New Roman"/>
          <w:color w:val="auto"/>
          <w:sz w:val="8"/>
          <w:highlight w:val="none"/>
        </w:rPr>
      </w:pPr>
    </w:p>
    <w:tbl>
      <w:tblPr>
        <w:tblStyle w:val="22"/>
        <w:tblW w:w="9130" w:type="dxa"/>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7"/>
        <w:gridCol w:w="8633"/>
      </w:tblGrid>
      <w:tr w14:paraId="0A5D4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497" w:type="dxa"/>
            <w:tcBorders>
              <w:bottom w:val="single" w:color="000000" w:sz="4" w:space="0"/>
              <w:right w:val="single" w:color="000000" w:sz="4" w:space="0"/>
            </w:tcBorders>
            <w:vAlign w:val="center"/>
          </w:tcPr>
          <w:p w14:paraId="20787209">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生态环境现状</w:t>
            </w:r>
          </w:p>
        </w:tc>
        <w:tc>
          <w:tcPr>
            <w:tcW w:w="8633" w:type="dxa"/>
            <w:tcBorders>
              <w:left w:val="single" w:color="000000" w:sz="4" w:space="0"/>
              <w:bottom w:val="single" w:color="000000" w:sz="4" w:space="0"/>
            </w:tcBorders>
          </w:tcPr>
          <w:p w14:paraId="47BB940B">
            <w:pPr>
              <w:pStyle w:val="27"/>
              <w:ind w:firstLine="482"/>
              <w:rPr>
                <w:rFonts w:hint="default" w:ascii="Times New Roman" w:hAnsi="Times New Roman" w:cs="Times New Roman"/>
                <w:b/>
                <w:bCs/>
                <w:color w:val="auto"/>
                <w:highlight w:val="none"/>
              </w:rPr>
            </w:pPr>
            <w:bookmarkStart w:id="4" w:name="_Toc1920_WPSOffice_Level2"/>
            <w:bookmarkStart w:id="5" w:name="_Toc3316"/>
            <w:bookmarkStart w:id="6" w:name="_Toc6567_WPSOffice_Level2"/>
            <w:bookmarkStart w:id="7" w:name="_Toc57358892"/>
            <w:bookmarkStart w:id="8" w:name="_Toc28699"/>
            <w:r>
              <w:rPr>
                <w:rFonts w:hint="default" w:ascii="Times New Roman" w:hAnsi="Times New Roman" w:cs="Times New Roman"/>
                <w:b/>
                <w:bCs/>
                <w:color w:val="auto"/>
                <w:highlight w:val="none"/>
              </w:rPr>
              <w:t>1、主体功能区划</w:t>
            </w:r>
          </w:p>
          <w:p w14:paraId="022B3C7F">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（1）全国主体功能规划</w:t>
            </w:r>
          </w:p>
          <w:p w14:paraId="4FBC8716">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评价区域在</w:t>
            </w:r>
            <w:r>
              <w:rPr>
                <w:rFonts w:hint="default" w:ascii="Times New Roman" w:hAnsi="Times New Roman" w:eastAsia="宋体" w:cs="Times New Roman"/>
                <w:color w:val="auto"/>
                <w:szCs w:val="24"/>
                <w:highlight w:val="none"/>
                <w:shd w:val="clear" w:color="auto" w:fill="FFFFFF"/>
              </w:rPr>
              <w:t>《全国主体功能区规划》</w:t>
            </w:r>
            <w:r>
              <w:rPr>
                <w:rFonts w:hint="default" w:ascii="Times New Roman" w:hAnsi="Times New Roman" w:eastAsia="宋体" w:cs="Times New Roman"/>
                <w:color w:val="auto"/>
                <w:highlight w:val="none"/>
              </w:rPr>
              <w:t>中，属于限制开发区域（重点生态功能区）-浑善达克沙漠化防治生态功能区和禁止开发区域-河北滦河上游国家级自然保护区：</w:t>
            </w:r>
          </w:p>
          <w:p w14:paraId="0E97449E">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①限制开发区域</w:t>
            </w:r>
          </w:p>
          <w:p w14:paraId="5C3021E9">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综合评价：以固定、半固定沙丘为主，干旱频发，多大风天气，是北京乃至华北地区沙尘的主要来源地。目前土地沙化严重，干旱缺水，对华北地区生态安全构成威胁。</w:t>
            </w:r>
          </w:p>
          <w:p w14:paraId="3D91D08B">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发展方向：采取植物和工程措施，加强综合治理。</w:t>
            </w:r>
          </w:p>
          <w:p w14:paraId="1DFA49BA">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开发管制原则：</w:t>
            </w:r>
          </w:p>
          <w:p w14:paraId="25EB2742">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——对各类开发活动进行严格管制，尽可能减少对自然生态系统的干扰，不得损害生态系统的稳定和完整性。</w:t>
            </w:r>
          </w:p>
          <w:p w14:paraId="494DDBC7">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开发矿产资源、发展适宜产业和建设基础设施，都要控制在尽可能小的空间范围之内，并做到天然草地、林地、水库水面、河流水面、湖泊水面等绿色生态空间面积不减少。控制新增公路、铁路建设规模，必须新建的，应事先规划好动物迁徙通道。在有条件的地区之间，要通过水系、绿带等构建生态廊道，避免形成“生态孤岛”。</w:t>
            </w:r>
          </w:p>
          <w:p w14:paraId="4AF5421A">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严格控制开发强度，逐步减少农村居民点占用的空间，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w:t>
            </w:r>
          </w:p>
          <w:p w14:paraId="3DF5ACFF">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行更加严格的产业准入环境标准，严把项目准入关。在不损害生态系统功能的前提下，因地制宜地适度发展旅游、农林牧产品生产和加工、观光休闲农业等产业，积极发展服务业，根据不同地区的情况，保持一定的经济增长速度和财政自给能力。</w:t>
            </w:r>
          </w:p>
          <w:p w14:paraId="14FA8C67">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现有城镇布局基础上进一步集约开发、集中建设，重点规划和建设资源环境承载能力相对较强的县城和中心镇，提高综合承载能力。引导一部分人口向城市化地区转移，一部分人口向区域内的县城和中心镇转移。生态移民点应尽量集中布局到县城和中心镇，避免新建孤立的村落式移民社区。</w:t>
            </w:r>
          </w:p>
          <w:p w14:paraId="6AE9161F">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——加强县城和中心镇的道路、供排水、垃圾污水处理等基础设施建设。在条件适宜的地区，</w:t>
            </w:r>
            <w:r>
              <w:rPr>
                <w:rFonts w:hint="default" w:ascii="Times New Roman" w:hAnsi="Times New Roman" w:eastAsia="宋体" w:cs="Times New Roman"/>
                <w:b/>
                <w:bCs/>
                <w:color w:val="auto"/>
                <w:highlight w:val="none"/>
              </w:rPr>
              <w:t>积极推广沼气、风能、太阳能、地热能等清洁能源，努力解决农村特别是山区、高原、草原和海岛地区农村的能源需求</w:t>
            </w:r>
            <w:r>
              <w:rPr>
                <w:rFonts w:hint="default" w:ascii="Times New Roman" w:hAnsi="Times New Roman" w:eastAsia="宋体" w:cs="Times New Roman"/>
                <w:color w:val="auto"/>
                <w:highlight w:val="none"/>
              </w:rPr>
              <w:t>。在有条件的地区建设一批节能环保的生态型社区。健全公共服务体系，改善教育、医疗、文化等设施条件，提高公共服务供给能力和水平。</w:t>
            </w:r>
          </w:p>
          <w:p w14:paraId="0B0280C7">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②国家禁止开发区域</w:t>
            </w:r>
          </w:p>
          <w:p w14:paraId="7A12F9C7">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功能定位：我国保护自然文化资源的重要区域，珍稀动植物基因资源保护地。</w:t>
            </w:r>
          </w:p>
          <w:p w14:paraId="45053CEE">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管制原则：</w:t>
            </w:r>
          </w:p>
          <w:p w14:paraId="74FF5731">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家禁止开发区域要依据法律法规规定和相关规划实施强制性保护，严格控制人为因素对自然生态和文化自然遗产原真性、完整性的干扰，严禁不符合主体功能定位的各类开发活动，引导人口逐步有序转移，实现污染物“零排放”，提高环境质量。</w:t>
            </w:r>
          </w:p>
          <w:p w14:paraId="02C0DFC0">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要依据《中华人民共和国自然保护区条例》、本规划确定的原则和自然保护区规划进行管理。</w:t>
            </w:r>
          </w:p>
          <w:p w14:paraId="3C54806C">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核心区、缓冲区和实验区分类管理。核心区，严禁任何生产建设活动；缓冲区，除必要的科学实验活动外，严禁其他任何生产建设活动；实验区，除必要的科学实验以及符合自然保护区规划的旅游、种植业和畜牧业等活动外，严禁其他生产建设活动。</w:t>
            </w:r>
          </w:p>
          <w:p w14:paraId="10CF8781">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——按核心区、缓冲区、实验区的顺序，逐步转移自然保护区的人口。绝大多数自然保护区核心区应逐步实现无人居住，缓冲区和实验区也应较大幅度减少人口。</w:t>
            </w:r>
          </w:p>
          <w:p w14:paraId="048E294C">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——根据自然保护区的实际情况，实行异地转移和就地转移两种转移方式，一部分人口转移到自然保护区以外，一部分人口就地转为自然保护区管护人员。</w:t>
            </w:r>
          </w:p>
          <w:p w14:paraId="5CD2FC62">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——在不影响自然保护区主体功能的前提下，对范围较大、目前核心区人口较多的，可以保持适量的人口规模和适度的农牧业活动，同时通过生活补助等途径，确保人民生活水平稳步提高。</w:t>
            </w:r>
          </w:p>
          <w:p w14:paraId="25292926">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——交通、通信、电网等基础设施要慎重建设，能避则避，必须穿越的，要符合自然保护区规划，并进行保护区影响专题评价。新建公路、铁路和其他基础设施不得穿越自然保护区核心区，尽量避免穿越缓冲区。</w:t>
            </w:r>
          </w:p>
          <w:p w14:paraId="371C5FB6">
            <w:pPr>
              <w:pStyle w:val="27"/>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本项目为</w:t>
            </w:r>
            <w:r>
              <w:rPr>
                <w:rFonts w:hint="eastAsia" w:cs="Times New Roman"/>
                <w:color w:val="auto"/>
                <w:highlight w:val="none"/>
                <w:lang w:eastAsia="zh-CN"/>
              </w:rPr>
              <w:t>新能源光伏发电配套电力送出工程</w:t>
            </w:r>
            <w:r>
              <w:rPr>
                <w:rFonts w:hint="default" w:ascii="Times New Roman" w:hAnsi="Times New Roman" w:cs="Times New Roman"/>
                <w:color w:val="auto"/>
                <w:highlight w:val="none"/>
              </w:rPr>
              <w:t>，送出线路位于河北省承德市围场满族蒙古族自治县境内，项目部分线路占用河北滦河上游国家级自然保护区和生态保护红线，编制了《华能围场项目220kV送出线路工程对河北滦河上游国家级自然保护区生物多样性影响评价报告》，国家林业和草原局出具了《关于同意华能围场“风光储氢热一体化”项目（光伏200MW）项目220kV送出线路工程穿越河北滦河上游国家级自然保护区实验区的行政许可决定》（林保许准（冀）[2024]10号）项目采取一系列保护措施，可以确保生态功能不降低，符合全国主体功能区划定位。</w:t>
            </w:r>
          </w:p>
          <w:p w14:paraId="569098D7">
            <w:pPr>
              <w:pStyle w:val="2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bCs/>
                <w:color w:val="auto"/>
                <w:highlight w:val="none"/>
              </w:rPr>
              <w:t>《河北省主体功能区划》</w:t>
            </w:r>
          </w:p>
          <w:p w14:paraId="04445424">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根据《河北省主体功能区划》，工程位于国家重点生态功能区。</w:t>
            </w:r>
          </w:p>
          <w:p w14:paraId="4C5C88FF">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区域区位：河北省北部地区，国家浑善达克沙漠化防治生态功能区的南部。</w:t>
            </w:r>
          </w:p>
          <w:p w14:paraId="15008704">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区域范围：张家口市张北、沽源、康保、尚义；承德市丰宁满族自治县、围场满族蒙古族自治县。本区域涉及张家口市和承德市的6个县。</w:t>
            </w:r>
          </w:p>
          <w:p w14:paraId="504858E7">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发展方向</w:t>
            </w:r>
          </w:p>
          <w:p w14:paraId="02877575">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生态建设。加强天然草场保护和人工草场建设，加大沿边沿坝防护林带、退耕还林、京津风沙源治理、巩固退耕还林成果规划项目等国家和省重点生态工程建设力度。转变畜牧业生产方式，实行禁牧休牧和划区轮牧，推行舍饲圈养，以草定畜，严格控制载畜量。加强对内陆河流的规划和管理，保护内流湖淖和河流湿地，改善风口地区和沙化土地集中地区生态环境。控制高耗水农业面积和用水总量，保持水资源的供求平衡。</w:t>
            </w:r>
          </w:p>
          <w:p w14:paraId="21B1AD52">
            <w:pPr>
              <w:pStyle w:val="27"/>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继续实施倾斜政策，大力支持坝上地区教育、医疗、文化、旅游等公共服务设施和农村交通、水利、电力、通讯等基础设施建设，重点推广风能、太阳能、沼气等清洁能源利用。</w:t>
            </w:r>
          </w:p>
          <w:p w14:paraId="3852F5E3">
            <w:pPr>
              <w:pStyle w:val="27"/>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本项目为</w:t>
            </w:r>
            <w:r>
              <w:rPr>
                <w:rFonts w:hint="eastAsia" w:cs="Times New Roman"/>
                <w:bCs/>
                <w:color w:val="auto"/>
                <w:highlight w:val="none"/>
                <w:lang w:eastAsia="zh-CN"/>
              </w:rPr>
              <w:t>新能源光伏发电配套电力送出工程</w:t>
            </w:r>
            <w:r>
              <w:rPr>
                <w:rFonts w:hint="default" w:ascii="Times New Roman" w:hAnsi="Times New Roman" w:cs="Times New Roman"/>
                <w:bCs/>
                <w:color w:val="auto"/>
                <w:highlight w:val="none"/>
              </w:rPr>
              <w:t>，属于电力供应，不属于资源消耗高、环境污染重的工业项目，与功能区发展方向无冲突，属于重点推广的清洁能源利用项目。</w:t>
            </w:r>
          </w:p>
          <w:p w14:paraId="61AFE0CD">
            <w:pPr>
              <w:pStyle w:val="27"/>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bookmarkEnd w:id="4"/>
            <w:bookmarkEnd w:id="5"/>
            <w:bookmarkEnd w:id="6"/>
            <w:bookmarkEnd w:id="7"/>
            <w:bookmarkEnd w:id="8"/>
            <w:r>
              <w:rPr>
                <w:rFonts w:hint="default" w:ascii="Times New Roman" w:hAnsi="Times New Roman" w:cs="Times New Roman"/>
                <w:b/>
                <w:bCs/>
                <w:color w:val="auto"/>
                <w:highlight w:val="none"/>
              </w:rPr>
              <w:t>生态功能区划</w:t>
            </w:r>
          </w:p>
          <w:p w14:paraId="3350026C">
            <w:pPr>
              <w:pStyle w:val="28"/>
              <w:spacing w:line="360" w:lineRule="auto"/>
              <w:ind w:firstLine="480"/>
              <w:rPr>
                <w:rFonts w:hint="default" w:ascii="Times New Roman" w:hAnsi="Times New Roman" w:eastAsia="宋体" w:cs="Times New Roman"/>
                <w:color w:val="auto"/>
                <w:highlight w:val="none"/>
              </w:rPr>
            </w:pPr>
            <w:bookmarkStart w:id="9" w:name="_Toc57358893"/>
            <w:r>
              <w:rPr>
                <w:rFonts w:hint="default" w:ascii="Times New Roman" w:hAnsi="Times New Roman" w:eastAsia="宋体" w:cs="Times New Roman"/>
                <w:color w:val="auto"/>
                <w:highlight w:val="none"/>
              </w:rPr>
              <w:t>（1）全国生态功能区划</w:t>
            </w:r>
          </w:p>
          <w:p w14:paraId="1F79BCEE">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区域在《全国生态功能区划（修编版）》中，属于生态功能大类中的生态调节功能区，在生态调节功能区中属于水源涵养功能区中的京津冀北部水源涵养功能区（编号Ⅰ-01-06）和防风固沙功能区中的浑善达克沙地防风固沙功能区（编号为Ⅰ-04-03）。</w:t>
            </w:r>
          </w:p>
          <w:p w14:paraId="1C51CC2E">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表3-1  项目所在区域生态功能区划</w:t>
            </w:r>
          </w:p>
          <w:tbl>
            <w:tblPr>
              <w:tblStyle w:val="15"/>
              <w:tblW w:w="84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06"/>
              <w:gridCol w:w="916"/>
              <w:gridCol w:w="1572"/>
              <w:gridCol w:w="4720"/>
            </w:tblGrid>
            <w:tr w14:paraId="25801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0912D2C3">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935" w:type="pct"/>
                  <w:vMerge w:val="restart"/>
                  <w:tcBorders>
                    <w:top w:val="single" w:color="auto" w:sz="4" w:space="0"/>
                    <w:left w:val="single" w:color="auto" w:sz="4" w:space="0"/>
                    <w:bottom w:val="single" w:color="auto" w:sz="4" w:space="0"/>
                    <w:right w:val="single" w:color="auto" w:sz="4" w:space="0"/>
                  </w:tcBorders>
                  <w:vAlign w:val="center"/>
                </w:tcPr>
                <w:p w14:paraId="322C3258">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2807" w:type="pct"/>
                  <w:vMerge w:val="restart"/>
                  <w:tcBorders>
                    <w:top w:val="single" w:color="auto" w:sz="4" w:space="0"/>
                    <w:left w:val="single" w:color="auto" w:sz="4" w:space="0"/>
                    <w:bottom w:val="single" w:color="auto" w:sz="4" w:space="0"/>
                    <w:right w:val="single" w:color="auto" w:sz="4" w:space="0"/>
                  </w:tcBorders>
                  <w:vAlign w:val="center"/>
                </w:tcPr>
                <w:p w14:paraId="649439F3">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生态保护主要方向</w:t>
                  </w:r>
                </w:p>
              </w:tc>
            </w:tr>
            <w:tr w14:paraId="470F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3D6FF870">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935" w:type="pct"/>
                  <w:vMerge w:val="continue"/>
                  <w:tcBorders>
                    <w:top w:val="single" w:color="auto" w:sz="12" w:space="0"/>
                    <w:left w:val="single" w:color="auto" w:sz="4" w:space="0"/>
                    <w:bottom w:val="single" w:color="auto" w:sz="4" w:space="0"/>
                    <w:right w:val="single" w:color="auto" w:sz="4" w:space="0"/>
                  </w:tcBorders>
                  <w:vAlign w:val="center"/>
                </w:tcPr>
                <w:p w14:paraId="0B9AA746">
                  <w:pPr>
                    <w:widowControl/>
                    <w:rPr>
                      <w:rFonts w:hint="default" w:ascii="Times New Roman" w:hAnsi="Times New Roman" w:eastAsia="宋体" w:cs="Times New Roman"/>
                      <w:bCs/>
                      <w:color w:val="auto"/>
                      <w:kern w:val="2"/>
                      <w:sz w:val="21"/>
                      <w:szCs w:val="21"/>
                      <w:highlight w:val="none"/>
                    </w:rPr>
                  </w:pPr>
                </w:p>
              </w:tc>
              <w:tc>
                <w:tcPr>
                  <w:tcW w:w="2807" w:type="pct"/>
                  <w:vMerge w:val="continue"/>
                  <w:tcBorders>
                    <w:top w:val="single" w:color="auto" w:sz="12" w:space="0"/>
                    <w:left w:val="single" w:color="auto" w:sz="4" w:space="0"/>
                    <w:bottom w:val="single" w:color="auto" w:sz="4" w:space="0"/>
                    <w:right w:val="single" w:color="auto" w:sz="4" w:space="0"/>
                  </w:tcBorders>
                  <w:vAlign w:val="center"/>
                </w:tcPr>
                <w:p w14:paraId="470FDFF4">
                  <w:pPr>
                    <w:widowControl/>
                    <w:rPr>
                      <w:rFonts w:hint="default" w:ascii="Times New Roman" w:hAnsi="Times New Roman" w:eastAsia="宋体" w:cs="Times New Roman"/>
                      <w:bCs/>
                      <w:color w:val="auto"/>
                      <w:kern w:val="2"/>
                      <w:sz w:val="21"/>
                      <w:szCs w:val="21"/>
                      <w:highlight w:val="none"/>
                    </w:rPr>
                  </w:pPr>
                </w:p>
              </w:tc>
            </w:tr>
            <w:tr w14:paraId="06E27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restart"/>
                  <w:tcBorders>
                    <w:top w:val="single" w:color="auto" w:sz="4" w:space="0"/>
                    <w:left w:val="single" w:color="auto" w:sz="4" w:space="0"/>
                    <w:right w:val="single" w:color="auto" w:sz="4" w:space="0"/>
                  </w:tcBorders>
                  <w:vAlign w:val="center"/>
                </w:tcPr>
                <w:p w14:paraId="3394D421">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生态调节功能区Ⅰ</w:t>
                  </w:r>
                </w:p>
              </w:tc>
              <w:tc>
                <w:tcPr>
                  <w:tcW w:w="420" w:type="pct"/>
                  <w:tcBorders>
                    <w:top w:val="single" w:color="auto" w:sz="4" w:space="0"/>
                    <w:left w:val="single" w:color="auto" w:sz="4" w:space="0"/>
                    <w:bottom w:val="single" w:color="auto" w:sz="4" w:space="0"/>
                    <w:right w:val="single" w:color="auto" w:sz="4" w:space="0"/>
                  </w:tcBorders>
                  <w:vAlign w:val="center"/>
                </w:tcPr>
                <w:p w14:paraId="6F9AB214">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水源涵养功能区Ⅰ-01</w:t>
                  </w:r>
                </w:p>
              </w:tc>
              <w:tc>
                <w:tcPr>
                  <w:tcW w:w="545" w:type="pct"/>
                  <w:tcBorders>
                    <w:top w:val="single" w:color="auto" w:sz="4" w:space="0"/>
                    <w:left w:val="single" w:color="auto" w:sz="4" w:space="0"/>
                    <w:bottom w:val="single" w:color="auto" w:sz="4" w:space="0"/>
                    <w:right w:val="single" w:color="auto" w:sz="4" w:space="0"/>
                  </w:tcBorders>
                  <w:vAlign w:val="center"/>
                </w:tcPr>
                <w:p w14:paraId="1CAE9D0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京津冀北部水源涵养功能区Ⅰ-01-06</w:t>
                  </w:r>
                </w:p>
              </w:tc>
              <w:tc>
                <w:tcPr>
                  <w:tcW w:w="935" w:type="pct"/>
                  <w:tcBorders>
                    <w:top w:val="single" w:color="auto" w:sz="4" w:space="0"/>
                    <w:left w:val="single" w:color="auto" w:sz="4" w:space="0"/>
                    <w:bottom w:val="single" w:color="auto" w:sz="4" w:space="0"/>
                    <w:right w:val="single" w:color="auto" w:sz="4" w:space="0"/>
                  </w:tcBorders>
                  <w:vAlign w:val="center"/>
                </w:tcPr>
                <w:p w14:paraId="71CB07CE">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人类活动干扰强度大；生态系统结构单一，生态系统质量低，水源涵养功能衰退；森林资源过度开发、天然草原过度放牧等导致植被破坏、水土流失与土地沙化严重；湿地萎缩、面积减少；冰川后退，雪线上升</w:t>
                  </w:r>
                </w:p>
              </w:tc>
              <w:tc>
                <w:tcPr>
                  <w:tcW w:w="2807" w:type="pct"/>
                  <w:tcBorders>
                    <w:top w:val="single" w:color="auto" w:sz="4" w:space="0"/>
                    <w:left w:val="single" w:color="auto" w:sz="4" w:space="0"/>
                    <w:bottom w:val="single" w:color="auto" w:sz="4" w:space="0"/>
                    <w:right w:val="single" w:color="auto" w:sz="4" w:space="0"/>
                  </w:tcBorders>
                  <w:vAlign w:val="center"/>
                </w:tcPr>
                <w:p w14:paraId="14F76A1E">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对重要水源涵养区建立生态功能保护区，加强对水源涵养区的保护与管理，严格保护具有重要水源涵养功能的自然植被，限制或禁止各种损害生态系统水源涵养功能的经济社会活动和生产方式，如无序采矿、毁林开荒、湿地和草地开垦、过度放牧、道路建设等。</w:t>
                  </w:r>
                </w:p>
                <w:p w14:paraId="72AEB32C">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（2）继续加强生态保护与恢复，恢复与重建水源涵养区森林、草地、湿地等生态系统，提高生态系统的水源涵养能力。坚持自然恢复为主，严格限制在水源涵养区大规模人工造林。</w:t>
                  </w:r>
                </w:p>
                <w:p w14:paraId="331C9A9E">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（3）控制水污染，减轻水污染负荷，禁止导致水体污染的产业发展，开展生态清洁小流域的建设。</w:t>
                  </w:r>
                </w:p>
                <w:p w14:paraId="6B646E25">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（4）严格控制载畜量，实行以草定畜，在农牧交错区提倡农牧结合，发展生态产业，培育替代产业，减轻区内畜牧业对水源和生态系统的压力。</w:t>
                  </w:r>
                </w:p>
              </w:tc>
            </w:tr>
            <w:tr w14:paraId="66304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continue"/>
                  <w:tcBorders>
                    <w:left w:val="single" w:color="auto" w:sz="4" w:space="0"/>
                    <w:bottom w:val="single" w:color="auto" w:sz="4" w:space="0"/>
                    <w:right w:val="single" w:color="auto" w:sz="4" w:space="0"/>
                  </w:tcBorders>
                  <w:vAlign w:val="center"/>
                </w:tcPr>
                <w:p w14:paraId="3A078F1A">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4F09A38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防风固沙功能区Ⅰ-04</w:t>
                  </w:r>
                </w:p>
              </w:tc>
              <w:tc>
                <w:tcPr>
                  <w:tcW w:w="545" w:type="pct"/>
                  <w:tcBorders>
                    <w:top w:val="single" w:color="auto" w:sz="4" w:space="0"/>
                    <w:left w:val="single" w:color="auto" w:sz="4" w:space="0"/>
                    <w:bottom w:val="single" w:color="auto" w:sz="4" w:space="0"/>
                    <w:right w:val="single" w:color="auto" w:sz="4" w:space="0"/>
                  </w:tcBorders>
                  <w:vAlign w:val="center"/>
                </w:tcPr>
                <w:p w14:paraId="3FD325AB">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浑善达克沙地防风固沙功能区Ⅰ-04-03</w:t>
                  </w:r>
                </w:p>
              </w:tc>
              <w:tc>
                <w:tcPr>
                  <w:tcW w:w="935" w:type="pct"/>
                  <w:tcBorders>
                    <w:top w:val="single" w:color="auto" w:sz="4" w:space="0"/>
                    <w:left w:val="single" w:color="auto" w:sz="4" w:space="0"/>
                    <w:bottom w:val="single" w:color="auto" w:sz="4" w:space="0"/>
                    <w:right w:val="single" w:color="auto" w:sz="4" w:space="0"/>
                  </w:tcBorders>
                  <w:vAlign w:val="center"/>
                </w:tcPr>
                <w:p w14:paraId="2258F0BB">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过度放牧、草原开垦、水资源严重短缺与水资源过度开发导致植被退化、土地沙化、沙尘暴等。</w:t>
                  </w:r>
                </w:p>
              </w:tc>
              <w:tc>
                <w:tcPr>
                  <w:tcW w:w="2807" w:type="pct"/>
                  <w:tcBorders>
                    <w:top w:val="single" w:color="auto" w:sz="4" w:space="0"/>
                    <w:left w:val="single" w:color="auto" w:sz="4" w:space="0"/>
                    <w:bottom w:val="single" w:color="auto" w:sz="4" w:space="0"/>
                    <w:right w:val="single" w:color="auto" w:sz="4" w:space="0"/>
                  </w:tcBorders>
                  <w:vAlign w:val="center"/>
                </w:tcPr>
                <w:p w14:paraId="49180715">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（1）在沙漠化极敏感区和高度敏感区建立生态功能保护区，严格控制放牧和草原生物资源的利用，禁止开垦草原，加强植被恢复和保护。</w:t>
                  </w:r>
                </w:p>
                <w:p w14:paraId="39D47F9B">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（2）调整传统的畜牧业生产方式，大力发展草业，加快规模化圈养牧业的发展，控制放养对草地生态系统的损害。</w:t>
                  </w:r>
                </w:p>
                <w:p w14:paraId="28302205">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（3）积极推进草畜平衡科学管理办法，限制养殖规模。</w:t>
                  </w:r>
                </w:p>
                <w:p w14:paraId="5995E2F2">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（4）实施防风固沙工程，恢复草地植被，大力推进调整产业结构，退耕还草，退牧还草等措施。</w:t>
                  </w:r>
                </w:p>
              </w:tc>
            </w:tr>
          </w:tbl>
          <w:p w14:paraId="6475A629">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eastAsiaTheme="minorEastAsia"/>
                <w:color w:val="auto"/>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w:t>
            </w:r>
            <w:r>
              <w:rPr>
                <w:rFonts w:hint="default" w:ascii="Times New Roman" w:hAnsi="Times New Roman" w:cs="Times New Roman"/>
                <w:color w:val="auto"/>
                <w:szCs w:val="24"/>
                <w:highlight w:val="none"/>
              </w:rPr>
              <w:t>符合</w:t>
            </w:r>
            <w:r>
              <w:rPr>
                <w:rFonts w:hint="default" w:ascii="Times New Roman" w:hAnsi="Times New Roman" w:eastAsia="宋体" w:cs="Times New Roman"/>
                <w:color w:val="auto"/>
                <w:highlight w:val="none"/>
              </w:rPr>
              <w:t>《全国生态功能区划（修编版）》</w:t>
            </w:r>
            <w:r>
              <w:rPr>
                <w:rFonts w:hint="default" w:ascii="Times New Roman" w:hAnsi="Times New Roman" w:cs="Times New Roman"/>
                <w:color w:val="auto"/>
                <w:highlight w:val="none"/>
              </w:rPr>
              <w:t>要求。</w:t>
            </w:r>
          </w:p>
          <w:p w14:paraId="107460AB">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（2）《河北省生态功能区划》</w:t>
            </w:r>
          </w:p>
          <w:p w14:paraId="5BAD379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根据《河北省生态功能区划》，本项目属于Ⅰ2-3御道口农牧与水土保持功能区、</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ROMAN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II</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1-2燕山山地北部水源涵养与水土保持生态功能区</w:t>
            </w:r>
            <w:r>
              <w:rPr>
                <w:rFonts w:hint="default" w:ascii="Times New Roman" w:hAnsi="Times New Roman" w:eastAsia="宋体" w:cs="Times New Roman"/>
                <w:color w:val="auto"/>
                <w:sz w:val="24"/>
                <w:szCs w:val="24"/>
                <w:highlight w:val="none"/>
              </w:rPr>
              <w:t>，详见附图12，评价范围的生态功能状况如下：</w:t>
            </w:r>
          </w:p>
          <w:p w14:paraId="1F399F67">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表3-2  项目所在区域生态功能区划</w:t>
            </w:r>
          </w:p>
          <w:tbl>
            <w:tblPr>
              <w:tblStyle w:val="15"/>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097"/>
              <w:gridCol w:w="1558"/>
              <w:gridCol w:w="1555"/>
              <w:gridCol w:w="1628"/>
              <w:gridCol w:w="1341"/>
            </w:tblGrid>
            <w:tr w14:paraId="1129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0" w:type="dxa"/>
                  <w:gridSpan w:val="3"/>
                  <w:tcBorders>
                    <w:top w:val="single" w:color="auto" w:sz="4" w:space="0"/>
                    <w:left w:val="single" w:color="auto" w:sz="4" w:space="0"/>
                    <w:bottom w:val="single" w:color="auto" w:sz="4" w:space="0"/>
                    <w:right w:val="single" w:color="auto" w:sz="4" w:space="0"/>
                  </w:tcBorders>
                  <w:vAlign w:val="center"/>
                </w:tcPr>
                <w:p w14:paraId="00A4F136">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1555" w:type="dxa"/>
                  <w:vMerge w:val="restart"/>
                  <w:tcBorders>
                    <w:top w:val="single" w:color="auto" w:sz="4" w:space="0"/>
                    <w:left w:val="single" w:color="auto" w:sz="4" w:space="0"/>
                    <w:bottom w:val="single" w:color="auto" w:sz="4" w:space="0"/>
                    <w:right w:val="single" w:color="auto" w:sz="4" w:space="0"/>
                  </w:tcBorders>
                  <w:vAlign w:val="center"/>
                </w:tcPr>
                <w:p w14:paraId="52C66056">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1628" w:type="dxa"/>
                  <w:vMerge w:val="restart"/>
                  <w:tcBorders>
                    <w:top w:val="single" w:color="auto" w:sz="4" w:space="0"/>
                    <w:left w:val="single" w:color="auto" w:sz="4" w:space="0"/>
                    <w:bottom w:val="single" w:color="auto" w:sz="4" w:space="0"/>
                    <w:right w:val="single" w:color="auto" w:sz="4" w:space="0"/>
                  </w:tcBorders>
                  <w:vAlign w:val="center"/>
                </w:tcPr>
                <w:p w14:paraId="1F6A942B">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环保目标</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14:paraId="56C2FB27">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7371C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11E5B628">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1097" w:type="dxa"/>
                  <w:tcBorders>
                    <w:top w:val="single" w:color="auto" w:sz="4" w:space="0"/>
                    <w:left w:val="single" w:color="auto" w:sz="4" w:space="0"/>
                    <w:bottom w:val="single" w:color="auto" w:sz="4" w:space="0"/>
                    <w:right w:val="single" w:color="auto" w:sz="4" w:space="0"/>
                  </w:tcBorders>
                  <w:vAlign w:val="center"/>
                </w:tcPr>
                <w:p w14:paraId="3489D1F5">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26486B0A">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1555" w:type="dxa"/>
                  <w:vMerge w:val="continue"/>
                  <w:tcBorders>
                    <w:top w:val="single" w:color="auto" w:sz="12" w:space="0"/>
                    <w:left w:val="single" w:color="auto" w:sz="4" w:space="0"/>
                    <w:bottom w:val="single" w:color="auto" w:sz="4" w:space="0"/>
                    <w:right w:val="single" w:color="auto" w:sz="4" w:space="0"/>
                  </w:tcBorders>
                  <w:vAlign w:val="center"/>
                </w:tcPr>
                <w:p w14:paraId="433F199A">
                  <w:pPr>
                    <w:widowControl/>
                    <w:rPr>
                      <w:rFonts w:hint="default" w:ascii="Times New Roman" w:hAnsi="Times New Roman" w:eastAsia="宋体" w:cs="Times New Roman"/>
                      <w:bCs/>
                      <w:color w:val="auto"/>
                      <w:kern w:val="2"/>
                      <w:sz w:val="21"/>
                      <w:szCs w:val="21"/>
                      <w:highlight w:val="none"/>
                    </w:rPr>
                  </w:pPr>
                </w:p>
              </w:tc>
              <w:tc>
                <w:tcPr>
                  <w:tcW w:w="1628" w:type="dxa"/>
                  <w:vMerge w:val="continue"/>
                  <w:tcBorders>
                    <w:top w:val="single" w:color="auto" w:sz="12" w:space="0"/>
                    <w:left w:val="single" w:color="auto" w:sz="4" w:space="0"/>
                    <w:bottom w:val="single" w:color="auto" w:sz="4" w:space="0"/>
                    <w:right w:val="single" w:color="auto" w:sz="4" w:space="0"/>
                  </w:tcBorders>
                  <w:vAlign w:val="center"/>
                </w:tcPr>
                <w:p w14:paraId="66C600E9">
                  <w:pPr>
                    <w:widowControl/>
                    <w:rPr>
                      <w:rFonts w:hint="default" w:ascii="Times New Roman" w:hAnsi="Times New Roman" w:eastAsia="宋体" w:cs="Times New Roman"/>
                      <w:bCs/>
                      <w:color w:val="auto"/>
                      <w:kern w:val="2"/>
                      <w:sz w:val="21"/>
                      <w:szCs w:val="21"/>
                      <w:highlight w:val="none"/>
                    </w:rPr>
                  </w:pPr>
                </w:p>
              </w:tc>
              <w:tc>
                <w:tcPr>
                  <w:tcW w:w="1341" w:type="dxa"/>
                  <w:vMerge w:val="continue"/>
                  <w:tcBorders>
                    <w:top w:val="single" w:color="auto" w:sz="12" w:space="0"/>
                    <w:left w:val="single" w:color="auto" w:sz="4" w:space="0"/>
                    <w:bottom w:val="single" w:color="auto" w:sz="4" w:space="0"/>
                    <w:right w:val="single" w:color="auto" w:sz="4" w:space="0"/>
                  </w:tcBorders>
                  <w:vAlign w:val="center"/>
                </w:tcPr>
                <w:p w14:paraId="551DCDEC">
                  <w:pPr>
                    <w:widowControl/>
                    <w:rPr>
                      <w:rFonts w:hint="default" w:ascii="Times New Roman" w:hAnsi="Times New Roman" w:eastAsia="宋体" w:cs="Times New Roman"/>
                      <w:bCs/>
                      <w:color w:val="auto"/>
                      <w:kern w:val="2"/>
                      <w:sz w:val="21"/>
                      <w:szCs w:val="21"/>
                      <w:highlight w:val="none"/>
                    </w:rPr>
                  </w:pPr>
                </w:p>
              </w:tc>
            </w:tr>
            <w:tr w14:paraId="33682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6F6F7C74">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Ⅰ坝上高原生态区</w:t>
                  </w:r>
                </w:p>
              </w:tc>
              <w:tc>
                <w:tcPr>
                  <w:tcW w:w="1097" w:type="dxa"/>
                  <w:tcBorders>
                    <w:top w:val="single" w:color="auto" w:sz="4" w:space="0"/>
                    <w:left w:val="single" w:color="auto" w:sz="4" w:space="0"/>
                    <w:bottom w:val="single" w:color="auto" w:sz="4" w:space="0"/>
                    <w:right w:val="single" w:color="auto" w:sz="4" w:space="0"/>
                  </w:tcBorders>
                  <w:vAlign w:val="center"/>
                </w:tcPr>
                <w:p w14:paraId="23066BA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Ⅰ2坝上高原东部森林草原生态亚区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485C7C5F">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Ⅰ2-3御道口农牧与水土保持功能区</w:t>
                  </w:r>
                </w:p>
              </w:tc>
              <w:tc>
                <w:tcPr>
                  <w:tcW w:w="1555" w:type="dxa"/>
                  <w:tcBorders>
                    <w:top w:val="single" w:color="auto" w:sz="4" w:space="0"/>
                    <w:left w:val="single" w:color="auto" w:sz="4" w:space="0"/>
                    <w:bottom w:val="single" w:color="auto" w:sz="4" w:space="0"/>
                    <w:right w:val="single" w:color="auto" w:sz="4" w:space="0"/>
                  </w:tcBorders>
                  <w:vAlign w:val="center"/>
                </w:tcPr>
                <w:p w14:paraId="1F1C23C7">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水环境污染严重，林草退化严重和土地严重荒漠化</w:t>
                  </w:r>
                </w:p>
              </w:tc>
              <w:tc>
                <w:tcPr>
                  <w:tcW w:w="1628" w:type="dxa"/>
                  <w:tcBorders>
                    <w:top w:val="single" w:color="auto" w:sz="4" w:space="0"/>
                    <w:left w:val="single" w:color="auto" w:sz="4" w:space="0"/>
                    <w:bottom w:val="single" w:color="auto" w:sz="4" w:space="0"/>
                    <w:right w:val="single" w:color="auto" w:sz="4" w:space="0"/>
                  </w:tcBorders>
                  <w:vAlign w:val="center"/>
                </w:tcPr>
                <w:p w14:paraId="159545EA">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保护草原生态系统，加强荒漠化治理；防治水土流失，减少水环境污染</w:t>
                  </w:r>
                </w:p>
              </w:tc>
              <w:tc>
                <w:tcPr>
                  <w:tcW w:w="1341" w:type="dxa"/>
                  <w:tcBorders>
                    <w:top w:val="single" w:color="auto" w:sz="4" w:space="0"/>
                    <w:left w:val="single" w:color="auto" w:sz="4" w:space="0"/>
                    <w:bottom w:val="single" w:color="auto" w:sz="4" w:space="0"/>
                    <w:right w:val="single" w:color="auto" w:sz="4" w:space="0"/>
                  </w:tcBorders>
                  <w:vAlign w:val="center"/>
                </w:tcPr>
                <w:p w14:paraId="1AA7D377">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调整农牧用地比例、合理利用草原、开展生态旅游业</w:t>
                  </w:r>
                </w:p>
              </w:tc>
            </w:tr>
            <w:tr w14:paraId="7808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3E4E8C30">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II河北山地生态区</w:t>
                  </w:r>
                </w:p>
              </w:tc>
              <w:tc>
                <w:tcPr>
                  <w:tcW w:w="1097" w:type="dxa"/>
                  <w:tcBorders>
                    <w:top w:val="single" w:color="auto" w:sz="4" w:space="0"/>
                    <w:left w:val="single" w:color="auto" w:sz="4" w:space="0"/>
                    <w:bottom w:val="single" w:color="auto" w:sz="4" w:space="0"/>
                    <w:right w:val="single" w:color="auto" w:sz="4" w:space="0"/>
                  </w:tcBorders>
                  <w:vAlign w:val="center"/>
                </w:tcPr>
                <w:p w14:paraId="6664D18C">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II1冀北及燕山山地森林生态亚区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44C7C5F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II1-2燕山山地北部水源涵养与水土保持生态功能区</w:t>
                  </w:r>
                </w:p>
              </w:tc>
              <w:tc>
                <w:tcPr>
                  <w:tcW w:w="1555" w:type="dxa"/>
                  <w:tcBorders>
                    <w:top w:val="single" w:color="auto" w:sz="4" w:space="0"/>
                    <w:left w:val="single" w:color="auto" w:sz="4" w:space="0"/>
                    <w:bottom w:val="single" w:color="auto" w:sz="4" w:space="0"/>
                    <w:right w:val="single" w:color="auto" w:sz="4" w:space="0"/>
                  </w:tcBorders>
                  <w:vAlign w:val="center"/>
                </w:tcPr>
                <w:p w14:paraId="3F029A54">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水土流失、森林生态功能较弱</w:t>
                  </w:r>
                </w:p>
              </w:tc>
              <w:tc>
                <w:tcPr>
                  <w:tcW w:w="1628" w:type="dxa"/>
                  <w:tcBorders>
                    <w:top w:val="single" w:color="auto" w:sz="4" w:space="0"/>
                    <w:left w:val="single" w:color="auto" w:sz="4" w:space="0"/>
                    <w:bottom w:val="single" w:color="auto" w:sz="4" w:space="0"/>
                    <w:right w:val="single" w:color="auto" w:sz="4" w:space="0"/>
                  </w:tcBorders>
                  <w:vAlign w:val="center"/>
                </w:tcPr>
                <w:p w14:paraId="61E75D2F">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水源涵养林建设、维护生物多样性、加强水土流失重点区域治理</w:t>
                  </w:r>
                </w:p>
              </w:tc>
              <w:tc>
                <w:tcPr>
                  <w:tcW w:w="1341" w:type="dxa"/>
                  <w:tcBorders>
                    <w:top w:val="single" w:color="auto" w:sz="4" w:space="0"/>
                    <w:left w:val="single" w:color="auto" w:sz="4" w:space="0"/>
                    <w:bottom w:val="single" w:color="auto" w:sz="4" w:space="0"/>
                    <w:right w:val="single" w:color="auto" w:sz="4" w:space="0"/>
                  </w:tcBorders>
                  <w:vAlign w:val="center"/>
                </w:tcPr>
                <w:p w14:paraId="03EEB7A8">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大力营造水保林、防护林、开发生态旅游、发展生态农业</w:t>
                  </w:r>
                </w:p>
              </w:tc>
            </w:tr>
          </w:tbl>
          <w:p w14:paraId="75F8A162">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项目符合国土空间用途管制要求，建设的杆塔为点状工程，输电线路为架空形式</w:t>
            </w:r>
            <w:r>
              <w:rPr>
                <w:rFonts w:hint="default" w:ascii="Times New Roman" w:hAnsi="Times New Roman" w:eastAsia="宋体" w:cs="Times New Roman"/>
                <w:bCs/>
                <w:color w:val="auto"/>
                <w:kern w:val="2"/>
                <w:sz w:val="24"/>
                <w:szCs w:val="24"/>
                <w:highlight w:val="none"/>
                <w:lang w:eastAsia="zh-CN"/>
              </w:rPr>
              <w:t>，不属于资源消耗高、环境污染重的工业项目</w:t>
            </w:r>
            <w:r>
              <w:rPr>
                <w:rFonts w:hint="default" w:ascii="Times New Roman" w:hAnsi="Times New Roman" w:cs="Times New Roman" w:eastAsiaTheme="minorEastAsia"/>
                <w:color w:val="auto"/>
                <w:sz w:val="24"/>
                <w:szCs w:val="24"/>
                <w:highlight w:val="none"/>
                <w:lang w:eastAsia="zh-CN"/>
              </w:rPr>
              <w:t>，不会造成连续性大面积植被破坏，不影响生境连通性，不会造成生物多样性减少、土</w:t>
            </w:r>
            <w:r>
              <w:rPr>
                <w:rFonts w:hint="eastAsia" w:ascii="Times New Roman" w:hAnsi="Times New Roman" w:cs="Times New Roman" w:eastAsiaTheme="minorEastAsia"/>
                <w:color w:val="auto"/>
                <w:sz w:val="24"/>
                <w:szCs w:val="24"/>
                <w:highlight w:val="none"/>
                <w:lang w:val="en-US" w:eastAsia="zh-CN"/>
              </w:rPr>
              <w:t>地</w:t>
            </w:r>
            <w:r>
              <w:rPr>
                <w:rFonts w:hint="default" w:ascii="Times New Roman" w:hAnsi="Times New Roman" w:cs="Times New Roman" w:eastAsiaTheme="minorEastAsia"/>
                <w:color w:val="auto"/>
                <w:sz w:val="24"/>
                <w:szCs w:val="24"/>
                <w:highlight w:val="none"/>
                <w:lang w:eastAsia="zh-CN"/>
              </w:rPr>
              <w:t>沙化等。杆塔建成后进行植被恢复，对生态功能进行补偿</w:t>
            </w:r>
            <w:r>
              <w:rPr>
                <w:rFonts w:hint="default" w:ascii="Times New Roman" w:hAnsi="Times New Roman" w:eastAsia="宋体" w:cs="Times New Roman"/>
                <w:bCs/>
                <w:color w:val="auto"/>
                <w:kern w:val="2"/>
                <w:sz w:val="24"/>
                <w:szCs w:val="24"/>
                <w:highlight w:val="none"/>
                <w:lang w:eastAsia="zh-CN"/>
              </w:rPr>
              <w:t>，与功能区建设方向无冲突。符合</w:t>
            </w:r>
            <w:r>
              <w:rPr>
                <w:rFonts w:hint="default" w:ascii="Times New Roman" w:hAnsi="Times New Roman" w:eastAsia="宋体" w:cs="Times New Roman"/>
                <w:color w:val="auto"/>
                <w:sz w:val="24"/>
                <w:highlight w:val="none"/>
                <w:lang w:eastAsia="zh-CN"/>
              </w:rPr>
              <w:t>《河北省生态功能区划》</w:t>
            </w:r>
            <w:r>
              <w:rPr>
                <w:rFonts w:hint="default" w:ascii="Times New Roman" w:hAnsi="Times New Roman" w:eastAsia="宋体" w:cs="Times New Roman"/>
                <w:bCs/>
                <w:color w:val="auto"/>
                <w:kern w:val="2"/>
                <w:sz w:val="24"/>
                <w:szCs w:val="24"/>
                <w:highlight w:val="none"/>
                <w:lang w:eastAsia="zh-CN"/>
              </w:rPr>
              <w:t>要求。</w:t>
            </w:r>
          </w:p>
          <w:p w14:paraId="7214A859">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t>（3）</w:t>
            </w:r>
            <w:r>
              <w:rPr>
                <w:rFonts w:hint="default" w:ascii="Times New Roman" w:hAnsi="Times New Roman" w:eastAsia="宋体" w:cs="Times New Roman"/>
                <w:bCs/>
                <w:snapToGrid w:val="0"/>
                <w:color w:val="auto"/>
                <w:sz w:val="24"/>
                <w:szCs w:val="24"/>
                <w:highlight w:val="none"/>
                <w:lang w:eastAsia="zh-CN"/>
              </w:rPr>
              <w:t>《承德市城市总体规划》（2016-2030年）</w:t>
            </w:r>
          </w:p>
          <w:p w14:paraId="5E542B9A">
            <w:pPr>
              <w:pStyle w:val="2"/>
              <w:adjustRightInd w:val="0"/>
              <w:snapToGrid w:val="0"/>
              <w:spacing w:after="0" w:line="480" w:lineRule="exact"/>
              <w:ind w:firstLine="480" w:firstLineChars="200"/>
              <w:rPr>
                <w:rFonts w:hint="default" w:ascii="Times New Roman" w:hAnsi="Times New Roman" w:eastAsia="宋体" w:cs="Times New Roman"/>
                <w:bCs/>
                <w:snapToGrid w:val="0"/>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lang w:eastAsia="zh-CN"/>
              </w:rPr>
              <w:t>根据《承德市城市总体规划》（2016-2030年）中的生态功能区划，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w:t>
            </w:r>
          </w:p>
          <w:p w14:paraId="5E19AEA7">
            <w:pPr>
              <w:pStyle w:val="10"/>
              <w:spacing w:before="0" w:after="0" w:line="480" w:lineRule="exact"/>
              <w:ind w:firstLine="480" w:firstLineChars="200"/>
              <w:rPr>
                <w:rFonts w:hint="default" w:ascii="Times New Roman" w:hAnsi="Times New Roman" w:eastAsia="宋体" w:cs="Times New Roman"/>
                <w:b w:val="0"/>
                <w:snapToGrid w:val="0"/>
                <w:color w:val="auto"/>
                <w:sz w:val="24"/>
                <w:szCs w:val="24"/>
                <w:highlight w:val="none"/>
              </w:rPr>
            </w:pPr>
            <w:r>
              <w:rPr>
                <w:rFonts w:hint="default" w:ascii="Times New Roman" w:hAnsi="Times New Roman" w:cs="Times New Roman"/>
                <w:b w:val="0"/>
                <w:color w:val="auto"/>
                <w:sz w:val="24"/>
                <w:szCs w:val="24"/>
                <w:highlight w:val="none"/>
              </w:rPr>
              <w:t>本</w:t>
            </w:r>
            <w:r>
              <w:rPr>
                <w:rFonts w:hint="default" w:ascii="Times New Roman" w:hAnsi="Times New Roman" w:eastAsia="宋体" w:cs="Times New Roman"/>
                <w:b w:val="0"/>
                <w:snapToGrid w:val="0"/>
                <w:color w:val="auto"/>
                <w:sz w:val="24"/>
                <w:szCs w:val="24"/>
                <w:highlight w:val="none"/>
              </w:rPr>
              <w:t>项目部分区域属于</w:t>
            </w:r>
            <w:r>
              <w:rPr>
                <w:rFonts w:hint="default" w:ascii="Times New Roman" w:hAnsi="Times New Roman" w:cs="Times New Roman" w:eastAsiaTheme="minorEastAsia"/>
                <w:b w:val="0"/>
                <w:snapToGrid w:val="0"/>
                <w:color w:val="auto"/>
                <w:sz w:val="24"/>
                <w:szCs w:val="24"/>
                <w:highlight w:val="none"/>
              </w:rPr>
              <w:t>“坝上高原生态区（I）—坝上高原东部森林草原亚区（I-2）—御道口生物多样性保护、水源涵养功能区（I-2-3）”</w:t>
            </w:r>
            <w:r>
              <w:rPr>
                <w:rFonts w:hint="eastAsia" w:ascii="Times New Roman" w:hAnsi="Times New Roman" w:cs="Times New Roman" w:eastAsiaTheme="minorEastAsia"/>
                <w:b w:val="0"/>
                <w:snapToGrid w:val="0"/>
                <w:color w:val="auto"/>
                <w:sz w:val="24"/>
                <w:szCs w:val="24"/>
                <w:highlight w:val="none"/>
                <w:lang w:eastAsia="zh-CN"/>
              </w:rPr>
              <w:t>和“冀北及燕山山地生态区（Ⅱ）—冀北山地森林生态亚区（Ⅱ-1）—滦河上游生物多样性保护功能区（Ⅱ-1-3）”</w:t>
            </w:r>
            <w:r>
              <w:rPr>
                <w:rFonts w:hint="default" w:ascii="Times New Roman" w:hAnsi="Times New Roman" w:eastAsia="宋体" w:cs="Times New Roman"/>
                <w:b w:val="0"/>
                <w:snapToGrid w:val="0"/>
                <w:color w:val="auto"/>
                <w:sz w:val="24"/>
                <w:szCs w:val="24"/>
                <w:highlight w:val="none"/>
              </w:rPr>
              <w:t>，区域主要生态环境问题、生态服务功能、建设方向及措施如下表所示</w:t>
            </w:r>
          </w:p>
          <w:p w14:paraId="4AF5A93B">
            <w:pPr>
              <w:jc w:val="center"/>
              <w:rPr>
                <w:rFonts w:hint="default" w:ascii="Times New Roman" w:hAnsi="Times New Roman" w:cs="Times New Roman" w:eastAsiaTheme="minorEastAsia"/>
                <w:b/>
                <w:color w:val="auto"/>
                <w:highlight w:val="none"/>
              </w:rPr>
            </w:pPr>
          </w:p>
          <w:p w14:paraId="16AB7CE8">
            <w:pPr>
              <w:jc w:val="center"/>
              <w:rPr>
                <w:rFonts w:hint="default" w:ascii="Times New Roman" w:hAnsi="Times New Roman" w:cs="Times New Roman" w:eastAsiaTheme="minorEastAsia"/>
                <w:b/>
                <w:color w:val="auto"/>
                <w:highlight w:val="none"/>
              </w:rPr>
            </w:pPr>
          </w:p>
          <w:p w14:paraId="56B24109">
            <w:pPr>
              <w:jc w:val="center"/>
              <w:rPr>
                <w:rFonts w:hint="default" w:ascii="Times New Roman" w:hAnsi="Times New Roman" w:cs="Times New Roman" w:eastAsiaTheme="minorEastAsia"/>
                <w:b/>
                <w:color w:val="auto"/>
                <w:highlight w:val="none"/>
              </w:rPr>
            </w:pPr>
          </w:p>
          <w:p w14:paraId="72FA1754">
            <w:pPr>
              <w:jc w:val="center"/>
              <w:rPr>
                <w:rFonts w:hint="default" w:ascii="Times New Roman" w:hAnsi="Times New Roman" w:cs="Times New Roman" w:eastAsiaTheme="minorEastAsia"/>
                <w:b/>
                <w:color w:val="auto"/>
                <w:highlight w:val="none"/>
              </w:rPr>
            </w:pPr>
          </w:p>
          <w:p w14:paraId="457293C6">
            <w:pPr>
              <w:jc w:val="center"/>
              <w:rPr>
                <w:rFonts w:hint="default" w:ascii="Times New Roman" w:hAnsi="Times New Roman" w:cs="Times New Roman" w:eastAsiaTheme="minorEastAsia"/>
                <w:b/>
                <w:color w:val="auto"/>
                <w:highlight w:val="none"/>
              </w:rPr>
            </w:pPr>
          </w:p>
          <w:p w14:paraId="1A4E123D">
            <w:pPr>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表3-3   承德市总体规划中生态功能区划相关功能分区</w:t>
            </w:r>
          </w:p>
          <w:tbl>
            <w:tblPr>
              <w:tblStyle w:val="15"/>
              <w:tblW w:w="82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28"/>
              <w:gridCol w:w="948"/>
              <w:gridCol w:w="2018"/>
              <w:gridCol w:w="927"/>
              <w:gridCol w:w="2874"/>
            </w:tblGrid>
            <w:tr w14:paraId="3FC83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72" w:type="dxa"/>
                  <w:gridSpan w:val="3"/>
                  <w:tcBorders>
                    <w:top w:val="single" w:color="auto" w:sz="4" w:space="0"/>
                    <w:left w:val="single" w:color="auto" w:sz="4" w:space="0"/>
                    <w:bottom w:val="single" w:color="auto" w:sz="4" w:space="0"/>
                    <w:right w:val="single" w:color="auto" w:sz="4" w:space="0"/>
                  </w:tcBorders>
                  <w:vAlign w:val="center"/>
                </w:tcPr>
                <w:p w14:paraId="401E7245">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2018" w:type="dxa"/>
                  <w:vMerge w:val="restart"/>
                  <w:tcBorders>
                    <w:top w:val="single" w:color="auto" w:sz="4" w:space="0"/>
                    <w:left w:val="single" w:color="auto" w:sz="4" w:space="0"/>
                    <w:bottom w:val="single" w:color="auto" w:sz="4" w:space="0"/>
                    <w:right w:val="single" w:color="auto" w:sz="4" w:space="0"/>
                  </w:tcBorders>
                  <w:vAlign w:val="center"/>
                </w:tcPr>
                <w:p w14:paraId="6B129F2D">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927" w:type="dxa"/>
                  <w:vMerge w:val="restart"/>
                  <w:tcBorders>
                    <w:top w:val="single" w:color="auto" w:sz="4" w:space="0"/>
                    <w:left w:val="single" w:color="auto" w:sz="4" w:space="0"/>
                    <w:bottom w:val="single" w:color="auto" w:sz="4" w:space="0"/>
                    <w:right w:val="single" w:color="auto" w:sz="4" w:space="0"/>
                  </w:tcBorders>
                  <w:vAlign w:val="center"/>
                </w:tcPr>
                <w:p w14:paraId="44716095">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生态服务功能</w:t>
                  </w:r>
                </w:p>
              </w:tc>
              <w:tc>
                <w:tcPr>
                  <w:tcW w:w="2874" w:type="dxa"/>
                  <w:vMerge w:val="restart"/>
                  <w:tcBorders>
                    <w:top w:val="single" w:color="auto" w:sz="4" w:space="0"/>
                    <w:left w:val="single" w:color="auto" w:sz="4" w:space="0"/>
                    <w:bottom w:val="single" w:color="auto" w:sz="4" w:space="0"/>
                    <w:right w:val="single" w:color="auto" w:sz="4" w:space="0"/>
                  </w:tcBorders>
                  <w:vAlign w:val="center"/>
                </w:tcPr>
                <w:p w14:paraId="4C9308DF">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182CD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7FEE7C0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828" w:type="dxa"/>
                  <w:tcBorders>
                    <w:top w:val="single" w:color="auto" w:sz="4" w:space="0"/>
                    <w:left w:val="single" w:color="auto" w:sz="4" w:space="0"/>
                    <w:bottom w:val="single" w:color="auto" w:sz="4" w:space="0"/>
                    <w:right w:val="single" w:color="auto" w:sz="4" w:space="0"/>
                  </w:tcBorders>
                  <w:vAlign w:val="center"/>
                </w:tcPr>
                <w:p w14:paraId="7B18F3A7">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948" w:type="dxa"/>
                  <w:tcBorders>
                    <w:top w:val="single" w:color="auto" w:sz="4" w:space="0"/>
                    <w:left w:val="single" w:color="auto" w:sz="4" w:space="0"/>
                    <w:bottom w:val="single" w:color="auto" w:sz="4" w:space="0"/>
                    <w:right w:val="single" w:color="auto" w:sz="4" w:space="0"/>
                  </w:tcBorders>
                  <w:vAlign w:val="center"/>
                </w:tcPr>
                <w:p w14:paraId="07484914">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2018" w:type="dxa"/>
                  <w:vMerge w:val="continue"/>
                  <w:tcBorders>
                    <w:top w:val="single" w:color="auto" w:sz="12" w:space="0"/>
                    <w:left w:val="single" w:color="auto" w:sz="4" w:space="0"/>
                    <w:bottom w:val="single" w:color="auto" w:sz="4" w:space="0"/>
                    <w:right w:val="single" w:color="auto" w:sz="4" w:space="0"/>
                  </w:tcBorders>
                  <w:vAlign w:val="center"/>
                </w:tcPr>
                <w:p w14:paraId="7B283E08">
                  <w:pPr>
                    <w:widowControl/>
                    <w:rPr>
                      <w:rFonts w:hint="default" w:ascii="Times New Roman" w:hAnsi="Times New Roman" w:eastAsia="宋体" w:cs="Times New Roman"/>
                      <w:bCs/>
                      <w:color w:val="auto"/>
                      <w:kern w:val="2"/>
                      <w:sz w:val="21"/>
                      <w:szCs w:val="21"/>
                      <w:highlight w:val="none"/>
                    </w:rPr>
                  </w:pPr>
                </w:p>
              </w:tc>
              <w:tc>
                <w:tcPr>
                  <w:tcW w:w="927" w:type="dxa"/>
                  <w:vMerge w:val="continue"/>
                  <w:tcBorders>
                    <w:top w:val="single" w:color="auto" w:sz="12" w:space="0"/>
                    <w:left w:val="single" w:color="auto" w:sz="4" w:space="0"/>
                    <w:bottom w:val="single" w:color="auto" w:sz="4" w:space="0"/>
                    <w:right w:val="single" w:color="auto" w:sz="4" w:space="0"/>
                  </w:tcBorders>
                  <w:vAlign w:val="center"/>
                </w:tcPr>
                <w:p w14:paraId="51E0BAD5">
                  <w:pPr>
                    <w:widowControl/>
                    <w:rPr>
                      <w:rFonts w:hint="default" w:ascii="Times New Roman" w:hAnsi="Times New Roman" w:eastAsia="宋体" w:cs="Times New Roman"/>
                      <w:bCs/>
                      <w:color w:val="auto"/>
                      <w:kern w:val="2"/>
                      <w:sz w:val="21"/>
                      <w:szCs w:val="21"/>
                      <w:highlight w:val="none"/>
                    </w:rPr>
                  </w:pPr>
                </w:p>
              </w:tc>
              <w:tc>
                <w:tcPr>
                  <w:tcW w:w="2874" w:type="dxa"/>
                  <w:vMerge w:val="continue"/>
                  <w:tcBorders>
                    <w:top w:val="single" w:color="auto" w:sz="12" w:space="0"/>
                    <w:left w:val="single" w:color="auto" w:sz="4" w:space="0"/>
                    <w:bottom w:val="single" w:color="auto" w:sz="4" w:space="0"/>
                    <w:right w:val="single" w:color="auto" w:sz="4" w:space="0"/>
                  </w:tcBorders>
                  <w:vAlign w:val="center"/>
                </w:tcPr>
                <w:p w14:paraId="356C5605">
                  <w:pPr>
                    <w:widowControl/>
                    <w:rPr>
                      <w:rFonts w:hint="default" w:ascii="Times New Roman" w:hAnsi="Times New Roman" w:eastAsia="宋体" w:cs="Times New Roman"/>
                      <w:bCs/>
                      <w:color w:val="auto"/>
                      <w:kern w:val="2"/>
                      <w:sz w:val="21"/>
                      <w:szCs w:val="21"/>
                      <w:highlight w:val="none"/>
                    </w:rPr>
                  </w:pPr>
                </w:p>
              </w:tc>
            </w:tr>
            <w:tr w14:paraId="056E8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0AAAC19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坝上高原生态区（I）</w:t>
                  </w:r>
                </w:p>
              </w:tc>
              <w:tc>
                <w:tcPr>
                  <w:tcW w:w="828" w:type="dxa"/>
                  <w:tcBorders>
                    <w:top w:val="single" w:color="auto" w:sz="4" w:space="0"/>
                    <w:left w:val="single" w:color="auto" w:sz="4" w:space="0"/>
                    <w:bottom w:val="single" w:color="auto" w:sz="4" w:space="0"/>
                    <w:right w:val="single" w:color="auto" w:sz="4" w:space="0"/>
                  </w:tcBorders>
                  <w:vAlign w:val="center"/>
                </w:tcPr>
                <w:p w14:paraId="53D1AC73">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坝上高原东部森林草原亚区（I-2）</w:t>
                  </w:r>
                </w:p>
              </w:tc>
              <w:tc>
                <w:tcPr>
                  <w:tcW w:w="948" w:type="dxa"/>
                  <w:tcBorders>
                    <w:top w:val="single" w:color="auto" w:sz="4" w:space="0"/>
                    <w:left w:val="single" w:color="auto" w:sz="4" w:space="0"/>
                    <w:bottom w:val="single" w:color="auto" w:sz="4" w:space="0"/>
                    <w:right w:val="single" w:color="auto" w:sz="4" w:space="0"/>
                  </w:tcBorders>
                  <w:vAlign w:val="center"/>
                </w:tcPr>
                <w:p w14:paraId="2DD19584">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御道口生物多样性保护、水源涵养功能区（I-2-3）</w:t>
                  </w:r>
                </w:p>
              </w:tc>
              <w:tc>
                <w:tcPr>
                  <w:tcW w:w="2018" w:type="dxa"/>
                  <w:tcBorders>
                    <w:top w:val="single" w:color="auto" w:sz="4" w:space="0"/>
                    <w:left w:val="single" w:color="auto" w:sz="4" w:space="0"/>
                    <w:bottom w:val="single" w:color="auto" w:sz="4" w:space="0"/>
                    <w:right w:val="single" w:color="auto" w:sz="4" w:space="0"/>
                  </w:tcBorders>
                  <w:vAlign w:val="center"/>
                </w:tcPr>
                <w:p w14:paraId="5C61A558">
                  <w:pPr>
                    <w:pStyle w:val="29"/>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生态功能区内水草丰美，物种多样性丰富，但由于人为活动频繁，过度开垦土地和放牧，导致部分地区草场退化，生物多样性减少，土地沙化，是土壤侵蚀（风蚀）敏感区。</w:t>
                  </w:r>
                </w:p>
              </w:tc>
              <w:tc>
                <w:tcPr>
                  <w:tcW w:w="927" w:type="dxa"/>
                  <w:tcBorders>
                    <w:top w:val="single" w:color="auto" w:sz="4" w:space="0"/>
                    <w:left w:val="single" w:color="auto" w:sz="4" w:space="0"/>
                    <w:bottom w:val="single" w:color="auto" w:sz="4" w:space="0"/>
                    <w:right w:val="single" w:color="auto" w:sz="4" w:space="0"/>
                  </w:tcBorders>
                  <w:vAlign w:val="center"/>
                </w:tcPr>
                <w:p w14:paraId="29110A3F">
                  <w:pPr>
                    <w:pStyle w:val="29"/>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生物多样性保护，水源涵养</w:t>
                  </w:r>
                </w:p>
              </w:tc>
              <w:tc>
                <w:tcPr>
                  <w:tcW w:w="2874" w:type="dxa"/>
                  <w:tcBorders>
                    <w:top w:val="single" w:color="auto" w:sz="4" w:space="0"/>
                    <w:left w:val="single" w:color="auto" w:sz="4" w:space="0"/>
                    <w:bottom w:val="single" w:color="auto" w:sz="4" w:space="0"/>
                    <w:right w:val="single" w:color="auto" w:sz="4" w:space="0"/>
                  </w:tcBorders>
                  <w:vAlign w:val="center"/>
                </w:tcPr>
                <w:p w14:paraId="0DC2CE3C">
                  <w:pPr>
                    <w:pStyle w:val="29"/>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加强植被恢复，控制过度放牧，加强荒漠化治理，恢复本区水源涵养能力。加大退耕还林还草力度，合理利用土地资源；保护湿地生态环境，维持生物多样性；保护草原生态系统，控制草场载畜量，严格控制草原过度放牧，防止草场退化；适当开展生态旅游</w:t>
                  </w:r>
                </w:p>
              </w:tc>
            </w:tr>
            <w:tr w14:paraId="776C0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right w:val="single" w:color="auto" w:sz="4" w:space="0"/>
                  </w:tcBorders>
                  <w:vAlign w:val="center"/>
                </w:tcPr>
                <w:p w14:paraId="6CE10182">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冀北及燕山山地生态区（Ⅱ）</w:t>
                  </w:r>
                </w:p>
              </w:tc>
              <w:tc>
                <w:tcPr>
                  <w:tcW w:w="828" w:type="dxa"/>
                  <w:tcBorders>
                    <w:top w:val="single" w:color="auto" w:sz="4" w:space="0"/>
                    <w:left w:val="single" w:color="auto" w:sz="4" w:space="0"/>
                    <w:bottom w:val="single" w:color="auto" w:sz="4" w:space="0"/>
                    <w:right w:val="single" w:color="auto" w:sz="4" w:space="0"/>
                  </w:tcBorders>
                  <w:vAlign w:val="center"/>
                </w:tcPr>
                <w:p w14:paraId="79F02E5A">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冀北山地森林生态亚区（Ⅱ-1）</w:t>
                  </w:r>
                </w:p>
              </w:tc>
              <w:tc>
                <w:tcPr>
                  <w:tcW w:w="948" w:type="dxa"/>
                  <w:tcBorders>
                    <w:top w:val="single" w:color="auto" w:sz="4" w:space="0"/>
                    <w:left w:val="single" w:color="auto" w:sz="4" w:space="0"/>
                    <w:bottom w:val="single" w:color="auto" w:sz="4" w:space="0"/>
                    <w:right w:val="single" w:color="auto" w:sz="4" w:space="0"/>
                  </w:tcBorders>
                  <w:vAlign w:val="center"/>
                </w:tcPr>
                <w:p w14:paraId="6F48610B">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滦河上游生物多样性保护功能区（Ⅱ-1-3）</w:t>
                  </w:r>
                </w:p>
              </w:tc>
              <w:tc>
                <w:tcPr>
                  <w:tcW w:w="2018" w:type="dxa"/>
                  <w:tcBorders>
                    <w:top w:val="single" w:color="auto" w:sz="4" w:space="0"/>
                    <w:left w:val="single" w:color="auto" w:sz="4" w:space="0"/>
                    <w:bottom w:val="single" w:color="auto" w:sz="4" w:space="0"/>
                    <w:right w:val="single" w:color="auto" w:sz="4" w:space="0"/>
                  </w:tcBorders>
                  <w:vAlign w:val="center"/>
                </w:tcPr>
                <w:p w14:paraId="28B3BEB4">
                  <w:pPr>
                    <w:pStyle w:val="29"/>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生物多样性减少，水土流失严重，草地退化，沙化面积不断扩大</w:t>
                  </w:r>
                </w:p>
              </w:tc>
              <w:tc>
                <w:tcPr>
                  <w:tcW w:w="927" w:type="dxa"/>
                  <w:tcBorders>
                    <w:top w:val="single" w:color="auto" w:sz="4" w:space="0"/>
                    <w:left w:val="single" w:color="auto" w:sz="4" w:space="0"/>
                    <w:bottom w:val="single" w:color="auto" w:sz="4" w:space="0"/>
                    <w:right w:val="single" w:color="auto" w:sz="4" w:space="0"/>
                  </w:tcBorders>
                  <w:vAlign w:val="center"/>
                </w:tcPr>
                <w:p w14:paraId="2C5EC171">
                  <w:pPr>
                    <w:pStyle w:val="29"/>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生物多样性保护、荒漠化防治、水资源保护</w:t>
                  </w:r>
                </w:p>
              </w:tc>
              <w:tc>
                <w:tcPr>
                  <w:tcW w:w="2874" w:type="dxa"/>
                  <w:tcBorders>
                    <w:top w:val="single" w:color="auto" w:sz="4" w:space="0"/>
                    <w:left w:val="single" w:color="auto" w:sz="4" w:space="0"/>
                    <w:bottom w:val="single" w:color="auto" w:sz="4" w:space="0"/>
                    <w:right w:val="single" w:color="auto" w:sz="4" w:space="0"/>
                  </w:tcBorders>
                  <w:vAlign w:val="center"/>
                </w:tcPr>
                <w:p w14:paraId="10A15916">
                  <w:pPr>
                    <w:pStyle w:val="29"/>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积极推进生物多样性保护工作，水土流失综合防治，积极推进退耕还林；增加植被覆盖度，增强水源涵养功能。加强滦河上游自然保护区的保护与管理，强力恢复植被、不断扩大种群，防治病虫害</w:t>
                  </w:r>
                </w:p>
              </w:tc>
            </w:tr>
          </w:tbl>
          <w:p w14:paraId="7B796369">
            <w:pPr>
              <w:adjustRightInd w:val="0"/>
              <w:snapToGrid w:val="0"/>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eastAsiaTheme="minorEastAsia"/>
                <w:color w:val="auto"/>
                <w:sz w:val="24"/>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因此，项目建设与承德市生态功能区划不冲突。</w:t>
            </w:r>
          </w:p>
          <w:bookmarkEnd w:id="9"/>
          <w:p w14:paraId="7AE7A8B4">
            <w:pPr>
              <w:pStyle w:val="27"/>
              <w:spacing w:line="480" w:lineRule="exact"/>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3、生态环境现状</w:t>
            </w:r>
          </w:p>
          <w:p w14:paraId="2440017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（1）地形地貌</w:t>
            </w:r>
          </w:p>
          <w:p w14:paraId="4684363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拟建220kV线路工程全线位于承德市围场满族蒙古族自治县老窝铺乡、城子镇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hint="default" w:ascii="Times New Roman" w:hAnsi="Times New Roman" w:eastAsia="宋体" w:cs="Times New Roman"/>
                <w:bCs/>
                <w:color w:val="auto"/>
                <w:sz w:val="24"/>
                <w:szCs w:val="24"/>
                <w:highlight w:val="none"/>
              </w:rPr>
              <w:t>，线路沿线地势起伏及高差变化较大，多为山区林地，部分为耕地</w:t>
            </w:r>
            <w:r>
              <w:rPr>
                <w:rFonts w:hint="default" w:ascii="Times New Roman" w:hAnsi="Times New Roman" w:eastAsia="宋体" w:cs="Times New Roman"/>
                <w:color w:val="auto"/>
                <w:sz w:val="24"/>
                <w:szCs w:val="24"/>
                <w:highlight w:val="none"/>
              </w:rPr>
              <w:t>。路径沿途现状见图3-1。</w:t>
            </w:r>
          </w:p>
          <w:p w14:paraId="5921114E">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7" name="图片 7" descr="d6c468b2da8d90f5865e47b421e7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c468b2da8d90f5865e47b421e714a"/>
                          <pic:cNvPicPr>
                            <a:picLocks noChangeAspect="1"/>
                          </pic:cNvPicPr>
                        </pic:nvPicPr>
                        <pic:blipFill>
                          <a:blip r:embed="rId37"/>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9" name="图片 9" descr="94f8b3c21ebb3d4772fc4069f655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f8b3c21ebb3d4772fc4069f6552c4"/>
                          <pic:cNvPicPr>
                            <a:picLocks noChangeAspect="1"/>
                          </pic:cNvPicPr>
                        </pic:nvPicPr>
                        <pic:blipFill>
                          <a:blip r:embed="rId38"/>
                          <a:stretch>
                            <a:fillRect/>
                          </a:stretch>
                        </pic:blipFill>
                        <pic:spPr>
                          <a:xfrm>
                            <a:off x="0" y="0"/>
                            <a:ext cx="2592070" cy="1457325"/>
                          </a:xfrm>
                          <a:prstGeom prst="rect">
                            <a:avLst/>
                          </a:prstGeom>
                        </pic:spPr>
                      </pic:pic>
                    </a:graphicData>
                  </a:graphic>
                </wp:inline>
              </w:drawing>
            </w:r>
          </w:p>
          <w:p w14:paraId="34A67009">
            <w:pPr>
              <w:pStyle w:val="21"/>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0" name="图片 10" descr="c1bd5bd8f1b04f7e25d15b3171c8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1bd5bd8f1b04f7e25d15b3171c839c"/>
                          <pic:cNvPicPr>
                            <a:picLocks noChangeAspect="1"/>
                          </pic:cNvPicPr>
                        </pic:nvPicPr>
                        <pic:blipFill>
                          <a:blip r:embed="rId39"/>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1" name="图片 11" descr="e49351d7bc5d6e3d337fd48c4f99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9351d7bc5d6e3d337fd48c4f99bb5"/>
                          <pic:cNvPicPr>
                            <a:picLocks noChangeAspect="1"/>
                          </pic:cNvPicPr>
                        </pic:nvPicPr>
                        <pic:blipFill>
                          <a:blip r:embed="rId40"/>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2" name="图片 12" descr="c41cc6bc80ec78ceb117c71f92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41cc6bc80ec78ceb117c71f9232798"/>
                          <pic:cNvPicPr>
                            <a:picLocks noChangeAspect="1"/>
                          </pic:cNvPicPr>
                        </pic:nvPicPr>
                        <pic:blipFill>
                          <a:blip r:embed="rId41"/>
                          <a:stretch>
                            <a:fillRect/>
                          </a:stretch>
                        </pic:blipFill>
                        <pic:spPr>
                          <a:xfrm>
                            <a:off x="0" y="0"/>
                            <a:ext cx="2592070" cy="1457325"/>
                          </a:xfrm>
                          <a:prstGeom prst="rect">
                            <a:avLst/>
                          </a:prstGeom>
                        </pic:spPr>
                      </pic:pic>
                    </a:graphicData>
                  </a:graphic>
                </wp:inline>
              </w:drawing>
            </w:r>
            <w:r>
              <w:rPr>
                <w:rFonts w:hint="default" w:ascii="Times New Roman" w:hAnsi="Times New Roman" w:eastAsia="宋体" w:cs="Times New Roman"/>
                <w:color w:val="auto"/>
                <w:highlight w:val="none"/>
                <w:lang w:eastAsia="zh-CN"/>
              </w:rPr>
              <w:drawing>
                <wp:inline distT="0" distB="0" distL="114300" distR="114300">
                  <wp:extent cx="2592070" cy="1457325"/>
                  <wp:effectExtent l="0" t="0" r="17780" b="9525"/>
                  <wp:docPr id="13" name="图片 13" descr="cbd55c9592bc40e122f0a120fe3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d55c9592bc40e122f0a120fe3db76"/>
                          <pic:cNvPicPr>
                            <a:picLocks noChangeAspect="1"/>
                          </pic:cNvPicPr>
                        </pic:nvPicPr>
                        <pic:blipFill>
                          <a:blip r:embed="rId42"/>
                          <a:stretch>
                            <a:fillRect/>
                          </a:stretch>
                        </pic:blipFill>
                        <pic:spPr>
                          <a:xfrm>
                            <a:off x="0" y="0"/>
                            <a:ext cx="2592070" cy="1457325"/>
                          </a:xfrm>
                          <a:prstGeom prst="rect">
                            <a:avLst/>
                          </a:prstGeom>
                        </pic:spPr>
                      </pic:pic>
                    </a:graphicData>
                  </a:graphic>
                </wp:inline>
              </w:drawing>
            </w:r>
          </w:p>
          <w:p w14:paraId="64A1CD0D">
            <w:pPr>
              <w:spacing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图3-1  拟建线路沿线现状图</w:t>
            </w:r>
          </w:p>
          <w:p w14:paraId="2E44654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（2）土地利用类型</w:t>
            </w:r>
          </w:p>
          <w:p w14:paraId="10ED6048">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根据现场勘查，拟建项目区域土地利用类型主要为林地、灌草地和农用地，土地利用现状图见附图</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w:t>
            </w:r>
          </w:p>
          <w:p w14:paraId="7D9372A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（3）生物资源</w:t>
            </w:r>
          </w:p>
          <w:p w14:paraId="1CA39D2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北滦河上游国家级自然保护区内有高等植物资源丰富，有高等植物1096种，隶属于142科501属。其中苔藓植物39科89属192种，蕨类植物12科17属27种，裸子植物3科7属12种，被子植物88科388属865种。保护区内分布有国家二级保护野生植物4种，分别为黄檗、甘草、软枣猕猴桃、野大豆。河北省重点保护区植物56种，包括华北蓝盆花、苍术、秦艽、油松、黄精、蒙椴等。</w:t>
            </w:r>
          </w:p>
          <w:p w14:paraId="4BD1E66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河北滦河上游国家级自然保护区现有野生脊椎动物343种，隶属于32目85科216属。其中，哺乳纲6目16科38属46种，鸟纲20目56科144属252种，爬行纲1目5科8属15种，两栖纲1目3科4属5种，硬骨鱼纲4目5科22属25种。国家一级保护野生动物11种；国家二级保护野生动物43种；河北省重点保护动物共83种。</w:t>
            </w:r>
          </w:p>
          <w:p w14:paraId="4E81889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（4）敏感性调查</w:t>
            </w:r>
          </w:p>
          <w:p w14:paraId="5A62BE88">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经调查，本项目永久和临时占地范围内保护目标为河北滦河上游国家级自然保护区和生态保护红线等敏感区。</w:t>
            </w:r>
          </w:p>
          <w:p w14:paraId="19345CE6">
            <w:pPr>
              <w:pStyle w:val="27"/>
              <w:spacing w:line="480" w:lineRule="exact"/>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4、环境空气质量现状</w:t>
            </w:r>
          </w:p>
          <w:p w14:paraId="5867F089">
            <w:pPr>
              <w:keepNext w:val="0"/>
              <w:keepLines w:val="0"/>
              <w:pageBreakBefore w:val="0"/>
              <w:widowControl w:val="0"/>
              <w:kinsoku/>
              <w:wordWrap/>
              <w:overflowPunct/>
              <w:topLinePunct w:val="0"/>
              <w:autoSpaceDE/>
              <w:autoSpaceDN/>
              <w:bidi w:val="0"/>
              <w:adjustRightInd/>
              <w:snapToGrid/>
              <w:spacing w:line="440" w:lineRule="exact"/>
              <w:ind w:left="0" w:firstLine="496"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pacing w:val="4"/>
                <w:sz w:val="24"/>
                <w:szCs w:val="24"/>
                <w:highlight w:val="none"/>
              </w:rPr>
              <w:t>根据《环境影响评价技术导则 大气环境》(HJ2.2-2018)，对项目所在区域环境空气质量进行达标判断，根据《环境影响评价技术导则 大气环境》(HJ2.2-2018)，对项目所在区域环境空气质量进行达标判断，</w:t>
            </w:r>
            <w:r>
              <w:rPr>
                <w:rFonts w:hint="default" w:ascii="Times New Roman" w:hAnsi="Times New Roman" w:cs="Times New Roman"/>
                <w:color w:val="auto"/>
                <w:sz w:val="24"/>
              </w:rPr>
              <w:t>项目选址位于围场县，以202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年作为评价基准年，</w:t>
            </w:r>
            <w:r>
              <w:rPr>
                <w:rFonts w:hint="default" w:ascii="Times New Roman" w:hAnsi="Times New Roman" w:cs="Times New Roman"/>
                <w:color w:val="auto"/>
                <w:sz w:val="24"/>
                <w:szCs w:val="24"/>
              </w:rPr>
              <w:t>本次评价</w:t>
            </w:r>
            <w:r>
              <w:rPr>
                <w:rFonts w:hint="eastAsia" w:ascii="Times New Roman" w:hAnsi="Times New Roman" w:cs="Times New Roman"/>
                <w:color w:val="auto"/>
                <w:sz w:val="24"/>
                <w:szCs w:val="24"/>
                <w:lang w:val="en-US" w:eastAsia="zh-CN"/>
              </w:rPr>
              <w:t>一类区本评价引用已批复的《承德市御道口牧场管理区综合执法大队御道口牧场管理区垃圾综合治理项目环境影响报告书》(2023年1月)御道口乡大气常规污染物中的PM</w:t>
            </w:r>
            <w:r>
              <w:rPr>
                <w:rFonts w:hint="eastAsia" w:ascii="Times New Roman" w:hAnsi="Times New Roman" w:cs="Times New Roman"/>
                <w:color w:val="auto"/>
                <w:sz w:val="24"/>
                <w:szCs w:val="24"/>
                <w:vertAlign w:val="subscript"/>
                <w:lang w:val="en-US" w:eastAsia="zh-CN"/>
              </w:rPr>
              <w:t>10</w:t>
            </w:r>
            <w:r>
              <w:rPr>
                <w:rFonts w:hint="eastAsia" w:ascii="Times New Roman" w:hAnsi="Times New Roman" w:cs="Times New Roman"/>
                <w:color w:val="auto"/>
                <w:sz w:val="24"/>
                <w:szCs w:val="24"/>
                <w:lang w:val="en-US" w:eastAsia="zh-CN"/>
              </w:rPr>
              <w:t>、PM</w:t>
            </w:r>
            <w:r>
              <w:rPr>
                <w:rFonts w:hint="eastAsia" w:ascii="Times New Roman" w:hAnsi="Times New Roman" w:cs="Times New Roman"/>
                <w:color w:val="auto"/>
                <w:sz w:val="24"/>
                <w:szCs w:val="24"/>
                <w:vertAlign w:val="subscript"/>
                <w:lang w:val="en-US" w:eastAsia="zh-CN"/>
              </w:rPr>
              <w:t>2.5</w:t>
            </w:r>
            <w:r>
              <w:rPr>
                <w:rFonts w:hint="eastAsia" w:ascii="Times New Roman" w:hAnsi="Times New Roman" w:cs="Times New Roman"/>
                <w:color w:val="auto"/>
                <w:sz w:val="24"/>
                <w:szCs w:val="24"/>
                <w:lang w:val="en-US" w:eastAsia="zh-CN"/>
              </w:rPr>
              <w:t>、SO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、CO、O</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现状监测统计资料；二类区</w:t>
            </w:r>
            <w:r>
              <w:rPr>
                <w:rFonts w:hint="default" w:ascii="Times New Roman" w:hAnsi="Times New Roman" w:cs="Times New Roman"/>
                <w:color w:val="auto"/>
                <w:sz w:val="24"/>
                <w:szCs w:val="24"/>
              </w:rPr>
              <w:t>引用</w:t>
            </w:r>
            <w:r>
              <w:rPr>
                <w:rFonts w:hint="default" w:ascii="Times New Roman" w:hAnsi="Times New Roman" w:cs="Times New Roman"/>
                <w:color w:val="auto"/>
                <w:sz w:val="24"/>
                <w:szCs w:val="24"/>
                <w:lang w:val="en-US" w:eastAsia="zh-CN"/>
              </w:rPr>
              <w:t>承德市大气污染防治工作领导小组办公室</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日发布的《关于2023年12月份全市空气质量预警监测结果的通报》</w:t>
            </w:r>
            <w:r>
              <w:rPr>
                <w:rFonts w:hint="default" w:ascii="Times New Roman" w:hAnsi="Times New Roman" w:cs="Times New Roman"/>
                <w:color w:val="auto"/>
                <w:sz w:val="24"/>
                <w:szCs w:val="24"/>
                <w:lang w:eastAsia="zh-CN"/>
              </w:rPr>
              <w:t>（承气领办[2024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12号）</w:t>
            </w:r>
            <w:r>
              <w:rPr>
                <w:rFonts w:hint="default" w:ascii="Times New Roman" w:hAnsi="Times New Roman" w:eastAsia="宋体" w:cs="Times New Roman"/>
                <w:color w:val="auto"/>
                <w:sz w:val="24"/>
                <w:szCs w:val="24"/>
                <w:vertAlign w:val="baseline"/>
                <w:lang w:val="en-US" w:eastAsia="zh-CN"/>
              </w:rPr>
              <w:t>附表2“2023年1月至12月全市环境空气质量状况及变化情况表”</w:t>
            </w:r>
            <w:r>
              <w:rPr>
                <w:rFonts w:hint="default" w:ascii="Times New Roman" w:hAnsi="Times New Roman" w:cs="Times New Roman"/>
                <w:color w:val="auto"/>
                <w:sz w:val="24"/>
                <w:szCs w:val="24"/>
              </w:rPr>
              <w:t>中环境空气（常规因子：SO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）监测数据统计结果</w:t>
            </w:r>
            <w:r>
              <w:rPr>
                <w:rFonts w:hint="default" w:ascii="Times New Roman" w:hAnsi="Times New Roman" w:cs="Times New Roman"/>
                <w:color w:val="auto"/>
                <w:sz w:val="24"/>
              </w:rPr>
              <w:t>，来说明建设项目拟建地区的环境空气质量，监测结果见下表3-1。</w:t>
            </w:r>
          </w:p>
          <w:p w14:paraId="5291B94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表3-</w:t>
            </w:r>
            <w:r>
              <w:rPr>
                <w:rFonts w:hint="eastAsia" w:ascii="Times New Roman" w:hAnsi="Times New Roman" w:eastAsia="宋体" w:cs="Times New Roman"/>
                <w:b/>
                <w:bCs/>
                <w:color w:val="auto"/>
                <w:sz w:val="24"/>
                <w:lang w:val="en-US" w:eastAsia="zh-CN"/>
              </w:rPr>
              <w:t>4</w:t>
            </w:r>
            <w:r>
              <w:rPr>
                <w:rFonts w:hint="default" w:ascii="Times New Roman" w:hAnsi="Times New Roman" w:cs="Times New Roman"/>
                <w:b/>
                <w:bCs/>
                <w:color w:val="auto"/>
                <w:sz w:val="24"/>
              </w:rPr>
              <w:t xml:space="preserve">  202</w:t>
            </w: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年围场县环境空气质量监测结果</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798"/>
              <w:gridCol w:w="962"/>
              <w:gridCol w:w="952"/>
              <w:gridCol w:w="10"/>
              <w:gridCol w:w="947"/>
              <w:gridCol w:w="15"/>
              <w:gridCol w:w="941"/>
              <w:gridCol w:w="21"/>
              <w:gridCol w:w="941"/>
              <w:gridCol w:w="21"/>
              <w:gridCol w:w="988"/>
            </w:tblGrid>
            <w:tr w14:paraId="048B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12"/>
                  <w:noWrap w:val="0"/>
                  <w:vAlign w:val="center"/>
                </w:tcPr>
                <w:p w14:paraId="19910319">
                  <w:pPr>
                    <w:topLinePunct/>
                    <w:adjustRightInd w:val="0"/>
                    <w:snapToGrid w:val="0"/>
                    <w:jc w:val="center"/>
                    <w:textAlignment w:val="center"/>
                    <w:rPr>
                      <w:rFonts w:hint="eastAsia"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一类区</w:t>
                  </w:r>
                </w:p>
              </w:tc>
            </w:tr>
            <w:tr w14:paraId="2D5E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noWrap w:val="0"/>
                  <w:vAlign w:val="center"/>
                </w:tcPr>
                <w:p w14:paraId="72DBC455">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县区</w:t>
                  </w:r>
                </w:p>
              </w:tc>
              <w:tc>
                <w:tcPr>
                  <w:tcW w:w="3368" w:type="pct"/>
                  <w:gridSpan w:val="10"/>
                  <w:noWrap w:val="0"/>
                  <w:vAlign w:val="center"/>
                </w:tcPr>
                <w:p w14:paraId="67270412">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各污染物浓度</w:t>
                  </w:r>
                </w:p>
              </w:tc>
            </w:tr>
            <w:tr w14:paraId="0694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vMerge w:val="restart"/>
                  <w:noWrap w:val="0"/>
                  <w:vAlign w:val="center"/>
                </w:tcPr>
                <w:p w14:paraId="2F014B23">
                  <w:pPr>
                    <w:topLinePunct/>
                    <w:adjustRightInd w:val="0"/>
                    <w:snapToGrid w:val="0"/>
                    <w:jc w:val="center"/>
                    <w:textAlignment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val="0"/>
                      <w:bCs/>
                      <w:color w:val="auto"/>
                      <w:szCs w:val="21"/>
                      <w:lang w:val="en-US" w:eastAsia="zh-CN"/>
                    </w:rPr>
                    <w:t>御道口乡</w:t>
                  </w:r>
                </w:p>
              </w:tc>
              <w:tc>
                <w:tcPr>
                  <w:tcW w:w="559" w:type="pct"/>
                  <w:noWrap w:val="0"/>
                  <w:vAlign w:val="center"/>
                </w:tcPr>
                <w:p w14:paraId="79EA5CF1">
                  <w:pPr>
                    <w:widowControl/>
                    <w:jc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PM</w:t>
                  </w:r>
                  <w:r>
                    <w:rPr>
                      <w:rFonts w:hint="default" w:ascii="Times New Roman" w:hAnsi="Times New Roman" w:cs="Times New Roman"/>
                      <w:b/>
                      <w:color w:val="auto"/>
                      <w:szCs w:val="21"/>
                      <w:vertAlign w:val="subscript"/>
                    </w:rPr>
                    <w:t>2.5</w:t>
                  </w:r>
                </w:p>
              </w:tc>
              <w:tc>
                <w:tcPr>
                  <w:tcW w:w="559" w:type="pct"/>
                  <w:gridSpan w:val="2"/>
                  <w:noWrap w:val="0"/>
                  <w:vAlign w:val="center"/>
                </w:tcPr>
                <w:p w14:paraId="5BE0FFE2">
                  <w:pPr>
                    <w:topLinePunct/>
                    <w:adjustRightInd w:val="0"/>
                    <w:snapToGrid w:val="0"/>
                    <w:jc w:val="center"/>
                    <w:textAlignment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PM</w:t>
                  </w:r>
                  <w:r>
                    <w:rPr>
                      <w:rFonts w:hint="default" w:ascii="Times New Roman" w:hAnsi="Times New Roman" w:cs="Times New Roman"/>
                      <w:b/>
                      <w:color w:val="auto"/>
                      <w:szCs w:val="21"/>
                      <w:vertAlign w:val="subscript"/>
                    </w:rPr>
                    <w:t>10</w:t>
                  </w:r>
                </w:p>
              </w:tc>
              <w:tc>
                <w:tcPr>
                  <w:tcW w:w="559" w:type="pct"/>
                  <w:gridSpan w:val="2"/>
                  <w:noWrap w:val="0"/>
                  <w:vAlign w:val="center"/>
                </w:tcPr>
                <w:p w14:paraId="41057B29">
                  <w:pPr>
                    <w:topLinePunct/>
                    <w:adjustRightInd w:val="0"/>
                    <w:snapToGrid w:val="0"/>
                    <w:jc w:val="center"/>
                    <w:textAlignment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SO</w:t>
                  </w:r>
                  <w:r>
                    <w:rPr>
                      <w:rFonts w:hint="default" w:ascii="Times New Roman" w:hAnsi="Times New Roman" w:cs="Times New Roman"/>
                      <w:b/>
                      <w:color w:val="auto"/>
                      <w:szCs w:val="21"/>
                      <w:vertAlign w:val="subscript"/>
                    </w:rPr>
                    <w:t>2</w:t>
                  </w:r>
                </w:p>
              </w:tc>
              <w:tc>
                <w:tcPr>
                  <w:tcW w:w="559" w:type="pct"/>
                  <w:gridSpan w:val="2"/>
                  <w:noWrap w:val="0"/>
                  <w:vAlign w:val="center"/>
                </w:tcPr>
                <w:p w14:paraId="293CCACB">
                  <w:pPr>
                    <w:topLinePunct/>
                    <w:adjustRightInd w:val="0"/>
                    <w:snapToGrid w:val="0"/>
                    <w:jc w:val="center"/>
                    <w:textAlignment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CO</w:t>
                  </w:r>
                </w:p>
              </w:tc>
              <w:tc>
                <w:tcPr>
                  <w:tcW w:w="559" w:type="pct"/>
                  <w:gridSpan w:val="2"/>
                  <w:noWrap w:val="0"/>
                  <w:vAlign w:val="center"/>
                </w:tcPr>
                <w:p w14:paraId="755E2660">
                  <w:pPr>
                    <w:topLinePunct/>
                    <w:adjustRightInd w:val="0"/>
                    <w:snapToGrid w:val="0"/>
                    <w:jc w:val="center"/>
                    <w:textAlignment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O</w:t>
                  </w:r>
                  <w:r>
                    <w:rPr>
                      <w:rFonts w:hint="default" w:ascii="Times New Roman" w:hAnsi="Times New Roman" w:cs="Times New Roman"/>
                      <w:b/>
                      <w:color w:val="auto"/>
                      <w:szCs w:val="21"/>
                      <w:vertAlign w:val="subscript"/>
                    </w:rPr>
                    <w:t>3</w:t>
                  </w:r>
                </w:p>
              </w:tc>
              <w:tc>
                <w:tcPr>
                  <w:tcW w:w="572" w:type="pct"/>
                  <w:noWrap w:val="0"/>
                  <w:vAlign w:val="center"/>
                </w:tcPr>
                <w:p w14:paraId="1E71828B">
                  <w:pPr>
                    <w:topLinePunct/>
                    <w:adjustRightInd w:val="0"/>
                    <w:snapToGrid w:val="0"/>
                    <w:jc w:val="center"/>
                    <w:textAlignment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
                      <w:color w:val="auto"/>
                      <w:szCs w:val="21"/>
                    </w:rPr>
                    <w:t>NO</w:t>
                  </w:r>
                  <w:r>
                    <w:rPr>
                      <w:rFonts w:hint="default" w:ascii="Times New Roman" w:hAnsi="Times New Roman" w:cs="Times New Roman"/>
                      <w:b/>
                      <w:color w:val="auto"/>
                      <w:szCs w:val="21"/>
                      <w:vertAlign w:val="subscript"/>
                    </w:rPr>
                    <w:t>2</w:t>
                  </w:r>
                </w:p>
              </w:tc>
            </w:tr>
            <w:tr w14:paraId="7FD9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vMerge w:val="continue"/>
                  <w:noWrap w:val="0"/>
                  <w:vAlign w:val="center"/>
                </w:tcPr>
                <w:p w14:paraId="2B64890D">
                  <w:pPr>
                    <w:topLinePunct/>
                    <w:adjustRightInd w:val="0"/>
                    <w:snapToGrid w:val="0"/>
                    <w:jc w:val="center"/>
                    <w:textAlignment w:val="center"/>
                    <w:rPr>
                      <w:rFonts w:hint="default" w:ascii="Times New Roman" w:hAnsi="Times New Roman" w:cs="Times New Roman"/>
                      <w:color w:val="auto"/>
                      <w:szCs w:val="21"/>
                    </w:rPr>
                  </w:pPr>
                </w:p>
              </w:tc>
              <w:tc>
                <w:tcPr>
                  <w:tcW w:w="559" w:type="pct"/>
                  <w:noWrap w:val="0"/>
                  <w:vAlign w:val="center"/>
                </w:tcPr>
                <w:p w14:paraId="1898A824">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14.62</w:t>
                  </w:r>
                </w:p>
              </w:tc>
              <w:tc>
                <w:tcPr>
                  <w:tcW w:w="559" w:type="pct"/>
                  <w:gridSpan w:val="2"/>
                  <w:noWrap w:val="0"/>
                  <w:vAlign w:val="center"/>
                </w:tcPr>
                <w:p w14:paraId="76848BE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34.56</w:t>
                  </w:r>
                </w:p>
              </w:tc>
              <w:tc>
                <w:tcPr>
                  <w:tcW w:w="559" w:type="pct"/>
                  <w:gridSpan w:val="2"/>
                  <w:noWrap w:val="0"/>
                  <w:vAlign w:val="center"/>
                </w:tcPr>
                <w:p w14:paraId="1138434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9.21</w:t>
                  </w:r>
                </w:p>
              </w:tc>
              <w:tc>
                <w:tcPr>
                  <w:tcW w:w="559" w:type="pct"/>
                  <w:gridSpan w:val="2"/>
                  <w:noWrap w:val="0"/>
                  <w:vAlign w:val="center"/>
                </w:tcPr>
                <w:p w14:paraId="12C5B334">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559" w:type="pct"/>
                  <w:gridSpan w:val="2"/>
                  <w:noWrap w:val="0"/>
                  <w:vAlign w:val="center"/>
                </w:tcPr>
                <w:p w14:paraId="1BD58A90">
                  <w:pPr>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94</w:t>
                  </w:r>
                </w:p>
              </w:tc>
              <w:tc>
                <w:tcPr>
                  <w:tcW w:w="572" w:type="pct"/>
                  <w:noWrap w:val="0"/>
                  <w:vAlign w:val="center"/>
                </w:tcPr>
                <w:p w14:paraId="2605E0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10.78</w:t>
                  </w:r>
                </w:p>
              </w:tc>
            </w:tr>
            <w:tr w14:paraId="789C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noWrap w:val="0"/>
                  <w:vAlign w:val="center"/>
                </w:tcPr>
                <w:p w14:paraId="3E6E6D27">
                  <w:pPr>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年均浓度限值</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一级</w:t>
                  </w:r>
                  <w:r>
                    <w:rPr>
                      <w:rFonts w:hint="eastAsia" w:ascii="Times New Roman" w:hAnsi="Times New Roman" w:cs="Times New Roman"/>
                      <w:color w:val="auto"/>
                      <w:szCs w:val="21"/>
                      <w:lang w:eastAsia="zh-CN"/>
                    </w:rPr>
                    <w:t>）</w:t>
                  </w:r>
                </w:p>
              </w:tc>
              <w:tc>
                <w:tcPr>
                  <w:tcW w:w="559" w:type="pct"/>
                  <w:noWrap w:val="0"/>
                  <w:vAlign w:val="center"/>
                </w:tcPr>
                <w:p w14:paraId="6EF26E66">
                  <w:pPr>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15</w:t>
                  </w:r>
                </w:p>
              </w:tc>
              <w:tc>
                <w:tcPr>
                  <w:tcW w:w="559" w:type="pct"/>
                  <w:gridSpan w:val="2"/>
                  <w:noWrap w:val="0"/>
                  <w:vAlign w:val="center"/>
                </w:tcPr>
                <w:p w14:paraId="7404DB0A">
                  <w:pPr>
                    <w:widowControl/>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40</w:t>
                  </w:r>
                </w:p>
              </w:tc>
              <w:tc>
                <w:tcPr>
                  <w:tcW w:w="559" w:type="pct"/>
                  <w:gridSpan w:val="2"/>
                  <w:noWrap w:val="0"/>
                  <w:vAlign w:val="center"/>
                </w:tcPr>
                <w:p w14:paraId="254C8DDC">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559" w:type="pct"/>
                  <w:gridSpan w:val="2"/>
                  <w:noWrap w:val="0"/>
                  <w:vAlign w:val="center"/>
                </w:tcPr>
                <w:p w14:paraId="6C55CE43">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p>
              </w:tc>
              <w:tc>
                <w:tcPr>
                  <w:tcW w:w="559" w:type="pct"/>
                  <w:gridSpan w:val="2"/>
                  <w:noWrap w:val="0"/>
                  <w:vAlign w:val="center"/>
                </w:tcPr>
                <w:p w14:paraId="68CDF7BA">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100</w:t>
                  </w:r>
                </w:p>
              </w:tc>
              <w:tc>
                <w:tcPr>
                  <w:tcW w:w="572" w:type="pct"/>
                  <w:noWrap w:val="0"/>
                  <w:vAlign w:val="center"/>
                </w:tcPr>
                <w:p w14:paraId="54DDA90E">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r>
            <w:tr w14:paraId="6ACA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noWrap w:val="0"/>
                  <w:vAlign w:val="center"/>
                </w:tcPr>
                <w:p w14:paraId="5280A9FE">
                  <w:pPr>
                    <w:topLinePunct/>
                    <w:adjustRightInd w:val="0"/>
                    <w:snapToGrid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达标情况</w:t>
                  </w:r>
                </w:p>
              </w:tc>
              <w:tc>
                <w:tcPr>
                  <w:tcW w:w="559" w:type="pct"/>
                  <w:noWrap w:val="0"/>
                  <w:vAlign w:val="center"/>
                </w:tcPr>
                <w:p w14:paraId="46A2845B">
                  <w:pPr>
                    <w:topLinePunct/>
                    <w:adjustRightInd w:val="0"/>
                    <w:snapToGrid w:val="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达标</w:t>
                  </w:r>
                </w:p>
              </w:tc>
              <w:tc>
                <w:tcPr>
                  <w:tcW w:w="559" w:type="pct"/>
                  <w:gridSpan w:val="2"/>
                  <w:noWrap w:val="0"/>
                  <w:vAlign w:val="center"/>
                </w:tcPr>
                <w:p w14:paraId="7B79CAFE">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达标</w:t>
                  </w:r>
                </w:p>
              </w:tc>
              <w:tc>
                <w:tcPr>
                  <w:tcW w:w="559" w:type="pct"/>
                  <w:gridSpan w:val="2"/>
                  <w:noWrap w:val="0"/>
                  <w:vAlign w:val="center"/>
                </w:tcPr>
                <w:p w14:paraId="686FB097">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rPr>
                    <w:t>达标</w:t>
                  </w:r>
                </w:p>
              </w:tc>
              <w:tc>
                <w:tcPr>
                  <w:tcW w:w="559" w:type="pct"/>
                  <w:gridSpan w:val="2"/>
                  <w:noWrap w:val="0"/>
                  <w:vAlign w:val="center"/>
                </w:tcPr>
                <w:p w14:paraId="48A7E0ED">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rPr>
                    <w:t>达标</w:t>
                  </w:r>
                </w:p>
              </w:tc>
              <w:tc>
                <w:tcPr>
                  <w:tcW w:w="559" w:type="pct"/>
                  <w:gridSpan w:val="2"/>
                  <w:noWrap w:val="0"/>
                  <w:vAlign w:val="center"/>
                </w:tcPr>
                <w:p w14:paraId="00A17CB7">
                  <w:pPr>
                    <w:jc w:val="center"/>
                    <w:rPr>
                      <w:rFonts w:hint="default" w:ascii="Times New Roman" w:hAnsi="Times New Roman" w:cs="Times New Roman"/>
                      <w:b/>
                      <w:color w:val="auto"/>
                      <w:kern w:val="2"/>
                      <w:sz w:val="21"/>
                      <w:szCs w:val="21"/>
                      <w:lang w:val="en-US" w:eastAsia="zh-CN" w:bidi="ar-SA"/>
                    </w:rPr>
                  </w:pPr>
                  <w:r>
                    <w:rPr>
                      <w:rFonts w:hint="default" w:ascii="Times New Roman" w:hAnsi="Times New Roman" w:cs="Times New Roman"/>
                      <w:bCs/>
                      <w:color w:val="auto"/>
                      <w:kern w:val="0"/>
                      <w:szCs w:val="21"/>
                    </w:rPr>
                    <w:t>达标</w:t>
                  </w:r>
                </w:p>
              </w:tc>
              <w:tc>
                <w:tcPr>
                  <w:tcW w:w="572" w:type="pct"/>
                  <w:noWrap w:val="0"/>
                  <w:vAlign w:val="center"/>
                </w:tcPr>
                <w:p w14:paraId="4A410750">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rPr>
                    <w:t>达标</w:t>
                  </w:r>
                </w:p>
              </w:tc>
            </w:tr>
            <w:tr w14:paraId="7DC7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12"/>
                  <w:noWrap w:val="0"/>
                  <w:vAlign w:val="center"/>
                </w:tcPr>
                <w:p w14:paraId="3EE87C34">
                  <w:pPr>
                    <w:topLinePunct/>
                    <w:adjustRightInd w:val="0"/>
                    <w:snapToGrid w:val="0"/>
                    <w:jc w:val="center"/>
                    <w:textAlignment w:val="center"/>
                    <w:rPr>
                      <w:rFonts w:hint="eastAsia"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二类区</w:t>
                  </w:r>
                </w:p>
              </w:tc>
            </w:tr>
            <w:tr w14:paraId="7228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vMerge w:val="restart"/>
                  <w:noWrap w:val="0"/>
                  <w:vAlign w:val="center"/>
                </w:tcPr>
                <w:p w14:paraId="4450B71C">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县区</w:t>
                  </w:r>
                </w:p>
              </w:tc>
              <w:tc>
                <w:tcPr>
                  <w:tcW w:w="1044" w:type="pct"/>
                  <w:vMerge w:val="restart"/>
                  <w:noWrap w:val="0"/>
                  <w:vAlign w:val="center"/>
                </w:tcPr>
                <w:p w14:paraId="49B2D92C">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环境空气质量</w:t>
                  </w:r>
                </w:p>
                <w:p w14:paraId="07342642">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综合指数</w:t>
                  </w:r>
                </w:p>
              </w:tc>
              <w:tc>
                <w:tcPr>
                  <w:tcW w:w="3368" w:type="pct"/>
                  <w:gridSpan w:val="10"/>
                  <w:noWrap w:val="0"/>
                  <w:vAlign w:val="center"/>
                </w:tcPr>
                <w:p w14:paraId="3BFC0A26">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各污染物浓度</w:t>
                  </w:r>
                </w:p>
              </w:tc>
            </w:tr>
            <w:tr w14:paraId="3A74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586" w:type="pct"/>
                  <w:vMerge w:val="continue"/>
                  <w:noWrap w:val="0"/>
                  <w:vAlign w:val="center"/>
                </w:tcPr>
                <w:p w14:paraId="64975D81">
                  <w:pPr>
                    <w:widowControl/>
                    <w:ind w:firstLine="422"/>
                    <w:jc w:val="center"/>
                    <w:rPr>
                      <w:rFonts w:hint="default" w:ascii="Times New Roman" w:hAnsi="Times New Roman" w:cs="Times New Roman"/>
                      <w:b/>
                      <w:color w:val="auto"/>
                      <w:szCs w:val="21"/>
                    </w:rPr>
                  </w:pPr>
                </w:p>
              </w:tc>
              <w:tc>
                <w:tcPr>
                  <w:tcW w:w="1044" w:type="pct"/>
                  <w:vMerge w:val="continue"/>
                  <w:noWrap w:val="0"/>
                  <w:vAlign w:val="center"/>
                </w:tcPr>
                <w:p w14:paraId="2BE7EE58">
                  <w:pPr>
                    <w:widowControl/>
                    <w:ind w:firstLine="422"/>
                    <w:jc w:val="center"/>
                    <w:rPr>
                      <w:rFonts w:hint="default" w:ascii="Times New Roman" w:hAnsi="Times New Roman" w:cs="Times New Roman"/>
                      <w:b/>
                      <w:color w:val="auto"/>
                      <w:szCs w:val="21"/>
                    </w:rPr>
                  </w:pPr>
                </w:p>
              </w:tc>
              <w:tc>
                <w:tcPr>
                  <w:tcW w:w="559" w:type="pct"/>
                  <w:noWrap w:val="0"/>
                  <w:vAlign w:val="center"/>
                </w:tcPr>
                <w:p w14:paraId="2274027A">
                  <w:pPr>
                    <w:widowControl/>
                    <w:jc w:val="center"/>
                    <w:rPr>
                      <w:rFonts w:hint="default" w:ascii="Times New Roman" w:hAnsi="Times New Roman" w:cs="Times New Roman"/>
                      <w:b/>
                      <w:color w:val="auto"/>
                      <w:szCs w:val="21"/>
                    </w:rPr>
                  </w:pPr>
                  <w:r>
                    <w:rPr>
                      <w:rFonts w:hint="default" w:ascii="Times New Roman" w:hAnsi="Times New Roman" w:cs="Times New Roman"/>
                      <w:b/>
                      <w:color w:val="auto"/>
                      <w:szCs w:val="21"/>
                    </w:rPr>
                    <w:t>PM</w:t>
                  </w:r>
                  <w:r>
                    <w:rPr>
                      <w:rFonts w:hint="default" w:ascii="Times New Roman" w:hAnsi="Times New Roman" w:cs="Times New Roman"/>
                      <w:b/>
                      <w:color w:val="auto"/>
                      <w:szCs w:val="21"/>
                      <w:vertAlign w:val="subscript"/>
                    </w:rPr>
                    <w:t>2.5</w:t>
                  </w:r>
                </w:p>
              </w:tc>
              <w:tc>
                <w:tcPr>
                  <w:tcW w:w="553" w:type="pct"/>
                  <w:noWrap w:val="0"/>
                  <w:vAlign w:val="center"/>
                </w:tcPr>
                <w:p w14:paraId="4B841D81">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PM</w:t>
                  </w:r>
                  <w:r>
                    <w:rPr>
                      <w:rFonts w:hint="default" w:ascii="Times New Roman" w:hAnsi="Times New Roman" w:cs="Times New Roman"/>
                      <w:b/>
                      <w:color w:val="auto"/>
                      <w:szCs w:val="21"/>
                      <w:vertAlign w:val="subscript"/>
                    </w:rPr>
                    <w:t>10</w:t>
                  </w:r>
                </w:p>
              </w:tc>
              <w:tc>
                <w:tcPr>
                  <w:tcW w:w="556" w:type="pct"/>
                  <w:gridSpan w:val="2"/>
                  <w:noWrap w:val="0"/>
                  <w:vAlign w:val="center"/>
                </w:tcPr>
                <w:p w14:paraId="66ABA166">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SO</w:t>
                  </w:r>
                  <w:r>
                    <w:rPr>
                      <w:rFonts w:hint="default" w:ascii="Times New Roman" w:hAnsi="Times New Roman" w:cs="Times New Roman"/>
                      <w:b/>
                      <w:color w:val="auto"/>
                      <w:szCs w:val="21"/>
                      <w:vertAlign w:val="subscript"/>
                    </w:rPr>
                    <w:t>2</w:t>
                  </w:r>
                </w:p>
              </w:tc>
              <w:tc>
                <w:tcPr>
                  <w:tcW w:w="556" w:type="pct"/>
                  <w:gridSpan w:val="2"/>
                  <w:noWrap w:val="0"/>
                  <w:vAlign w:val="center"/>
                </w:tcPr>
                <w:p w14:paraId="1272EEEC">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CO</w:t>
                  </w:r>
                </w:p>
              </w:tc>
              <w:tc>
                <w:tcPr>
                  <w:tcW w:w="559" w:type="pct"/>
                  <w:gridSpan w:val="2"/>
                  <w:noWrap w:val="0"/>
                  <w:vAlign w:val="center"/>
                </w:tcPr>
                <w:p w14:paraId="222263DD">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O</w:t>
                  </w:r>
                  <w:r>
                    <w:rPr>
                      <w:rFonts w:hint="default" w:ascii="Times New Roman" w:hAnsi="Times New Roman" w:cs="Times New Roman"/>
                      <w:b/>
                      <w:color w:val="auto"/>
                      <w:szCs w:val="21"/>
                      <w:vertAlign w:val="subscript"/>
                    </w:rPr>
                    <w:t>3</w:t>
                  </w:r>
                </w:p>
              </w:tc>
              <w:tc>
                <w:tcPr>
                  <w:tcW w:w="584" w:type="pct"/>
                  <w:gridSpan w:val="2"/>
                  <w:noWrap w:val="0"/>
                  <w:vAlign w:val="center"/>
                </w:tcPr>
                <w:p w14:paraId="08C1D985">
                  <w:pPr>
                    <w:topLinePunct/>
                    <w:adjustRightInd w:val="0"/>
                    <w:snapToGrid w:val="0"/>
                    <w:jc w:val="center"/>
                    <w:textAlignment w:val="center"/>
                    <w:rPr>
                      <w:rFonts w:hint="default" w:ascii="Times New Roman" w:hAnsi="Times New Roman" w:cs="Times New Roman"/>
                      <w:b/>
                      <w:color w:val="auto"/>
                      <w:szCs w:val="21"/>
                    </w:rPr>
                  </w:pPr>
                  <w:r>
                    <w:rPr>
                      <w:rFonts w:hint="default" w:ascii="Times New Roman" w:hAnsi="Times New Roman" w:cs="Times New Roman"/>
                      <w:b/>
                      <w:color w:val="auto"/>
                      <w:szCs w:val="21"/>
                    </w:rPr>
                    <w:t>NO</w:t>
                  </w:r>
                  <w:r>
                    <w:rPr>
                      <w:rFonts w:hint="default" w:ascii="Times New Roman" w:hAnsi="Times New Roman" w:cs="Times New Roman"/>
                      <w:b/>
                      <w:color w:val="auto"/>
                      <w:szCs w:val="21"/>
                      <w:vertAlign w:val="subscript"/>
                    </w:rPr>
                    <w:t>2</w:t>
                  </w:r>
                </w:p>
              </w:tc>
            </w:tr>
            <w:tr w14:paraId="2E9A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 w:type="pct"/>
                  <w:noWrap w:val="0"/>
                  <w:vAlign w:val="center"/>
                </w:tcPr>
                <w:p w14:paraId="53AC6707">
                  <w:pPr>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围场县</w:t>
                  </w:r>
                </w:p>
              </w:tc>
              <w:tc>
                <w:tcPr>
                  <w:tcW w:w="1044" w:type="pct"/>
                  <w:noWrap w:val="0"/>
                  <w:vAlign w:val="center"/>
                </w:tcPr>
                <w:p w14:paraId="38049506">
                  <w:pPr>
                    <w:jc w:val="center"/>
                    <w:rPr>
                      <w:rFonts w:hint="default" w:ascii="Times New Roman" w:hAnsi="Times New Roman" w:cs="Times New Roman"/>
                      <w:color w:val="auto"/>
                      <w:szCs w:val="21"/>
                    </w:rPr>
                  </w:pPr>
                  <w:r>
                    <w:rPr>
                      <w:rFonts w:hint="default" w:ascii="Times New Roman" w:hAnsi="Times New Roman" w:cs="Times New Roman"/>
                      <w:color w:val="auto"/>
                      <w:szCs w:val="21"/>
                    </w:rPr>
                    <w:t>2.70</w:t>
                  </w:r>
                </w:p>
              </w:tc>
              <w:tc>
                <w:tcPr>
                  <w:tcW w:w="559" w:type="pct"/>
                  <w:noWrap w:val="0"/>
                  <w:vAlign w:val="center"/>
                </w:tcPr>
                <w:p w14:paraId="0C4428D5">
                  <w:pPr>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553" w:type="pct"/>
                  <w:noWrap w:val="0"/>
                  <w:vAlign w:val="center"/>
                </w:tcPr>
                <w:p w14:paraId="066EC10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41</w:t>
                  </w:r>
                </w:p>
              </w:tc>
              <w:tc>
                <w:tcPr>
                  <w:tcW w:w="556" w:type="pct"/>
                  <w:gridSpan w:val="2"/>
                  <w:noWrap w:val="0"/>
                  <w:vAlign w:val="center"/>
                </w:tcPr>
                <w:p w14:paraId="1D621D34">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8</w:t>
                  </w:r>
                </w:p>
              </w:tc>
              <w:tc>
                <w:tcPr>
                  <w:tcW w:w="556" w:type="pct"/>
                  <w:gridSpan w:val="2"/>
                  <w:noWrap w:val="0"/>
                  <w:vAlign w:val="center"/>
                </w:tcPr>
                <w:p w14:paraId="51771ADE">
                  <w:pPr>
                    <w:jc w:val="center"/>
                    <w:rPr>
                      <w:rFonts w:hint="default" w:ascii="Times New Roman" w:hAnsi="Times New Roman" w:cs="Times New Roman"/>
                      <w:color w:val="auto"/>
                      <w:szCs w:val="21"/>
                    </w:rPr>
                  </w:pPr>
                  <w:r>
                    <w:rPr>
                      <w:rFonts w:hint="default" w:ascii="Times New Roman" w:hAnsi="Times New Roman" w:cs="Times New Roman"/>
                      <w:color w:val="auto"/>
                      <w:szCs w:val="21"/>
                    </w:rPr>
                    <w:t>0.8</w:t>
                  </w:r>
                </w:p>
              </w:tc>
              <w:tc>
                <w:tcPr>
                  <w:tcW w:w="559" w:type="pct"/>
                  <w:gridSpan w:val="2"/>
                  <w:noWrap w:val="0"/>
                  <w:vAlign w:val="center"/>
                </w:tcPr>
                <w:p w14:paraId="6441D2FD">
                  <w:pPr>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Cs/>
                      <w:color w:val="auto"/>
                      <w:szCs w:val="21"/>
                      <w:lang w:val="en-US" w:eastAsia="zh-CN"/>
                    </w:rPr>
                    <w:t>146</w:t>
                  </w:r>
                </w:p>
              </w:tc>
              <w:tc>
                <w:tcPr>
                  <w:tcW w:w="584" w:type="pct"/>
                  <w:gridSpan w:val="2"/>
                  <w:noWrap w:val="0"/>
                  <w:vAlign w:val="center"/>
                </w:tcPr>
                <w:p w14:paraId="3522C3F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19</w:t>
                  </w:r>
                </w:p>
              </w:tc>
            </w:tr>
            <w:tr w14:paraId="75D1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noWrap w:val="0"/>
                  <w:vAlign w:val="center"/>
                </w:tcPr>
                <w:p w14:paraId="0B151928">
                  <w:pPr>
                    <w:topLinePunct/>
                    <w:adjustRightInd w:val="0"/>
                    <w:snapToGrid w:val="0"/>
                    <w:jc w:val="center"/>
                    <w:textAlignment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年均浓度限值</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二级</w:t>
                  </w:r>
                  <w:r>
                    <w:rPr>
                      <w:rFonts w:hint="eastAsia" w:ascii="Times New Roman" w:hAnsi="Times New Roman" w:cs="Times New Roman"/>
                      <w:color w:val="auto"/>
                      <w:szCs w:val="21"/>
                      <w:lang w:eastAsia="zh-CN"/>
                    </w:rPr>
                    <w:t>）</w:t>
                  </w:r>
                </w:p>
              </w:tc>
              <w:tc>
                <w:tcPr>
                  <w:tcW w:w="559" w:type="pct"/>
                  <w:noWrap w:val="0"/>
                  <w:vAlign w:val="center"/>
                </w:tcPr>
                <w:p w14:paraId="230435C6">
                  <w:pPr>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553" w:type="pct"/>
                  <w:noWrap w:val="0"/>
                  <w:vAlign w:val="center"/>
                </w:tcPr>
                <w:p w14:paraId="39A5A9B0">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556" w:type="pct"/>
                  <w:gridSpan w:val="2"/>
                  <w:noWrap w:val="0"/>
                  <w:vAlign w:val="center"/>
                </w:tcPr>
                <w:p w14:paraId="1EBAF579">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556" w:type="pct"/>
                  <w:gridSpan w:val="2"/>
                  <w:noWrap w:val="0"/>
                  <w:vAlign w:val="center"/>
                </w:tcPr>
                <w:p w14:paraId="7A44E4A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559" w:type="pct"/>
                  <w:gridSpan w:val="2"/>
                  <w:noWrap w:val="0"/>
                  <w:vAlign w:val="center"/>
                </w:tcPr>
                <w:p w14:paraId="5141FBC0">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584" w:type="pct"/>
                  <w:gridSpan w:val="2"/>
                  <w:noWrap w:val="0"/>
                  <w:vAlign w:val="center"/>
                </w:tcPr>
                <w:p w14:paraId="00C9CA1E">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r>
            <w:tr w14:paraId="46F2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1" w:type="pct"/>
                  <w:gridSpan w:val="2"/>
                  <w:noWrap w:val="0"/>
                  <w:vAlign w:val="center"/>
                </w:tcPr>
                <w:p w14:paraId="2F5DAEF8">
                  <w:pPr>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c>
                <w:tcPr>
                  <w:tcW w:w="559" w:type="pct"/>
                  <w:noWrap w:val="0"/>
                  <w:vAlign w:val="center"/>
                </w:tcPr>
                <w:p w14:paraId="4CD8FB89">
                  <w:pPr>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553" w:type="pct"/>
                  <w:noWrap w:val="0"/>
                  <w:vAlign w:val="center"/>
                </w:tcPr>
                <w:p w14:paraId="52CB8A34">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556" w:type="pct"/>
                  <w:gridSpan w:val="2"/>
                  <w:noWrap w:val="0"/>
                  <w:vAlign w:val="center"/>
                </w:tcPr>
                <w:p w14:paraId="3D01CC48">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达标</w:t>
                  </w:r>
                </w:p>
              </w:tc>
              <w:tc>
                <w:tcPr>
                  <w:tcW w:w="556" w:type="pct"/>
                  <w:gridSpan w:val="2"/>
                  <w:noWrap w:val="0"/>
                  <w:vAlign w:val="center"/>
                </w:tcPr>
                <w:p w14:paraId="7C0C65F3">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达标</w:t>
                  </w:r>
                </w:p>
              </w:tc>
              <w:tc>
                <w:tcPr>
                  <w:tcW w:w="559" w:type="pct"/>
                  <w:gridSpan w:val="2"/>
                  <w:noWrap w:val="0"/>
                  <w:vAlign w:val="center"/>
                </w:tcPr>
                <w:p w14:paraId="68571FD2">
                  <w:pPr>
                    <w:jc w:val="center"/>
                    <w:rPr>
                      <w:rFonts w:hint="default" w:ascii="Times New Roman" w:hAnsi="Times New Roman" w:cs="Times New Roman"/>
                      <w:b/>
                      <w:color w:val="auto"/>
                      <w:szCs w:val="21"/>
                    </w:rPr>
                  </w:pPr>
                  <w:r>
                    <w:rPr>
                      <w:rFonts w:hint="default" w:ascii="Times New Roman" w:hAnsi="Times New Roman" w:cs="Times New Roman"/>
                      <w:bCs/>
                      <w:color w:val="auto"/>
                      <w:kern w:val="0"/>
                      <w:szCs w:val="21"/>
                    </w:rPr>
                    <w:t>达标</w:t>
                  </w:r>
                </w:p>
              </w:tc>
              <w:tc>
                <w:tcPr>
                  <w:tcW w:w="584" w:type="pct"/>
                  <w:gridSpan w:val="2"/>
                  <w:noWrap w:val="0"/>
                  <w:vAlign w:val="center"/>
                </w:tcPr>
                <w:p w14:paraId="0D69DD9A">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达标</w:t>
                  </w:r>
                </w:p>
              </w:tc>
            </w:tr>
          </w:tbl>
          <w:p w14:paraId="125E9820">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注：1.CO的浓度单位是mg/m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的浓度单位是μg/m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322B1A25">
            <w:pPr>
              <w:spacing w:line="240" w:lineRule="auto"/>
              <w:ind w:left="440" w:leftChars="20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2.CO为24小时平均第95百分位数，O3为日最大8小时平均第90百分位数。</w:t>
            </w:r>
          </w:p>
          <w:p w14:paraId="154A0ACE">
            <w:pPr>
              <w:pStyle w:val="2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cs="Times New Roman"/>
                <w:color w:val="auto"/>
                <w:szCs w:val="24"/>
                <w:shd w:val="clear" w:color="auto" w:fill="FFFFFF"/>
                <w:lang w:bidi="ar"/>
              </w:rPr>
            </w:pPr>
            <w:r>
              <w:rPr>
                <w:rFonts w:hint="default" w:ascii="Times New Roman" w:hAnsi="Times New Roman" w:cs="Times New Roman"/>
                <w:color w:val="auto"/>
                <w:szCs w:val="24"/>
                <w:shd w:val="clear" w:color="auto" w:fill="FFFFFF"/>
                <w:lang w:bidi="ar"/>
              </w:rPr>
              <w:t>由上表可见，项目所在围场满族自治县环境空气中，</w:t>
            </w:r>
            <w:r>
              <w:rPr>
                <w:rFonts w:hint="eastAsia" w:ascii="Times New Roman" w:hAnsi="Times New Roman" w:cs="Times New Roman"/>
                <w:color w:val="auto"/>
                <w:szCs w:val="24"/>
                <w:shd w:val="clear" w:color="auto" w:fill="FFFFFF"/>
                <w:lang w:val="en-US" w:eastAsia="zh-CN" w:bidi="ar"/>
              </w:rPr>
              <w:t>一类区</w:t>
            </w:r>
            <w:r>
              <w:rPr>
                <w:rFonts w:hint="default" w:ascii="Times New Roman" w:hAnsi="Times New Roman" w:cs="Times New Roman"/>
                <w:color w:val="auto"/>
                <w:szCs w:val="24"/>
                <w:shd w:val="clear" w:color="auto" w:fill="FFFFFF"/>
                <w:lang w:bidi="ar"/>
              </w:rPr>
              <w:t>PM</w:t>
            </w:r>
            <w:r>
              <w:rPr>
                <w:rFonts w:hint="default" w:ascii="Times New Roman" w:hAnsi="Times New Roman" w:cs="Times New Roman"/>
                <w:color w:val="auto"/>
                <w:szCs w:val="24"/>
                <w:shd w:val="clear" w:color="auto" w:fill="FFFFFF"/>
                <w:vertAlign w:val="subscript"/>
                <w:lang w:bidi="ar"/>
              </w:rPr>
              <w:t>10</w:t>
            </w:r>
            <w:r>
              <w:rPr>
                <w:rFonts w:hint="default" w:ascii="Times New Roman" w:hAnsi="Times New Roman" w:cs="Times New Roman"/>
                <w:color w:val="auto"/>
                <w:szCs w:val="24"/>
                <w:shd w:val="clear" w:color="auto" w:fill="FFFFFF"/>
                <w:lang w:bidi="ar"/>
              </w:rPr>
              <w:t>年均值、PM</w:t>
            </w:r>
            <w:r>
              <w:rPr>
                <w:rFonts w:hint="default" w:ascii="Times New Roman" w:hAnsi="Times New Roman" w:cs="Times New Roman"/>
                <w:color w:val="auto"/>
                <w:szCs w:val="24"/>
                <w:shd w:val="clear" w:color="auto" w:fill="FFFFFF"/>
                <w:vertAlign w:val="subscript"/>
                <w:lang w:bidi="ar"/>
              </w:rPr>
              <w:t>2.5</w:t>
            </w:r>
            <w:r>
              <w:rPr>
                <w:rFonts w:hint="default" w:ascii="Times New Roman" w:hAnsi="Times New Roman" w:cs="Times New Roman"/>
                <w:color w:val="auto"/>
                <w:szCs w:val="24"/>
                <w:shd w:val="clear" w:color="auto" w:fill="FFFFFF"/>
                <w:lang w:bidi="ar"/>
              </w:rPr>
              <w:t>年均值、SO</w:t>
            </w:r>
            <w:r>
              <w:rPr>
                <w:rFonts w:hint="default" w:ascii="Times New Roman" w:hAnsi="Times New Roman" w:cs="Times New Roman"/>
                <w:color w:val="auto"/>
                <w:szCs w:val="24"/>
                <w:shd w:val="clear" w:color="auto" w:fill="FFFFFF"/>
                <w:vertAlign w:val="subscript"/>
                <w:lang w:bidi="ar"/>
              </w:rPr>
              <w:t>2</w:t>
            </w:r>
            <w:r>
              <w:rPr>
                <w:rFonts w:hint="default" w:ascii="Times New Roman" w:hAnsi="Times New Roman" w:cs="Times New Roman"/>
                <w:color w:val="auto"/>
                <w:szCs w:val="24"/>
                <w:shd w:val="clear" w:color="auto" w:fill="FFFFFF"/>
                <w:lang w:bidi="ar"/>
              </w:rPr>
              <w:t>年均值、NO</w:t>
            </w:r>
            <w:r>
              <w:rPr>
                <w:rFonts w:hint="default" w:ascii="Times New Roman" w:hAnsi="Times New Roman" w:cs="Times New Roman"/>
                <w:color w:val="auto"/>
                <w:szCs w:val="24"/>
                <w:shd w:val="clear" w:color="auto" w:fill="FFFFFF"/>
                <w:vertAlign w:val="subscript"/>
                <w:lang w:bidi="ar"/>
              </w:rPr>
              <w:t>2</w:t>
            </w:r>
            <w:r>
              <w:rPr>
                <w:rFonts w:hint="default" w:ascii="Times New Roman" w:hAnsi="Times New Roman" w:cs="Times New Roman"/>
                <w:color w:val="auto"/>
                <w:szCs w:val="24"/>
                <w:shd w:val="clear" w:color="auto" w:fill="FFFFFF"/>
                <w:lang w:bidi="ar"/>
              </w:rPr>
              <w:t>年均值和CO24小时平均值及O</w:t>
            </w:r>
            <w:r>
              <w:rPr>
                <w:rFonts w:hint="default" w:ascii="Times New Roman" w:hAnsi="Times New Roman" w:cs="Times New Roman"/>
                <w:color w:val="auto"/>
                <w:szCs w:val="24"/>
                <w:shd w:val="clear" w:color="auto" w:fill="FFFFFF"/>
                <w:vertAlign w:val="subscript"/>
                <w:lang w:bidi="ar"/>
              </w:rPr>
              <w:t>3</w:t>
            </w:r>
            <w:r>
              <w:rPr>
                <w:rFonts w:hint="default" w:ascii="Times New Roman" w:hAnsi="Times New Roman" w:cs="Times New Roman"/>
                <w:color w:val="auto"/>
                <w:szCs w:val="24"/>
                <w:shd w:val="clear" w:color="auto" w:fill="FFFFFF"/>
                <w:lang w:bidi="ar"/>
              </w:rPr>
              <w:t>日最大8小时年均值均满足《环境空气质量标准》（GB3095-2012）</w:t>
            </w:r>
            <w:r>
              <w:rPr>
                <w:rFonts w:hint="eastAsia" w:ascii="Times New Roman" w:hAnsi="Times New Roman" w:cs="Times New Roman"/>
                <w:color w:val="auto"/>
                <w:szCs w:val="24"/>
                <w:shd w:val="clear" w:color="auto" w:fill="FFFFFF"/>
                <w:lang w:val="en-US" w:eastAsia="zh-CN" w:bidi="ar"/>
              </w:rPr>
              <w:t>一</w:t>
            </w:r>
            <w:r>
              <w:rPr>
                <w:rFonts w:hint="default" w:ascii="Times New Roman" w:hAnsi="Times New Roman" w:cs="Times New Roman"/>
                <w:color w:val="auto"/>
                <w:szCs w:val="24"/>
                <w:shd w:val="clear" w:color="auto" w:fill="FFFFFF"/>
                <w:lang w:bidi="ar"/>
              </w:rPr>
              <w:t>级标准及其修改单要求</w:t>
            </w:r>
            <w:r>
              <w:rPr>
                <w:rFonts w:hint="eastAsia" w:ascii="Times New Roman" w:hAnsi="Times New Roman" w:cs="Times New Roman"/>
                <w:color w:val="auto"/>
                <w:szCs w:val="24"/>
                <w:shd w:val="clear" w:color="auto" w:fill="FFFFFF"/>
                <w:lang w:eastAsia="zh-CN" w:bidi="ar"/>
              </w:rPr>
              <w:t>；</w:t>
            </w:r>
            <w:r>
              <w:rPr>
                <w:rFonts w:hint="eastAsia" w:ascii="Times New Roman" w:hAnsi="Times New Roman" w:cs="Times New Roman"/>
                <w:color w:val="auto"/>
                <w:szCs w:val="24"/>
                <w:shd w:val="clear" w:color="auto" w:fill="FFFFFF"/>
                <w:lang w:val="en-US" w:eastAsia="zh-CN" w:bidi="ar"/>
              </w:rPr>
              <w:t>二类区</w:t>
            </w:r>
            <w:r>
              <w:rPr>
                <w:rFonts w:hint="default" w:ascii="Times New Roman" w:hAnsi="Times New Roman" w:cs="Times New Roman"/>
                <w:color w:val="auto"/>
                <w:szCs w:val="24"/>
                <w:shd w:val="clear" w:color="auto" w:fill="FFFFFF"/>
                <w:lang w:bidi="ar"/>
              </w:rPr>
              <w:t>PM</w:t>
            </w:r>
            <w:r>
              <w:rPr>
                <w:rFonts w:hint="default" w:ascii="Times New Roman" w:hAnsi="Times New Roman" w:cs="Times New Roman"/>
                <w:color w:val="auto"/>
                <w:szCs w:val="24"/>
                <w:shd w:val="clear" w:color="auto" w:fill="FFFFFF"/>
                <w:vertAlign w:val="subscript"/>
                <w:lang w:bidi="ar"/>
              </w:rPr>
              <w:t>10</w:t>
            </w:r>
            <w:r>
              <w:rPr>
                <w:rFonts w:hint="default" w:ascii="Times New Roman" w:hAnsi="Times New Roman" w:cs="Times New Roman"/>
                <w:color w:val="auto"/>
                <w:szCs w:val="24"/>
                <w:shd w:val="clear" w:color="auto" w:fill="FFFFFF"/>
                <w:lang w:bidi="ar"/>
              </w:rPr>
              <w:t>年均值、PM</w:t>
            </w:r>
            <w:r>
              <w:rPr>
                <w:rFonts w:hint="default" w:ascii="Times New Roman" w:hAnsi="Times New Roman" w:cs="Times New Roman"/>
                <w:color w:val="auto"/>
                <w:szCs w:val="24"/>
                <w:shd w:val="clear" w:color="auto" w:fill="FFFFFF"/>
                <w:vertAlign w:val="subscript"/>
                <w:lang w:bidi="ar"/>
              </w:rPr>
              <w:t>2.5</w:t>
            </w:r>
            <w:r>
              <w:rPr>
                <w:rFonts w:hint="default" w:ascii="Times New Roman" w:hAnsi="Times New Roman" w:cs="Times New Roman"/>
                <w:color w:val="auto"/>
                <w:szCs w:val="24"/>
                <w:shd w:val="clear" w:color="auto" w:fill="FFFFFF"/>
                <w:lang w:bidi="ar"/>
              </w:rPr>
              <w:t>年均值、SO</w:t>
            </w:r>
            <w:r>
              <w:rPr>
                <w:rFonts w:hint="default" w:ascii="Times New Roman" w:hAnsi="Times New Roman" w:cs="Times New Roman"/>
                <w:color w:val="auto"/>
                <w:szCs w:val="24"/>
                <w:shd w:val="clear" w:color="auto" w:fill="FFFFFF"/>
                <w:vertAlign w:val="subscript"/>
                <w:lang w:bidi="ar"/>
              </w:rPr>
              <w:t>2</w:t>
            </w:r>
            <w:r>
              <w:rPr>
                <w:rFonts w:hint="default" w:ascii="Times New Roman" w:hAnsi="Times New Roman" w:cs="Times New Roman"/>
                <w:color w:val="auto"/>
                <w:szCs w:val="24"/>
                <w:shd w:val="clear" w:color="auto" w:fill="FFFFFF"/>
                <w:lang w:bidi="ar"/>
              </w:rPr>
              <w:t>年均值、NO</w:t>
            </w:r>
            <w:r>
              <w:rPr>
                <w:rFonts w:hint="default" w:ascii="Times New Roman" w:hAnsi="Times New Roman" w:cs="Times New Roman"/>
                <w:color w:val="auto"/>
                <w:szCs w:val="24"/>
                <w:shd w:val="clear" w:color="auto" w:fill="FFFFFF"/>
                <w:vertAlign w:val="subscript"/>
                <w:lang w:bidi="ar"/>
              </w:rPr>
              <w:t>2</w:t>
            </w:r>
            <w:r>
              <w:rPr>
                <w:rFonts w:hint="default" w:ascii="Times New Roman" w:hAnsi="Times New Roman" w:cs="Times New Roman"/>
                <w:color w:val="auto"/>
                <w:szCs w:val="24"/>
                <w:shd w:val="clear" w:color="auto" w:fill="FFFFFF"/>
                <w:lang w:bidi="ar"/>
              </w:rPr>
              <w:t>年均值和CO24小时平均值及O</w:t>
            </w:r>
            <w:r>
              <w:rPr>
                <w:rFonts w:hint="default" w:ascii="Times New Roman" w:hAnsi="Times New Roman" w:cs="Times New Roman"/>
                <w:color w:val="auto"/>
                <w:szCs w:val="24"/>
                <w:shd w:val="clear" w:color="auto" w:fill="FFFFFF"/>
                <w:vertAlign w:val="subscript"/>
                <w:lang w:bidi="ar"/>
              </w:rPr>
              <w:t>3</w:t>
            </w:r>
            <w:r>
              <w:rPr>
                <w:rFonts w:hint="default" w:ascii="Times New Roman" w:hAnsi="Times New Roman" w:cs="Times New Roman"/>
                <w:color w:val="auto"/>
                <w:szCs w:val="24"/>
                <w:shd w:val="clear" w:color="auto" w:fill="FFFFFF"/>
                <w:lang w:bidi="ar"/>
              </w:rPr>
              <w:t>日最大8小时年均值均满足《环境空气质量标准》（GB3095-2012）二级标准及其修改单要求，区域大气环境质量较好，项目所在区域环境空气质量达标。</w:t>
            </w:r>
          </w:p>
          <w:p w14:paraId="51C25B23">
            <w:pPr>
              <w:pStyle w:val="27"/>
              <w:spacing w:line="480" w:lineRule="exact"/>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5、水环境质量现状</w:t>
            </w:r>
          </w:p>
          <w:p w14:paraId="282F272E">
            <w:pPr>
              <w:pStyle w:val="10"/>
              <w:spacing w:before="0" w:after="0" w:line="480" w:lineRule="exact"/>
              <w:ind w:firstLine="480" w:firstLineChars="200"/>
              <w:rPr>
                <w:rFonts w:hint="default" w:ascii="Times New Roman" w:hAnsi="Times New Roman" w:eastAsia="宋体" w:cs="Times New Roman"/>
                <w:b w:val="0"/>
                <w:color w:val="auto"/>
                <w:sz w:val="24"/>
                <w:szCs w:val="24"/>
                <w:highlight w:val="none"/>
                <w:lang w:val="en-US"/>
              </w:rPr>
            </w:pPr>
            <w:r>
              <w:rPr>
                <w:rFonts w:hint="default" w:ascii="Times New Roman" w:hAnsi="Times New Roman" w:eastAsia="宋体" w:cs="Times New Roman"/>
                <w:b w:val="0"/>
                <w:color w:val="auto"/>
                <w:sz w:val="24"/>
                <w:szCs w:val="24"/>
                <w:highlight w:val="none"/>
              </w:rPr>
              <w:t>项目</w:t>
            </w:r>
            <w:r>
              <w:rPr>
                <w:rFonts w:hint="default" w:ascii="Times New Roman" w:hAnsi="Times New Roman" w:eastAsia="宋体" w:cs="Times New Roman"/>
                <w:b w:val="0"/>
                <w:color w:val="auto"/>
                <w:sz w:val="24"/>
                <w:szCs w:val="24"/>
                <w:highlight w:val="none"/>
                <w:lang w:eastAsia="zh-CN"/>
              </w:rPr>
              <w:t>所在</w:t>
            </w:r>
            <w:r>
              <w:rPr>
                <w:rFonts w:hint="default" w:ascii="Times New Roman" w:hAnsi="Times New Roman" w:eastAsia="宋体" w:cs="Times New Roman"/>
                <w:b w:val="0"/>
                <w:color w:val="auto"/>
                <w:sz w:val="24"/>
                <w:szCs w:val="24"/>
                <w:highlight w:val="none"/>
              </w:rPr>
              <w:t>区域属于</w:t>
            </w:r>
            <w:r>
              <w:rPr>
                <w:rFonts w:hint="default" w:ascii="Times New Roman" w:hAnsi="Times New Roman" w:eastAsia="宋体" w:cs="Times New Roman"/>
                <w:b w:val="0"/>
                <w:color w:val="auto"/>
                <w:sz w:val="24"/>
                <w:szCs w:val="24"/>
                <w:highlight w:val="none"/>
                <w:lang w:eastAsia="zh-CN"/>
              </w:rPr>
              <w:t>小滦河和蚁蚂图河，小滦河属于</w:t>
            </w:r>
            <w:r>
              <w:rPr>
                <w:rFonts w:hint="default" w:ascii="Times New Roman" w:hAnsi="Times New Roman" w:eastAsia="宋体" w:cs="Times New Roman"/>
                <w:b w:val="0"/>
                <w:color w:val="auto"/>
                <w:sz w:val="24"/>
                <w:szCs w:val="24"/>
                <w:highlight w:val="none"/>
              </w:rPr>
              <w:t>滦河</w:t>
            </w:r>
            <w:r>
              <w:rPr>
                <w:rFonts w:hint="default" w:ascii="Times New Roman" w:hAnsi="Times New Roman" w:eastAsia="宋体" w:cs="Times New Roman"/>
                <w:b w:val="0"/>
                <w:color w:val="auto"/>
                <w:sz w:val="24"/>
                <w:szCs w:val="24"/>
                <w:highlight w:val="none"/>
                <w:lang w:eastAsia="zh-CN"/>
              </w:rPr>
              <w:t>支流，蚁蚂图河属于伊逊河支流</w:t>
            </w:r>
            <w:r>
              <w:rPr>
                <w:rFonts w:hint="default" w:ascii="Times New Roman" w:hAnsi="Times New Roman" w:eastAsia="宋体" w:cs="Times New Roman"/>
                <w:b w:val="0"/>
                <w:color w:val="auto"/>
                <w:sz w:val="24"/>
                <w:szCs w:val="24"/>
                <w:highlight w:val="none"/>
              </w:rPr>
              <w:t>，</w:t>
            </w:r>
            <w:r>
              <w:rPr>
                <w:rFonts w:hint="default" w:ascii="Times New Roman" w:hAnsi="Times New Roman" w:eastAsia="宋体" w:cs="Times New Roman"/>
                <w:b w:val="0"/>
                <w:color w:val="auto"/>
                <w:sz w:val="24"/>
                <w:szCs w:val="24"/>
                <w:highlight w:val="none"/>
                <w:lang w:eastAsia="zh-CN"/>
              </w:rPr>
              <w:t>小滦河和蚁蚂图河无监测断面，小滦河下游最近的监测断面为滦河上的</w:t>
            </w:r>
            <w:r>
              <w:rPr>
                <w:rFonts w:hint="default" w:ascii="Times New Roman" w:hAnsi="Times New Roman" w:eastAsia="宋体" w:cs="Times New Roman"/>
                <w:b w:val="0"/>
                <w:color w:val="auto"/>
                <w:sz w:val="24"/>
                <w:szCs w:val="24"/>
                <w:highlight w:val="none"/>
              </w:rPr>
              <w:t>郭家屯</w:t>
            </w:r>
            <w:r>
              <w:rPr>
                <w:rFonts w:hint="default" w:ascii="Times New Roman" w:hAnsi="Times New Roman" w:eastAsia="宋体" w:cs="Times New Roman"/>
                <w:b w:val="0"/>
                <w:color w:val="auto"/>
                <w:sz w:val="24"/>
                <w:szCs w:val="24"/>
                <w:highlight w:val="none"/>
                <w:lang w:eastAsia="zh-CN"/>
              </w:rPr>
              <w:t>监测断面，蚁蚂图河下游最近的监测断面为伊逊河上的李台监测断面</w:t>
            </w:r>
            <w:r>
              <w:rPr>
                <w:rFonts w:hint="default" w:ascii="Times New Roman" w:hAnsi="Times New Roman" w:eastAsia="宋体" w:cs="Times New Roman"/>
                <w:b w:val="0"/>
                <w:color w:val="auto"/>
                <w:sz w:val="24"/>
                <w:szCs w:val="24"/>
                <w:highlight w:val="none"/>
              </w:rPr>
              <w:t>。根据承德市生态环境局发布的</w:t>
            </w:r>
            <w:r>
              <w:rPr>
                <w:rFonts w:hint="default" w:ascii="Times New Roman" w:hAnsi="Times New Roman" w:eastAsia="宋体" w:cs="Times New Roman"/>
                <w:b w:val="0"/>
                <w:bCs w:val="0"/>
                <w:color w:val="auto"/>
                <w:sz w:val="24"/>
                <w:szCs w:val="24"/>
                <w:highlight w:val="none"/>
              </w:rPr>
              <w:t>《2023年承德市生态环境状况公报》</w:t>
            </w:r>
            <w:r>
              <w:rPr>
                <w:rFonts w:hint="default" w:ascii="Times New Roman" w:hAnsi="Times New Roman" w:eastAsia="宋体" w:cs="Times New Roman"/>
                <w:b w:val="0"/>
                <w:color w:val="auto"/>
                <w:sz w:val="24"/>
                <w:szCs w:val="24"/>
                <w:highlight w:val="none"/>
              </w:rPr>
              <w:t>：2023年，承德市滦河水质总体为优，与2022年持平</w:t>
            </w:r>
            <w:r>
              <w:rPr>
                <w:rFonts w:hint="default" w:ascii="Times New Roman" w:hAnsi="Times New Roman" w:eastAsia="宋体" w:cs="Times New Roman"/>
                <w:b w:val="0"/>
                <w:color w:val="auto"/>
                <w:sz w:val="24"/>
                <w:szCs w:val="24"/>
                <w:highlight w:val="none"/>
                <w:lang w:eastAsia="zh-CN"/>
              </w:rPr>
              <w:t>，滦河</w:t>
            </w:r>
            <w:r>
              <w:rPr>
                <w:rFonts w:hint="default" w:ascii="Times New Roman" w:hAnsi="Times New Roman" w:eastAsia="宋体" w:cs="Times New Roman"/>
                <w:b w:val="0"/>
                <w:color w:val="auto"/>
                <w:sz w:val="24"/>
                <w:szCs w:val="24"/>
                <w:highlight w:val="none"/>
              </w:rPr>
              <w:t>监测断面中郭家屯</w:t>
            </w:r>
            <w:r>
              <w:rPr>
                <w:rFonts w:hint="default" w:ascii="Times New Roman" w:hAnsi="Times New Roman" w:eastAsia="宋体" w:cs="Times New Roman"/>
                <w:b w:val="0"/>
                <w:color w:val="auto"/>
                <w:sz w:val="24"/>
                <w:szCs w:val="24"/>
                <w:highlight w:val="none"/>
                <w:lang w:eastAsia="zh-CN"/>
              </w:rPr>
              <w:t>监测断面</w:t>
            </w:r>
            <w:r>
              <w:rPr>
                <w:rFonts w:hint="default" w:ascii="Times New Roman" w:hAnsi="Times New Roman" w:eastAsia="宋体" w:cs="Times New Roman"/>
                <w:b w:val="0"/>
                <w:color w:val="auto"/>
                <w:sz w:val="24"/>
                <w:szCs w:val="24"/>
                <w:highlight w:val="none"/>
              </w:rPr>
              <w:t>水质为</w:t>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 3 \* ROMAN \* MERGEFORMAT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III</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t>类</w:t>
            </w:r>
            <w:r>
              <w:rPr>
                <w:rFonts w:hint="default" w:ascii="Times New Roman" w:hAnsi="Times New Roman" w:eastAsia="宋体" w:cs="Times New Roman"/>
                <w:b w:val="0"/>
                <w:color w:val="auto"/>
                <w:sz w:val="24"/>
                <w:szCs w:val="24"/>
                <w:highlight w:val="none"/>
                <w:lang w:eastAsia="zh-CN"/>
              </w:rPr>
              <w:t>；</w:t>
            </w:r>
            <w:r>
              <w:rPr>
                <w:rFonts w:hint="default" w:ascii="Times New Roman" w:hAnsi="Times New Roman" w:eastAsia="宋体" w:cs="Times New Roman"/>
                <w:b w:val="0"/>
                <w:color w:val="auto"/>
                <w:sz w:val="24"/>
                <w:szCs w:val="24"/>
                <w:highlight w:val="none"/>
              </w:rPr>
              <w:t>承德市</w:t>
            </w:r>
            <w:r>
              <w:rPr>
                <w:rFonts w:hint="default" w:ascii="Times New Roman" w:hAnsi="Times New Roman" w:eastAsia="宋体" w:cs="Times New Roman"/>
                <w:b w:val="0"/>
                <w:color w:val="auto"/>
                <w:sz w:val="24"/>
                <w:szCs w:val="24"/>
                <w:highlight w:val="none"/>
                <w:lang w:eastAsia="zh-CN"/>
              </w:rPr>
              <w:t>伊逊河</w:t>
            </w:r>
            <w:r>
              <w:rPr>
                <w:rFonts w:hint="default" w:ascii="Times New Roman" w:hAnsi="Times New Roman" w:eastAsia="宋体" w:cs="Times New Roman"/>
                <w:b w:val="0"/>
                <w:color w:val="auto"/>
                <w:sz w:val="24"/>
                <w:szCs w:val="24"/>
                <w:highlight w:val="none"/>
              </w:rPr>
              <w:t>水质总体为优，与2022年持平</w:t>
            </w:r>
            <w:r>
              <w:rPr>
                <w:rFonts w:hint="default" w:ascii="Times New Roman" w:hAnsi="Times New Roman" w:eastAsia="宋体" w:cs="Times New Roman"/>
                <w:b w:val="0"/>
                <w:color w:val="auto"/>
                <w:sz w:val="24"/>
                <w:szCs w:val="24"/>
                <w:highlight w:val="none"/>
                <w:lang w:eastAsia="zh-CN"/>
              </w:rPr>
              <w:t>，伊逊河监测断面上的李台监测断面水质为</w:t>
            </w:r>
            <w:r>
              <w:rPr>
                <w:rFonts w:hint="default" w:ascii="Times New Roman" w:hAnsi="Times New Roman" w:eastAsia="微软雅黑" w:cs="Times New Roman"/>
                <w:b w:val="0"/>
                <w:color w:val="auto"/>
                <w:sz w:val="24"/>
                <w:szCs w:val="24"/>
                <w:highlight w:val="none"/>
                <w:lang w:eastAsia="zh-CN"/>
              </w:rPr>
              <w:t>Ⅱ</w:t>
            </w:r>
            <w:r>
              <w:rPr>
                <w:rFonts w:hint="default" w:ascii="Times New Roman" w:hAnsi="Times New Roman" w:eastAsia="宋体" w:cs="Times New Roman"/>
                <w:b w:val="0"/>
                <w:color w:val="auto"/>
                <w:sz w:val="24"/>
                <w:szCs w:val="24"/>
                <w:highlight w:val="none"/>
                <w:lang w:eastAsia="zh-CN"/>
              </w:rPr>
              <w:t>类</w:t>
            </w:r>
            <w:r>
              <w:rPr>
                <w:rFonts w:hint="default" w:ascii="Times New Roman" w:hAnsi="Times New Roman" w:eastAsia="微软雅黑" w:cs="Times New Roman"/>
                <w:b w:val="0"/>
                <w:color w:val="auto"/>
                <w:sz w:val="24"/>
                <w:szCs w:val="24"/>
                <w:highlight w:val="none"/>
                <w:lang w:eastAsia="zh-CN"/>
              </w:rPr>
              <w:t>。</w:t>
            </w:r>
          </w:p>
          <w:p w14:paraId="33FEE4E8">
            <w:pPr>
              <w:pStyle w:val="2"/>
              <w:adjustRightInd w:val="0"/>
              <w:snapToGrid w:val="0"/>
              <w:spacing w:after="0" w:line="480" w:lineRule="exact"/>
              <w:ind w:firstLine="482" w:firstLineChars="200"/>
              <w:rPr>
                <w:rFonts w:hint="default" w:ascii="Times New Roman" w:hAnsi="Times New Roman" w:eastAsia="宋体" w:cs="Times New Roman"/>
                <w:b/>
                <w:bCs/>
                <w:snapToGrid w:val="0"/>
                <w:color w:val="auto"/>
                <w:sz w:val="24"/>
                <w:szCs w:val="24"/>
                <w:highlight w:val="none"/>
                <w:lang w:eastAsia="zh-CN"/>
              </w:rPr>
            </w:pPr>
            <w:r>
              <w:rPr>
                <w:rFonts w:hint="default" w:ascii="Times New Roman" w:hAnsi="Times New Roman" w:eastAsia="宋体" w:cs="Times New Roman"/>
                <w:b/>
                <w:bCs/>
                <w:snapToGrid w:val="0"/>
                <w:color w:val="auto"/>
                <w:sz w:val="24"/>
                <w:szCs w:val="24"/>
                <w:highlight w:val="none"/>
                <w:lang w:eastAsia="zh-CN"/>
              </w:rPr>
              <w:t>6、工频电磁场环境现状</w:t>
            </w:r>
          </w:p>
          <w:p w14:paraId="54A05FE9">
            <w:pPr>
              <w:pStyle w:val="2"/>
              <w:spacing w:after="0" w:line="480" w:lineRule="exact"/>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为了解项目拟建输电线路周边电磁环境质量现状，委托</w:t>
            </w: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对本项目电磁环境现状进行了监测，监测报告编号为：</w:t>
            </w:r>
            <w:r>
              <w:rPr>
                <w:rFonts w:hint="default" w:ascii="Times New Roman" w:hAnsi="Times New Roman" w:eastAsia="宋体" w:cs="Times New Roman"/>
                <w:bCs/>
                <w:color w:val="auto"/>
                <w:sz w:val="24"/>
                <w:szCs w:val="24"/>
                <w:highlight w:val="none"/>
                <w:lang w:eastAsia="zh-CN"/>
              </w:rPr>
              <w:t>DLHJ字（2024）第224号（详见附件）。</w:t>
            </w:r>
          </w:p>
          <w:p w14:paraId="278C605D">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（1）监测仪器</w:t>
            </w:r>
          </w:p>
          <w:p w14:paraId="4F5986C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所用仪器均经国家计量部门检验合格，并处于检验证书有效期内，仪器的频率性能覆盖监测对象的频率范围。</w:t>
            </w:r>
          </w:p>
          <w:p w14:paraId="40B4DD70">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表3-5  本项目监测仪器一览表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55"/>
              <w:gridCol w:w="1172"/>
              <w:gridCol w:w="1964"/>
              <w:gridCol w:w="2002"/>
              <w:gridCol w:w="1707"/>
            </w:tblGrid>
            <w:tr w14:paraId="12F4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 w:type="pct"/>
                  <w:vAlign w:val="center"/>
                </w:tcPr>
                <w:p w14:paraId="759FF7BD">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序号</w:t>
                  </w:r>
                </w:p>
              </w:tc>
              <w:tc>
                <w:tcPr>
                  <w:tcW w:w="787" w:type="pct"/>
                  <w:vAlign w:val="center"/>
                </w:tcPr>
                <w:p w14:paraId="14EFF6A3">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仪器名称、编号</w:t>
                  </w:r>
                </w:p>
              </w:tc>
              <w:tc>
                <w:tcPr>
                  <w:tcW w:w="681" w:type="pct"/>
                  <w:vAlign w:val="center"/>
                </w:tcPr>
                <w:p w14:paraId="54D5911F">
                  <w:pPr>
                    <w:autoSpaceDE/>
                    <w:autoSpaceDN/>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w:t>
                  </w:r>
                </w:p>
                <w:p w14:paraId="202D3E29">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型号</w:t>
                  </w:r>
                </w:p>
              </w:tc>
              <w:tc>
                <w:tcPr>
                  <w:tcW w:w="1141" w:type="pct"/>
                  <w:vAlign w:val="center"/>
                </w:tcPr>
                <w:p w14:paraId="02B673F4">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测量范围或量程</w:t>
                  </w:r>
                </w:p>
              </w:tc>
              <w:tc>
                <w:tcPr>
                  <w:tcW w:w="1163" w:type="pct"/>
                  <w:vAlign w:val="center"/>
                </w:tcPr>
                <w:p w14:paraId="2C8B0EF0">
                  <w:pPr>
                    <w:autoSpaceDE/>
                    <w:autoSpaceDN/>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w:t>
                  </w:r>
                </w:p>
                <w:p w14:paraId="6DC8E8F9">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有效期</w:t>
                  </w:r>
                </w:p>
              </w:tc>
              <w:tc>
                <w:tcPr>
                  <w:tcW w:w="991" w:type="pct"/>
                  <w:vAlign w:val="center"/>
                </w:tcPr>
                <w:p w14:paraId="4F9E9CDB">
                  <w:pPr>
                    <w:autoSpaceDE/>
                    <w:autoSpaceDN/>
                    <w:spacing w:line="30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检定/校准机构</w:t>
                  </w:r>
                </w:p>
              </w:tc>
            </w:tr>
            <w:tr w14:paraId="58A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 w:type="pct"/>
                  <w:vAlign w:val="center"/>
                </w:tcPr>
                <w:p w14:paraId="42903850">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1</w:t>
                  </w:r>
                </w:p>
              </w:tc>
              <w:tc>
                <w:tcPr>
                  <w:tcW w:w="787" w:type="pct"/>
                  <w:vAlign w:val="center"/>
                </w:tcPr>
                <w:p w14:paraId="31CD3426">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电磁辐射分析仪DLYQ-65</w:t>
                  </w:r>
                </w:p>
              </w:tc>
              <w:tc>
                <w:tcPr>
                  <w:tcW w:w="681" w:type="pct"/>
                  <w:vAlign w:val="center"/>
                </w:tcPr>
                <w:p w14:paraId="28565C8A">
                  <w:pPr>
                    <w:autoSpaceDE/>
                    <w:autoSpaceDN/>
                    <w:spacing w:line="300" w:lineRule="exact"/>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LF-01D/</w:t>
                  </w:r>
                </w:p>
                <w:p w14:paraId="1428DF98">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SEM-600</w:t>
                  </w:r>
                </w:p>
              </w:tc>
              <w:tc>
                <w:tcPr>
                  <w:tcW w:w="1141" w:type="pct"/>
                  <w:vAlign w:val="center"/>
                </w:tcPr>
                <w:p w14:paraId="7F168C4D">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0.01V/m～100kV/m  1nT～10mT</w:t>
                  </w:r>
                </w:p>
              </w:tc>
              <w:tc>
                <w:tcPr>
                  <w:tcW w:w="1163" w:type="pct"/>
                  <w:vAlign w:val="center"/>
                </w:tcPr>
                <w:p w14:paraId="1F116E1F">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2024年05月10日-2025年05月09日</w:t>
                  </w:r>
                </w:p>
              </w:tc>
              <w:tc>
                <w:tcPr>
                  <w:tcW w:w="991" w:type="pct"/>
                  <w:vAlign w:val="center"/>
                </w:tcPr>
                <w:p w14:paraId="7ABA5062">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中国计量科学研究院</w:t>
                  </w:r>
                </w:p>
              </w:tc>
            </w:tr>
            <w:tr w14:paraId="2A56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 w:type="pct"/>
                  <w:vAlign w:val="center"/>
                </w:tcPr>
                <w:p w14:paraId="284E01DD">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787" w:type="pct"/>
                  <w:vAlign w:val="center"/>
                </w:tcPr>
                <w:p w14:paraId="53AA51C0">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温湿度表DLYQ-37</w:t>
                  </w:r>
                </w:p>
              </w:tc>
              <w:tc>
                <w:tcPr>
                  <w:tcW w:w="681" w:type="pct"/>
                  <w:vAlign w:val="center"/>
                </w:tcPr>
                <w:p w14:paraId="480F241E">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WHM5型</w:t>
                  </w:r>
                </w:p>
              </w:tc>
              <w:tc>
                <w:tcPr>
                  <w:tcW w:w="1141" w:type="pct"/>
                  <w:vAlign w:val="center"/>
                </w:tcPr>
                <w:p w14:paraId="07E965EC">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-20℃～+40℃ （0～100%）RH</w:t>
                  </w:r>
                </w:p>
              </w:tc>
              <w:tc>
                <w:tcPr>
                  <w:tcW w:w="1163" w:type="pct"/>
                  <w:vAlign w:val="center"/>
                </w:tcPr>
                <w:p w14:paraId="1FF7CC1A">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2024年01月08日-2025年01月07日</w:t>
                  </w:r>
                </w:p>
              </w:tc>
              <w:tc>
                <w:tcPr>
                  <w:tcW w:w="991" w:type="pct"/>
                  <w:vAlign w:val="center"/>
                </w:tcPr>
                <w:p w14:paraId="005DD239">
                  <w:pPr>
                    <w:autoSpaceDE/>
                    <w:autoSpaceDN/>
                    <w:spacing w:line="300" w:lineRule="exact"/>
                    <w:jc w:val="center"/>
                    <w:rPr>
                      <w:rFonts w:hint="default" w:ascii="Times New Roman" w:hAnsi="Times New Roman" w:eastAsia="宋体" w:cs="Times New Roman"/>
                      <w:color w:val="auto"/>
                      <w:kern w:val="2"/>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r>
          </w:tbl>
          <w:p w14:paraId="5399916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（2）监测方法</w:t>
            </w:r>
          </w:p>
          <w:p w14:paraId="456CB1E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按照《交流输变电工程电磁环境监测方法（试行）》（HJ681-2013）进行。</w:t>
            </w:r>
          </w:p>
          <w:p w14:paraId="75F0CFD0">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（3）监测点位、监测频次及监测因子</w:t>
            </w:r>
          </w:p>
          <w:p w14:paraId="32615EE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监测点位：</w:t>
            </w:r>
            <w:r>
              <w:rPr>
                <w:rFonts w:hint="eastAsia" w:ascii="Times New Roman" w:hAnsi="Times New Roman" w:eastAsia="宋体" w:cs="Times New Roman"/>
                <w:color w:val="auto"/>
                <w:sz w:val="24"/>
                <w:szCs w:val="24"/>
                <w:highlight w:val="none"/>
                <w:lang w:eastAsia="zh-CN"/>
              </w:rPr>
              <w:t>根据《环境影响评价技术导则</w:t>
            </w:r>
            <w:r>
              <w:rPr>
                <w:rFonts w:hint="eastAsia" w:ascii="Times New Roman" w:hAnsi="Times New Roman" w:eastAsia="宋体" w:cs="Times New Roman"/>
                <w:color w:val="auto"/>
                <w:sz w:val="24"/>
                <w:szCs w:val="24"/>
                <w:highlight w:val="none"/>
                <w:lang w:val="en-US" w:eastAsia="zh-CN"/>
              </w:rPr>
              <w:t xml:space="preserve"> 输变电</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HJ24-2020</w:t>
            </w:r>
            <w:r>
              <w:rPr>
                <w:rFonts w:hint="eastAsia" w:ascii="Times New Roman" w:hAnsi="Times New Roman" w:eastAsia="宋体" w:cs="Times New Roman"/>
                <w:color w:val="auto"/>
                <w:sz w:val="24"/>
                <w:szCs w:val="24"/>
                <w:highlight w:val="none"/>
                <w:lang w:eastAsia="zh-CN"/>
              </w:rPr>
              <w:t>），本项目电磁环境评价等级为三级，无电磁环境保护目标，单回路线路段对线路沿线电磁环境均匀布设</w:t>
            </w:r>
            <w:r>
              <w:rPr>
                <w:rFonts w:hint="eastAsia" w:ascii="Times New Roman" w:hAnsi="Times New Roman" w:eastAsia="宋体" w:cs="Times New Roman"/>
                <w:color w:val="auto"/>
                <w:sz w:val="24"/>
                <w:szCs w:val="24"/>
                <w:highlight w:val="none"/>
                <w:lang w:val="en-US" w:eastAsia="zh-CN"/>
              </w:rPr>
              <w:t>3个点位（其中保护区内布设2个，保护区外布设1个），双回线路处位于华能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w:t>
            </w:r>
            <w:r>
              <w:rPr>
                <w:rFonts w:hint="eastAsia" w:ascii="Times New Roman" w:hAnsi="Times New Roman" w:eastAsia="宋体" w:cs="Times New Roman"/>
                <w:color w:val="auto"/>
                <w:sz w:val="24"/>
                <w:szCs w:val="24"/>
                <w:highlight w:val="none"/>
                <w:lang w:val="en-US" w:eastAsia="zh-CN"/>
              </w:rPr>
              <w:t>220kV间隔</w:t>
            </w:r>
            <w:r>
              <w:rPr>
                <w:rFonts w:hint="eastAsia" w:ascii="Times New Roman" w:hAnsi="Times New Roman" w:eastAsia="宋体" w:cs="Times New Roman"/>
                <w:color w:val="auto"/>
                <w:sz w:val="24"/>
                <w:szCs w:val="24"/>
                <w:highlight w:val="none"/>
                <w:lang w:eastAsia="zh-CN"/>
              </w:rPr>
              <w:t>进线端，因此双回路段监测点位引用</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升压站工程南侧监测点（监测点位在本项目评价范围内），</w:t>
            </w:r>
            <w:r>
              <w:rPr>
                <w:rFonts w:hint="default" w:ascii="Times New Roman" w:hAnsi="Times New Roman" w:eastAsia="宋体" w:cs="Times New Roman"/>
                <w:color w:val="auto"/>
                <w:sz w:val="24"/>
                <w:szCs w:val="24"/>
                <w:highlight w:val="none"/>
              </w:rPr>
              <w:t>华能围场“风光储氢热一体化”项目（光伏200MW）项目220kV送出线路工程项目拟建220kV线路N15~N16塔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N13~N14塔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之间线下设1个监测点（1#），拟建220kV线路N25-N26塔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N22~N23塔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之间线下设1个监测点（2#），拟建220kV线路N57~N58塔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N49~N50塔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升压站南侧监测点（</w:t>
            </w:r>
            <w:r>
              <w:rPr>
                <w:rFonts w:hint="eastAsia" w:ascii="Times New Roman" w:hAnsi="Times New Roman" w:eastAsia="宋体" w:cs="Times New Roman"/>
                <w:color w:val="auto"/>
                <w:sz w:val="24"/>
                <w:szCs w:val="24"/>
                <w:highlight w:val="none"/>
                <w:lang w:val="en-US" w:eastAsia="zh-CN"/>
              </w:rPr>
              <w:t>4#，引用点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共设置</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个监测点位。监测布点示意图见附图3。</w:t>
            </w:r>
          </w:p>
          <w:p w14:paraId="5C8316B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监测频次：监测1次。</w:t>
            </w:r>
          </w:p>
          <w:p w14:paraId="2C0A5C6B">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监测因子：工频电场（V/m）、工频磁场（μT）。</w:t>
            </w:r>
          </w:p>
          <w:p w14:paraId="24883FB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（4）监测单位、时间</w:t>
            </w:r>
          </w:p>
          <w:p w14:paraId="1A0187A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于2024年8月15日</w:t>
            </w:r>
            <w:r>
              <w:rPr>
                <w:rFonts w:hint="eastAsia" w:ascii="Times New Roman" w:hAnsi="Times New Roman" w:eastAsia="宋体" w:cs="Times New Roman"/>
                <w:color w:val="auto"/>
                <w:sz w:val="24"/>
                <w:szCs w:val="24"/>
                <w:highlight w:val="none"/>
                <w:lang w:eastAsia="zh-CN"/>
              </w:rPr>
              <w:t>、河北辐翱检测技术有限公司</w:t>
            </w:r>
            <w:r>
              <w:rPr>
                <w:rFonts w:hint="eastAsia" w:ascii="Times New Roman" w:hAnsi="Times New Roman" w:eastAsia="宋体" w:cs="Times New Roman"/>
                <w:color w:val="auto"/>
                <w:sz w:val="24"/>
                <w:szCs w:val="24"/>
                <w:highlight w:val="none"/>
                <w:lang w:val="en-US" w:eastAsia="zh-CN"/>
              </w:rPr>
              <w:t>9月1日</w:t>
            </w:r>
            <w:r>
              <w:rPr>
                <w:rFonts w:hint="default" w:ascii="Times New Roman" w:hAnsi="Times New Roman" w:eastAsia="宋体" w:cs="Times New Roman"/>
                <w:color w:val="auto"/>
                <w:sz w:val="24"/>
                <w:szCs w:val="24"/>
                <w:highlight w:val="none"/>
                <w:lang w:eastAsia="zh-CN"/>
              </w:rPr>
              <w:t>进行监测。</w:t>
            </w:r>
          </w:p>
          <w:p w14:paraId="47BDFDA4">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无雨无雪，昼间：环境温度：22-25℃；相对湿度：</w:t>
            </w:r>
            <w:r>
              <w:rPr>
                <w:rFonts w:hint="eastAsia" w:ascii="Times New Roman" w:hAnsi="Times New Roman" w:eastAsia="宋体" w:cs="Times New Roman"/>
                <w:color w:val="auto"/>
                <w:sz w:val="24"/>
                <w:szCs w:val="24"/>
                <w:highlight w:val="none"/>
                <w:lang w:eastAsia="zh-CN"/>
              </w:rPr>
              <w:t>56%-60%</w:t>
            </w:r>
            <w:r>
              <w:rPr>
                <w:rFonts w:hint="default" w:ascii="Times New Roman" w:hAnsi="Times New Roman" w:eastAsia="宋体" w:cs="Times New Roman"/>
                <w:color w:val="auto"/>
                <w:sz w:val="24"/>
                <w:szCs w:val="24"/>
                <w:highlight w:val="none"/>
                <w:lang w:eastAsia="zh-CN"/>
              </w:rPr>
              <w:t>；风速为1.7-1.9m/s。</w:t>
            </w:r>
          </w:p>
          <w:p w14:paraId="5EB84C9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（5）监测结果</w:t>
            </w:r>
          </w:p>
          <w:p w14:paraId="5F5F897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拟建线路沿线工频电磁强度现状值监测结果见下表。</w:t>
            </w:r>
          </w:p>
          <w:p w14:paraId="6F2A3635">
            <w:pPr>
              <w:pStyle w:val="2"/>
              <w:spacing w:after="0" w:line="240" w:lineRule="atLeast"/>
              <w:ind w:firstLine="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1"/>
                <w:szCs w:val="21"/>
                <w:highlight w:val="none"/>
                <w:lang w:eastAsia="zh-CN"/>
              </w:rPr>
              <w:t>表3-6  本项目电磁环境现状值监测结果</w:t>
            </w:r>
          </w:p>
          <w:tbl>
            <w:tblPr>
              <w:tblStyle w:val="15"/>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3736"/>
              <w:gridCol w:w="1583"/>
              <w:gridCol w:w="1467"/>
              <w:gridCol w:w="1443"/>
            </w:tblGrid>
            <w:tr w14:paraId="182D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416E79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52" w:type="pct"/>
                  <w:vAlign w:val="center"/>
                </w:tcPr>
                <w:p w14:paraId="4629B3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912" w:type="pct"/>
                  <w:vAlign w:val="center"/>
                </w:tcPr>
                <w:p w14:paraId="48E32D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工频电场强度(V/m)</w:t>
                  </w:r>
                </w:p>
              </w:tc>
              <w:tc>
                <w:tcPr>
                  <w:tcW w:w="845" w:type="pct"/>
                  <w:vAlign w:val="center"/>
                </w:tcPr>
                <w:p w14:paraId="4E497E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工频磁感应强度(μT)</w:t>
                  </w:r>
                </w:p>
              </w:tc>
              <w:tc>
                <w:tcPr>
                  <w:tcW w:w="831" w:type="pct"/>
                  <w:vAlign w:val="center"/>
                </w:tcPr>
                <w:p w14:paraId="74811C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732C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2A35AF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52" w:type="pct"/>
                  <w:vAlign w:val="center"/>
                </w:tcPr>
                <w:p w14:paraId="689F61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拟建线路N15--N16（优化塔基位置后N13~N14塔）之间线下（1#）</w:t>
                  </w:r>
                </w:p>
              </w:tc>
              <w:tc>
                <w:tcPr>
                  <w:tcW w:w="912" w:type="pct"/>
                  <w:vAlign w:val="center"/>
                </w:tcPr>
                <w:p w14:paraId="457D4C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w:t>
                  </w:r>
                </w:p>
              </w:tc>
              <w:tc>
                <w:tcPr>
                  <w:tcW w:w="845" w:type="pct"/>
                  <w:vAlign w:val="center"/>
                </w:tcPr>
                <w:p w14:paraId="72DC09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831" w:type="pct"/>
                  <w:vMerge w:val="restart"/>
                  <w:vAlign w:val="center"/>
                </w:tcPr>
                <w:p w14:paraId="7E5738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河北滦河上游国家级自然保护区实验区</w:t>
                  </w:r>
                </w:p>
              </w:tc>
            </w:tr>
            <w:tr w14:paraId="5017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08AD08E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152" w:type="pct"/>
                  <w:vAlign w:val="center"/>
                </w:tcPr>
                <w:p w14:paraId="713AC5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拟建线路N25-N26（优化塔基位置后N22~N23塔）之间线下（2#）</w:t>
                  </w:r>
                </w:p>
              </w:tc>
              <w:tc>
                <w:tcPr>
                  <w:tcW w:w="912" w:type="pct"/>
                  <w:vAlign w:val="center"/>
                </w:tcPr>
                <w:p w14:paraId="76C530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845" w:type="pct"/>
                  <w:vAlign w:val="center"/>
                </w:tcPr>
                <w:p w14:paraId="05ED5A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831" w:type="pct"/>
                  <w:vMerge w:val="continue"/>
                  <w:vAlign w:val="center"/>
                </w:tcPr>
                <w:p w14:paraId="7DC029F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08F2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2D4BAB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152" w:type="pct"/>
                  <w:vAlign w:val="center"/>
                </w:tcPr>
                <w:p w14:paraId="4B0B54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拟建线路N</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rPr>
                    <w:t>-N5</w:t>
                  </w:r>
                  <w:r>
                    <w:rPr>
                      <w:rFonts w:hint="default" w:ascii="Times New Roman" w:hAnsi="Times New Roman" w:eastAsia="宋体" w:cs="Times New Roman"/>
                      <w:color w:val="auto"/>
                      <w:sz w:val="21"/>
                      <w:szCs w:val="21"/>
                      <w:highlight w:val="none"/>
                      <w:lang w:val="en-US" w:eastAsia="zh-CN"/>
                    </w:rPr>
                    <w:t>0（优化塔基位置后N49~N50塔）</w:t>
                  </w:r>
                  <w:r>
                    <w:rPr>
                      <w:rFonts w:hint="default" w:ascii="Times New Roman" w:hAnsi="Times New Roman" w:eastAsia="宋体" w:cs="Times New Roman"/>
                      <w:color w:val="auto"/>
                      <w:sz w:val="21"/>
                      <w:szCs w:val="21"/>
                      <w:highlight w:val="none"/>
                    </w:rPr>
                    <w:t>之间线下（3#）</w:t>
                  </w:r>
                </w:p>
              </w:tc>
              <w:tc>
                <w:tcPr>
                  <w:tcW w:w="912" w:type="pct"/>
                  <w:vAlign w:val="center"/>
                </w:tcPr>
                <w:p w14:paraId="0CC421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845" w:type="pct"/>
                  <w:vAlign w:val="center"/>
                </w:tcPr>
                <w:p w14:paraId="5B42CC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831" w:type="pct"/>
                  <w:vAlign w:val="center"/>
                </w:tcPr>
                <w:p w14:paraId="2C991C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8FA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14:paraId="73D8B12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2152" w:type="pct"/>
                  <w:vAlign w:val="center"/>
                </w:tcPr>
                <w:p w14:paraId="19A550C4">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eastAsia="宋体"/>
                      <w:color w:val="auto"/>
                      <w:kern w:val="0"/>
                      <w:sz w:val="20"/>
                      <w:szCs w:val="20"/>
                      <w:lang w:eastAsia="zh-CN"/>
                    </w:rPr>
                    <w:t>风电</w:t>
                  </w:r>
                  <w:r>
                    <w:rPr>
                      <w:rFonts w:ascii="Times New Roman" w:hAnsi="Times New Roman"/>
                      <w:color w:val="auto"/>
                      <w:kern w:val="0"/>
                      <w:sz w:val="20"/>
                      <w:szCs w:val="20"/>
                    </w:rPr>
                    <w:t>220kV升压站南侧</w:t>
                  </w:r>
                </w:p>
              </w:tc>
              <w:tc>
                <w:tcPr>
                  <w:tcW w:w="912" w:type="pct"/>
                  <w:vAlign w:val="center"/>
                </w:tcPr>
                <w:p w14:paraId="7EB7D4F4">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color w:val="auto"/>
                      <w:kern w:val="0"/>
                      <w:sz w:val="20"/>
                      <w:szCs w:val="20"/>
                    </w:rPr>
                    <w:t>0</w:t>
                  </w:r>
                  <w:r>
                    <w:rPr>
                      <w:rFonts w:ascii="Times New Roman" w:hAnsi="Times New Roman"/>
                      <w:color w:val="auto"/>
                      <w:kern w:val="0"/>
                      <w:sz w:val="20"/>
                      <w:szCs w:val="20"/>
                    </w:rPr>
                    <w:t>.596</w:t>
                  </w:r>
                </w:p>
              </w:tc>
              <w:tc>
                <w:tcPr>
                  <w:tcW w:w="845" w:type="pct"/>
                  <w:vAlign w:val="center"/>
                </w:tcPr>
                <w:p w14:paraId="1C6F3642">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color w:val="auto"/>
                      <w:kern w:val="0"/>
                      <w:sz w:val="20"/>
                      <w:szCs w:val="20"/>
                    </w:rPr>
                    <w:t>0</w:t>
                  </w:r>
                  <w:r>
                    <w:rPr>
                      <w:rFonts w:ascii="Times New Roman" w:hAnsi="Times New Roman"/>
                      <w:color w:val="auto"/>
                      <w:kern w:val="0"/>
                      <w:sz w:val="20"/>
                      <w:szCs w:val="20"/>
                    </w:rPr>
                    <w:t>.0069</w:t>
                  </w:r>
                </w:p>
              </w:tc>
              <w:tc>
                <w:tcPr>
                  <w:tcW w:w="831" w:type="pct"/>
                  <w:vAlign w:val="center"/>
                </w:tcPr>
                <w:p w14:paraId="2D46338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双回路段</w:t>
                  </w:r>
                </w:p>
              </w:tc>
            </w:tr>
          </w:tbl>
          <w:p w14:paraId="64DD64D3">
            <w:pPr>
              <w:adjustRightInd w:val="0"/>
              <w:spacing w:line="480" w:lineRule="exact"/>
              <w:ind w:firstLine="480"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z w:val="24"/>
                <w:szCs w:val="24"/>
                <w:highlight w:val="none"/>
              </w:rPr>
              <w:t>由上表可知，拟建线路沿线工频电场强度为</w:t>
            </w:r>
            <w:r>
              <w:rPr>
                <w:rFonts w:hint="eastAsia" w:ascii="Times New Roman" w:hAnsi="Times New Roman" w:eastAsia="宋体" w:cs="Times New Roman"/>
                <w:color w:val="auto"/>
                <w:sz w:val="24"/>
                <w:szCs w:val="24"/>
                <w:highlight w:val="none"/>
                <w:lang w:val="en-US" w:eastAsia="zh-CN"/>
              </w:rPr>
              <w:t>0.596</w:t>
            </w:r>
            <w:r>
              <w:rPr>
                <w:rFonts w:hint="default" w:ascii="Times New Roman" w:hAnsi="Times New Roman" w:eastAsia="宋体" w:cs="Times New Roman"/>
                <w:color w:val="auto"/>
                <w:sz w:val="24"/>
                <w:szCs w:val="24"/>
                <w:highlight w:val="none"/>
              </w:rPr>
              <w:t>V/m~1.39V/m，工频磁感应强度为0.0</w:t>
            </w:r>
            <w:r>
              <w:rPr>
                <w:rFonts w:hint="eastAsia" w:ascii="Times New Roman" w:hAnsi="Times New Roman" w:eastAsia="宋体" w:cs="Times New Roman"/>
                <w:color w:val="auto"/>
                <w:sz w:val="24"/>
                <w:szCs w:val="24"/>
                <w:highlight w:val="none"/>
                <w:lang w:val="en-US" w:eastAsia="zh-CN"/>
              </w:rPr>
              <w:t>069</w:t>
            </w:r>
            <w:r>
              <w:rPr>
                <w:rFonts w:hint="default" w:ascii="Times New Roman" w:hAnsi="Times New Roman" w:eastAsia="宋体" w:cs="Times New Roman"/>
                <w:color w:val="auto"/>
                <w:sz w:val="24"/>
                <w:szCs w:val="24"/>
                <w:highlight w:val="none"/>
              </w:rPr>
              <w:t>μT~0.019μT，监测结果均符合《电磁环境控制限值》(GB8702-2014)中规定的4kV/m和100μT公众曝露控制限值要求。</w:t>
            </w:r>
          </w:p>
          <w:p w14:paraId="1C71EA3E">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7、声环境质量现状</w:t>
            </w:r>
          </w:p>
          <w:p w14:paraId="5933FC1A">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为了解项目拟建输电线路周边声环境质量现状，委托</w:t>
            </w: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对本项目声环境现状进行了监测，监测报告编号为：</w:t>
            </w:r>
            <w:r>
              <w:rPr>
                <w:rFonts w:hint="default" w:ascii="Times New Roman" w:hAnsi="Times New Roman" w:eastAsia="宋体" w:cs="Times New Roman"/>
                <w:bCs/>
                <w:color w:val="auto"/>
                <w:sz w:val="24"/>
                <w:szCs w:val="24"/>
                <w:highlight w:val="none"/>
                <w:lang w:eastAsia="zh-CN"/>
              </w:rPr>
              <w:t>DLHJ字（2024）第224号</w:t>
            </w:r>
            <w:r>
              <w:rPr>
                <w:rFonts w:hint="default" w:ascii="Times New Roman" w:hAnsi="Times New Roman" w:eastAsia="宋体" w:cs="Times New Roman"/>
                <w:color w:val="auto"/>
                <w:spacing w:val="4"/>
                <w:sz w:val="24"/>
                <w:szCs w:val="24"/>
                <w:highlight w:val="none"/>
                <w:lang w:eastAsia="zh-CN"/>
              </w:rPr>
              <w:t>（详见附件）</w:t>
            </w:r>
            <w:r>
              <w:rPr>
                <w:rFonts w:hint="default" w:ascii="Times New Roman" w:hAnsi="Times New Roman" w:eastAsia="宋体" w:cs="Times New Roman"/>
                <w:bCs/>
                <w:color w:val="auto"/>
                <w:sz w:val="24"/>
                <w:szCs w:val="24"/>
                <w:highlight w:val="none"/>
                <w:lang w:eastAsia="zh-CN"/>
              </w:rPr>
              <w:t>。</w:t>
            </w:r>
          </w:p>
          <w:p w14:paraId="3A5B5866">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（1）监测仪器</w:t>
            </w:r>
          </w:p>
          <w:p w14:paraId="5D5B0A8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所用仪器均经国家计量部门检验合格，并处于检验证书有效期内，仪器的频率性能覆盖监测对象的频率范围。</w:t>
            </w:r>
          </w:p>
          <w:p w14:paraId="171CE4D3">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p>
          <w:p w14:paraId="14BD426A">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p>
          <w:p w14:paraId="08B0F10F">
            <w:pPr>
              <w:pStyle w:val="2"/>
              <w:spacing w:after="0" w:line="480" w:lineRule="exact"/>
              <w:ind w:firstLine="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 xml:space="preserve">表3-7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本项目监测仪器一览表</w:t>
            </w:r>
          </w:p>
          <w:tbl>
            <w:tblPr>
              <w:tblStyle w:val="16"/>
              <w:tblW w:w="16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330"/>
              <w:gridCol w:w="988"/>
              <w:gridCol w:w="2375"/>
              <w:gridCol w:w="1865"/>
              <w:gridCol w:w="1490"/>
              <w:gridCol w:w="1409"/>
              <w:gridCol w:w="1409"/>
              <w:gridCol w:w="1410"/>
              <w:gridCol w:w="1410"/>
              <w:gridCol w:w="1410"/>
              <w:gridCol w:w="1410"/>
            </w:tblGrid>
            <w:tr w14:paraId="2C6F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071C8F84">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30" w:type="dxa"/>
                  <w:vAlign w:val="center"/>
                </w:tcPr>
                <w:p w14:paraId="6DBA5DD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仪器名称、编号</w:t>
                  </w:r>
                </w:p>
              </w:tc>
              <w:tc>
                <w:tcPr>
                  <w:tcW w:w="988" w:type="dxa"/>
                  <w:vAlign w:val="center"/>
                </w:tcPr>
                <w:p w14:paraId="21B00037">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仪器</w:t>
                  </w:r>
                </w:p>
                <w:p w14:paraId="78050D7A">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w:t>
                  </w:r>
                </w:p>
              </w:tc>
              <w:tc>
                <w:tcPr>
                  <w:tcW w:w="2375" w:type="dxa"/>
                  <w:vAlign w:val="center"/>
                </w:tcPr>
                <w:p w14:paraId="74E2F6CE">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测量范围或量程</w:t>
                  </w:r>
                </w:p>
              </w:tc>
              <w:tc>
                <w:tcPr>
                  <w:tcW w:w="1865" w:type="dxa"/>
                  <w:vAlign w:val="center"/>
                </w:tcPr>
                <w:p w14:paraId="422335D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w:t>
                  </w:r>
                </w:p>
                <w:p w14:paraId="5BD586CB">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有效期</w:t>
                  </w:r>
                </w:p>
              </w:tc>
              <w:tc>
                <w:tcPr>
                  <w:tcW w:w="1490" w:type="dxa"/>
                  <w:vAlign w:val="center"/>
                </w:tcPr>
                <w:p w14:paraId="29A10618">
                  <w:pPr>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检定/校准机构</w:t>
                  </w:r>
                </w:p>
              </w:tc>
              <w:tc>
                <w:tcPr>
                  <w:tcW w:w="1409" w:type="dxa"/>
                </w:tcPr>
                <w:p w14:paraId="21739339">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69E3B6A4">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FE28F9D">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1AC524E">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ADE2CC4">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868180B">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0B60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44923DD3">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w:t>
                  </w:r>
                </w:p>
              </w:tc>
              <w:tc>
                <w:tcPr>
                  <w:tcW w:w="1330" w:type="dxa"/>
                  <w:vAlign w:val="center"/>
                </w:tcPr>
                <w:p w14:paraId="395A9E58">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多功能声级计DLYQ-46</w:t>
                  </w:r>
                </w:p>
              </w:tc>
              <w:tc>
                <w:tcPr>
                  <w:tcW w:w="988" w:type="dxa"/>
                  <w:vAlign w:val="center"/>
                </w:tcPr>
                <w:p w14:paraId="647975E0">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AWA5688</w:t>
                  </w:r>
                </w:p>
              </w:tc>
              <w:tc>
                <w:tcPr>
                  <w:tcW w:w="2375" w:type="dxa"/>
                </w:tcPr>
                <w:p w14:paraId="22ABFF66">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测量范围:28dB(A)～133dB(A)</w:t>
                  </w:r>
                </w:p>
                <w:p w14:paraId="3B71AA8C">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频率范围:20Hz～12.5kHz</w:t>
                  </w:r>
                </w:p>
              </w:tc>
              <w:tc>
                <w:tcPr>
                  <w:tcW w:w="1865" w:type="dxa"/>
                  <w:vAlign w:val="center"/>
                </w:tcPr>
                <w:p w14:paraId="12A88312">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2024年05月30日-2025年05月29日</w:t>
                  </w:r>
                </w:p>
              </w:tc>
              <w:tc>
                <w:tcPr>
                  <w:tcW w:w="1490" w:type="dxa"/>
                  <w:vAlign w:val="center"/>
                </w:tcPr>
                <w:p w14:paraId="65B9049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05F1A711">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22A2EFF9">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5FDCF128">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A1C733C">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707D8741">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ABACD3D">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31CC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0BEDAD44">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1330" w:type="dxa"/>
                  <w:vAlign w:val="center"/>
                </w:tcPr>
                <w:p w14:paraId="381CBF6D">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声校准器DLYQ-50</w:t>
                  </w:r>
                </w:p>
              </w:tc>
              <w:tc>
                <w:tcPr>
                  <w:tcW w:w="988" w:type="dxa"/>
                  <w:vAlign w:val="center"/>
                </w:tcPr>
                <w:p w14:paraId="41E89B81">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HS6020 </w:t>
                  </w:r>
                </w:p>
              </w:tc>
              <w:tc>
                <w:tcPr>
                  <w:tcW w:w="2375" w:type="dxa"/>
                  <w:vAlign w:val="center"/>
                </w:tcPr>
                <w:p w14:paraId="13A274B7">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声压级：94dB</w:t>
                  </w:r>
                </w:p>
              </w:tc>
              <w:tc>
                <w:tcPr>
                  <w:tcW w:w="1865" w:type="dxa"/>
                  <w:vAlign w:val="center"/>
                </w:tcPr>
                <w:p w14:paraId="5A64439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2024年05月30日-2025年05月29日</w:t>
                  </w:r>
                </w:p>
              </w:tc>
              <w:tc>
                <w:tcPr>
                  <w:tcW w:w="1490" w:type="dxa"/>
                  <w:vAlign w:val="center"/>
                </w:tcPr>
                <w:p w14:paraId="53818052">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2A24B7C9">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5DAB665F">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38327E0">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299D7C4A">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19B5FA67">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7553FAE3">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r>
            <w:tr w14:paraId="54A9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Align w:val="center"/>
                </w:tcPr>
                <w:p w14:paraId="1668FD1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1330" w:type="dxa"/>
                  <w:vAlign w:val="center"/>
                </w:tcPr>
                <w:p w14:paraId="54C1BC09">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风速计DLYQ-14</w:t>
                  </w:r>
                </w:p>
              </w:tc>
              <w:tc>
                <w:tcPr>
                  <w:tcW w:w="988" w:type="dxa"/>
                  <w:vAlign w:val="center"/>
                </w:tcPr>
                <w:p w14:paraId="275781F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ZRQF-F30J</w:t>
                  </w:r>
                </w:p>
              </w:tc>
              <w:tc>
                <w:tcPr>
                  <w:tcW w:w="2375" w:type="dxa"/>
                  <w:vAlign w:val="center"/>
                </w:tcPr>
                <w:p w14:paraId="632161ED">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0.05～30.0m/s</w:t>
                  </w:r>
                </w:p>
              </w:tc>
              <w:tc>
                <w:tcPr>
                  <w:tcW w:w="1865" w:type="dxa"/>
                  <w:vAlign w:val="center"/>
                </w:tcPr>
                <w:p w14:paraId="12B6BDB5">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2024年01月10日-2025年01月09日</w:t>
                  </w:r>
                </w:p>
              </w:tc>
              <w:tc>
                <w:tcPr>
                  <w:tcW w:w="1490" w:type="dxa"/>
                  <w:vAlign w:val="center"/>
                </w:tcPr>
                <w:p w14:paraId="07987EDB">
                  <w:pPr>
                    <w:autoSpaceDE/>
                    <w:autoSpaceDN/>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河北省计量监督检测研究院</w:t>
                  </w:r>
                </w:p>
              </w:tc>
              <w:tc>
                <w:tcPr>
                  <w:tcW w:w="1409" w:type="dxa"/>
                </w:tcPr>
                <w:p w14:paraId="00475095">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09" w:type="dxa"/>
                </w:tcPr>
                <w:p w14:paraId="4AEB205F">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945B7DA">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42AAF82B">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33FF5886">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c>
                <w:tcPr>
                  <w:tcW w:w="1410" w:type="dxa"/>
                </w:tcPr>
                <w:p w14:paraId="65F3CA6B">
                  <w:pPr>
                    <w:pStyle w:val="10"/>
                    <w:spacing w:before="0" w:after="0" w:line="240" w:lineRule="auto"/>
                    <w:jc w:val="both"/>
                    <w:outlineLvl w:val="3"/>
                    <w:rPr>
                      <w:rFonts w:hint="default" w:ascii="Times New Roman" w:hAnsi="Times New Roman" w:eastAsia="宋体" w:cs="Times New Roman"/>
                      <w:color w:val="auto"/>
                      <w:sz w:val="21"/>
                      <w:szCs w:val="21"/>
                      <w:highlight w:val="none"/>
                    </w:rPr>
                  </w:pPr>
                </w:p>
              </w:tc>
            </w:tr>
          </w:tbl>
          <w:p w14:paraId="009A9F4E">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（2）监测方法</w:t>
            </w:r>
          </w:p>
          <w:p w14:paraId="46DE2829">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按照《声环境质量标准》（GB3096-2008）规定进行。</w:t>
            </w:r>
          </w:p>
          <w:p w14:paraId="53B788E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（3）监测点位、监测频次及监测因子</w:t>
            </w:r>
          </w:p>
          <w:p w14:paraId="430C13A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监测点位：</w:t>
            </w:r>
            <w:r>
              <w:rPr>
                <w:rFonts w:hint="eastAsia" w:ascii="Times New Roman" w:hAnsi="Times New Roman" w:eastAsia="宋体" w:cs="Times New Roman"/>
                <w:color w:val="auto"/>
                <w:sz w:val="24"/>
                <w:szCs w:val="24"/>
                <w:highlight w:val="none"/>
                <w:lang w:eastAsia="zh-CN"/>
              </w:rPr>
              <w:t>单回路线路段对线路沿线电磁环境均匀布设</w:t>
            </w:r>
            <w:r>
              <w:rPr>
                <w:rFonts w:hint="eastAsia" w:ascii="Times New Roman" w:hAnsi="Times New Roman" w:eastAsia="宋体" w:cs="Times New Roman"/>
                <w:color w:val="auto"/>
                <w:sz w:val="24"/>
                <w:szCs w:val="24"/>
                <w:highlight w:val="none"/>
                <w:lang w:val="en-US" w:eastAsia="zh-CN"/>
              </w:rPr>
              <w:t>3个点位（其中保护区内布设2个，保护区外布设1个），双回线路处位于华能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w:t>
            </w:r>
            <w:r>
              <w:rPr>
                <w:rFonts w:hint="eastAsia" w:ascii="Times New Roman" w:hAnsi="Times New Roman" w:eastAsia="宋体" w:cs="Times New Roman"/>
                <w:color w:val="auto"/>
                <w:sz w:val="24"/>
                <w:szCs w:val="24"/>
                <w:highlight w:val="none"/>
                <w:lang w:val="en-US" w:eastAsia="zh-CN"/>
              </w:rPr>
              <w:t>220kV间隔</w:t>
            </w:r>
            <w:r>
              <w:rPr>
                <w:rFonts w:hint="eastAsia" w:ascii="Times New Roman" w:hAnsi="Times New Roman" w:eastAsia="宋体" w:cs="Times New Roman"/>
                <w:color w:val="auto"/>
                <w:sz w:val="24"/>
                <w:szCs w:val="24"/>
                <w:highlight w:val="none"/>
                <w:lang w:eastAsia="zh-CN"/>
              </w:rPr>
              <w:t>进线端，因此双回路段监测点位引用</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升压站工程南侧监测点（监测点位在本项目评价范围内），所有点位均涵盖所涉及的声环境功能区，</w:t>
            </w:r>
            <w:r>
              <w:rPr>
                <w:rFonts w:hint="default" w:ascii="Times New Roman" w:hAnsi="Times New Roman" w:eastAsia="宋体" w:cs="Times New Roman"/>
                <w:color w:val="auto"/>
                <w:sz w:val="24"/>
                <w:szCs w:val="24"/>
                <w:highlight w:val="none"/>
              </w:rPr>
              <w:t>华能围场“风光储氢热一体化”项目（光伏200MW）项目220kV送出线路工程项目拟建220kV线路N15~N16塔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N13~N14塔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之间线下设1个监测点（1#），拟建220kV线路N25-N26塔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N22~N23塔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之间线下设1个监测点（2#），拟建220kV线路N57~N58塔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N49~N50塔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升压站南侧监测点（</w:t>
            </w:r>
            <w:r>
              <w:rPr>
                <w:rFonts w:hint="eastAsia" w:ascii="Times New Roman" w:hAnsi="Times New Roman" w:eastAsia="宋体" w:cs="Times New Roman"/>
                <w:color w:val="auto"/>
                <w:sz w:val="24"/>
                <w:szCs w:val="24"/>
                <w:highlight w:val="none"/>
                <w:lang w:val="en-US" w:eastAsia="zh-CN"/>
              </w:rPr>
              <w:t>4#，引用点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共设置</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个监测点位。监测布点示意图见附图3。</w:t>
            </w:r>
          </w:p>
          <w:p w14:paraId="415BED87">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监测频次：昼夜各监测1次。</w:t>
            </w:r>
          </w:p>
          <w:p w14:paraId="7EB41C6C">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监测因子：昼间、夜间等效</w:t>
            </w:r>
            <w:r>
              <w:rPr>
                <w:rFonts w:hint="default" w:ascii="Times New Roman" w:hAnsi="Times New Roman" w:eastAsia="宋体" w:cs="Times New Roman"/>
                <w:bCs/>
                <w:color w:val="auto"/>
                <w:sz w:val="24"/>
                <w:szCs w:val="24"/>
                <w:highlight w:val="none"/>
                <w:lang w:eastAsia="zh-CN"/>
              </w:rPr>
              <w:t>连续A声级，Leq</w:t>
            </w:r>
          </w:p>
          <w:p w14:paraId="5EB346E8">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（4）监测单位、时间和工况</w:t>
            </w:r>
          </w:p>
          <w:p w14:paraId="1EB40CD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承德市东岭环境监测有限公司</w:t>
            </w:r>
            <w:r>
              <w:rPr>
                <w:rFonts w:hint="default" w:ascii="Times New Roman" w:hAnsi="Times New Roman" w:eastAsia="宋体" w:cs="Times New Roman"/>
                <w:color w:val="auto"/>
                <w:sz w:val="24"/>
                <w:szCs w:val="24"/>
                <w:highlight w:val="none"/>
                <w:lang w:eastAsia="zh-CN"/>
              </w:rPr>
              <w:t>于2024年8月15日~16日</w:t>
            </w:r>
            <w:r>
              <w:rPr>
                <w:rFonts w:hint="eastAsia" w:ascii="Times New Roman" w:hAnsi="Times New Roman" w:eastAsia="宋体" w:cs="Times New Roman"/>
                <w:color w:val="auto"/>
                <w:sz w:val="24"/>
                <w:szCs w:val="24"/>
                <w:highlight w:val="none"/>
                <w:lang w:eastAsia="zh-CN"/>
              </w:rPr>
              <w:t>、河北辐翱检测技术有限公司</w:t>
            </w:r>
            <w:r>
              <w:rPr>
                <w:rFonts w:hint="eastAsia" w:ascii="Times New Roman" w:hAnsi="Times New Roman" w:eastAsia="宋体" w:cs="Times New Roman"/>
                <w:color w:val="auto"/>
                <w:sz w:val="24"/>
                <w:szCs w:val="24"/>
                <w:highlight w:val="none"/>
                <w:lang w:val="en-US" w:eastAsia="zh-CN"/>
              </w:rPr>
              <w:t>9月1日</w:t>
            </w:r>
            <w:r>
              <w:rPr>
                <w:rFonts w:hint="default" w:ascii="Times New Roman" w:hAnsi="Times New Roman" w:eastAsia="宋体" w:cs="Times New Roman"/>
                <w:color w:val="auto"/>
                <w:sz w:val="24"/>
                <w:szCs w:val="24"/>
                <w:highlight w:val="none"/>
                <w:lang w:eastAsia="zh-CN"/>
              </w:rPr>
              <w:t>进行监测。</w:t>
            </w:r>
          </w:p>
          <w:p w14:paraId="7C5E91A3">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无雨无雪，昼间：环境温度：22-25℃；相对湿度：</w:t>
            </w:r>
            <w:r>
              <w:rPr>
                <w:rFonts w:hint="eastAsia" w:ascii="Times New Roman" w:hAnsi="Times New Roman" w:eastAsia="宋体" w:cs="Times New Roman"/>
                <w:color w:val="auto"/>
                <w:sz w:val="24"/>
                <w:szCs w:val="24"/>
                <w:highlight w:val="none"/>
                <w:lang w:eastAsia="zh-CN"/>
              </w:rPr>
              <w:t>56%-60%</w:t>
            </w:r>
            <w:r>
              <w:rPr>
                <w:rFonts w:hint="default" w:ascii="Times New Roman" w:hAnsi="Times New Roman" w:eastAsia="宋体" w:cs="Times New Roman"/>
                <w:color w:val="auto"/>
                <w:sz w:val="24"/>
                <w:szCs w:val="24"/>
                <w:highlight w:val="none"/>
                <w:lang w:eastAsia="zh-CN"/>
              </w:rPr>
              <w:t>；风速为1.7-1.9m/s；</w:t>
            </w:r>
          </w:p>
          <w:p w14:paraId="5306171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无雨无雪，夜间：环境温度：19-20℃；相对湿度：</w:t>
            </w:r>
            <w:r>
              <w:rPr>
                <w:rFonts w:hint="eastAsia" w:ascii="Times New Roman" w:hAnsi="Times New Roman" w:eastAsia="宋体" w:cs="Times New Roman"/>
                <w:color w:val="auto"/>
                <w:sz w:val="24"/>
                <w:szCs w:val="24"/>
                <w:highlight w:val="none"/>
                <w:lang w:eastAsia="zh-CN"/>
              </w:rPr>
              <w:t>55%-58%</w:t>
            </w:r>
            <w:r>
              <w:rPr>
                <w:rFonts w:hint="default" w:ascii="Times New Roman" w:hAnsi="Times New Roman" w:eastAsia="宋体" w:cs="Times New Roman"/>
                <w:color w:val="auto"/>
                <w:sz w:val="24"/>
                <w:szCs w:val="24"/>
                <w:highlight w:val="none"/>
                <w:lang w:eastAsia="zh-CN"/>
              </w:rPr>
              <w:t>；风速为2.1-2.3m/s。</w:t>
            </w:r>
          </w:p>
          <w:p w14:paraId="2BB1D24F">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（5）监测结果</w:t>
            </w:r>
          </w:p>
          <w:p w14:paraId="5FDDF691">
            <w:pPr>
              <w:pStyle w:val="2"/>
              <w:spacing w:after="0" w:line="48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拟建线路沿线声环境现状值监测结果见下表。</w:t>
            </w:r>
          </w:p>
          <w:p w14:paraId="6148F8A8">
            <w:pPr>
              <w:pStyle w:val="10"/>
              <w:spacing w:before="0"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表3-8　本项目噪声现状值监测结果</w:t>
            </w:r>
          </w:p>
          <w:tbl>
            <w:tblPr>
              <w:tblStyle w:val="15"/>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610"/>
              <w:gridCol w:w="1531"/>
              <w:gridCol w:w="1301"/>
              <w:gridCol w:w="1513"/>
            </w:tblGrid>
            <w:tr w14:paraId="0C37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77839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3610" w:type="dxa"/>
                  <w:vAlign w:val="center"/>
                </w:tcPr>
                <w:p w14:paraId="6A3055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531" w:type="dxa"/>
                  <w:vAlign w:val="center"/>
                </w:tcPr>
                <w:p w14:paraId="5B4EC8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昼间（dB(A)）</w:t>
                  </w:r>
                </w:p>
              </w:tc>
              <w:tc>
                <w:tcPr>
                  <w:tcW w:w="1301" w:type="dxa"/>
                  <w:vAlign w:val="center"/>
                </w:tcPr>
                <w:p w14:paraId="787A64B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夜间（dB(A)）</w:t>
                  </w:r>
                </w:p>
              </w:tc>
              <w:tc>
                <w:tcPr>
                  <w:tcW w:w="1513" w:type="dxa"/>
                  <w:vAlign w:val="center"/>
                </w:tcPr>
                <w:p w14:paraId="0A76D78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2751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8C831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10" w:type="dxa"/>
                  <w:vAlign w:val="center"/>
                </w:tcPr>
                <w:p w14:paraId="433044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拟建线路N15--N16（优化塔基位置后N13~N14塔）之间线下（1#）</w:t>
                  </w:r>
                </w:p>
              </w:tc>
              <w:tc>
                <w:tcPr>
                  <w:tcW w:w="1531" w:type="dxa"/>
                  <w:vAlign w:val="center"/>
                </w:tcPr>
                <w:p w14:paraId="2DCE9E1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1301" w:type="dxa"/>
                  <w:vAlign w:val="center"/>
                </w:tcPr>
                <w:p w14:paraId="6A9491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1513" w:type="dxa"/>
                  <w:vMerge w:val="restart"/>
                  <w:vAlign w:val="center"/>
                </w:tcPr>
                <w:p w14:paraId="609DF8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河北滦河上游国家级自然保护区实验区</w:t>
                  </w:r>
                </w:p>
              </w:tc>
            </w:tr>
            <w:tr w14:paraId="2E0D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69D262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610" w:type="dxa"/>
                  <w:vAlign w:val="center"/>
                </w:tcPr>
                <w:p w14:paraId="4725EF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拟建线路N25-N26（优化塔基位置后N22~N23塔）之间线下（2#）</w:t>
                  </w:r>
                </w:p>
              </w:tc>
              <w:tc>
                <w:tcPr>
                  <w:tcW w:w="1531" w:type="dxa"/>
                  <w:vAlign w:val="center"/>
                </w:tcPr>
                <w:p w14:paraId="15537A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1301" w:type="dxa"/>
                  <w:vAlign w:val="center"/>
                </w:tcPr>
                <w:p w14:paraId="3E8EDB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1513" w:type="dxa"/>
                  <w:vMerge w:val="continue"/>
                  <w:vAlign w:val="center"/>
                </w:tcPr>
                <w:p w14:paraId="0984285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74F5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44483F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610" w:type="dxa"/>
                  <w:vAlign w:val="center"/>
                </w:tcPr>
                <w:p w14:paraId="22C4EDA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拟建线路N</w:t>
                  </w:r>
                  <w:r>
                    <w:rPr>
                      <w:rFonts w:hint="default" w:ascii="Times New Roman" w:hAnsi="Times New Roman" w:eastAsia="宋体"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rPr>
                    <w:t>-N5</w:t>
                  </w:r>
                  <w:r>
                    <w:rPr>
                      <w:rFonts w:hint="default" w:ascii="Times New Roman" w:hAnsi="Times New Roman" w:eastAsia="宋体" w:cs="Times New Roman"/>
                      <w:color w:val="auto"/>
                      <w:sz w:val="21"/>
                      <w:szCs w:val="21"/>
                      <w:highlight w:val="none"/>
                      <w:lang w:val="en-US" w:eastAsia="zh-CN"/>
                    </w:rPr>
                    <w:t>0（优化塔基位置后N49~N50塔）</w:t>
                  </w:r>
                  <w:r>
                    <w:rPr>
                      <w:rFonts w:hint="default" w:ascii="Times New Roman" w:hAnsi="Times New Roman" w:eastAsia="宋体" w:cs="Times New Roman"/>
                      <w:color w:val="auto"/>
                      <w:sz w:val="21"/>
                      <w:szCs w:val="21"/>
                      <w:highlight w:val="none"/>
                    </w:rPr>
                    <w:t>之间线下（3#）</w:t>
                  </w:r>
                </w:p>
              </w:tc>
              <w:tc>
                <w:tcPr>
                  <w:tcW w:w="1531" w:type="dxa"/>
                  <w:vAlign w:val="center"/>
                </w:tcPr>
                <w:p w14:paraId="77DDC0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1301" w:type="dxa"/>
                  <w:vAlign w:val="center"/>
                </w:tcPr>
                <w:p w14:paraId="111D05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1513" w:type="dxa"/>
                  <w:vAlign w:val="center"/>
                </w:tcPr>
                <w:p w14:paraId="21592BE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4FF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Align w:val="center"/>
                </w:tcPr>
                <w:p w14:paraId="1BE9A0A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610" w:type="dxa"/>
                  <w:vAlign w:val="center"/>
                </w:tcPr>
                <w:p w14:paraId="5975C976">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eastAsia="宋体"/>
                      <w:color w:val="auto"/>
                      <w:kern w:val="0"/>
                      <w:sz w:val="20"/>
                      <w:szCs w:val="20"/>
                      <w:lang w:eastAsia="zh-CN"/>
                    </w:rPr>
                    <w:t>风电</w:t>
                  </w:r>
                  <w:r>
                    <w:rPr>
                      <w:rFonts w:ascii="Times New Roman" w:hAnsi="Times New Roman"/>
                      <w:color w:val="auto"/>
                      <w:kern w:val="0"/>
                      <w:sz w:val="20"/>
                      <w:szCs w:val="20"/>
                    </w:rPr>
                    <w:t>220kV升压站南侧</w:t>
                  </w:r>
                </w:p>
              </w:tc>
              <w:tc>
                <w:tcPr>
                  <w:tcW w:w="1531" w:type="dxa"/>
                  <w:vAlign w:val="center"/>
                </w:tcPr>
                <w:p w14:paraId="04B509B4">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Calibri" w:hAnsi="Calibri" w:cs="Noto Sans Mono CJK JP Bold"/>
                      <w:color w:val="auto"/>
                      <w:kern w:val="0"/>
                      <w:sz w:val="20"/>
                      <w:szCs w:val="20"/>
                      <w:lang w:val="en-US" w:eastAsia="zh-CN" w:bidi="ar-SA"/>
                    </w:rPr>
                    <w:t>45</w:t>
                  </w:r>
                </w:p>
              </w:tc>
              <w:tc>
                <w:tcPr>
                  <w:tcW w:w="1301" w:type="dxa"/>
                  <w:vAlign w:val="center"/>
                </w:tcPr>
                <w:p w14:paraId="7C8ADCA9">
                  <w:pPr>
                    <w:autoSpaceDE w:val="0"/>
                    <w:autoSpaceDN w:val="0"/>
                    <w:adjustRightInd w:val="0"/>
                    <w:jc w:val="center"/>
                    <w:rPr>
                      <w:rFonts w:hint="default" w:ascii="Calibri" w:hAnsi="Calibri" w:eastAsia="Noto Sans Mono CJK JP Bold" w:cs="Noto Sans Mono CJK JP Bold"/>
                      <w:color w:val="auto"/>
                      <w:kern w:val="0"/>
                      <w:sz w:val="20"/>
                      <w:szCs w:val="20"/>
                      <w:lang w:val="en-US" w:eastAsia="zh-CN" w:bidi="ar-SA"/>
                    </w:rPr>
                  </w:pPr>
                  <w:r>
                    <w:rPr>
                      <w:rFonts w:hint="eastAsia" w:ascii="Calibri" w:hAnsi="Calibri" w:cs="Noto Sans Mono CJK JP Bold"/>
                      <w:color w:val="auto"/>
                      <w:kern w:val="0"/>
                      <w:sz w:val="20"/>
                      <w:szCs w:val="20"/>
                      <w:lang w:val="en-US" w:eastAsia="zh-CN" w:bidi="ar-SA"/>
                    </w:rPr>
                    <w:t>35</w:t>
                  </w:r>
                </w:p>
              </w:tc>
              <w:tc>
                <w:tcPr>
                  <w:tcW w:w="1513" w:type="dxa"/>
                  <w:vAlign w:val="center"/>
                </w:tcPr>
                <w:p w14:paraId="4280F5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双回路段</w:t>
                  </w:r>
                </w:p>
              </w:tc>
            </w:tr>
          </w:tbl>
          <w:p w14:paraId="7F9175B3">
            <w:pPr>
              <w:adjustRightInd w:val="0"/>
              <w:spacing w:line="480" w:lineRule="exact"/>
              <w:ind w:firstLine="480"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z w:val="24"/>
                <w:szCs w:val="24"/>
                <w:highlight w:val="none"/>
              </w:rPr>
              <w:t>由上表可知，拟建线路沿线昼间现状值为（39~4</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dB(A)，夜间现状值为（3</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~38）dB(A)，</w:t>
            </w:r>
            <w:r>
              <w:rPr>
                <w:rFonts w:hint="default" w:ascii="Times New Roman" w:hAnsi="Times New Roman" w:eastAsia="宋体" w:cs="Times New Roman"/>
                <w:color w:val="auto"/>
                <w:sz w:val="24"/>
                <w:szCs w:val="24"/>
                <w:highlight w:val="none"/>
              </w:rPr>
              <w:t>满足《声环境质量标准》(GB3096-2008)1类声环境功能区标准。</w:t>
            </w:r>
          </w:p>
        </w:tc>
      </w:tr>
      <w:tr w14:paraId="05AF5A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497" w:type="dxa"/>
            <w:tcBorders>
              <w:bottom w:val="single" w:color="000000" w:sz="4" w:space="0"/>
              <w:right w:val="single" w:color="000000" w:sz="4" w:space="0"/>
            </w:tcBorders>
            <w:vAlign w:val="center"/>
          </w:tcPr>
          <w:p w14:paraId="373C06CA">
            <w:pPr>
              <w:pStyle w:val="23"/>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与项目有关的原有环境污染和生态破坏问题</w:t>
            </w:r>
          </w:p>
        </w:tc>
        <w:tc>
          <w:tcPr>
            <w:tcW w:w="8633" w:type="dxa"/>
            <w:tcBorders>
              <w:left w:val="single" w:color="000000" w:sz="4" w:space="0"/>
              <w:bottom w:val="single" w:color="000000" w:sz="4" w:space="0"/>
            </w:tcBorders>
            <w:vAlign w:val="center"/>
          </w:tcPr>
          <w:p w14:paraId="14DD37B8">
            <w:pPr>
              <w:pStyle w:val="2"/>
              <w:adjustRightInd w:val="0"/>
              <w:snapToGrid w:val="0"/>
              <w:spacing w:after="0" w:line="480" w:lineRule="exact"/>
              <w:ind w:firstLine="0"/>
              <w:jc w:val="center"/>
              <w:rPr>
                <w:rFonts w:hint="default" w:ascii="Times New Roman" w:hAnsi="Times New Roman" w:eastAsia="宋体" w:cs="Times New Roman"/>
                <w:bCs/>
                <w:snapToGrid w:val="0"/>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lang w:eastAsia="zh-CN"/>
              </w:rPr>
              <w:t>本项目为新建项目，不涉及与项目有关的环境污染和生态破坏问题。</w:t>
            </w:r>
          </w:p>
        </w:tc>
      </w:tr>
      <w:tr w14:paraId="3D162D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497" w:type="dxa"/>
            <w:tcBorders>
              <w:top w:val="single" w:color="000000" w:sz="4" w:space="0"/>
              <w:bottom w:val="single" w:color="000000" w:sz="4" w:space="0"/>
              <w:right w:val="single" w:color="000000" w:sz="4" w:space="0"/>
            </w:tcBorders>
            <w:vAlign w:val="center"/>
          </w:tcPr>
          <w:p w14:paraId="332F8D02">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生态环境保护目标</w:t>
            </w:r>
          </w:p>
        </w:tc>
        <w:tc>
          <w:tcPr>
            <w:tcW w:w="8633" w:type="dxa"/>
            <w:tcBorders>
              <w:top w:val="single" w:color="000000" w:sz="4" w:space="0"/>
              <w:left w:val="single" w:color="000000" w:sz="4" w:space="0"/>
              <w:bottom w:val="single" w:color="000000" w:sz="4" w:space="0"/>
            </w:tcBorders>
          </w:tcPr>
          <w:p w14:paraId="42415B85">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1、电磁环境敏感目标</w:t>
            </w:r>
          </w:p>
          <w:p w14:paraId="6060D654">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电磁环境影响评价与监测需重点关注的对象。包括住宅、学校、医院、办公楼、工厂等有公众居住、工作或学习的建筑物。</w:t>
            </w:r>
          </w:p>
          <w:p w14:paraId="7E0B4C9F">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本项目无电磁环境保护目标，最近的村庄为拟建线路边导线西侧80m的蚂蚁沟门村。</w:t>
            </w:r>
          </w:p>
          <w:p w14:paraId="1287767C">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2、声环境保护目标</w:t>
            </w:r>
          </w:p>
          <w:p w14:paraId="71D93D4C">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依据法律法规、标准政策等确定的需要保持安静的建筑物及建筑物集中区。</w:t>
            </w:r>
          </w:p>
          <w:p w14:paraId="36118D0A">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本项目无声环境保护目标，最近的村庄为拟建线路边导线西侧80m的蚂蚁沟门村。</w:t>
            </w:r>
          </w:p>
          <w:p w14:paraId="5A5C78FF">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生态保护目标：受影响的重要物种、生态敏感区以及其他需要保护的物种、种群、生物群落及生态空间等。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w:t>
            </w:r>
          </w:p>
          <w:p w14:paraId="289AA99A">
            <w:pPr>
              <w:adjustRightIn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项目评价范围内生态环境保护目标为河北滦河上游国家级自然保护区和生态保护红线。</w:t>
            </w:r>
          </w:p>
          <w:p w14:paraId="5069400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表3-9　主要环境保护目标一览表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30"/>
              <w:gridCol w:w="1238"/>
              <w:gridCol w:w="1045"/>
              <w:gridCol w:w="869"/>
              <w:gridCol w:w="895"/>
              <w:gridCol w:w="405"/>
              <w:gridCol w:w="1279"/>
              <w:gridCol w:w="861"/>
              <w:gridCol w:w="415"/>
            </w:tblGrid>
            <w:tr w14:paraId="18D5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70CB1B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482" w:type="pct"/>
                  <w:vMerge w:val="restart"/>
                  <w:vAlign w:val="center"/>
                </w:tcPr>
                <w:p w14:paraId="3AD889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c>
                <w:tcPr>
                  <w:tcW w:w="3829" w:type="pct"/>
                  <w:gridSpan w:val="7"/>
                  <w:vAlign w:val="center"/>
                </w:tcPr>
                <w:p w14:paraId="4F4EB5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w:t>
                  </w:r>
                </w:p>
              </w:tc>
              <w:tc>
                <w:tcPr>
                  <w:tcW w:w="240" w:type="pct"/>
                  <w:vMerge w:val="restart"/>
                  <w:vAlign w:val="center"/>
                </w:tcPr>
                <w:p w14:paraId="433051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14:paraId="2FB048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级别</w:t>
                  </w:r>
                </w:p>
              </w:tc>
            </w:tr>
            <w:tr w14:paraId="2E57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47" w:type="pct"/>
                  <w:vMerge w:val="continue"/>
                  <w:vAlign w:val="center"/>
                </w:tcPr>
                <w:p w14:paraId="41F1F77D">
                  <w:pPr>
                    <w:jc w:val="center"/>
                    <w:rPr>
                      <w:rFonts w:hint="default" w:ascii="Times New Roman" w:hAnsi="Times New Roman" w:eastAsia="宋体" w:cs="Times New Roman"/>
                      <w:color w:val="auto"/>
                      <w:sz w:val="21"/>
                      <w:szCs w:val="21"/>
                      <w:highlight w:val="none"/>
                    </w:rPr>
                  </w:pPr>
                </w:p>
              </w:tc>
              <w:tc>
                <w:tcPr>
                  <w:tcW w:w="482" w:type="pct"/>
                  <w:vMerge w:val="continue"/>
                  <w:vAlign w:val="center"/>
                </w:tcPr>
                <w:p w14:paraId="7AB04648">
                  <w:pPr>
                    <w:jc w:val="center"/>
                    <w:rPr>
                      <w:rFonts w:hint="default" w:ascii="Times New Roman" w:hAnsi="Times New Roman" w:eastAsia="宋体" w:cs="Times New Roman"/>
                      <w:color w:val="auto"/>
                      <w:sz w:val="21"/>
                      <w:szCs w:val="21"/>
                      <w:highlight w:val="none"/>
                    </w:rPr>
                  </w:pPr>
                </w:p>
              </w:tc>
              <w:tc>
                <w:tcPr>
                  <w:tcW w:w="719" w:type="pct"/>
                  <w:vAlign w:val="center"/>
                </w:tcPr>
                <w:p w14:paraId="57852A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607" w:type="pct"/>
                  <w:vAlign w:val="center"/>
                </w:tcPr>
                <w:p w14:paraId="2AADCB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505" w:type="pct"/>
                  <w:vAlign w:val="center"/>
                </w:tcPr>
                <w:p w14:paraId="686E01C0">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塔基数量（基）</w:t>
                  </w:r>
                </w:p>
              </w:tc>
              <w:tc>
                <w:tcPr>
                  <w:tcW w:w="520" w:type="pct"/>
                  <w:vAlign w:val="center"/>
                </w:tcPr>
                <w:p w14:paraId="4F55BF5B">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塔基编号</w:t>
                  </w:r>
                </w:p>
              </w:tc>
              <w:tc>
                <w:tcPr>
                  <w:tcW w:w="235" w:type="pct"/>
                  <w:vAlign w:val="center"/>
                </w:tcPr>
                <w:p w14:paraId="7EAA0380">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穿越方式</w:t>
                  </w:r>
                </w:p>
              </w:tc>
              <w:tc>
                <w:tcPr>
                  <w:tcW w:w="743" w:type="pct"/>
                  <w:vAlign w:val="center"/>
                </w:tcPr>
                <w:p w14:paraId="1C3B4FCE">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穿越长度（m）</w:t>
                  </w:r>
                </w:p>
              </w:tc>
              <w:tc>
                <w:tcPr>
                  <w:tcW w:w="497" w:type="pct"/>
                  <w:vAlign w:val="center"/>
                </w:tcPr>
                <w:p w14:paraId="5F4618C3">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40" w:type="pct"/>
                  <w:vMerge w:val="continue"/>
                  <w:vAlign w:val="center"/>
                </w:tcPr>
                <w:p w14:paraId="1F30CDE7">
                  <w:pPr>
                    <w:jc w:val="center"/>
                    <w:rPr>
                      <w:rFonts w:hint="default" w:ascii="Times New Roman" w:hAnsi="Times New Roman" w:eastAsia="宋体" w:cs="Times New Roman"/>
                      <w:color w:val="auto"/>
                      <w:sz w:val="21"/>
                      <w:szCs w:val="21"/>
                      <w:highlight w:val="none"/>
                    </w:rPr>
                  </w:pPr>
                </w:p>
              </w:tc>
            </w:tr>
            <w:tr w14:paraId="420E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7C6BEE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生态红线</w:t>
                  </w:r>
                </w:p>
              </w:tc>
              <w:tc>
                <w:tcPr>
                  <w:tcW w:w="482" w:type="pct"/>
                  <w:vMerge w:val="restart"/>
                  <w:vAlign w:val="center"/>
                </w:tcPr>
                <w:p w14:paraId="53B499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架空线路向两端外延1km、线路中心线向两侧外延1km带状区</w:t>
                  </w:r>
                </w:p>
              </w:tc>
              <w:tc>
                <w:tcPr>
                  <w:tcW w:w="719" w:type="pct"/>
                  <w:vAlign w:val="center"/>
                </w:tcPr>
                <w:p w14:paraId="5279F5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河北滦河上游国家级自然保护区</w:t>
                  </w:r>
                </w:p>
              </w:tc>
              <w:tc>
                <w:tcPr>
                  <w:tcW w:w="607" w:type="pct"/>
                  <w:vAlign w:val="center"/>
                </w:tcPr>
                <w:p w14:paraId="2BD37C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（1）多样、完整的森林生态系统</w:t>
                  </w:r>
                </w:p>
                <w:p w14:paraId="6B6CE3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（2）珍稀野生动植物</w:t>
                  </w:r>
                </w:p>
              </w:tc>
              <w:tc>
                <w:tcPr>
                  <w:tcW w:w="505" w:type="pct"/>
                  <w:vAlign w:val="center"/>
                </w:tcPr>
                <w:p w14:paraId="4B6ADB93">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520" w:type="pct"/>
                  <w:vAlign w:val="center"/>
                </w:tcPr>
                <w:p w14:paraId="207C5454">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N4~N26</w:t>
                  </w:r>
                </w:p>
              </w:tc>
              <w:tc>
                <w:tcPr>
                  <w:tcW w:w="235" w:type="pct"/>
                  <w:vAlign w:val="center"/>
                </w:tcPr>
                <w:p w14:paraId="59DE2187">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架空穿越</w:t>
                  </w:r>
                </w:p>
              </w:tc>
              <w:tc>
                <w:tcPr>
                  <w:tcW w:w="743" w:type="pct"/>
                  <w:vAlign w:val="center"/>
                </w:tcPr>
                <w:p w14:paraId="3F39EDFE">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9094.58</w:t>
                  </w:r>
                </w:p>
              </w:tc>
              <w:tc>
                <w:tcPr>
                  <w:tcW w:w="497" w:type="pct"/>
                  <w:vAlign w:val="center"/>
                </w:tcPr>
                <w:p w14:paraId="5D767C87">
                  <w:pPr>
                    <w:widowControl/>
                    <w:autoSpaceDE/>
                    <w:autoSpaceDN/>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2438</w:t>
                  </w:r>
                </w:p>
              </w:tc>
              <w:tc>
                <w:tcPr>
                  <w:tcW w:w="240" w:type="pct"/>
                  <w:vMerge w:val="restart"/>
                  <w:vAlign w:val="center"/>
                </w:tcPr>
                <w:p w14:paraId="259436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区域生态环境功能不降低</w:t>
                  </w:r>
                </w:p>
              </w:tc>
            </w:tr>
            <w:tr w14:paraId="3277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vAlign w:val="center"/>
                </w:tcPr>
                <w:p w14:paraId="392B3E11">
                  <w:pPr>
                    <w:jc w:val="center"/>
                    <w:rPr>
                      <w:rFonts w:hint="default" w:ascii="Times New Roman" w:hAnsi="Times New Roman" w:eastAsia="宋体" w:cs="Times New Roman"/>
                      <w:color w:val="auto"/>
                      <w:sz w:val="21"/>
                      <w:szCs w:val="21"/>
                      <w:highlight w:val="none"/>
                    </w:rPr>
                  </w:pPr>
                </w:p>
              </w:tc>
              <w:tc>
                <w:tcPr>
                  <w:tcW w:w="482" w:type="pct"/>
                  <w:vMerge w:val="continue"/>
                  <w:vAlign w:val="center"/>
                </w:tcPr>
                <w:p w14:paraId="4AF8DBD4">
                  <w:pPr>
                    <w:jc w:val="center"/>
                    <w:rPr>
                      <w:rFonts w:hint="default" w:ascii="Times New Roman" w:hAnsi="Times New Roman" w:eastAsia="宋体" w:cs="Times New Roman"/>
                      <w:bCs/>
                      <w:color w:val="auto"/>
                      <w:sz w:val="21"/>
                      <w:szCs w:val="21"/>
                      <w:highlight w:val="none"/>
                    </w:rPr>
                  </w:pPr>
                </w:p>
              </w:tc>
              <w:tc>
                <w:tcPr>
                  <w:tcW w:w="719" w:type="pct"/>
                  <w:vAlign w:val="center"/>
                </w:tcPr>
                <w:p w14:paraId="4816430F">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燕山水源涵养-生物多样性维护生态保护红线、坝上高原防风固沙生态保护红线</w:t>
                  </w:r>
                </w:p>
              </w:tc>
              <w:tc>
                <w:tcPr>
                  <w:tcW w:w="607" w:type="pct"/>
                  <w:vAlign w:val="center"/>
                </w:tcPr>
                <w:p w14:paraId="191777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水源涵养-生物多样性维护、防风固沙</w:t>
                  </w:r>
                </w:p>
              </w:tc>
              <w:tc>
                <w:tcPr>
                  <w:tcW w:w="505" w:type="pct"/>
                  <w:vAlign w:val="center"/>
                </w:tcPr>
                <w:p w14:paraId="34554B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520" w:type="pct"/>
                  <w:vAlign w:val="center"/>
                </w:tcPr>
                <w:p w14:paraId="161E6BFA">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N10~N39、N41、N47~N49、N52~N53</w:t>
                  </w:r>
                </w:p>
              </w:tc>
              <w:tc>
                <w:tcPr>
                  <w:tcW w:w="235" w:type="pct"/>
                  <w:vAlign w:val="center"/>
                </w:tcPr>
                <w:p w14:paraId="29FD3AE0">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架空穿越</w:t>
                  </w:r>
                </w:p>
              </w:tc>
              <w:tc>
                <w:tcPr>
                  <w:tcW w:w="743" w:type="pct"/>
                  <w:vAlign w:val="center"/>
                </w:tcPr>
                <w:p w14:paraId="0AC329A1">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12967</w:t>
                  </w:r>
                </w:p>
              </w:tc>
              <w:tc>
                <w:tcPr>
                  <w:tcW w:w="497" w:type="pct"/>
                  <w:vAlign w:val="center"/>
                </w:tcPr>
                <w:p w14:paraId="474CE243">
                  <w:pPr>
                    <w:widowControl/>
                    <w:autoSpaceDE/>
                    <w:autoSpaceDN/>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7875</w:t>
                  </w:r>
                </w:p>
              </w:tc>
              <w:tc>
                <w:tcPr>
                  <w:tcW w:w="240" w:type="pct"/>
                  <w:vMerge w:val="continue"/>
                  <w:vAlign w:val="center"/>
                </w:tcPr>
                <w:p w14:paraId="6B90F0EA">
                  <w:pPr>
                    <w:jc w:val="center"/>
                    <w:rPr>
                      <w:rFonts w:hint="default" w:ascii="Times New Roman" w:hAnsi="Times New Roman" w:eastAsia="宋体" w:cs="Times New Roman"/>
                      <w:snapToGrid w:val="0"/>
                      <w:color w:val="auto"/>
                      <w:sz w:val="21"/>
                      <w:szCs w:val="21"/>
                      <w:highlight w:val="none"/>
                    </w:rPr>
                  </w:pPr>
                </w:p>
              </w:tc>
            </w:tr>
            <w:tr w14:paraId="4318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restart"/>
                  <w:vAlign w:val="center"/>
                </w:tcPr>
                <w:p w14:paraId="21F6DE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保护目标位置关系</w:t>
                  </w:r>
                </w:p>
              </w:tc>
              <w:tc>
                <w:tcPr>
                  <w:tcW w:w="482" w:type="pct"/>
                  <w:vAlign w:val="center"/>
                </w:tcPr>
                <w:p w14:paraId="16BF8E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本项目与河北滦河上游国家级自然保护区位置关系</w:t>
                  </w:r>
                </w:p>
              </w:tc>
              <w:tc>
                <w:tcPr>
                  <w:tcW w:w="4070" w:type="pct"/>
                  <w:gridSpan w:val="8"/>
                  <w:vAlign w:val="center"/>
                </w:tcPr>
                <w:p w14:paraId="7DD1C0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4540885" cy="2843530"/>
                        <wp:effectExtent l="0" t="0" r="1206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4540885" cy="2843530"/>
                                </a:xfrm>
                                <a:prstGeom prst="rect">
                                  <a:avLst/>
                                </a:prstGeom>
                                <a:noFill/>
                                <a:ln>
                                  <a:noFill/>
                                </a:ln>
                              </pic:spPr>
                            </pic:pic>
                          </a:graphicData>
                        </a:graphic>
                      </wp:inline>
                    </w:drawing>
                  </w:r>
                </w:p>
              </w:tc>
            </w:tr>
            <w:tr w14:paraId="2F56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vMerge w:val="continue"/>
                  <w:vAlign w:val="center"/>
                </w:tcPr>
                <w:p w14:paraId="1EAF36C5">
                  <w:pPr>
                    <w:jc w:val="center"/>
                    <w:rPr>
                      <w:rFonts w:hint="default" w:ascii="Times New Roman" w:hAnsi="Times New Roman" w:eastAsia="宋体" w:cs="Times New Roman"/>
                      <w:color w:val="auto"/>
                      <w:sz w:val="21"/>
                      <w:szCs w:val="21"/>
                      <w:highlight w:val="none"/>
                    </w:rPr>
                  </w:pPr>
                </w:p>
              </w:tc>
              <w:tc>
                <w:tcPr>
                  <w:tcW w:w="482" w:type="pct"/>
                  <w:vAlign w:val="center"/>
                </w:tcPr>
                <w:p w14:paraId="42D4EC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本项目与生态保护红线位置关系</w:t>
                  </w:r>
                </w:p>
              </w:tc>
              <w:tc>
                <w:tcPr>
                  <w:tcW w:w="4070" w:type="pct"/>
                  <w:gridSpan w:val="8"/>
                  <w:vAlign w:val="center"/>
                </w:tcPr>
                <w:p w14:paraId="4A10C9B2">
                  <w:pPr>
                    <w:jc w:val="center"/>
                    <w:rPr>
                      <w:rFonts w:hint="default" w:ascii="Times New Roman" w:hAnsi="Times New Roman" w:cs="Times New Roman"/>
                      <w:color w:val="auto"/>
                      <w:sz w:val="21"/>
                      <w:szCs w:val="21"/>
                      <w:highlight w:val="none"/>
                    </w:rPr>
                  </w:pPr>
                  <w:r>
                    <w:rPr>
                      <w:color w:val="auto"/>
                      <w:highlight w:val="none"/>
                    </w:rPr>
                    <w:drawing>
                      <wp:inline distT="0" distB="0" distL="114300" distR="114300">
                        <wp:extent cx="4439920" cy="2416175"/>
                        <wp:effectExtent l="0" t="0" r="177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4439920" cy="2416175"/>
                                </a:xfrm>
                                <a:prstGeom prst="rect">
                                  <a:avLst/>
                                </a:prstGeom>
                                <a:noFill/>
                                <a:ln>
                                  <a:noFill/>
                                </a:ln>
                              </pic:spPr>
                            </pic:pic>
                          </a:graphicData>
                        </a:graphic>
                      </wp:inline>
                    </w:drawing>
                  </w:r>
                </w:p>
              </w:tc>
            </w:tr>
          </w:tbl>
          <w:p w14:paraId="678D9190">
            <w:pPr>
              <w:pStyle w:val="23"/>
              <w:ind w:right="4387"/>
              <w:rPr>
                <w:rFonts w:hint="default" w:ascii="Times New Roman" w:hAnsi="Times New Roman" w:eastAsia="宋体" w:cs="Times New Roman"/>
                <w:color w:val="auto"/>
                <w:sz w:val="24"/>
                <w:szCs w:val="24"/>
                <w:highlight w:val="none"/>
              </w:rPr>
            </w:pPr>
          </w:p>
        </w:tc>
      </w:tr>
      <w:tr w14:paraId="7AA74B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497" w:type="dxa"/>
            <w:tcBorders>
              <w:top w:val="single" w:color="000000" w:sz="4" w:space="0"/>
              <w:bottom w:val="single" w:color="000000" w:sz="4" w:space="0"/>
              <w:right w:val="single" w:color="000000" w:sz="4" w:space="0"/>
            </w:tcBorders>
            <w:vAlign w:val="center"/>
          </w:tcPr>
          <w:p w14:paraId="16CB79EF">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评价标准</w:t>
            </w:r>
          </w:p>
        </w:tc>
        <w:tc>
          <w:tcPr>
            <w:tcW w:w="8633" w:type="dxa"/>
            <w:tcBorders>
              <w:top w:val="single" w:color="000000" w:sz="4" w:space="0"/>
              <w:left w:val="single" w:color="000000" w:sz="4" w:space="0"/>
              <w:bottom w:val="single" w:color="000000" w:sz="4" w:space="0"/>
            </w:tcBorders>
          </w:tcPr>
          <w:p w14:paraId="1711855E">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1、环境质量标准</w:t>
            </w:r>
          </w:p>
          <w:p w14:paraId="16361BD3">
            <w:pPr>
              <w:autoSpaceDE/>
              <w:autoSpaceDN/>
              <w:adjustRightInd w:val="0"/>
              <w:snapToGrid w:val="0"/>
              <w:spacing w:line="42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（1）环境空气质量标准</w:t>
            </w:r>
          </w:p>
          <w:p w14:paraId="34D63BBB">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eastAsia" w:ascii="Times New Roman" w:hAnsi="Times New Roman" w:cs="Times New Roman"/>
                <w:color w:val="auto"/>
                <w:sz w:val="24"/>
                <w:szCs w:val="24"/>
                <w:highlight w:val="none"/>
                <w:lang w:eastAsia="zh-CN"/>
              </w:rPr>
              <w:t>河北滦河上游国家级自然保护区段</w:t>
            </w:r>
            <w:r>
              <w:rPr>
                <w:rFonts w:hint="default" w:ascii="Times New Roman" w:hAnsi="Times New Roman" w:cs="Times New Roman" w:eastAsiaTheme="minorEastAsia"/>
                <w:color w:val="auto"/>
                <w:sz w:val="24"/>
                <w:szCs w:val="24"/>
                <w:highlight w:val="none"/>
              </w:rPr>
              <w:t>环境空气</w:t>
            </w:r>
            <w:r>
              <w:rPr>
                <w:rFonts w:hint="eastAsia" w:ascii="Times New Roman" w:hAnsi="Times New Roman" w:cs="Times New Roman"/>
                <w:color w:val="auto"/>
                <w:sz w:val="24"/>
                <w:szCs w:val="24"/>
                <w:highlight w:val="none"/>
                <w:lang w:eastAsia="zh-CN"/>
              </w:rPr>
              <w:t>执行</w:t>
            </w:r>
            <w:r>
              <w:rPr>
                <w:rFonts w:hint="default" w:ascii="Times New Roman" w:hAnsi="Times New Roman" w:cs="Times New Roman" w:eastAsiaTheme="minorEastAsia"/>
                <w:color w:val="auto"/>
                <w:sz w:val="24"/>
                <w:szCs w:val="24"/>
                <w:highlight w:val="none"/>
              </w:rPr>
              <w:t>《环境空气质量标准》（GB3095－2012）</w:t>
            </w:r>
            <w:r>
              <w:rPr>
                <w:rFonts w:hint="eastAsia" w:ascii="Times New Roman" w:hAnsi="Times New Roman" w:cs="Times New Roman"/>
                <w:color w:val="auto"/>
                <w:sz w:val="24"/>
                <w:szCs w:val="24"/>
                <w:highlight w:val="none"/>
                <w:lang w:eastAsia="zh-CN"/>
              </w:rPr>
              <w:t>及其修改单一</w:t>
            </w:r>
            <w:r>
              <w:rPr>
                <w:rFonts w:hint="default" w:ascii="Times New Roman" w:hAnsi="Times New Roman" w:cs="Times New Roman" w:eastAsiaTheme="minorEastAsia"/>
                <w:color w:val="auto"/>
                <w:sz w:val="24"/>
                <w:szCs w:val="24"/>
                <w:highlight w:val="none"/>
              </w:rPr>
              <w:t>级标准</w:t>
            </w:r>
            <w:r>
              <w:rPr>
                <w:rFonts w:hint="eastAsia" w:ascii="Times New Roman" w:hAnsi="Times New Roman" w:cs="Times New Roman"/>
                <w:color w:val="auto"/>
                <w:sz w:val="24"/>
                <w:szCs w:val="24"/>
                <w:highlight w:val="none"/>
                <w:lang w:eastAsia="zh-CN"/>
              </w:rPr>
              <w:t>，河北滦河上游国家级自然保护区外</w:t>
            </w:r>
            <w:r>
              <w:rPr>
                <w:rFonts w:hint="default" w:ascii="Times New Roman" w:hAnsi="Times New Roman" w:cs="Times New Roman" w:eastAsiaTheme="minorEastAsia"/>
                <w:color w:val="auto"/>
                <w:sz w:val="24"/>
                <w:szCs w:val="24"/>
                <w:highlight w:val="none"/>
              </w:rPr>
              <w:t>环境空气</w:t>
            </w:r>
            <w:r>
              <w:rPr>
                <w:rFonts w:hint="eastAsia" w:ascii="Times New Roman" w:hAnsi="Times New Roman" w:cs="Times New Roman"/>
                <w:color w:val="auto"/>
                <w:sz w:val="24"/>
                <w:szCs w:val="24"/>
                <w:highlight w:val="none"/>
                <w:lang w:eastAsia="zh-CN"/>
              </w:rPr>
              <w:t>执行</w:t>
            </w:r>
            <w:r>
              <w:rPr>
                <w:rFonts w:hint="default" w:ascii="Times New Roman" w:hAnsi="Times New Roman" w:cs="Times New Roman" w:eastAsiaTheme="minorEastAsia"/>
                <w:color w:val="auto"/>
                <w:sz w:val="24"/>
                <w:szCs w:val="24"/>
                <w:highlight w:val="none"/>
              </w:rPr>
              <w:t>《环境空气质量标准》（GB3095－2012）</w:t>
            </w:r>
            <w:r>
              <w:rPr>
                <w:rFonts w:hint="eastAsia" w:ascii="Times New Roman" w:hAnsi="Times New Roman" w:cs="Times New Roman"/>
                <w:color w:val="auto"/>
                <w:sz w:val="24"/>
                <w:szCs w:val="24"/>
                <w:highlight w:val="none"/>
                <w:lang w:eastAsia="zh-CN"/>
              </w:rPr>
              <w:t>及其修改单</w:t>
            </w:r>
            <w:r>
              <w:rPr>
                <w:rFonts w:hint="default" w:ascii="Times New Roman" w:hAnsi="Times New Roman" w:cs="Times New Roman" w:eastAsiaTheme="minorEastAsia"/>
                <w:color w:val="auto"/>
                <w:sz w:val="24"/>
                <w:szCs w:val="24"/>
                <w:highlight w:val="none"/>
              </w:rPr>
              <w:t>二级标准</w:t>
            </w:r>
            <w:r>
              <w:rPr>
                <w:rFonts w:hint="default" w:ascii="Times New Roman" w:hAnsi="Times New Roman" w:eastAsia="宋体" w:cs="Times New Roman"/>
                <w:color w:val="auto"/>
                <w:kern w:val="2"/>
                <w:sz w:val="24"/>
                <w:szCs w:val="24"/>
                <w:highlight w:val="none"/>
              </w:rPr>
              <w:t>。</w:t>
            </w:r>
          </w:p>
          <w:p w14:paraId="19BE32C1">
            <w:pPr>
              <w:autoSpaceDE/>
              <w:autoSpaceDN/>
              <w:adjustRightInd w:val="0"/>
              <w:snapToGrid w:val="0"/>
              <w:spacing w:line="440" w:lineRule="exact"/>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表3-10  环境空气质量标准</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6"/>
              <w:gridCol w:w="1059"/>
              <w:gridCol w:w="1931"/>
              <w:gridCol w:w="2418"/>
              <w:gridCol w:w="2009"/>
            </w:tblGrid>
            <w:tr w14:paraId="33F6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tcBorders>
                    <w:top w:val="single" w:color="auto" w:sz="4" w:space="0"/>
                    <w:left w:val="single" w:color="auto" w:sz="4" w:space="0"/>
                    <w:bottom w:val="single" w:color="auto" w:sz="4" w:space="0"/>
                    <w:right w:val="single" w:color="auto" w:sz="4" w:space="0"/>
                  </w:tcBorders>
                  <w:vAlign w:val="center"/>
                </w:tcPr>
                <w:p w14:paraId="30ADC3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w:t>
                  </w:r>
                </w:p>
              </w:tc>
              <w:tc>
                <w:tcPr>
                  <w:tcW w:w="615" w:type="pct"/>
                  <w:tcBorders>
                    <w:top w:val="single" w:color="auto" w:sz="4" w:space="0"/>
                    <w:left w:val="single" w:color="auto" w:sz="4" w:space="0"/>
                    <w:bottom w:val="single" w:color="auto" w:sz="4" w:space="0"/>
                    <w:right w:val="single" w:color="auto" w:sz="4" w:space="0"/>
                  </w:tcBorders>
                  <w:vAlign w:val="center"/>
                </w:tcPr>
                <w:p w14:paraId="1543E1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污染物名称</w:t>
                  </w:r>
                </w:p>
              </w:tc>
              <w:tc>
                <w:tcPr>
                  <w:tcW w:w="1122" w:type="pct"/>
                  <w:tcBorders>
                    <w:top w:val="single" w:color="auto" w:sz="4" w:space="0"/>
                    <w:left w:val="single" w:color="auto" w:sz="4" w:space="0"/>
                    <w:bottom w:val="single" w:color="auto" w:sz="4" w:space="0"/>
                    <w:right w:val="single" w:color="auto" w:sz="4" w:space="0"/>
                  </w:tcBorders>
                  <w:vAlign w:val="center"/>
                </w:tcPr>
                <w:p w14:paraId="682449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取值时间</w:t>
                  </w:r>
                </w:p>
              </w:tc>
              <w:tc>
                <w:tcPr>
                  <w:tcW w:w="1405" w:type="pct"/>
                  <w:tcBorders>
                    <w:top w:val="single" w:color="auto" w:sz="4" w:space="0"/>
                    <w:left w:val="single" w:color="auto" w:sz="4" w:space="0"/>
                    <w:bottom w:val="single" w:color="auto" w:sz="4" w:space="0"/>
                    <w:right w:val="single" w:color="auto" w:sz="4" w:space="0"/>
                  </w:tcBorders>
                  <w:vAlign w:val="center"/>
                </w:tcPr>
                <w:p w14:paraId="5329A45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浓度限值</w:t>
                  </w:r>
                  <w:r>
                    <w:rPr>
                      <w:rFonts w:hint="eastAsia" w:ascii="Times New Roman" w:hAnsi="Times New Roman" w:eastAsia="宋体" w:cs="Times New Roman"/>
                      <w:color w:val="auto"/>
                      <w:kern w:val="2"/>
                      <w:sz w:val="21"/>
                      <w:szCs w:val="21"/>
                      <w:highlight w:val="none"/>
                      <w:lang w:eastAsia="zh-CN"/>
                    </w:rPr>
                    <w:t>（一级标准）</w:t>
                  </w:r>
                </w:p>
              </w:tc>
              <w:tc>
                <w:tcPr>
                  <w:tcW w:w="1167" w:type="pct"/>
                  <w:tcBorders>
                    <w:top w:val="single" w:color="auto" w:sz="4" w:space="0"/>
                    <w:left w:val="single" w:color="auto" w:sz="4" w:space="0"/>
                    <w:bottom w:val="single" w:color="auto" w:sz="4" w:space="0"/>
                    <w:right w:val="single" w:color="auto" w:sz="4" w:space="0"/>
                  </w:tcBorders>
                  <w:vAlign w:val="center"/>
                </w:tcPr>
                <w:p w14:paraId="1ADB92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浓度限值</w:t>
                  </w:r>
                  <w:r>
                    <w:rPr>
                      <w:rFonts w:hint="eastAsia" w:ascii="Times New Roman" w:hAnsi="Times New Roman" w:eastAsia="宋体" w:cs="Times New Roman"/>
                      <w:color w:val="auto"/>
                      <w:kern w:val="2"/>
                      <w:sz w:val="21"/>
                      <w:szCs w:val="21"/>
                      <w:highlight w:val="none"/>
                      <w:lang w:eastAsia="zh-CN"/>
                    </w:rPr>
                    <w:t>（二级标准）</w:t>
                  </w:r>
                </w:p>
              </w:tc>
            </w:tr>
            <w:tr w14:paraId="63E8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restart"/>
                  <w:tcBorders>
                    <w:top w:val="nil"/>
                    <w:left w:val="single" w:color="auto" w:sz="4" w:space="0"/>
                    <w:bottom w:val="single" w:color="auto" w:sz="4" w:space="0"/>
                    <w:right w:val="single" w:color="auto" w:sz="4" w:space="0"/>
                  </w:tcBorders>
                  <w:vAlign w:val="center"/>
                </w:tcPr>
                <w:p w14:paraId="20F51C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大气环境</w:t>
                  </w:r>
                </w:p>
              </w:tc>
              <w:tc>
                <w:tcPr>
                  <w:tcW w:w="615" w:type="pct"/>
                  <w:tcBorders>
                    <w:top w:val="single" w:color="auto" w:sz="4" w:space="0"/>
                    <w:left w:val="single" w:color="auto" w:sz="4" w:space="0"/>
                    <w:bottom w:val="single" w:color="auto" w:sz="4" w:space="0"/>
                    <w:right w:val="single" w:color="auto" w:sz="4" w:space="0"/>
                  </w:tcBorders>
                  <w:vAlign w:val="center"/>
                </w:tcPr>
                <w:p w14:paraId="765286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1122" w:type="pct"/>
                  <w:tcBorders>
                    <w:top w:val="single" w:color="auto" w:sz="4" w:space="0"/>
                    <w:left w:val="single" w:color="auto" w:sz="4" w:space="0"/>
                    <w:bottom w:val="single" w:color="auto" w:sz="4" w:space="0"/>
                    <w:right w:val="single" w:color="auto" w:sz="4" w:space="0"/>
                  </w:tcBorders>
                  <w:vAlign w:val="center"/>
                </w:tcPr>
                <w:p w14:paraId="56FC0B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1E4FD4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7785F2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68B6D5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rPr>
                    <w:t>0μg/m</w:t>
                  </w:r>
                  <w:r>
                    <w:rPr>
                      <w:rFonts w:hint="default" w:ascii="Times New Roman" w:hAnsi="Times New Roman" w:eastAsia="宋体" w:cs="Times New Roman"/>
                      <w:color w:val="auto"/>
                      <w:kern w:val="2"/>
                      <w:sz w:val="21"/>
                      <w:szCs w:val="21"/>
                      <w:highlight w:val="none"/>
                      <w:vertAlign w:val="superscript"/>
                    </w:rPr>
                    <w:t>3</w:t>
                  </w:r>
                </w:p>
                <w:p w14:paraId="491D03F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50μg/m</w:t>
                  </w:r>
                  <w:r>
                    <w:rPr>
                      <w:rFonts w:hint="default" w:ascii="Times New Roman" w:hAnsi="Times New Roman" w:eastAsia="宋体" w:cs="Times New Roman"/>
                      <w:color w:val="auto"/>
                      <w:kern w:val="2"/>
                      <w:sz w:val="21"/>
                      <w:szCs w:val="21"/>
                      <w:highlight w:val="none"/>
                      <w:vertAlign w:val="superscript"/>
                    </w:rPr>
                    <w:t>3</w:t>
                  </w:r>
                </w:p>
                <w:p w14:paraId="792E65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00μg/m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6DF2FD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60μg/m</w:t>
                  </w:r>
                  <w:r>
                    <w:rPr>
                      <w:rFonts w:hint="default" w:ascii="Times New Roman" w:hAnsi="Times New Roman" w:eastAsia="宋体" w:cs="Times New Roman"/>
                      <w:color w:val="auto"/>
                      <w:kern w:val="2"/>
                      <w:sz w:val="21"/>
                      <w:szCs w:val="21"/>
                      <w:highlight w:val="none"/>
                      <w:vertAlign w:val="superscript"/>
                    </w:rPr>
                    <w:t>3</w:t>
                  </w:r>
                </w:p>
                <w:p w14:paraId="4CFADE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150μg/m</w:t>
                  </w:r>
                  <w:r>
                    <w:rPr>
                      <w:rFonts w:hint="default" w:ascii="Times New Roman" w:hAnsi="Times New Roman" w:eastAsia="宋体" w:cs="Times New Roman"/>
                      <w:color w:val="auto"/>
                      <w:kern w:val="2"/>
                      <w:sz w:val="21"/>
                      <w:szCs w:val="21"/>
                      <w:highlight w:val="none"/>
                      <w:vertAlign w:val="superscript"/>
                    </w:rPr>
                    <w:t>3</w:t>
                  </w:r>
                </w:p>
                <w:p w14:paraId="3C73596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500μg/m</w:t>
                  </w:r>
                  <w:r>
                    <w:rPr>
                      <w:rFonts w:hint="default" w:ascii="Times New Roman" w:hAnsi="Times New Roman" w:eastAsia="宋体" w:cs="Times New Roman"/>
                      <w:color w:val="auto"/>
                      <w:kern w:val="2"/>
                      <w:sz w:val="21"/>
                      <w:szCs w:val="21"/>
                      <w:highlight w:val="none"/>
                      <w:vertAlign w:val="superscript"/>
                    </w:rPr>
                    <w:t>3</w:t>
                  </w:r>
                </w:p>
              </w:tc>
            </w:tr>
            <w:tr w14:paraId="090E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continue"/>
                  <w:tcBorders>
                    <w:top w:val="nil"/>
                    <w:left w:val="single" w:color="auto" w:sz="4" w:space="0"/>
                    <w:bottom w:val="single" w:color="auto" w:sz="4" w:space="0"/>
                    <w:right w:val="single" w:color="auto" w:sz="4" w:space="0"/>
                  </w:tcBorders>
                  <w:vAlign w:val="center"/>
                </w:tcPr>
                <w:p w14:paraId="71BA13E3">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0A99F2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2</w:t>
                  </w:r>
                </w:p>
              </w:tc>
              <w:tc>
                <w:tcPr>
                  <w:tcW w:w="1122" w:type="pct"/>
                  <w:tcBorders>
                    <w:top w:val="single" w:color="auto" w:sz="4" w:space="0"/>
                    <w:left w:val="single" w:color="auto" w:sz="4" w:space="0"/>
                    <w:bottom w:val="single" w:color="auto" w:sz="4" w:space="0"/>
                    <w:right w:val="single" w:color="auto" w:sz="4" w:space="0"/>
                  </w:tcBorders>
                  <w:vAlign w:val="center"/>
                </w:tcPr>
                <w:p w14:paraId="4F06C4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51AB6A8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3821EB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084C95E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40μg/m</w:t>
                  </w:r>
                  <w:r>
                    <w:rPr>
                      <w:rFonts w:hint="default" w:ascii="Times New Roman" w:hAnsi="Times New Roman" w:eastAsia="宋体" w:cs="Times New Roman"/>
                      <w:color w:val="auto"/>
                      <w:kern w:val="2"/>
                      <w:sz w:val="21"/>
                      <w:szCs w:val="21"/>
                      <w:highlight w:val="none"/>
                      <w:vertAlign w:val="superscript"/>
                    </w:rPr>
                    <w:t>3</w:t>
                  </w:r>
                </w:p>
                <w:p w14:paraId="7D20A4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80μg/m</w:t>
                  </w:r>
                  <w:r>
                    <w:rPr>
                      <w:rFonts w:hint="default" w:ascii="Times New Roman" w:hAnsi="Times New Roman" w:eastAsia="宋体" w:cs="Times New Roman"/>
                      <w:color w:val="auto"/>
                      <w:kern w:val="2"/>
                      <w:sz w:val="21"/>
                      <w:szCs w:val="21"/>
                      <w:highlight w:val="none"/>
                      <w:vertAlign w:val="superscript"/>
                    </w:rPr>
                    <w:t>3</w:t>
                  </w:r>
                </w:p>
                <w:p w14:paraId="685B4D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200μg/m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33B0B4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40μg/m</w:t>
                  </w:r>
                  <w:r>
                    <w:rPr>
                      <w:rFonts w:hint="default" w:ascii="Times New Roman" w:hAnsi="Times New Roman" w:eastAsia="宋体" w:cs="Times New Roman"/>
                      <w:color w:val="auto"/>
                      <w:kern w:val="2"/>
                      <w:sz w:val="21"/>
                      <w:szCs w:val="21"/>
                      <w:highlight w:val="none"/>
                      <w:vertAlign w:val="superscript"/>
                    </w:rPr>
                    <w:t>3</w:t>
                  </w:r>
                </w:p>
                <w:p w14:paraId="1B8F6C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80μg/m</w:t>
                  </w:r>
                  <w:r>
                    <w:rPr>
                      <w:rFonts w:hint="default" w:ascii="Times New Roman" w:hAnsi="Times New Roman" w:eastAsia="宋体" w:cs="Times New Roman"/>
                      <w:color w:val="auto"/>
                      <w:kern w:val="2"/>
                      <w:sz w:val="21"/>
                      <w:szCs w:val="21"/>
                      <w:highlight w:val="none"/>
                      <w:vertAlign w:val="superscript"/>
                    </w:rPr>
                    <w:t>3</w:t>
                  </w:r>
                </w:p>
                <w:p w14:paraId="103BE8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200μg/m</w:t>
                  </w:r>
                  <w:r>
                    <w:rPr>
                      <w:rFonts w:hint="default" w:ascii="Times New Roman" w:hAnsi="Times New Roman" w:eastAsia="宋体" w:cs="Times New Roman"/>
                      <w:color w:val="auto"/>
                      <w:kern w:val="2"/>
                      <w:sz w:val="21"/>
                      <w:szCs w:val="21"/>
                      <w:highlight w:val="none"/>
                      <w:vertAlign w:val="superscript"/>
                    </w:rPr>
                    <w:t>3</w:t>
                  </w:r>
                </w:p>
              </w:tc>
            </w:tr>
            <w:tr w14:paraId="7577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continue"/>
                  <w:tcBorders>
                    <w:top w:val="nil"/>
                    <w:left w:val="single" w:color="auto" w:sz="4" w:space="0"/>
                    <w:bottom w:val="single" w:color="auto" w:sz="4" w:space="0"/>
                    <w:right w:val="single" w:color="auto" w:sz="4" w:space="0"/>
                  </w:tcBorders>
                  <w:vAlign w:val="center"/>
                </w:tcPr>
                <w:p w14:paraId="1A235665">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58B612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10</w:t>
                  </w:r>
                </w:p>
              </w:tc>
              <w:tc>
                <w:tcPr>
                  <w:tcW w:w="1122" w:type="pct"/>
                  <w:tcBorders>
                    <w:top w:val="single" w:color="auto" w:sz="4" w:space="0"/>
                    <w:left w:val="single" w:color="auto" w:sz="4" w:space="0"/>
                    <w:bottom w:val="single" w:color="auto" w:sz="4" w:space="0"/>
                    <w:right w:val="single" w:color="auto" w:sz="4" w:space="0"/>
                  </w:tcBorders>
                  <w:vAlign w:val="center"/>
                </w:tcPr>
                <w:p w14:paraId="5BEE6A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646F9E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291303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4</w:t>
                  </w:r>
                  <w:r>
                    <w:rPr>
                      <w:rFonts w:hint="default" w:ascii="Times New Roman" w:hAnsi="Times New Roman" w:eastAsia="宋体" w:cs="Times New Roman"/>
                      <w:color w:val="auto"/>
                      <w:kern w:val="2"/>
                      <w:sz w:val="21"/>
                      <w:szCs w:val="21"/>
                      <w:highlight w:val="none"/>
                    </w:rPr>
                    <w:t>0μg/m</w:t>
                  </w:r>
                  <w:r>
                    <w:rPr>
                      <w:rFonts w:hint="default" w:ascii="Times New Roman" w:hAnsi="Times New Roman" w:eastAsia="宋体" w:cs="Times New Roman"/>
                      <w:color w:val="auto"/>
                      <w:kern w:val="2"/>
                      <w:sz w:val="21"/>
                      <w:szCs w:val="21"/>
                      <w:highlight w:val="none"/>
                      <w:vertAlign w:val="superscript"/>
                    </w:rPr>
                    <w:t>3</w:t>
                  </w:r>
                </w:p>
                <w:p w14:paraId="5984B9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50μg/m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2343E3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70μg/m</w:t>
                  </w:r>
                  <w:r>
                    <w:rPr>
                      <w:rFonts w:hint="default" w:ascii="Times New Roman" w:hAnsi="Times New Roman" w:eastAsia="宋体" w:cs="Times New Roman"/>
                      <w:color w:val="auto"/>
                      <w:kern w:val="2"/>
                      <w:sz w:val="21"/>
                      <w:szCs w:val="21"/>
                      <w:highlight w:val="none"/>
                      <w:vertAlign w:val="superscript"/>
                    </w:rPr>
                    <w:t>3</w:t>
                  </w:r>
                </w:p>
                <w:p w14:paraId="5B4BD3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150μg/m</w:t>
                  </w:r>
                  <w:r>
                    <w:rPr>
                      <w:rFonts w:hint="default" w:ascii="Times New Roman" w:hAnsi="Times New Roman" w:eastAsia="宋体" w:cs="Times New Roman"/>
                      <w:color w:val="auto"/>
                      <w:kern w:val="2"/>
                      <w:sz w:val="21"/>
                      <w:szCs w:val="21"/>
                      <w:highlight w:val="none"/>
                      <w:vertAlign w:val="superscript"/>
                    </w:rPr>
                    <w:t>3</w:t>
                  </w:r>
                </w:p>
              </w:tc>
            </w:tr>
            <w:tr w14:paraId="329B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continue"/>
                  <w:tcBorders>
                    <w:top w:val="nil"/>
                    <w:left w:val="single" w:color="auto" w:sz="4" w:space="0"/>
                    <w:bottom w:val="single" w:color="auto" w:sz="4" w:space="0"/>
                    <w:right w:val="single" w:color="auto" w:sz="4" w:space="0"/>
                  </w:tcBorders>
                  <w:vAlign w:val="center"/>
                </w:tcPr>
                <w:p w14:paraId="0B3090B5">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612C16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2.5</w:t>
                  </w:r>
                </w:p>
              </w:tc>
              <w:tc>
                <w:tcPr>
                  <w:tcW w:w="1122" w:type="pct"/>
                  <w:tcBorders>
                    <w:top w:val="single" w:color="auto" w:sz="4" w:space="0"/>
                    <w:left w:val="single" w:color="auto" w:sz="4" w:space="0"/>
                    <w:bottom w:val="single" w:color="auto" w:sz="4" w:space="0"/>
                    <w:right w:val="single" w:color="auto" w:sz="4" w:space="0"/>
                  </w:tcBorders>
                  <w:vAlign w:val="center"/>
                </w:tcPr>
                <w:p w14:paraId="735C36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w:t>
                  </w:r>
                </w:p>
                <w:p w14:paraId="33A7CC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475280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5μg/m</w:t>
                  </w:r>
                  <w:r>
                    <w:rPr>
                      <w:rFonts w:hint="default" w:ascii="Times New Roman" w:hAnsi="Times New Roman" w:eastAsia="宋体" w:cs="Times New Roman"/>
                      <w:color w:val="auto"/>
                      <w:kern w:val="2"/>
                      <w:sz w:val="21"/>
                      <w:szCs w:val="21"/>
                      <w:highlight w:val="none"/>
                      <w:vertAlign w:val="superscript"/>
                    </w:rPr>
                    <w:t>3</w:t>
                  </w:r>
                </w:p>
                <w:p w14:paraId="431A4C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5μg/m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1E54595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35μg/m</w:t>
                  </w:r>
                  <w:r>
                    <w:rPr>
                      <w:rFonts w:hint="default" w:ascii="Times New Roman" w:hAnsi="Times New Roman" w:eastAsia="宋体" w:cs="Times New Roman"/>
                      <w:color w:val="auto"/>
                      <w:kern w:val="2"/>
                      <w:sz w:val="21"/>
                      <w:szCs w:val="21"/>
                      <w:highlight w:val="none"/>
                      <w:vertAlign w:val="superscript"/>
                    </w:rPr>
                    <w:t>3</w:t>
                  </w:r>
                </w:p>
                <w:p w14:paraId="027CCC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75μg/m</w:t>
                  </w:r>
                  <w:r>
                    <w:rPr>
                      <w:rFonts w:hint="default" w:ascii="Times New Roman" w:hAnsi="Times New Roman" w:eastAsia="宋体" w:cs="Times New Roman"/>
                      <w:color w:val="auto"/>
                      <w:kern w:val="2"/>
                      <w:sz w:val="21"/>
                      <w:szCs w:val="21"/>
                      <w:highlight w:val="none"/>
                      <w:vertAlign w:val="superscript"/>
                    </w:rPr>
                    <w:t>3</w:t>
                  </w:r>
                </w:p>
              </w:tc>
            </w:tr>
            <w:tr w14:paraId="6F41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continue"/>
                  <w:tcBorders>
                    <w:top w:val="nil"/>
                    <w:left w:val="single" w:color="auto" w:sz="4" w:space="0"/>
                    <w:bottom w:val="single" w:color="auto" w:sz="4" w:space="0"/>
                    <w:right w:val="single" w:color="auto" w:sz="4" w:space="0"/>
                  </w:tcBorders>
                  <w:vAlign w:val="center"/>
                </w:tcPr>
                <w:p w14:paraId="03E79500">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664BC6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CO</w:t>
                  </w:r>
                </w:p>
              </w:tc>
              <w:tc>
                <w:tcPr>
                  <w:tcW w:w="1122" w:type="pct"/>
                  <w:tcBorders>
                    <w:top w:val="single" w:color="auto" w:sz="4" w:space="0"/>
                    <w:left w:val="single" w:color="auto" w:sz="4" w:space="0"/>
                    <w:bottom w:val="single" w:color="auto" w:sz="4" w:space="0"/>
                    <w:right w:val="single" w:color="auto" w:sz="4" w:space="0"/>
                  </w:tcBorders>
                  <w:vAlign w:val="center"/>
                </w:tcPr>
                <w:p w14:paraId="040F55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p w14:paraId="5B5FEC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0A0FBC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4mg/m</w:t>
                  </w:r>
                  <w:r>
                    <w:rPr>
                      <w:rFonts w:hint="default" w:ascii="Times New Roman" w:hAnsi="Times New Roman" w:eastAsia="宋体" w:cs="Times New Roman"/>
                      <w:color w:val="auto"/>
                      <w:kern w:val="2"/>
                      <w:sz w:val="21"/>
                      <w:szCs w:val="21"/>
                      <w:highlight w:val="none"/>
                      <w:vertAlign w:val="superscript"/>
                    </w:rPr>
                    <w:t>3</w:t>
                  </w:r>
                </w:p>
                <w:p w14:paraId="18BE39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10mg/m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75D950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4mg/m</w:t>
                  </w:r>
                  <w:r>
                    <w:rPr>
                      <w:rFonts w:hint="default" w:ascii="Times New Roman" w:hAnsi="Times New Roman" w:eastAsia="宋体" w:cs="Times New Roman"/>
                      <w:color w:val="auto"/>
                      <w:kern w:val="2"/>
                      <w:sz w:val="21"/>
                      <w:szCs w:val="21"/>
                      <w:highlight w:val="none"/>
                      <w:vertAlign w:val="superscript"/>
                    </w:rPr>
                    <w:t>3</w:t>
                  </w:r>
                </w:p>
                <w:p w14:paraId="04A0CB6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10mg/m</w:t>
                  </w:r>
                  <w:r>
                    <w:rPr>
                      <w:rFonts w:hint="default" w:ascii="Times New Roman" w:hAnsi="Times New Roman" w:eastAsia="宋体" w:cs="Times New Roman"/>
                      <w:color w:val="auto"/>
                      <w:kern w:val="2"/>
                      <w:sz w:val="21"/>
                      <w:szCs w:val="21"/>
                      <w:highlight w:val="none"/>
                      <w:vertAlign w:val="superscript"/>
                    </w:rPr>
                    <w:t>3</w:t>
                  </w:r>
                </w:p>
              </w:tc>
            </w:tr>
            <w:tr w14:paraId="6689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89" w:type="pct"/>
                  <w:vMerge w:val="continue"/>
                  <w:tcBorders>
                    <w:top w:val="nil"/>
                    <w:left w:val="single" w:color="auto" w:sz="4" w:space="0"/>
                    <w:bottom w:val="single" w:color="auto" w:sz="4" w:space="0"/>
                    <w:right w:val="single" w:color="auto" w:sz="4" w:space="0"/>
                  </w:tcBorders>
                  <w:vAlign w:val="center"/>
                </w:tcPr>
                <w:p w14:paraId="2D664AA4">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rPr>
                  </w:pPr>
                </w:p>
              </w:tc>
              <w:tc>
                <w:tcPr>
                  <w:tcW w:w="615" w:type="pct"/>
                  <w:tcBorders>
                    <w:top w:val="single" w:color="auto" w:sz="4" w:space="0"/>
                    <w:left w:val="single" w:color="auto" w:sz="4" w:space="0"/>
                    <w:bottom w:val="single" w:color="auto" w:sz="4" w:space="0"/>
                    <w:right w:val="single" w:color="auto" w:sz="4" w:space="0"/>
                  </w:tcBorders>
                  <w:vAlign w:val="center"/>
                </w:tcPr>
                <w:p w14:paraId="484A44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O</w:t>
                  </w:r>
                  <w:r>
                    <w:rPr>
                      <w:rFonts w:hint="default" w:ascii="Times New Roman" w:hAnsi="Times New Roman" w:eastAsia="宋体" w:cs="Times New Roman"/>
                      <w:color w:val="auto"/>
                      <w:kern w:val="2"/>
                      <w:sz w:val="21"/>
                      <w:szCs w:val="21"/>
                      <w:highlight w:val="none"/>
                      <w:vertAlign w:val="subscript"/>
                    </w:rPr>
                    <w:t>3</w:t>
                  </w:r>
                </w:p>
              </w:tc>
              <w:tc>
                <w:tcPr>
                  <w:tcW w:w="1122" w:type="pct"/>
                  <w:tcBorders>
                    <w:top w:val="single" w:color="auto" w:sz="4" w:space="0"/>
                    <w:left w:val="single" w:color="auto" w:sz="4" w:space="0"/>
                    <w:bottom w:val="single" w:color="auto" w:sz="4" w:space="0"/>
                    <w:right w:val="single" w:color="auto" w:sz="4" w:space="0"/>
                  </w:tcBorders>
                  <w:vAlign w:val="center"/>
                </w:tcPr>
                <w:p w14:paraId="6437A0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日最大8小时平均</w:t>
                  </w:r>
                </w:p>
                <w:p w14:paraId="450856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1小时平均</w:t>
                  </w:r>
                </w:p>
              </w:tc>
              <w:tc>
                <w:tcPr>
                  <w:tcW w:w="1405" w:type="pct"/>
                  <w:tcBorders>
                    <w:top w:val="single" w:color="auto" w:sz="4" w:space="0"/>
                    <w:left w:val="single" w:color="auto" w:sz="4" w:space="0"/>
                    <w:bottom w:val="single" w:color="auto" w:sz="4" w:space="0"/>
                    <w:right w:val="single" w:color="auto" w:sz="4" w:space="0"/>
                  </w:tcBorders>
                  <w:vAlign w:val="center"/>
                </w:tcPr>
                <w:p w14:paraId="6BF043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w:t>
                  </w:r>
                  <w:r>
                    <w:rPr>
                      <w:rFonts w:hint="eastAsia" w:ascii="Times New Roman" w:hAnsi="Times New Roman" w:eastAsia="宋体" w:cs="Times New Roman"/>
                      <w:color w:val="auto"/>
                      <w:kern w:val="2"/>
                      <w:sz w:val="21"/>
                      <w:szCs w:val="21"/>
                      <w:highlight w:val="none"/>
                      <w:lang w:val="en-US" w:eastAsia="zh-CN"/>
                    </w:rPr>
                    <w:t>0</w:t>
                  </w:r>
                  <w:r>
                    <w:rPr>
                      <w:rFonts w:hint="default" w:ascii="Times New Roman" w:hAnsi="Times New Roman" w:eastAsia="宋体" w:cs="Times New Roman"/>
                      <w:color w:val="auto"/>
                      <w:kern w:val="2"/>
                      <w:sz w:val="21"/>
                      <w:szCs w:val="21"/>
                      <w:highlight w:val="none"/>
                    </w:rPr>
                    <w:t>0μg/m</w:t>
                  </w:r>
                  <w:r>
                    <w:rPr>
                      <w:rFonts w:hint="default" w:ascii="Times New Roman" w:hAnsi="Times New Roman" w:eastAsia="宋体" w:cs="Times New Roman"/>
                      <w:color w:val="auto"/>
                      <w:kern w:val="2"/>
                      <w:sz w:val="21"/>
                      <w:szCs w:val="21"/>
                      <w:highlight w:val="none"/>
                      <w:vertAlign w:val="superscript"/>
                    </w:rPr>
                    <w:t>3</w:t>
                  </w:r>
                </w:p>
                <w:p w14:paraId="7B5A0C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16</w:t>
                  </w:r>
                  <w:r>
                    <w:rPr>
                      <w:rFonts w:hint="default" w:ascii="Times New Roman" w:hAnsi="Times New Roman" w:eastAsia="宋体" w:cs="Times New Roman"/>
                      <w:color w:val="auto"/>
                      <w:kern w:val="2"/>
                      <w:sz w:val="21"/>
                      <w:szCs w:val="21"/>
                      <w:highlight w:val="none"/>
                    </w:rPr>
                    <w:t>0μg/m</w:t>
                  </w:r>
                  <w:r>
                    <w:rPr>
                      <w:rFonts w:hint="default" w:ascii="Times New Roman" w:hAnsi="Times New Roman" w:eastAsia="宋体" w:cs="Times New Roman"/>
                      <w:color w:val="auto"/>
                      <w:kern w:val="2"/>
                      <w:sz w:val="21"/>
                      <w:szCs w:val="21"/>
                      <w:highlight w:val="none"/>
                      <w:vertAlign w:val="superscript"/>
                    </w:rPr>
                    <w:t>3</w:t>
                  </w:r>
                </w:p>
              </w:tc>
              <w:tc>
                <w:tcPr>
                  <w:tcW w:w="1167" w:type="pct"/>
                  <w:tcBorders>
                    <w:top w:val="nil"/>
                    <w:left w:val="single" w:color="auto" w:sz="4" w:space="0"/>
                    <w:bottom w:val="single" w:color="auto" w:sz="4" w:space="0"/>
                    <w:right w:val="single" w:color="auto" w:sz="4" w:space="0"/>
                  </w:tcBorders>
                  <w:vAlign w:val="center"/>
                </w:tcPr>
                <w:p w14:paraId="1A1B69B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160μg/m</w:t>
                  </w:r>
                  <w:r>
                    <w:rPr>
                      <w:rFonts w:hint="default" w:ascii="Times New Roman" w:hAnsi="Times New Roman" w:eastAsia="宋体" w:cs="Times New Roman"/>
                      <w:color w:val="auto"/>
                      <w:kern w:val="2"/>
                      <w:sz w:val="21"/>
                      <w:szCs w:val="21"/>
                      <w:highlight w:val="none"/>
                      <w:vertAlign w:val="superscript"/>
                    </w:rPr>
                    <w:t>3</w:t>
                  </w:r>
                </w:p>
                <w:p w14:paraId="2E5065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200μg/m</w:t>
                  </w:r>
                  <w:r>
                    <w:rPr>
                      <w:rFonts w:hint="default" w:ascii="Times New Roman" w:hAnsi="Times New Roman" w:eastAsia="宋体" w:cs="Times New Roman"/>
                      <w:color w:val="auto"/>
                      <w:kern w:val="2"/>
                      <w:sz w:val="21"/>
                      <w:szCs w:val="21"/>
                      <w:highlight w:val="none"/>
                      <w:vertAlign w:val="superscript"/>
                    </w:rPr>
                    <w:t>3</w:t>
                  </w:r>
                </w:p>
              </w:tc>
            </w:tr>
          </w:tbl>
          <w:p w14:paraId="4482BB05">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（2）声环境质量标准</w:t>
            </w:r>
          </w:p>
          <w:p w14:paraId="664D75EC">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项目位于农村区域和自然保护</w:t>
            </w:r>
            <w:r>
              <w:rPr>
                <w:rFonts w:hint="eastAsia" w:ascii="Times New Roman" w:hAnsi="Times New Roman" w:eastAsia="宋体" w:cs="Times New Roman"/>
                <w:color w:val="auto"/>
                <w:kern w:val="2"/>
                <w:sz w:val="24"/>
                <w:szCs w:val="24"/>
                <w:highlight w:val="none"/>
                <w:lang w:val="en-US" w:eastAsia="zh-CN"/>
              </w:rPr>
              <w:t>区</w:t>
            </w:r>
            <w:r>
              <w:rPr>
                <w:rFonts w:hint="default" w:ascii="Times New Roman" w:hAnsi="Times New Roman" w:eastAsia="宋体" w:cs="Times New Roman"/>
                <w:color w:val="auto"/>
                <w:kern w:val="2"/>
                <w:sz w:val="24"/>
                <w:szCs w:val="24"/>
                <w:highlight w:val="none"/>
              </w:rPr>
              <w:t>内，周边无工业园区、生产企业和等级公路，项目沿线声环境执行《声环境质量标准》（GB3096-2008）1类标准。</w:t>
            </w:r>
          </w:p>
          <w:p w14:paraId="732D781D">
            <w:pPr>
              <w:autoSpaceDE/>
              <w:autoSpaceDN/>
              <w:adjustRightInd w:val="0"/>
              <w:snapToGrid w:val="0"/>
              <w:spacing w:line="440" w:lineRule="exact"/>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表3-11  声环境质量标准    单位（dB（A））</w:t>
            </w:r>
          </w:p>
          <w:tbl>
            <w:tblPr>
              <w:tblStyle w:val="15"/>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9"/>
              <w:gridCol w:w="1283"/>
              <w:gridCol w:w="782"/>
              <w:gridCol w:w="735"/>
              <w:gridCol w:w="4354"/>
            </w:tblGrid>
            <w:tr w14:paraId="4D0C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14:paraId="3265D431">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position w:val="-1"/>
                      <w:sz w:val="21"/>
                      <w:szCs w:val="21"/>
                      <w:highlight w:val="none"/>
                    </w:rPr>
                    <w:t>项目</w:t>
                  </w:r>
                </w:p>
              </w:tc>
              <w:tc>
                <w:tcPr>
                  <w:tcW w:w="1283" w:type="dxa"/>
                  <w:tcBorders>
                    <w:top w:val="single" w:color="auto" w:sz="4" w:space="0"/>
                    <w:left w:val="single" w:color="auto" w:sz="4" w:space="0"/>
                    <w:bottom w:val="single" w:color="auto" w:sz="4" w:space="0"/>
                    <w:right w:val="single" w:color="auto" w:sz="4" w:space="0"/>
                  </w:tcBorders>
                  <w:vAlign w:val="center"/>
                </w:tcPr>
                <w:p w14:paraId="078A25C2">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污染物名称</w:t>
                  </w:r>
                </w:p>
              </w:tc>
              <w:tc>
                <w:tcPr>
                  <w:tcW w:w="782" w:type="dxa"/>
                  <w:tcBorders>
                    <w:top w:val="single" w:color="auto" w:sz="4" w:space="0"/>
                    <w:left w:val="single" w:color="auto" w:sz="4" w:space="0"/>
                    <w:bottom w:val="single" w:color="auto" w:sz="4" w:space="0"/>
                    <w:right w:val="single" w:color="auto" w:sz="4" w:space="0"/>
                  </w:tcBorders>
                  <w:vAlign w:val="center"/>
                </w:tcPr>
                <w:p w14:paraId="59D741AA">
                  <w:pPr>
                    <w:autoSpaceDE/>
                    <w:autoSpaceDN/>
                    <w:adjustRightInd w:val="0"/>
                    <w:snapToGrid w:val="0"/>
                    <w:spacing w:line="320" w:lineRule="exact"/>
                    <w:jc w:val="center"/>
                    <w:rPr>
                      <w:rFonts w:hint="default" w:ascii="Times New Roman" w:hAnsi="Times New Roman" w:eastAsia="宋体" w:cs="Times New Roman"/>
                      <w:color w:val="auto"/>
                      <w:kern w:val="2"/>
                      <w:position w:val="-1"/>
                      <w:sz w:val="21"/>
                      <w:szCs w:val="21"/>
                      <w:highlight w:val="none"/>
                    </w:rPr>
                  </w:pPr>
                  <w:r>
                    <w:rPr>
                      <w:rFonts w:hint="default" w:ascii="Times New Roman" w:hAnsi="Times New Roman" w:eastAsia="宋体" w:cs="Times New Roman"/>
                      <w:color w:val="auto"/>
                      <w:kern w:val="2"/>
                      <w:position w:val="-1"/>
                      <w:sz w:val="21"/>
                      <w:szCs w:val="21"/>
                      <w:highlight w:val="none"/>
                    </w:rPr>
                    <w:t>昼间</w:t>
                  </w:r>
                </w:p>
              </w:tc>
              <w:tc>
                <w:tcPr>
                  <w:tcW w:w="735" w:type="dxa"/>
                  <w:tcBorders>
                    <w:top w:val="single" w:color="auto" w:sz="4" w:space="0"/>
                    <w:left w:val="single" w:color="auto" w:sz="4" w:space="0"/>
                    <w:bottom w:val="single" w:color="auto" w:sz="4" w:space="0"/>
                    <w:right w:val="single" w:color="auto" w:sz="4" w:space="0"/>
                  </w:tcBorders>
                  <w:vAlign w:val="center"/>
                </w:tcPr>
                <w:p w14:paraId="31FF0DD2">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position w:val="-1"/>
                      <w:sz w:val="21"/>
                      <w:szCs w:val="21"/>
                      <w:highlight w:val="none"/>
                    </w:rPr>
                    <w:t>夜间</w:t>
                  </w:r>
                </w:p>
              </w:tc>
              <w:tc>
                <w:tcPr>
                  <w:tcW w:w="4354" w:type="dxa"/>
                  <w:tcBorders>
                    <w:top w:val="single" w:color="auto" w:sz="4" w:space="0"/>
                    <w:left w:val="single" w:color="auto" w:sz="4" w:space="0"/>
                    <w:bottom w:val="single" w:color="auto" w:sz="4" w:space="0"/>
                    <w:right w:val="single" w:color="auto" w:sz="4" w:space="0"/>
                  </w:tcBorders>
                  <w:vAlign w:val="center"/>
                </w:tcPr>
                <w:p w14:paraId="20C1FCD2">
                  <w:pPr>
                    <w:autoSpaceDE/>
                    <w:autoSpaceDN/>
                    <w:adjustRightInd w:val="0"/>
                    <w:snapToGrid w:val="0"/>
                    <w:spacing w:line="320" w:lineRule="exact"/>
                    <w:jc w:val="center"/>
                    <w:rPr>
                      <w:rFonts w:hint="default" w:ascii="Times New Roman" w:hAnsi="Times New Roman" w:eastAsia="宋体" w:cs="Times New Roman"/>
                      <w:color w:val="auto"/>
                      <w:kern w:val="2"/>
                      <w:position w:val="-1"/>
                      <w:sz w:val="21"/>
                      <w:szCs w:val="21"/>
                      <w:highlight w:val="none"/>
                    </w:rPr>
                  </w:pPr>
                  <w:r>
                    <w:rPr>
                      <w:rFonts w:hint="default" w:ascii="Times New Roman" w:hAnsi="Times New Roman" w:eastAsia="宋体" w:cs="Times New Roman"/>
                      <w:color w:val="auto"/>
                      <w:kern w:val="2"/>
                      <w:position w:val="-1"/>
                      <w:sz w:val="21"/>
                      <w:szCs w:val="21"/>
                      <w:highlight w:val="none"/>
                    </w:rPr>
                    <w:t>标准来源</w:t>
                  </w:r>
                </w:p>
              </w:tc>
            </w:tr>
            <w:tr w14:paraId="4764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009" w:type="dxa"/>
                  <w:tcBorders>
                    <w:top w:val="single" w:color="auto" w:sz="4" w:space="0"/>
                    <w:left w:val="single" w:color="auto" w:sz="4" w:space="0"/>
                    <w:right w:val="single" w:color="auto" w:sz="4" w:space="0"/>
                  </w:tcBorders>
                  <w:vAlign w:val="center"/>
                </w:tcPr>
                <w:p w14:paraId="7C7CA5AA">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项目区域</w:t>
                  </w:r>
                </w:p>
              </w:tc>
              <w:tc>
                <w:tcPr>
                  <w:tcW w:w="1283" w:type="dxa"/>
                  <w:tcBorders>
                    <w:top w:val="nil"/>
                    <w:left w:val="single" w:color="auto" w:sz="4" w:space="0"/>
                    <w:right w:val="single" w:color="auto" w:sz="4" w:space="0"/>
                  </w:tcBorders>
                  <w:vAlign w:val="center"/>
                </w:tcPr>
                <w:p w14:paraId="54EC6484">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等效连续A声级</w:t>
                  </w:r>
                </w:p>
              </w:tc>
              <w:tc>
                <w:tcPr>
                  <w:tcW w:w="782" w:type="dxa"/>
                  <w:tcBorders>
                    <w:top w:val="single" w:color="auto" w:sz="4" w:space="0"/>
                    <w:left w:val="single" w:color="auto" w:sz="4" w:space="0"/>
                    <w:bottom w:val="single" w:color="auto" w:sz="4" w:space="0"/>
                    <w:right w:val="single" w:color="auto" w:sz="4" w:space="0"/>
                  </w:tcBorders>
                  <w:vAlign w:val="center"/>
                </w:tcPr>
                <w:p w14:paraId="0BD8FC3D">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55</w:t>
                  </w:r>
                </w:p>
              </w:tc>
              <w:tc>
                <w:tcPr>
                  <w:tcW w:w="735" w:type="dxa"/>
                  <w:tcBorders>
                    <w:top w:val="single" w:color="auto" w:sz="4" w:space="0"/>
                    <w:left w:val="single" w:color="auto" w:sz="4" w:space="0"/>
                    <w:bottom w:val="single" w:color="auto" w:sz="4" w:space="0"/>
                    <w:right w:val="single" w:color="auto" w:sz="4" w:space="0"/>
                  </w:tcBorders>
                  <w:vAlign w:val="center"/>
                </w:tcPr>
                <w:p w14:paraId="1E51734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45</w:t>
                  </w:r>
                </w:p>
              </w:tc>
              <w:tc>
                <w:tcPr>
                  <w:tcW w:w="4354" w:type="dxa"/>
                  <w:tcBorders>
                    <w:top w:val="single" w:color="auto" w:sz="4" w:space="0"/>
                    <w:left w:val="single" w:color="auto" w:sz="4" w:space="0"/>
                    <w:bottom w:val="single" w:color="auto" w:sz="4" w:space="0"/>
                    <w:right w:val="single" w:color="auto" w:sz="4" w:space="0"/>
                  </w:tcBorders>
                  <w:vAlign w:val="center"/>
                </w:tcPr>
                <w:p w14:paraId="35C0FAD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《声环境质量标准》（GB3096-2008）1类标准</w:t>
                  </w:r>
                </w:p>
              </w:tc>
            </w:tr>
          </w:tbl>
          <w:p w14:paraId="78420029">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（3）电磁环境质量标准</w:t>
            </w:r>
          </w:p>
          <w:p w14:paraId="170D0FE5">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Cs/>
                <w:color w:val="auto"/>
                <w:sz w:val="24"/>
                <w:szCs w:val="24"/>
                <w:highlight w:val="none"/>
              </w:rPr>
              <w:t>工频电场强度、工频磁场强度：《电磁环境控制限值》（GB8702-2014）中的4kV/m和100μT的标准限值。</w:t>
            </w:r>
          </w:p>
          <w:p w14:paraId="6B27865A">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2、污染物排放标准</w:t>
            </w:r>
          </w:p>
          <w:p w14:paraId="665A1371">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（1）施工期</w:t>
            </w:r>
          </w:p>
          <w:p w14:paraId="28A8D3DB">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施工期扬尘执行《施工场地扬尘排放标准》（DB13/2934-2019）中</w:t>
            </w:r>
            <w:r>
              <w:rPr>
                <w:rFonts w:hint="default" w:ascii="Times New Roman" w:hAnsi="Times New Roman" w:eastAsia="宋体" w:cs="Times New Roman"/>
                <w:color w:val="auto"/>
                <w:sz w:val="24"/>
                <w:szCs w:val="24"/>
                <w:highlight w:val="none"/>
              </w:rPr>
              <w:t>监测点PM</w:t>
            </w:r>
            <w:r>
              <w:rPr>
                <w:rFonts w:hint="default" w:ascii="Times New Roman" w:hAnsi="Times New Roman" w:eastAsia="宋体" w:cs="Times New Roman"/>
                <w:color w:val="auto"/>
                <w:sz w:val="24"/>
                <w:szCs w:val="24"/>
                <w:highlight w:val="none"/>
                <w:vertAlign w:val="subscript"/>
              </w:rPr>
              <w:t xml:space="preserve">10 </w:t>
            </w:r>
            <w:r>
              <w:rPr>
                <w:rFonts w:hint="default" w:ascii="Times New Roman" w:hAnsi="Times New Roman" w:eastAsia="宋体" w:cs="Times New Roman"/>
                <w:color w:val="auto"/>
                <w:sz w:val="24"/>
                <w:szCs w:val="24"/>
                <w:highlight w:val="none"/>
              </w:rPr>
              <w:t>小时平均浓度实测值与同时段所属县（市、区）PM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小时平均浓度的差值≤80μg/m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，同时达标判定依据≤2次/天。</w:t>
            </w:r>
          </w:p>
          <w:p w14:paraId="6FD4516C">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施工期噪声执行《建筑施工场界环境噪声排放标准》（GB12523-2011）限值要求，</w:t>
            </w:r>
            <w:r>
              <w:rPr>
                <w:rFonts w:hint="default" w:ascii="Times New Roman" w:hAnsi="Times New Roman" w:eastAsia="宋体" w:cs="Times New Roman"/>
                <w:color w:val="auto"/>
                <w:sz w:val="24"/>
                <w:szCs w:val="24"/>
                <w:highlight w:val="none"/>
              </w:rPr>
              <w:t>即昼间≤70dB(A)、夜间≤55dB(A)。</w:t>
            </w:r>
          </w:p>
          <w:p w14:paraId="3F448668">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（2）运营期</w:t>
            </w:r>
          </w:p>
          <w:p w14:paraId="42E52C75">
            <w:pPr>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工频电场强度、工频磁场强度：《电磁环境控制限值》（GB8702-2014）中的4kV/m和100μT的标准限值</w:t>
            </w:r>
            <w:r>
              <w:rPr>
                <w:rFonts w:hint="eastAsia" w:ascii="Times New Roman" w:hAnsi="Times New Roman" w:eastAsia="宋体" w:cs="Times New Roman"/>
                <w:bCs/>
                <w:color w:val="auto"/>
                <w:sz w:val="24"/>
                <w:szCs w:val="24"/>
                <w:highlight w:val="none"/>
                <w:lang w:eastAsia="zh-CN"/>
              </w:rPr>
              <w:t>，其中架空输电线路线下的耕地、园地、道路等场所，其频率50Hz的电场强度控制限值为10kV/m</w:t>
            </w:r>
            <w:r>
              <w:rPr>
                <w:rFonts w:hint="default" w:ascii="Times New Roman" w:hAnsi="Times New Roman" w:eastAsia="宋体" w:cs="Times New Roman"/>
                <w:bCs/>
                <w:color w:val="auto"/>
                <w:sz w:val="24"/>
                <w:szCs w:val="24"/>
                <w:highlight w:val="none"/>
              </w:rPr>
              <w:t>。</w:t>
            </w:r>
          </w:p>
          <w:p w14:paraId="6CE754D3">
            <w:pPr>
              <w:autoSpaceDE/>
              <w:autoSpaceDN/>
              <w:adjustRightInd w:val="0"/>
              <w:snapToGrid w:val="0"/>
              <w:spacing w:line="440" w:lineRule="exact"/>
              <w:ind w:firstLine="480" w:firstLineChars="2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项目位于农村区域和自然</w:t>
            </w:r>
            <w:r>
              <w:rPr>
                <w:rFonts w:hint="eastAsia" w:ascii="Times New Roman" w:hAnsi="Times New Roman" w:eastAsia="宋体" w:cs="Times New Roman"/>
                <w:color w:val="auto"/>
                <w:kern w:val="2"/>
                <w:sz w:val="24"/>
                <w:szCs w:val="24"/>
                <w:highlight w:val="none"/>
                <w:lang w:eastAsia="zh-CN"/>
              </w:rPr>
              <w:t>保护区</w:t>
            </w:r>
            <w:r>
              <w:rPr>
                <w:rFonts w:hint="default" w:ascii="Times New Roman" w:hAnsi="Times New Roman" w:eastAsia="宋体" w:cs="Times New Roman"/>
                <w:color w:val="auto"/>
                <w:kern w:val="2"/>
                <w:sz w:val="24"/>
                <w:szCs w:val="24"/>
                <w:highlight w:val="none"/>
              </w:rPr>
              <w:t>，项目沿线声环境满足《声环境质量标准》（GB3096-2008）1类标准。</w:t>
            </w:r>
          </w:p>
          <w:p w14:paraId="01AE1812">
            <w:pPr>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表3-12  　污染物排放标准</w:t>
            </w:r>
          </w:p>
          <w:tbl>
            <w:tblPr>
              <w:tblStyle w:val="16"/>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388"/>
              <w:gridCol w:w="1814"/>
              <w:gridCol w:w="1772"/>
              <w:gridCol w:w="2706"/>
            </w:tblGrid>
            <w:tr w14:paraId="2CAA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gridSpan w:val="2"/>
                  <w:vAlign w:val="center"/>
                </w:tcPr>
                <w:p w14:paraId="0EDE0FEE">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3586" w:type="dxa"/>
                  <w:gridSpan w:val="2"/>
                  <w:vAlign w:val="center"/>
                </w:tcPr>
                <w:p w14:paraId="7815E97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2706" w:type="dxa"/>
                  <w:vAlign w:val="center"/>
                </w:tcPr>
                <w:p w14:paraId="7BA96592">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14:paraId="68A0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vAlign w:val="center"/>
                </w:tcPr>
                <w:p w14:paraId="24913F1A">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1388" w:type="dxa"/>
                  <w:vAlign w:val="center"/>
                </w:tcPr>
                <w:p w14:paraId="732E9A6A">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14" w:type="dxa"/>
                  <w:vAlign w:val="center"/>
                </w:tcPr>
                <w:p w14:paraId="5DE6C9C5">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70dB（A）（昼）</w:t>
                  </w:r>
                </w:p>
              </w:tc>
              <w:tc>
                <w:tcPr>
                  <w:tcW w:w="1772" w:type="dxa"/>
                  <w:vAlign w:val="center"/>
                </w:tcPr>
                <w:p w14:paraId="79D76EBE">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55dB（A）（夜）</w:t>
                  </w:r>
                </w:p>
              </w:tc>
              <w:tc>
                <w:tcPr>
                  <w:tcW w:w="2706" w:type="dxa"/>
                  <w:vAlign w:val="center"/>
                </w:tcPr>
                <w:p w14:paraId="58C0699B">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r>
            <w:tr w14:paraId="230A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66AEAD9C">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56473886">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w:t>
                  </w:r>
                </w:p>
              </w:tc>
              <w:tc>
                <w:tcPr>
                  <w:tcW w:w="3586" w:type="dxa"/>
                  <w:gridSpan w:val="2"/>
                  <w:vAlign w:val="center"/>
                </w:tcPr>
                <w:p w14:paraId="05505A61">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监测点PM</w:t>
                  </w:r>
                  <w:r>
                    <w:rPr>
                      <w:rFonts w:hint="default" w:ascii="Times New Roman" w:hAnsi="Times New Roman" w:eastAsia="宋体" w:cs="Times New Roman"/>
                      <w:color w:val="auto"/>
                      <w:sz w:val="21"/>
                      <w:szCs w:val="21"/>
                      <w:highlight w:val="none"/>
                      <w:vertAlign w:val="subscript"/>
                    </w:rPr>
                    <w:t xml:space="preserve">10 </w:t>
                  </w:r>
                  <w:r>
                    <w:rPr>
                      <w:rFonts w:hint="default" w:ascii="Times New Roman" w:hAnsi="Times New Roman" w:eastAsia="宋体" w:cs="Times New Roman"/>
                      <w:color w:val="auto"/>
                      <w:sz w:val="21"/>
                      <w:szCs w:val="21"/>
                      <w:highlight w:val="none"/>
                    </w:rPr>
                    <w:t>小时平均浓度实测值与同时段所属县（市、区）PM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小时平均浓度的差值≤80μg/m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，同时达标判定依据≤2 次/天。</w:t>
                  </w:r>
                </w:p>
              </w:tc>
              <w:tc>
                <w:tcPr>
                  <w:tcW w:w="2706" w:type="dxa"/>
                  <w:vAlign w:val="center"/>
                </w:tcPr>
                <w:p w14:paraId="76A7EBB7">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《施工场地扬尘排放标准》（DB13/2934-2019）</w:t>
                  </w:r>
                </w:p>
              </w:tc>
            </w:tr>
            <w:tr w14:paraId="3BD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vAlign w:val="center"/>
                </w:tcPr>
                <w:p w14:paraId="6D748A14">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388" w:type="dxa"/>
                  <w:vAlign w:val="center"/>
                </w:tcPr>
                <w:p w14:paraId="2AE214CF">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电场强度</w:t>
                  </w:r>
                </w:p>
              </w:tc>
              <w:tc>
                <w:tcPr>
                  <w:tcW w:w="3586" w:type="dxa"/>
                  <w:gridSpan w:val="2"/>
                  <w:vAlign w:val="center"/>
                </w:tcPr>
                <w:p w14:paraId="3E450046">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4kV/m，其中架空输电线路线下的耕地、园地、道路等场所，其频率50Hz的电场强度控制限值为10kV/m</w:t>
                  </w:r>
                </w:p>
              </w:tc>
              <w:tc>
                <w:tcPr>
                  <w:tcW w:w="2706" w:type="dxa"/>
                  <w:vMerge w:val="restart"/>
                  <w:vAlign w:val="center"/>
                </w:tcPr>
                <w:p w14:paraId="7828444F">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《电磁环境控制限值》（GB8702-2014）</w:t>
                  </w:r>
                </w:p>
              </w:tc>
            </w:tr>
            <w:tr w14:paraId="64A3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6FD35CC9">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1A9B7485">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磁场强度</w:t>
                  </w:r>
                </w:p>
              </w:tc>
              <w:tc>
                <w:tcPr>
                  <w:tcW w:w="3586" w:type="dxa"/>
                  <w:gridSpan w:val="2"/>
                  <w:vAlign w:val="center"/>
                </w:tcPr>
                <w:p w14:paraId="58D1E29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100μT</w:t>
                  </w:r>
                </w:p>
              </w:tc>
              <w:tc>
                <w:tcPr>
                  <w:tcW w:w="2706" w:type="dxa"/>
                  <w:vMerge w:val="continue"/>
                  <w:vAlign w:val="center"/>
                </w:tcPr>
                <w:p w14:paraId="06ED9CC3">
                  <w:pPr>
                    <w:adjustRightInd w:val="0"/>
                    <w:jc w:val="center"/>
                    <w:rPr>
                      <w:rFonts w:hint="default" w:ascii="Times New Roman" w:hAnsi="Times New Roman" w:eastAsia="宋体" w:cs="Times New Roman"/>
                      <w:color w:val="auto"/>
                      <w:sz w:val="21"/>
                      <w:szCs w:val="21"/>
                      <w:highlight w:val="none"/>
                    </w:rPr>
                  </w:pPr>
                </w:p>
              </w:tc>
            </w:tr>
            <w:tr w14:paraId="3013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14:paraId="7195FE6D">
                  <w:pPr>
                    <w:adjustRightInd w:val="0"/>
                    <w:jc w:val="center"/>
                    <w:rPr>
                      <w:rFonts w:hint="default" w:ascii="Times New Roman" w:hAnsi="Times New Roman" w:eastAsia="宋体" w:cs="Times New Roman"/>
                      <w:color w:val="auto"/>
                      <w:sz w:val="21"/>
                      <w:szCs w:val="21"/>
                      <w:highlight w:val="none"/>
                    </w:rPr>
                  </w:pPr>
                </w:p>
              </w:tc>
              <w:tc>
                <w:tcPr>
                  <w:tcW w:w="1388" w:type="dxa"/>
                  <w:vAlign w:val="center"/>
                </w:tcPr>
                <w:p w14:paraId="224E8420">
                  <w:pPr>
                    <w:adjustRightIn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14" w:type="dxa"/>
                  <w:vAlign w:val="center"/>
                </w:tcPr>
                <w:p w14:paraId="392F8216">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55</w:t>
                  </w:r>
                  <w:r>
                    <w:rPr>
                      <w:rFonts w:hint="default" w:ascii="Times New Roman" w:hAnsi="Times New Roman" w:eastAsia="宋体" w:cs="Times New Roman"/>
                      <w:color w:val="auto"/>
                      <w:sz w:val="21"/>
                      <w:szCs w:val="21"/>
                      <w:highlight w:val="none"/>
                    </w:rPr>
                    <w:t>dB（A）（昼）</w:t>
                  </w:r>
                </w:p>
              </w:tc>
              <w:tc>
                <w:tcPr>
                  <w:tcW w:w="1772" w:type="dxa"/>
                  <w:vAlign w:val="center"/>
                </w:tcPr>
                <w:p w14:paraId="6E9E6440">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45</w:t>
                  </w:r>
                  <w:r>
                    <w:rPr>
                      <w:rFonts w:hint="default" w:ascii="Times New Roman" w:hAnsi="Times New Roman" w:eastAsia="宋体" w:cs="Times New Roman"/>
                      <w:color w:val="auto"/>
                      <w:sz w:val="21"/>
                      <w:szCs w:val="21"/>
                      <w:highlight w:val="none"/>
                    </w:rPr>
                    <w:t>dB（A）（夜）</w:t>
                  </w:r>
                </w:p>
              </w:tc>
              <w:tc>
                <w:tcPr>
                  <w:tcW w:w="2706" w:type="dxa"/>
                  <w:vAlign w:val="center"/>
                </w:tcPr>
                <w:p w14:paraId="4D78D86C">
                  <w:pPr>
                    <w:autoSpaceDE/>
                    <w:autoSpaceDN/>
                    <w:adjustRightInd w:val="0"/>
                    <w:snapToGrid w:val="0"/>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《声环境质量标准》（GB3096-2008）1类标准</w:t>
                  </w:r>
                </w:p>
              </w:tc>
            </w:tr>
          </w:tbl>
          <w:p w14:paraId="754BDE97">
            <w:pPr>
              <w:spacing w:line="480" w:lineRule="exact"/>
              <w:rPr>
                <w:rFonts w:hint="default" w:ascii="Times New Roman" w:hAnsi="Times New Roman" w:eastAsia="宋体" w:cs="Times New Roman"/>
                <w:color w:val="auto"/>
                <w:sz w:val="24"/>
                <w:szCs w:val="24"/>
                <w:highlight w:val="none"/>
              </w:rPr>
            </w:pPr>
          </w:p>
        </w:tc>
      </w:tr>
      <w:tr w14:paraId="574D2C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497" w:type="dxa"/>
            <w:tcBorders>
              <w:top w:val="single" w:color="000000" w:sz="4" w:space="0"/>
              <w:right w:val="single" w:color="000000" w:sz="4" w:space="0"/>
            </w:tcBorders>
            <w:vAlign w:val="center"/>
          </w:tcPr>
          <w:p w14:paraId="7EFED4F3">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633" w:type="dxa"/>
            <w:tcBorders>
              <w:top w:val="single" w:color="000000" w:sz="4" w:space="0"/>
              <w:left w:val="single" w:color="000000" w:sz="4" w:space="0"/>
            </w:tcBorders>
            <w:vAlign w:val="center"/>
          </w:tcPr>
          <w:p w14:paraId="113C747A">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本工程为输电线路工程，不涉及废气和废水的排放，因此</w:t>
            </w:r>
            <w:r>
              <w:rPr>
                <w:rFonts w:hint="default" w:ascii="Times New Roman" w:hAnsi="Times New Roman" w:eastAsia="宋体" w:cs="Times New Roman"/>
                <w:bCs/>
                <w:color w:val="auto"/>
                <w:sz w:val="24"/>
                <w:szCs w:val="24"/>
                <w:highlight w:val="none"/>
              </w:rPr>
              <w:t>本项目</w:t>
            </w:r>
            <w:r>
              <w:rPr>
                <w:rFonts w:hint="default" w:ascii="Times New Roman" w:hAnsi="Times New Roman" w:eastAsia="宋体" w:cs="Times New Roman"/>
                <w:color w:val="auto"/>
                <w:sz w:val="24"/>
                <w:szCs w:val="24"/>
                <w:highlight w:val="none"/>
              </w:rPr>
              <w:t>总量控制指标为：SO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：0t/a；NOx：0t/a；COD：0t/a；NH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-N：0t/a。</w:t>
            </w:r>
          </w:p>
        </w:tc>
      </w:tr>
    </w:tbl>
    <w:p w14:paraId="442FE365">
      <w:pPr>
        <w:jc w:val="right"/>
        <w:rPr>
          <w:rFonts w:hint="default" w:ascii="Times New Roman" w:hAnsi="Times New Roman" w:eastAsia="宋体" w:cs="Times New Roman"/>
          <w:color w:val="auto"/>
          <w:sz w:val="21"/>
          <w:highlight w:val="none"/>
        </w:rPr>
        <w:sectPr>
          <w:footerReference r:id="rId6" w:type="even"/>
          <w:pgSz w:w="11910" w:h="16850"/>
          <w:pgMar w:top="1600" w:right="1320" w:bottom="1000" w:left="1340" w:header="0" w:footer="817" w:gutter="0"/>
          <w:cols w:space="720" w:num="1"/>
        </w:sectPr>
      </w:pPr>
    </w:p>
    <w:p w14:paraId="2C2BF61E">
      <w:pPr>
        <w:pStyle w:val="4"/>
        <w:spacing w:line="550" w:lineRule="exact"/>
        <w:ind w:left="635" w:right="652"/>
        <w:jc w:val="center"/>
        <w:outlineLvl w:val="0"/>
        <w:rPr>
          <w:rFonts w:hint="default" w:ascii="Times New Roman" w:hAnsi="Times New Roman" w:eastAsia="宋体" w:cs="Times New Roman"/>
          <w:color w:val="auto"/>
          <w:highlight w:val="none"/>
        </w:rPr>
      </w:pPr>
      <w:bookmarkStart w:id="10" w:name="_Toc150930989"/>
      <w:r>
        <w:rPr>
          <w:rFonts w:hint="default" w:ascii="Times New Roman" w:hAnsi="Times New Roman" w:eastAsia="宋体" w:cs="Times New Roman"/>
          <w:color w:val="auto"/>
          <w:highlight w:val="none"/>
        </w:rPr>
        <w:t>四、生态环境影响分析</w:t>
      </w:r>
      <w:bookmarkEnd w:id="10"/>
    </w:p>
    <w:tbl>
      <w:tblPr>
        <w:tblStyle w:val="22"/>
        <w:tblW w:w="9498"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63"/>
        <w:gridCol w:w="8535"/>
      </w:tblGrid>
      <w:tr w14:paraId="06B78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bottom w:val="single" w:color="000000" w:sz="4" w:space="0"/>
              <w:right w:val="single" w:color="000000" w:sz="4" w:space="0"/>
            </w:tcBorders>
            <w:vAlign w:val="center"/>
          </w:tcPr>
          <w:p w14:paraId="2D8D9BD7">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施工期生态环境影响分析</w:t>
            </w:r>
          </w:p>
        </w:tc>
        <w:tc>
          <w:tcPr>
            <w:tcW w:w="8505" w:type="dxa"/>
            <w:tcBorders>
              <w:left w:val="single" w:color="000000" w:sz="4" w:space="0"/>
              <w:bottom w:val="single" w:color="000000" w:sz="4" w:space="0"/>
            </w:tcBorders>
            <w:vAlign w:val="center"/>
          </w:tcPr>
          <w:p w14:paraId="2CA050C3">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一、生态影响分析</w:t>
            </w:r>
          </w:p>
          <w:p w14:paraId="1D471186">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4A77FC80">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（1）对占地影响分析</w:t>
            </w:r>
          </w:p>
          <w:p w14:paraId="781E8487">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塔基占地为永久用地，占地面积较小。施工期工程建设对生态环境的影响主要表现为土地占用、地表植被破坏和施工作业扰动引起的水土流失等方面。本项目在施工过程中严格按规划设计的区域、面积使用，不随便践踏、占用土地；施工道路在现有道路的基础上布置规划，尽量减少对土地的破坏、占用；施工结束后，及时对施工碾压过的土地进行人工恢复，使土壤自然疏松，选择合适的当地植被以减少对区域范围内原有地貌的影响。</w:t>
            </w:r>
          </w:p>
          <w:p w14:paraId="45CF1A91">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（2）对植被影响分析</w:t>
            </w:r>
          </w:p>
          <w:p w14:paraId="353AF954">
            <w:pPr>
              <w:widowControl/>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项目塔基建设占地将使占地区域内植被面积减少、生物量降低；项目施工过程中，施工区还会占用和破坏较大面积植被；但工程影响区域内植物群落结构比较简单且工程区周边分布普遍，大都属于抗逆性较强的广布种、常见种、生长快、扩散能力强，工程完工清理后可以通过人工种植绿化等方式得以恢复，施工区占用人工植被可通过土地平整、土地复垦等方式迅速恢复。项目施工所造成的影响在一定的时期内将逐步得以恢复。</w:t>
            </w:r>
          </w:p>
          <w:p w14:paraId="327BDE63">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highlight w:val="none"/>
              </w:rPr>
              <w:t>工程区植物主要为</w:t>
            </w:r>
            <w:r>
              <w:rPr>
                <w:rFonts w:hint="default" w:ascii="Times New Roman" w:hAnsi="Times New Roman" w:eastAsia="宋体" w:cs="Times New Roman"/>
                <w:color w:val="auto"/>
                <w:sz w:val="24"/>
                <w:szCs w:val="24"/>
                <w:highlight w:val="none"/>
              </w:rPr>
              <w:t>林地、灌草地和农用地</w:t>
            </w:r>
            <w:r>
              <w:rPr>
                <w:rFonts w:hint="default" w:ascii="Times New Roman" w:hAnsi="Times New Roman" w:eastAsia="宋体" w:cs="Times New Roman"/>
                <w:snapToGrid w:val="0"/>
                <w:color w:val="auto"/>
                <w:sz w:val="24"/>
                <w:highlight w:val="none"/>
              </w:rPr>
              <w:t>，这些植物种类在工程区域分布广泛，工程建设不会对本地区植物物种多样性产生较大影响。</w:t>
            </w:r>
          </w:p>
          <w:p w14:paraId="550F51C2">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（3）对野生动物的影响分析</w:t>
            </w:r>
          </w:p>
          <w:p w14:paraId="47C0587E">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工程范围内主要为鼠、兔、麻雀等常见小型动物。随着工程的开工，施工期施工人员的进入使该地区人为活动增加，会对周围的野生动物的个体、巢、穴等造成直接的破坏；施工期活动中工程材料堆放、机械碾压、人员践踏等工程行为导致选址区域土壤板结等物理性能恶化，地表植被破坏，影响麻雀等鸟类落脚、觅食环境；另外施工中产生的噪声等会影响线路范围和周边地区野生动物的栖息，使其躲避或暂时迁移。但鼠、兔等动物生境并非单一，同时食物来源多样化，且有一定的迁移能力，部分动物可随施工结束后的生境恢复而回到原处，本项目施工不会影响其存活及种群数量。</w:t>
            </w:r>
          </w:p>
          <w:p w14:paraId="390FAB85">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（4）水土流失影响分析</w:t>
            </w:r>
          </w:p>
          <w:p w14:paraId="590DEDAA">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围场满族蒙古族自治县阳洁光伏发电有限责任公司</w:t>
            </w:r>
            <w:r>
              <w:rPr>
                <w:rFonts w:hint="eastAsia" w:ascii="Times New Roman" w:hAnsi="Times New Roman" w:eastAsia="宋体" w:cs="Times New Roman"/>
                <w:color w:val="auto"/>
                <w:sz w:val="24"/>
                <w:highlight w:val="none"/>
                <w:lang w:val="en-US" w:eastAsia="zh-CN"/>
              </w:rPr>
              <w:t>委托河北能晖工程技术服务有限公司编制了</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w:t>
            </w:r>
            <w:r>
              <w:rPr>
                <w:rFonts w:hint="eastAsia" w:ascii="Times New Roman" w:hAnsi="Times New Roman" w:eastAsia="宋体" w:cs="Times New Roman"/>
                <w:snapToGrid w:val="0"/>
                <w:color w:val="auto"/>
                <w:kern w:val="2"/>
                <w:sz w:val="24"/>
                <w:szCs w:val="24"/>
                <w:highlight w:val="none"/>
                <w:lang w:val="en-US" w:eastAsia="zh-CN"/>
              </w:rPr>
              <w:t>以下简称水土保持方案</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2024年6月17日取得承德市数据和政务服务局准予许可的文件（承数政决字202407-10）。引用水土保持方案中水土保护结论：</w:t>
            </w:r>
            <w:r>
              <w:rPr>
                <w:rFonts w:hint="default" w:ascii="Times New Roman" w:hAnsi="Times New Roman" w:eastAsia="宋体" w:cs="Times New Roman"/>
                <w:color w:val="auto"/>
                <w:sz w:val="24"/>
                <w:highlight w:val="none"/>
              </w:rPr>
              <w:t>项目不在县级以上地方人民政府公告的崩塌、滑坡危险区和泥石流易发区范围内，工程所需材料均采用外购形式，不存在取土、挖砂、采石等活动；项目占地不占用河湖两岸保护带；项目不涉及水土保持监测站点、重点试验区及水土保持长期定位观测站。项目选址无法避让燕山国家级水土流失重点预防区，防治标准执行“北方土石山区”一级标准，同时将土壤流失控制比提高0.1、林草覆盖率提高2%，施工过程中需加强施工管理，优化施工工艺，减少地表扰动和植被损毁范围，及时落实水土保持措施，可有效控制水土流失危害的发生，项目选线基本符合水土保持要求。</w:t>
            </w:r>
          </w:p>
          <w:p w14:paraId="4831CFF4">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（5）对土壤影响分析</w:t>
            </w:r>
          </w:p>
          <w:p w14:paraId="3A038FC5">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施工过程中采用分层堆放和分层覆盖的措施，施工结束后将土层按照原有的分层方式堆放，不会对土壤性质、养分造成明显不利影响。</w:t>
            </w:r>
          </w:p>
          <w:p w14:paraId="35AF4106">
            <w:pPr>
              <w:pStyle w:val="21"/>
              <w:spacing w:line="48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（6）生态系统变化分析</w:t>
            </w:r>
          </w:p>
          <w:p w14:paraId="1F5E4F7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在工程影响范围内，受工程影响的植被主要为</w:t>
            </w:r>
            <w:r>
              <w:rPr>
                <w:rFonts w:hint="default" w:ascii="Times New Roman" w:hAnsi="Times New Roman" w:eastAsia="宋体" w:cs="Times New Roman"/>
                <w:color w:val="auto"/>
                <w:sz w:val="24"/>
                <w:szCs w:val="24"/>
                <w:highlight w:val="none"/>
              </w:rPr>
              <w:t>林地、灌草地和农用地</w:t>
            </w:r>
            <w:r>
              <w:rPr>
                <w:rFonts w:hint="default" w:ascii="Times New Roman" w:hAnsi="Times New Roman" w:eastAsia="宋体" w:cs="Times New Roman"/>
                <w:color w:val="auto"/>
                <w:sz w:val="24"/>
                <w:highlight w:val="none"/>
              </w:rPr>
              <w:t>，施工期地表植被的损失将对现有生态系统产生一定的影响，但由于损失的面积相对较小，而后期的植被恢复也将弥补部分损失的生物量，因而，该项目不会影响工程影响区生态系统的稳定性和完整性。项目建设前、建设中、建设后区域内生态系统组成基本没有变化。因此，项目的建设对当地的生态系统结构影响极小，不会冲击当地的生态系统组成，基本保持原有结构。</w:t>
            </w:r>
          </w:p>
          <w:p w14:paraId="001B11E7">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（7）景观影响分析</w:t>
            </w:r>
          </w:p>
          <w:p w14:paraId="4F9EDB0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由于基础开挖、土石方临时堆存、施工道路、物料运输造成的扬尘、施工人员生活垃圾等，如果管理不当将会对局部景观造成一定的不良影响。本项目施工期废水不外排，土石方平衡不需设置弃渣场，施工道路全部恢复原有功能，施工过程采取泼洒抑尘的方式抑制扬尘产生，生活垃圾收集后由环卫部门处置。</w:t>
            </w:r>
          </w:p>
          <w:p w14:paraId="245139C5">
            <w:pPr>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对沙化土地的影响</w:t>
            </w:r>
          </w:p>
          <w:p w14:paraId="298A6897">
            <w:pPr>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根据《河北省生态环境厅办公室关于进一步做好沙区建设项目环境影响评价工作的通知》（冀环办字函[2023] 326 号），承德市围场县属于沙区范围主要涉及的地域，根据“河北省“三线一单”信息管理平台”中全省沙化土地矢量文件，本项目塔基占地坐标在沙化范围内，线路施工区主要影响为塔基、施工便道、牵张场施工造成植被破坏及水土流失和土地沙化等。本工程施工期，线路塔基基础的开挖，扰动了地表的原生地貌，在风力作用下，可能引起水土轻微流失；临时施工道路，由于大型机械碾压，容易造成局部地表裸露，形成地表植被破坏，诱发土地沙化。工程临时占地和永久占地会导致生态系统面积的减少。但是，临时占地在施工结束后均进行了生态恢复，恢复土地的原有使用功能，并采取水土流失防治等减缓措施能够将影响程度控制在可接受范围内；线路永久占地面积占地非常小，只有少量的塔基占地，为点状点地，占用面积比例小，不会对当地生态系统面积造成较大影响，对土地沙化影响较小。</w:t>
            </w:r>
          </w:p>
          <w:p w14:paraId="3DDB4000">
            <w:pPr>
              <w:pStyle w:val="2"/>
              <w:spacing w:after="0" w:line="480" w:lineRule="exact"/>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1F330B61">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调查、分析、计算打分和评价，项目建设对以保护森林生态系统、生物多样性及珍稀濒危动植物物种为主的森林生态类型自然保护区的影响未出现否决项。虽然项目建设不可避免地会对保护区的自然资源、生态系统和动物栖息地产生一定影响，但从数据分析中可以看出，工程的建设对评价区域的景观/生态系统、生物群落、物种/种群、主要保护对象、生物安全和社会因素等生物多样性一级指标的影响较小，且这种干扰和影响总体上是暂时的、可控的，可以通过建设、规划单位对可能出现的问题设计一系列管理和保护措施，以降低或消除其影响，不会对保护区结构、功能及保护价值构成破坏和降低。</w:t>
            </w:r>
          </w:p>
          <w:p w14:paraId="044857BE">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自然保护区建设项目生物多样性影响评价技术规范》（LYT2242-2014）对生物多样性影响程度分级规定，华能围场“风光储氢热一体化”项目（光伏200MW）项目220kV送出线路工程对河北滦河上游国家级自然保护区生物多样性影响指数BI=55.72＜60，影响程度属于中低度影响。</w:t>
            </w:r>
          </w:p>
          <w:p w14:paraId="665ABCC8">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施工在项目用地范围内进行建设活动，不会改变其生态功能，因此，项目施工活动不会对河北滦河上游国家级自然保护区周边生态环境及生态保护红线造成明显不利影响，本项目对河北滦河上游国家级自然保护区的影响详见生态影响专篇。</w:t>
            </w:r>
          </w:p>
          <w:p w14:paraId="42093DAA">
            <w:pPr>
              <w:spacing w:line="480" w:lineRule="exact"/>
              <w:ind w:firstLine="482"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color w:val="auto"/>
                <w:sz w:val="24"/>
                <w:szCs w:val="24"/>
                <w:highlight w:val="none"/>
              </w:rPr>
              <w:t>二、大气环境影响分析</w:t>
            </w:r>
          </w:p>
          <w:p w14:paraId="778F8A02">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58AE541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阶段，尤其是施工初期，主要有杆塔基础施工、设备安装及转运、道路建设、车辆行驶等施工活动和裸露场地风蚀产生扬尘。因此，本项目施工过程中，必须严格按照《河北省扬尘污染防治办法》《河北省建筑施工扬尘防治标准》《河北省建筑施工扬尘防治强化措施十八条》《关于印发&lt;河北省2023年建筑施工扬尘污染防治工作方案》的通知&gt;（冀建质安函〔2023〕105号）等要求采取洒水、苫盖、围挡等扬尘治理措施，减少扬尘污染，确保施工场地颗粒物浓度满足《施工场地扬尘排放标准》（DB13/2934-2019）中扬尘（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）排放浓度限值的要求。由于施工区无居民，采用洒水、围挡等管理措施控制后，对周围环境影响不大。</w:t>
            </w:r>
          </w:p>
          <w:p w14:paraId="32DD608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本项目施工期较短，采取措施后可有效抑制扬尘的产生，满足《施工场地扬尘排放标准》（DB13/2934-2019）要求，对周围大气环境产生影响较小。</w:t>
            </w:r>
          </w:p>
          <w:p w14:paraId="71CC26C0">
            <w:pPr>
              <w:pStyle w:val="2"/>
              <w:spacing w:after="0" w:line="480" w:lineRule="exact"/>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3FF7978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本项目对大气环境的影响主要体现在施工过程中土方挖掘与填筑、建筑材料装运等施工作业产生的扬尘，为降低项目施工对大气环境的影响，</w:t>
            </w:r>
            <w:r>
              <w:rPr>
                <w:rFonts w:hint="default" w:ascii="Times New Roman" w:hAnsi="Times New Roman" w:eastAsia="宋体" w:cs="Times New Roman"/>
                <w:color w:val="auto"/>
                <w:sz w:val="24"/>
                <w:highlight w:val="none"/>
              </w:rPr>
              <w:t>河北滦河上游国家级自然保护区段和生态保护红线段除采取一般段大气保护措施外，还需采取以下措施</w:t>
            </w:r>
            <w:r>
              <w:rPr>
                <w:rFonts w:hint="default" w:ascii="Times New Roman" w:hAnsi="Times New Roman" w:eastAsia="宋体" w:cs="Times New Roman"/>
                <w:color w:val="auto"/>
                <w:sz w:val="24"/>
                <w:szCs w:val="24"/>
                <w:highlight w:val="none"/>
              </w:rPr>
              <w:t>减轻影响。</w:t>
            </w:r>
          </w:p>
          <w:p w14:paraId="187DC32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①施工单位必须在施工现场出入口明显位置设置扬尘防治公示牌，内容包括建设、施工、监理及监管等单位名称、扬尘防治负责人的名称、联系电话、举报电话等。</w:t>
            </w:r>
          </w:p>
          <w:p w14:paraId="2BB59613">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②施工现场必须连续设置硬质围挡，围挡应坚固、美观，严禁围挡不严或敞开式施工。本项目围挡高度应不低于1.8m。</w:t>
            </w:r>
          </w:p>
          <w:p w14:paraId="704B32F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③施工现场集中堆放的土方和裸露场地必须采取覆盖、固化或绿化等防尘措施，严禁裸露。</w:t>
            </w:r>
          </w:p>
          <w:p w14:paraId="0FEFF6D2">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④施工现场易飞扬的细颗粒建筑材料必须密闭存放或严密覆盖，严禁露天放置；搬运时应有降尘措施，余料及时回收。</w:t>
            </w:r>
          </w:p>
          <w:p w14:paraId="03DC80C7">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施工现场建立洒水清扫抑尘制度，配备洒水设备。非冰冻期每天洒水不少于2次，并有专人负责。重污染天气时相应增加洒水频次。遇有4级以上大风或重污染天气预警时，必须采取扬尘防治应急措施，严禁土方开挖、土方填埋或其他有可能产生扬尘的作业。</w:t>
            </w:r>
          </w:p>
          <w:p w14:paraId="3D45056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采取以上措施后，施工扬尘排放能够满足《施工场地扬尘排放标准》（DB13/2934-2019）扬尘排放浓度限值。</w:t>
            </w:r>
          </w:p>
          <w:p w14:paraId="1BECC8E3">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三、水环境影响分析</w:t>
            </w:r>
          </w:p>
          <w:p w14:paraId="65E37418">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61E9AF6F">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期产生的施工设备清洗和水泥养护排水，水量较小，主要污染物为泥沙，对环境影响较小。施工场地应设简易沉淀池，将施工废水收集沉淀后，用于场地泼洒降尘。建设期间，施工现场施工高峰期人数为50人，产生的生活污水为职工盥洗废水，水量较小，用于场地泼洒抑尘，同时施工营地设置防渗旱厕，定期清掏用作农肥，不外排。</w:t>
            </w:r>
          </w:p>
          <w:p w14:paraId="5CFC12AF">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4D65A9D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河北滦河上游国家级自然保护区段和生态保护红线段除采取一般段水环境保护措施外，还需采取以下措施</w:t>
            </w:r>
            <w:r>
              <w:rPr>
                <w:rFonts w:hint="default" w:ascii="Times New Roman" w:hAnsi="Times New Roman" w:eastAsia="宋体" w:cs="Times New Roman"/>
                <w:color w:val="auto"/>
                <w:sz w:val="24"/>
                <w:szCs w:val="24"/>
                <w:highlight w:val="none"/>
              </w:rPr>
              <w:t>减轻影响。</w:t>
            </w:r>
          </w:p>
          <w:p w14:paraId="5031E7B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（1）本项目施工过程中在保护区内不设置施工驻地，施工期对水环境的影响主要是施工人员产生的生活污水，应加强对施工人员的管理，施工人员在自然保护区内施工时严禁随意排放生活污水。</w:t>
            </w:r>
          </w:p>
          <w:p w14:paraId="259310F4">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（2）当日施工结束后，施工设备等应随人员转移至位于保护区范围外的施工营地存放。施工单位要做好施工场地周围的拦挡措施，尽量避开雨季土石方开挖作业。</w:t>
            </w:r>
          </w:p>
          <w:p w14:paraId="15FE205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综上，本项目施工期间无废水外排，不会对项目区水环境产生明显影响。</w:t>
            </w:r>
          </w:p>
          <w:p w14:paraId="512B1F7D">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四、声环境影响分析</w:t>
            </w:r>
          </w:p>
          <w:p w14:paraId="7E63EA9A">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5A2C213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噪声主要为施工机械和运输车辆运行过程中产生的噪声，该类噪声虽然是暂时的，但是施工过程中采用的机械设备大部分具有噪声高、无规则等特点，且施工过程中往往是多种机械同时工作，各种噪声源相互叠加，噪声级将更高，影响范围也更大，所以施工过程中必须采取有效措施，减少其对环境的影响。</w:t>
            </w:r>
          </w:p>
          <w:p w14:paraId="6A03EE6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要求建设单位采取以下措施：（1）采用低噪音、振动小的设备，并注意对设备的维护和保养，合理操作，保证施工机械在最佳状态。（2）合理布置施工现场，尽量避免在施工现场的同一地点安排大量的高噪声设备，造成局部声级过高，利用隔声构件对高噪声设备进行隔声降噪。</w:t>
            </w:r>
          </w:p>
          <w:p w14:paraId="33DE1666">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6A0E223D">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河北滦河上游国家级自然保护区段和生态保护红线段除采取一般段声环境保护措施外，还需采取以下措施</w:t>
            </w:r>
            <w:r>
              <w:rPr>
                <w:rFonts w:hint="default" w:ascii="Times New Roman" w:hAnsi="Times New Roman" w:eastAsia="宋体" w:cs="Times New Roman"/>
                <w:color w:val="auto"/>
                <w:sz w:val="24"/>
                <w:szCs w:val="24"/>
                <w:highlight w:val="none"/>
              </w:rPr>
              <w:t>减轻影响。</w:t>
            </w:r>
          </w:p>
          <w:p w14:paraId="3B44808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（1）施工单位所使用的主要施工机械应选用低噪声机械设备，并及时维修保养。</w:t>
            </w:r>
          </w:p>
          <w:p w14:paraId="4E03E3B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（2）对施工区外部采用</w:t>
            </w:r>
            <w:r>
              <w:rPr>
                <w:rFonts w:hint="eastAsia" w:ascii="Times New Roman" w:hAnsi="Times New Roman" w:eastAsia="宋体" w:cs="Times New Roman"/>
                <w:color w:val="auto"/>
                <w:sz w:val="24"/>
                <w:szCs w:val="24"/>
                <w:highlight w:val="none"/>
                <w:lang w:eastAsia="zh-CN"/>
              </w:rPr>
              <w:t>围挡</w:t>
            </w:r>
            <w:r>
              <w:rPr>
                <w:rFonts w:hint="default" w:ascii="Times New Roman" w:hAnsi="Times New Roman" w:eastAsia="宋体" w:cs="Times New Roman"/>
                <w:color w:val="auto"/>
                <w:sz w:val="24"/>
                <w:szCs w:val="24"/>
                <w:highlight w:val="none"/>
              </w:rPr>
              <w:t>，减轻施工噪声对外环境的影响，开挖作业尽量在短期内完成。</w:t>
            </w:r>
          </w:p>
          <w:p w14:paraId="06436BBA">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（3）保护区内有较多的夜行动物，比如黄鼬、艾鼬、狗獾等，为了最大限度地减少施工噪声对野生动物的影响，夜间（22：00点到6：00点）禁止施工。</w:t>
            </w:r>
          </w:p>
          <w:p w14:paraId="6388714C">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通过采取以上措施后，施工噪声可得到较好地控制。本工程施工期产生的噪声影响是小范围的和暂时的，随着施工期的结束，对环境的影响也将随之消失。</w:t>
            </w:r>
          </w:p>
          <w:p w14:paraId="046F4954">
            <w:pPr>
              <w:spacing w:line="48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五、固体废物影响分析</w:t>
            </w:r>
          </w:p>
          <w:p w14:paraId="3C5CD164">
            <w:pPr>
              <w:spacing w:line="480" w:lineRule="exact"/>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4FD9B3CE">
            <w:pPr>
              <w:spacing w:line="480" w:lineRule="exact"/>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本项目土石方开挖和回填总土石方调配平衡，无需借方，无弃方，不需设置取土场、弃渣场，所有弃土全部回填利用。</w:t>
            </w:r>
          </w:p>
          <w:p w14:paraId="6DD3D4C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施工期固体废物主要为施工过程中产生的建筑垃圾及施工人员生活垃圾。</w:t>
            </w:r>
            <w:r>
              <w:rPr>
                <w:rFonts w:hint="default" w:ascii="Times New Roman" w:hAnsi="Times New Roman" w:eastAsia="宋体" w:cs="Times New Roman"/>
                <w:snapToGrid w:val="0"/>
                <w:color w:val="auto"/>
                <w:sz w:val="24"/>
                <w:highlight w:val="none"/>
              </w:rPr>
              <w:t>建筑垃圾送市政部门指定的地点堆存；生活垃圾收集后，交由环卫部门统一处理。施工期固废均可得到妥善处置，</w:t>
            </w:r>
            <w:r>
              <w:rPr>
                <w:rFonts w:hint="default" w:ascii="Times New Roman" w:hAnsi="Times New Roman" w:eastAsia="宋体" w:cs="Times New Roman"/>
                <w:color w:val="auto"/>
                <w:sz w:val="24"/>
                <w:highlight w:val="none"/>
              </w:rPr>
              <w:t>不会对周围环境产生明显不良影响。</w:t>
            </w:r>
          </w:p>
          <w:p w14:paraId="7297BD0C">
            <w:pPr>
              <w:spacing w:line="48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423C69E0">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default" w:ascii="Times New Roman" w:hAnsi="Times New Roman" w:eastAsia="宋体" w:cs="Times New Roman"/>
                <w:color w:val="auto"/>
                <w:sz w:val="24"/>
                <w:szCs w:val="24"/>
                <w:highlight w:val="none"/>
              </w:rPr>
              <w:t>减轻影响。</w:t>
            </w:r>
            <w:r>
              <w:rPr>
                <w:rFonts w:hint="default" w:ascii="Times New Roman" w:hAnsi="Times New Roman" w:eastAsia="宋体" w:cs="Times New Roman"/>
                <w:color w:val="auto"/>
                <w:sz w:val="24"/>
                <w:highlight w:val="none"/>
              </w:rPr>
              <w:t>固体废物主要是建筑垃圾和施工人员产生的生活垃圾。</w:t>
            </w:r>
          </w:p>
          <w:p w14:paraId="22B67B3C">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（1）建筑垃圾包括废弃的建筑材料以及场址平整和施工开挖所产生的弃土弃石等。开挖土石应有组织地在占地范围内堆置，以备回填利用，建筑垃圾应收集后带出保护区，尽量减少对周围生态环境的破坏。</w:t>
            </w:r>
          </w:p>
          <w:p w14:paraId="4DA283DD">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（2）废旧导线、废旧塔材、绝缘子等可重复利用材料，由施工单位现场收集交由建设单位回收再利用。对于不可回收利用的建材和建筑垃圾由施工单位运送至指定的垃圾处理厂。</w:t>
            </w:r>
          </w:p>
          <w:p w14:paraId="6EA991AB">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（3）避开雨季施工，防止雨水冲刷。</w:t>
            </w:r>
          </w:p>
          <w:p w14:paraId="7A464BE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（4）加强出碴管理，及时清运，必须做到密闭、包扎、覆盖，不得沿途撒漏，做到工序完工后场地清洁。</w:t>
            </w:r>
          </w:p>
          <w:p w14:paraId="75DA9D47">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（5）施工期间产生的生活垃圾集中收集，定期转运至保护区外进行无公害处理。</w:t>
            </w:r>
          </w:p>
          <w:p w14:paraId="5ED0AE31">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（6）施工结束后对施工区域再次进行清理，做到“工完、料尽、场地清”。</w:t>
            </w:r>
          </w:p>
        </w:tc>
      </w:tr>
      <w:tr w14:paraId="62F6F1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top w:val="single" w:color="000000" w:sz="4" w:space="0"/>
              <w:bottom w:val="single" w:color="000000" w:sz="4" w:space="0"/>
              <w:right w:val="single" w:color="000000" w:sz="4" w:space="0"/>
            </w:tcBorders>
            <w:vAlign w:val="center"/>
          </w:tcPr>
          <w:p w14:paraId="490F2236">
            <w:pPr>
              <w:pStyle w:val="23"/>
              <w:spacing w:line="480" w:lineRule="exact"/>
              <w:ind w:right="79"/>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运营期生态环境影响分析</w:t>
            </w:r>
          </w:p>
        </w:tc>
        <w:tc>
          <w:tcPr>
            <w:tcW w:w="8505" w:type="dxa"/>
            <w:tcBorders>
              <w:top w:val="single" w:color="000000" w:sz="4" w:space="0"/>
              <w:left w:val="single" w:color="000000" w:sz="4" w:space="0"/>
              <w:bottom w:val="single" w:color="000000" w:sz="4" w:space="0"/>
            </w:tcBorders>
            <w:vAlign w:val="center"/>
          </w:tcPr>
          <w:p w14:paraId="64A041B7">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新能源光伏发电配套电力送出工程</w:t>
            </w:r>
            <w:r>
              <w:rPr>
                <w:rFonts w:hint="default" w:ascii="Times New Roman" w:hAnsi="Times New Roman" w:eastAsia="宋体" w:cs="Times New Roman"/>
                <w:color w:val="auto"/>
                <w:sz w:val="24"/>
                <w:szCs w:val="24"/>
                <w:highlight w:val="none"/>
              </w:rPr>
              <w:t>，本项目运行期依托光伏厂区工作人员，不新增劳动定员，不新增固废、生活垃圾和废水，因此本报告表针对线路运营期产生的电磁、噪声和生态影响进行重点环境影响分析。</w:t>
            </w:r>
          </w:p>
          <w:p w14:paraId="7305E9FC">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一、电磁环境影响预测及评价</w:t>
            </w:r>
          </w:p>
          <w:p w14:paraId="44EE66F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根据本工程电磁环境影响专题评价，本次评价架空线路采用模式预测进行评价，预测本项目后产生的工频电磁场和对周围环境的影响范围及程度。</w:t>
            </w:r>
          </w:p>
          <w:p w14:paraId="08F0629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模式预测，本项目架空线路投入运行后，线路沿线处工频电场强度、工频磁感应强度满足《电磁环境控制限值》（GB8702-2014）中规定的4kV/m和100μT公众曝露控制限值要求，其中架空输电线路线下的耕地、园地、道路等场所，其频率50Hz的电场强度控制限值为10kV/m。</w:t>
            </w:r>
          </w:p>
          <w:p w14:paraId="660A2C5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综上所述，本项目投入运行后产生的电磁辐射对外环境产生影响较小，详见电磁环境影响专篇。</w:t>
            </w:r>
          </w:p>
          <w:p w14:paraId="2F5532CC">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二、声环境影响预测与评价 </w:t>
            </w:r>
          </w:p>
          <w:p w14:paraId="728A805E">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线路投入使用后，架空线路的主要噪声源为高压线电晕放电而引起的无规则噪声以及输电线路的电荷运动产生的交流声，同时因高空风速较大，线路振动产生风鸣声，但噪声级很小，一般情况下220kV输电线路走廊下方的噪声值与背景值接近。</w:t>
            </w:r>
          </w:p>
          <w:p w14:paraId="466B8232">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为预测本项目新建220kV架空线路声环境影响，对同电压等级、同架设方式的220kV单回架空线路进行类比监测。评价类比广宗县国瑞能源有限公司300MW农光互补光伏发电项目220kV输变电工程</w:t>
            </w:r>
            <w:r>
              <w:rPr>
                <w:rFonts w:hint="eastAsia" w:ascii="Times New Roman" w:hAnsi="Times New Roman" w:eastAsia="宋体" w:cs="Times New Roman"/>
                <w:bCs/>
                <w:color w:val="auto"/>
                <w:spacing w:val="10"/>
                <w:sz w:val="24"/>
                <w:highlight w:val="none"/>
                <w:lang w:val="en-US" w:eastAsia="zh-CN"/>
              </w:rPr>
              <w:t>架空线路</w:t>
            </w:r>
            <w:r>
              <w:rPr>
                <w:rFonts w:hint="default" w:ascii="Times New Roman" w:hAnsi="Times New Roman" w:eastAsia="宋体" w:cs="Times New Roman"/>
                <w:bCs/>
                <w:color w:val="auto"/>
                <w:spacing w:val="10"/>
                <w:sz w:val="24"/>
                <w:highlight w:val="none"/>
              </w:rPr>
              <w:t>。</w:t>
            </w:r>
          </w:p>
          <w:p w14:paraId="256E8F4F">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广宗县国瑞能源有限公司300MW农光互补光伏发电项目220kV输变电工程</w:t>
            </w:r>
            <w:r>
              <w:rPr>
                <w:rFonts w:hint="eastAsia" w:ascii="Times New Roman" w:hAnsi="Times New Roman" w:eastAsia="宋体" w:cs="Times New Roman"/>
                <w:bCs/>
                <w:color w:val="auto"/>
                <w:spacing w:val="10"/>
                <w:sz w:val="24"/>
                <w:highlight w:val="none"/>
                <w:lang w:val="en-US" w:eastAsia="zh-CN"/>
              </w:rPr>
              <w:t>架空线路</w:t>
            </w:r>
            <w:r>
              <w:rPr>
                <w:rFonts w:hint="default" w:ascii="Times New Roman" w:hAnsi="Times New Roman" w:eastAsia="宋体" w:cs="Times New Roman"/>
                <w:bCs/>
                <w:color w:val="auto"/>
                <w:spacing w:val="10"/>
                <w:sz w:val="24"/>
                <w:highlight w:val="none"/>
              </w:rPr>
              <w:t>位于河北省</w:t>
            </w:r>
            <w:r>
              <w:rPr>
                <w:rFonts w:hint="eastAsia" w:ascii="Times New Roman" w:hAnsi="Times New Roman" w:eastAsia="宋体" w:cs="Times New Roman"/>
                <w:bCs/>
                <w:color w:val="auto"/>
                <w:spacing w:val="10"/>
                <w:sz w:val="24"/>
                <w:highlight w:val="none"/>
                <w:lang w:val="en-US" w:eastAsia="zh-CN"/>
              </w:rPr>
              <w:t>邢台市广宗县</w:t>
            </w:r>
            <w:r>
              <w:rPr>
                <w:rFonts w:hint="default" w:ascii="Times New Roman" w:hAnsi="Times New Roman" w:eastAsia="宋体" w:cs="Times New Roman"/>
                <w:bCs/>
                <w:color w:val="auto"/>
                <w:spacing w:val="10"/>
                <w:sz w:val="24"/>
                <w:highlight w:val="none"/>
              </w:rPr>
              <w:t>，2023年</w:t>
            </w:r>
            <w:r>
              <w:rPr>
                <w:rFonts w:hint="default" w:ascii="Times New Roman" w:hAnsi="Times New Roman" w:eastAsia="宋体" w:cs="Times New Roman"/>
                <w:bCs/>
                <w:color w:val="auto"/>
                <w:spacing w:val="10"/>
                <w:sz w:val="24"/>
                <w:highlight w:val="none"/>
                <w:lang w:val="en-US" w:eastAsia="zh-CN"/>
              </w:rPr>
              <w:t>8</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15</w:t>
            </w:r>
            <w:r>
              <w:rPr>
                <w:rFonts w:hint="default" w:ascii="Times New Roman" w:hAnsi="Times New Roman" w:eastAsia="宋体" w:cs="Times New Roman"/>
                <w:bCs/>
                <w:color w:val="auto"/>
                <w:spacing w:val="10"/>
                <w:sz w:val="24"/>
                <w:highlight w:val="none"/>
              </w:rPr>
              <w:t>日和</w:t>
            </w:r>
            <w:r>
              <w:rPr>
                <w:rFonts w:hint="default" w:ascii="Times New Roman" w:hAnsi="Times New Roman" w:eastAsia="宋体" w:cs="Times New Roman"/>
                <w:bCs/>
                <w:color w:val="auto"/>
                <w:spacing w:val="10"/>
                <w:sz w:val="24"/>
                <w:highlight w:val="none"/>
                <w:lang w:val="en-US" w:eastAsia="zh-CN"/>
              </w:rPr>
              <w:t>8</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16</w:t>
            </w:r>
            <w:r>
              <w:rPr>
                <w:rFonts w:hint="default" w:ascii="Times New Roman" w:hAnsi="Times New Roman" w:eastAsia="宋体" w:cs="Times New Roman"/>
                <w:bCs/>
                <w:color w:val="auto"/>
                <w:spacing w:val="10"/>
                <w:sz w:val="24"/>
                <w:highlight w:val="none"/>
              </w:rPr>
              <w:t>日进行现场检测，于2023年</w:t>
            </w:r>
            <w:r>
              <w:rPr>
                <w:rFonts w:hint="default" w:ascii="Times New Roman" w:hAnsi="Times New Roman" w:eastAsia="宋体" w:cs="Times New Roman"/>
                <w:bCs/>
                <w:color w:val="auto"/>
                <w:spacing w:val="10"/>
                <w:sz w:val="24"/>
                <w:highlight w:val="none"/>
                <w:lang w:val="en-US" w:eastAsia="zh-CN"/>
              </w:rPr>
              <w:t>9</w:t>
            </w:r>
            <w:r>
              <w:rPr>
                <w:rFonts w:hint="default" w:ascii="Times New Roman" w:hAnsi="Times New Roman" w:eastAsia="宋体" w:cs="Times New Roman"/>
                <w:bCs/>
                <w:color w:val="auto"/>
                <w:spacing w:val="10"/>
                <w:sz w:val="24"/>
                <w:highlight w:val="none"/>
              </w:rPr>
              <w:t>月</w:t>
            </w:r>
            <w:r>
              <w:rPr>
                <w:rFonts w:hint="default" w:ascii="Times New Roman" w:hAnsi="Times New Roman" w:eastAsia="宋体" w:cs="Times New Roman"/>
                <w:bCs/>
                <w:color w:val="auto"/>
                <w:spacing w:val="10"/>
                <w:sz w:val="24"/>
                <w:highlight w:val="none"/>
                <w:lang w:val="en-US" w:eastAsia="zh-CN"/>
              </w:rPr>
              <w:t>6</w:t>
            </w:r>
            <w:r>
              <w:rPr>
                <w:rFonts w:hint="default" w:ascii="Times New Roman" w:hAnsi="Times New Roman" w:eastAsia="宋体" w:cs="Times New Roman"/>
                <w:bCs/>
                <w:color w:val="auto"/>
                <w:spacing w:val="10"/>
                <w:sz w:val="24"/>
                <w:highlight w:val="none"/>
              </w:rPr>
              <w:t>日出具检测报告（HJ23</w:t>
            </w:r>
            <w:r>
              <w:rPr>
                <w:rFonts w:hint="default" w:ascii="Times New Roman" w:hAnsi="Times New Roman" w:eastAsia="宋体" w:cs="Times New Roman"/>
                <w:bCs/>
                <w:color w:val="auto"/>
                <w:spacing w:val="10"/>
                <w:sz w:val="24"/>
                <w:highlight w:val="none"/>
                <w:lang w:val="en-US" w:eastAsia="zh-CN"/>
              </w:rPr>
              <w:t>135</w:t>
            </w:r>
            <w:r>
              <w:rPr>
                <w:rFonts w:hint="default" w:ascii="Times New Roman" w:hAnsi="Times New Roman" w:eastAsia="宋体" w:cs="Times New Roman"/>
                <w:bCs/>
                <w:color w:val="auto"/>
                <w:spacing w:val="10"/>
                <w:sz w:val="24"/>
                <w:highlight w:val="none"/>
              </w:rPr>
              <w:t>）。</w:t>
            </w:r>
          </w:p>
          <w:p w14:paraId="1D7C86B1">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本项目线路工程与广宗县国瑞能源有限公司300MW农光互补光伏发电项目220kV输变电工程</w:t>
            </w:r>
            <w:r>
              <w:rPr>
                <w:rFonts w:hint="eastAsia" w:ascii="Times New Roman" w:hAnsi="Times New Roman" w:eastAsia="宋体" w:cs="Times New Roman"/>
                <w:bCs/>
                <w:color w:val="auto"/>
                <w:spacing w:val="10"/>
                <w:sz w:val="24"/>
                <w:highlight w:val="none"/>
                <w:lang w:val="en-US" w:eastAsia="zh-CN"/>
              </w:rPr>
              <w:t>架空线路</w:t>
            </w:r>
            <w:r>
              <w:rPr>
                <w:rFonts w:hint="default" w:ascii="Times New Roman" w:hAnsi="Times New Roman" w:eastAsia="宋体" w:cs="Times New Roman"/>
                <w:bCs/>
                <w:color w:val="auto"/>
                <w:spacing w:val="10"/>
                <w:sz w:val="24"/>
                <w:highlight w:val="none"/>
              </w:rPr>
              <w:t>的可比性如下表所示。</w:t>
            </w:r>
          </w:p>
          <w:p w14:paraId="4D480898">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表4-1  本项目与类比220kV架空线路基本情况对比表</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3112"/>
              <w:gridCol w:w="2965"/>
            </w:tblGrid>
            <w:tr w14:paraId="01DA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5F7E9652">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p>
              </w:tc>
              <w:tc>
                <w:tcPr>
                  <w:tcW w:w="1828" w:type="pct"/>
                  <w:vAlign w:val="center"/>
                </w:tcPr>
                <w:p w14:paraId="16599F3C">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本项目线路220kV线路</w:t>
                  </w:r>
                </w:p>
              </w:tc>
              <w:tc>
                <w:tcPr>
                  <w:tcW w:w="1742" w:type="pct"/>
                  <w:vAlign w:val="center"/>
                </w:tcPr>
                <w:p w14:paraId="073E734D">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类比220kV架空线路</w:t>
                  </w:r>
                </w:p>
              </w:tc>
            </w:tr>
            <w:tr w14:paraId="136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265C2542">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架设方式</w:t>
                  </w:r>
                </w:p>
              </w:tc>
              <w:tc>
                <w:tcPr>
                  <w:tcW w:w="1828" w:type="pct"/>
                  <w:vAlign w:val="center"/>
                </w:tcPr>
                <w:p w14:paraId="380E1E56">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单回路</w:t>
                  </w:r>
                </w:p>
              </w:tc>
              <w:tc>
                <w:tcPr>
                  <w:tcW w:w="1742" w:type="pct"/>
                  <w:vAlign w:val="center"/>
                </w:tcPr>
                <w:p w14:paraId="10AE8D0E">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单回路</w:t>
                  </w:r>
                </w:p>
              </w:tc>
            </w:tr>
            <w:tr w14:paraId="16A1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E267D82">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电压等级</w:t>
                  </w:r>
                </w:p>
              </w:tc>
              <w:tc>
                <w:tcPr>
                  <w:tcW w:w="1828" w:type="pct"/>
                  <w:vAlign w:val="center"/>
                </w:tcPr>
                <w:p w14:paraId="35A9B766">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220kV</w:t>
                  </w:r>
                </w:p>
              </w:tc>
              <w:tc>
                <w:tcPr>
                  <w:tcW w:w="1742" w:type="pct"/>
                  <w:vAlign w:val="center"/>
                </w:tcPr>
                <w:p w14:paraId="4AED8F5B">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220kV</w:t>
                  </w:r>
                </w:p>
              </w:tc>
            </w:tr>
            <w:tr w14:paraId="5472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D7657E3">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环境条件</w:t>
                  </w:r>
                </w:p>
              </w:tc>
              <w:tc>
                <w:tcPr>
                  <w:tcW w:w="1828" w:type="pct"/>
                  <w:vAlign w:val="center"/>
                </w:tcPr>
                <w:p w14:paraId="501671BC">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空旷地带</w:t>
                  </w:r>
                </w:p>
              </w:tc>
              <w:tc>
                <w:tcPr>
                  <w:tcW w:w="1742" w:type="pct"/>
                  <w:vAlign w:val="center"/>
                </w:tcPr>
                <w:p w14:paraId="08162413">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空旷地带</w:t>
                  </w:r>
                </w:p>
              </w:tc>
            </w:tr>
            <w:tr w14:paraId="5EEA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4B90E5A5">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导线分裂</w:t>
                  </w:r>
                </w:p>
              </w:tc>
              <w:tc>
                <w:tcPr>
                  <w:tcW w:w="1828" w:type="pct"/>
                  <w:vAlign w:val="center"/>
                </w:tcPr>
                <w:p w14:paraId="10C6C11D">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单</w:t>
                  </w:r>
                  <w:r>
                    <w:rPr>
                      <w:rFonts w:hint="default" w:ascii="Times New Roman" w:hAnsi="Times New Roman" w:eastAsia="宋体" w:cs="Times New Roman"/>
                      <w:color w:val="auto"/>
                      <w:sz w:val="21"/>
                      <w:szCs w:val="21"/>
                      <w:highlight w:val="none"/>
                      <w:lang w:eastAsia="zh-CN"/>
                    </w:rPr>
                    <w:t>分裂</w:t>
                  </w:r>
                </w:p>
              </w:tc>
              <w:tc>
                <w:tcPr>
                  <w:tcW w:w="1742" w:type="pct"/>
                  <w:vAlign w:val="center"/>
                </w:tcPr>
                <w:p w14:paraId="33EB24AB">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单</w:t>
                  </w:r>
                  <w:r>
                    <w:rPr>
                      <w:rFonts w:hint="default" w:ascii="Times New Roman" w:hAnsi="Times New Roman" w:eastAsia="宋体" w:cs="Times New Roman"/>
                      <w:color w:val="auto"/>
                      <w:sz w:val="21"/>
                      <w:szCs w:val="21"/>
                      <w:highlight w:val="none"/>
                      <w:lang w:eastAsia="zh-CN"/>
                    </w:rPr>
                    <w:t>分裂</w:t>
                  </w:r>
                </w:p>
              </w:tc>
            </w:tr>
            <w:tr w14:paraId="5C0D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6307F992">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导线型号</w:t>
                  </w:r>
                </w:p>
              </w:tc>
              <w:tc>
                <w:tcPr>
                  <w:tcW w:w="1828" w:type="pct"/>
                  <w:vAlign w:val="center"/>
                </w:tcPr>
                <w:p w14:paraId="43FE34E6">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JL/G1A-300/40</w:t>
                  </w:r>
                </w:p>
              </w:tc>
              <w:tc>
                <w:tcPr>
                  <w:tcW w:w="1742" w:type="pct"/>
                  <w:vAlign w:val="center"/>
                </w:tcPr>
                <w:p w14:paraId="0A4033C0">
                  <w:pPr>
                    <w:pStyle w:val="30"/>
                    <w:spacing w:line="32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JL/G1A-240/30</w:t>
                  </w:r>
                </w:p>
              </w:tc>
            </w:tr>
            <w:tr w14:paraId="38DF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1EF7F095">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运行工况</w:t>
                  </w:r>
                </w:p>
              </w:tc>
              <w:tc>
                <w:tcPr>
                  <w:tcW w:w="1828" w:type="pct"/>
                  <w:vAlign w:val="center"/>
                </w:tcPr>
                <w:p w14:paraId="28D54A1D">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742" w:type="pct"/>
                  <w:vAlign w:val="center"/>
                </w:tcPr>
                <w:p w14:paraId="1989070A">
                  <w:pPr>
                    <w:pStyle w:val="30"/>
                    <w:spacing w:line="320" w:lineRule="exac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电压231.322kV-223.137kV，电流318.59A-320.329A</w:t>
                  </w:r>
                </w:p>
              </w:tc>
            </w:tr>
            <w:tr w14:paraId="0E65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8" w:type="pct"/>
                  <w:vAlign w:val="center"/>
                </w:tcPr>
                <w:p w14:paraId="7D2ACBB5">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线路弧垂对地高度</w:t>
                  </w:r>
                </w:p>
              </w:tc>
              <w:tc>
                <w:tcPr>
                  <w:tcW w:w="1828" w:type="pct"/>
                  <w:vAlign w:val="center"/>
                </w:tcPr>
                <w:p w14:paraId="6DD5DD61">
                  <w:pPr>
                    <w:pStyle w:val="30"/>
                    <w:spacing w:line="320" w:lineRule="exac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设计最低弧垂</w:t>
                  </w:r>
                  <w:r>
                    <w:rPr>
                      <w:rFonts w:hint="default" w:ascii="Times New Roman" w:hAnsi="Times New Roman" w:eastAsia="宋体" w:cs="Times New Roman"/>
                      <w:color w:val="auto"/>
                      <w:sz w:val="21"/>
                      <w:szCs w:val="21"/>
                      <w:highlight w:val="none"/>
                      <w:lang w:val="en-US" w:eastAsia="zh-CN"/>
                    </w:rPr>
                    <w:t>11.35</w:t>
                  </w:r>
                  <w:r>
                    <w:rPr>
                      <w:rFonts w:hint="default" w:ascii="Times New Roman" w:hAnsi="Times New Roman" w:eastAsia="宋体" w:cs="Times New Roman"/>
                      <w:color w:val="auto"/>
                      <w:sz w:val="21"/>
                      <w:szCs w:val="21"/>
                      <w:highlight w:val="none"/>
                      <w:lang w:eastAsia="zh-CN"/>
                    </w:rPr>
                    <w:t>m</w:t>
                  </w:r>
                </w:p>
              </w:tc>
              <w:tc>
                <w:tcPr>
                  <w:tcW w:w="1742" w:type="pct"/>
                  <w:vAlign w:val="center"/>
                </w:tcPr>
                <w:p w14:paraId="409AD18B">
                  <w:pPr>
                    <w:pStyle w:val="30"/>
                    <w:spacing w:line="320" w:lineRule="exac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&gt;6m</w:t>
                  </w:r>
                </w:p>
              </w:tc>
            </w:tr>
          </w:tbl>
          <w:p w14:paraId="68C61DC7">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①监测因子及监测频次</w:t>
            </w:r>
          </w:p>
          <w:p w14:paraId="13714745">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监测因子：等效连续A声级（dB（A））。</w:t>
            </w:r>
          </w:p>
          <w:p w14:paraId="7BC7CBB9">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监测频次：各监测点位昼、夜间各监测一次。</w:t>
            </w:r>
          </w:p>
          <w:p w14:paraId="3ADF781C">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②监测方法及监测布点</w:t>
            </w:r>
          </w:p>
          <w:p w14:paraId="2A0FA669">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监测方法：执行《声环境质量标准》（GB3096-2008）中的相关要求。</w:t>
            </w:r>
          </w:p>
          <w:p w14:paraId="356FD4A0">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监测布点：220kV禹东线22#塔~23#塔布置</w:t>
            </w:r>
            <w:r>
              <w:rPr>
                <w:rFonts w:hint="eastAsia" w:ascii="Times New Roman" w:hAnsi="Times New Roman" w:eastAsia="宋体" w:cs="Times New Roman"/>
                <w:bCs/>
                <w:color w:val="auto"/>
                <w:spacing w:val="10"/>
                <w:sz w:val="24"/>
                <w:highlight w:val="none"/>
                <w:lang w:val="en-US" w:eastAsia="zh-CN"/>
              </w:rPr>
              <w:t>5</w:t>
            </w:r>
            <w:r>
              <w:rPr>
                <w:rFonts w:hint="default" w:ascii="Times New Roman" w:hAnsi="Times New Roman" w:eastAsia="宋体" w:cs="Times New Roman"/>
                <w:bCs/>
                <w:color w:val="auto"/>
                <w:spacing w:val="10"/>
                <w:sz w:val="24"/>
                <w:highlight w:val="none"/>
              </w:rPr>
              <w:t>0m监测断面；</w:t>
            </w:r>
          </w:p>
          <w:p w14:paraId="1E3CC6BC">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③监测单位、监测时间、监测环境条件及监测工况</w:t>
            </w:r>
          </w:p>
          <w:p w14:paraId="1CA0CE26">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  监测单位、监测时间、监测环境条件</w:t>
            </w:r>
          </w:p>
          <w:tbl>
            <w:tblPr>
              <w:tblStyle w:val="2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789"/>
              <w:gridCol w:w="5724"/>
            </w:tblGrid>
            <w:tr w14:paraId="7F4B2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638" w:type="pct"/>
                  <w:vAlign w:val="center"/>
                </w:tcPr>
                <w:p w14:paraId="141B5CCB">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监测时间</w:t>
                  </w:r>
                </w:p>
              </w:tc>
              <w:tc>
                <w:tcPr>
                  <w:tcW w:w="3361" w:type="pct"/>
                  <w:vAlign w:val="center"/>
                </w:tcPr>
                <w:p w14:paraId="78C3817A">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监测环境条件</w:t>
                  </w:r>
                </w:p>
              </w:tc>
            </w:tr>
            <w:tr w14:paraId="08B8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638" w:type="pct"/>
                  <w:vAlign w:val="center"/>
                </w:tcPr>
                <w:p w14:paraId="35FDC16E">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2022年3月29日-30日</w:t>
                  </w:r>
                </w:p>
              </w:tc>
              <w:tc>
                <w:tcPr>
                  <w:tcW w:w="3361" w:type="pct"/>
                  <w:vAlign w:val="center"/>
                </w:tcPr>
                <w:p w14:paraId="62F26922">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昼：阴，风速2.0m/s，温度15℃，相对湿度54%；夜：阴，风速1.8m/s，温度9℃，相对湿度56%。</w:t>
                  </w:r>
                </w:p>
              </w:tc>
            </w:tr>
          </w:tbl>
          <w:p w14:paraId="1EDC253C">
            <w:pPr>
              <w:spacing w:line="4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表4-3  监测期间工况条件</w:t>
            </w:r>
          </w:p>
          <w:tbl>
            <w:tblPr>
              <w:tblStyle w:val="2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01"/>
              <w:gridCol w:w="1725"/>
              <w:gridCol w:w="2440"/>
              <w:gridCol w:w="2447"/>
            </w:tblGrid>
            <w:tr w14:paraId="3A039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29" w:type="pct"/>
                  <w:gridSpan w:val="2"/>
                  <w:vAlign w:val="center"/>
                </w:tcPr>
                <w:p w14:paraId="0FCF5838">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电压（kV）</w:t>
                  </w:r>
                </w:p>
              </w:tc>
              <w:tc>
                <w:tcPr>
                  <w:tcW w:w="2870" w:type="pct"/>
                  <w:gridSpan w:val="2"/>
                  <w:vAlign w:val="center"/>
                </w:tcPr>
                <w:p w14:paraId="2078167E">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电流（A）</w:t>
                  </w:r>
                </w:p>
              </w:tc>
            </w:tr>
            <w:tr w14:paraId="0D33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16" w:type="pct"/>
                  <w:vAlign w:val="center"/>
                </w:tcPr>
                <w:p w14:paraId="51E196F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Max</w:t>
                  </w:r>
                </w:p>
              </w:tc>
              <w:tc>
                <w:tcPr>
                  <w:tcW w:w="1012" w:type="pct"/>
                  <w:vAlign w:val="center"/>
                </w:tcPr>
                <w:p w14:paraId="566A151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Min</w:t>
                  </w:r>
                </w:p>
              </w:tc>
              <w:tc>
                <w:tcPr>
                  <w:tcW w:w="1433" w:type="pct"/>
                  <w:vAlign w:val="center"/>
                </w:tcPr>
                <w:p w14:paraId="3EB80180">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Max</w:t>
                  </w:r>
                </w:p>
              </w:tc>
              <w:tc>
                <w:tcPr>
                  <w:tcW w:w="1437" w:type="pct"/>
                  <w:vAlign w:val="center"/>
                </w:tcPr>
                <w:p w14:paraId="341E65C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Min</w:t>
                  </w:r>
                </w:p>
              </w:tc>
            </w:tr>
            <w:tr w14:paraId="3116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16" w:type="pct"/>
                  <w:vAlign w:val="center"/>
                </w:tcPr>
                <w:p w14:paraId="0E1017F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2.137</w:t>
                  </w:r>
                </w:p>
              </w:tc>
              <w:tc>
                <w:tcPr>
                  <w:tcW w:w="1012" w:type="pct"/>
                  <w:vAlign w:val="center"/>
                </w:tcPr>
                <w:p w14:paraId="1A733BFD">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val="en-US" w:eastAsia="zh-CN"/>
                    </w:rPr>
                    <w:t>1.322</w:t>
                  </w:r>
                </w:p>
              </w:tc>
              <w:tc>
                <w:tcPr>
                  <w:tcW w:w="1433" w:type="pct"/>
                  <w:vAlign w:val="center"/>
                </w:tcPr>
                <w:p w14:paraId="51D11EA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320.329</w:t>
                  </w:r>
                </w:p>
              </w:tc>
              <w:tc>
                <w:tcPr>
                  <w:tcW w:w="1437" w:type="pct"/>
                  <w:vAlign w:val="center"/>
                </w:tcPr>
                <w:p w14:paraId="5E926414">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318.59</w:t>
                  </w:r>
                </w:p>
              </w:tc>
            </w:tr>
          </w:tbl>
          <w:p w14:paraId="37870100">
            <w:pPr>
              <w:spacing w:line="360" w:lineRule="auto"/>
              <w:ind w:firstLine="48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bCs/>
                <w:color w:val="auto"/>
                <w:spacing w:val="10"/>
                <w:sz w:val="24"/>
                <w:highlight w:val="none"/>
              </w:rPr>
              <w:t>监测结果分析</w:t>
            </w:r>
          </w:p>
          <w:p w14:paraId="247B39A8">
            <w:pPr>
              <w:spacing w:line="360" w:lineRule="auto"/>
              <w:jc w:val="center"/>
              <w:rPr>
                <w:rFonts w:hint="default" w:ascii="Times New Roman" w:hAnsi="Times New Roman" w:eastAsia="宋体" w:cs="Times New Roman"/>
                <w:b/>
                <w:bCs/>
                <w:color w:val="auto"/>
                <w:sz w:val="21"/>
                <w:szCs w:val="21"/>
                <w:highlight w:val="none"/>
              </w:rPr>
            </w:pPr>
          </w:p>
          <w:p w14:paraId="2673FBF9">
            <w:pPr>
              <w:spacing w:line="360" w:lineRule="auto"/>
              <w:jc w:val="center"/>
              <w:rPr>
                <w:rFonts w:hint="default" w:ascii="Times New Roman" w:hAnsi="Times New Roman" w:eastAsia="宋体" w:cs="Times New Roman"/>
                <w:b/>
                <w:bCs/>
                <w:color w:val="auto"/>
                <w:sz w:val="21"/>
                <w:szCs w:val="21"/>
                <w:highlight w:val="none"/>
              </w:rPr>
            </w:pPr>
          </w:p>
          <w:p w14:paraId="513E38DD">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噪声监测结果一览表</w:t>
            </w:r>
          </w:p>
          <w:tbl>
            <w:tblPr>
              <w:tblStyle w:val="22"/>
              <w:tblW w:w="49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5"/>
              <w:gridCol w:w="2404"/>
              <w:gridCol w:w="1035"/>
              <w:gridCol w:w="2074"/>
              <w:gridCol w:w="2197"/>
            </w:tblGrid>
            <w:tr w14:paraId="4425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5B184449">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21" w:type="pct"/>
                  <w:gridSpan w:val="2"/>
                  <w:tcBorders>
                    <w:tl2br w:val="nil"/>
                    <w:tr2bl w:val="nil"/>
                  </w:tcBorders>
                  <w:vAlign w:val="center"/>
                </w:tcPr>
                <w:p w14:paraId="4D0081BB">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监测点位描述</w:t>
                  </w:r>
                </w:p>
              </w:tc>
              <w:tc>
                <w:tcPr>
                  <w:tcW w:w="1219" w:type="pct"/>
                  <w:tcBorders>
                    <w:tl2br w:val="nil"/>
                    <w:tr2bl w:val="nil"/>
                  </w:tcBorders>
                  <w:vAlign w:val="center"/>
                </w:tcPr>
                <w:p w14:paraId="277DBB47">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昼间(dB(A))</w:t>
                  </w:r>
                </w:p>
              </w:tc>
              <w:tc>
                <w:tcPr>
                  <w:tcW w:w="1291" w:type="pct"/>
                  <w:tcBorders>
                    <w:tl2br w:val="nil"/>
                    <w:tr2bl w:val="nil"/>
                  </w:tcBorders>
                  <w:vAlign w:val="center"/>
                </w:tcPr>
                <w:p w14:paraId="1D864C31">
                  <w:pPr>
                    <w:autoSpaceDE/>
                    <w:autoSpaceDN/>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夜间(dB(A))</w:t>
                  </w:r>
                </w:p>
              </w:tc>
            </w:tr>
            <w:tr w14:paraId="008C5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7458576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13" w:type="pct"/>
                  <w:vMerge w:val="restart"/>
                  <w:tcBorders>
                    <w:tl2br w:val="nil"/>
                    <w:tr2bl w:val="nil"/>
                  </w:tcBorders>
                  <w:vAlign w:val="center"/>
                </w:tcPr>
                <w:p w14:paraId="7C1E42F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220kV禹东线22#塔~23#塔中心向线地面投影处</w:t>
                  </w:r>
                </w:p>
              </w:tc>
              <w:tc>
                <w:tcPr>
                  <w:tcW w:w="608" w:type="pct"/>
                  <w:tcBorders>
                    <w:tl2br w:val="nil"/>
                    <w:tr2bl w:val="nil"/>
                  </w:tcBorders>
                  <w:vAlign w:val="center"/>
                </w:tcPr>
                <w:p w14:paraId="2FFBE642">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0m</w:t>
                  </w:r>
                </w:p>
              </w:tc>
              <w:tc>
                <w:tcPr>
                  <w:tcW w:w="1219" w:type="pct"/>
                  <w:tcBorders>
                    <w:tl2br w:val="nil"/>
                    <w:tr2bl w:val="nil"/>
                  </w:tcBorders>
                  <w:vAlign w:val="center"/>
                </w:tcPr>
                <w:p w14:paraId="6DBD346F">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38.7</w:t>
                  </w:r>
                </w:p>
              </w:tc>
              <w:tc>
                <w:tcPr>
                  <w:tcW w:w="1291" w:type="pct"/>
                  <w:tcBorders>
                    <w:tl2br w:val="nil"/>
                    <w:tr2bl w:val="nil"/>
                  </w:tcBorders>
                  <w:vAlign w:val="center"/>
                </w:tcPr>
                <w:p w14:paraId="0E918AF3">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w:t>
                  </w:r>
                </w:p>
              </w:tc>
            </w:tr>
            <w:tr w14:paraId="53ED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2261FF2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13" w:type="pct"/>
                  <w:vMerge w:val="continue"/>
                  <w:tcBorders>
                    <w:tl2br w:val="nil"/>
                    <w:tr2bl w:val="nil"/>
                  </w:tcBorders>
                  <w:vAlign w:val="center"/>
                </w:tcPr>
                <w:p w14:paraId="2486A3FC">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5C4DC29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5m</w:t>
                  </w:r>
                </w:p>
              </w:tc>
              <w:tc>
                <w:tcPr>
                  <w:tcW w:w="1219" w:type="pct"/>
                  <w:tcBorders>
                    <w:tl2br w:val="nil"/>
                    <w:tr2bl w:val="nil"/>
                  </w:tcBorders>
                  <w:vAlign w:val="center"/>
                </w:tcPr>
                <w:p w14:paraId="2E2EFA5A">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37.5</w:t>
                  </w:r>
                </w:p>
              </w:tc>
              <w:tc>
                <w:tcPr>
                  <w:tcW w:w="1291" w:type="pct"/>
                  <w:tcBorders>
                    <w:tl2br w:val="nil"/>
                    <w:tr2bl w:val="nil"/>
                  </w:tcBorders>
                  <w:vAlign w:val="center"/>
                </w:tcPr>
                <w:p w14:paraId="5B47289C">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r>
            <w:tr w14:paraId="4CDB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631DEF5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13" w:type="pct"/>
                  <w:vMerge w:val="continue"/>
                  <w:tcBorders>
                    <w:tl2br w:val="nil"/>
                    <w:tr2bl w:val="nil"/>
                  </w:tcBorders>
                  <w:vAlign w:val="center"/>
                </w:tcPr>
                <w:p w14:paraId="0E735E7B">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7AFC5CE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w:t>
                  </w:r>
                </w:p>
              </w:tc>
              <w:tc>
                <w:tcPr>
                  <w:tcW w:w="1219" w:type="pct"/>
                  <w:tcBorders>
                    <w:tl2br w:val="nil"/>
                    <w:tr2bl w:val="nil"/>
                  </w:tcBorders>
                  <w:vAlign w:val="center"/>
                </w:tcPr>
                <w:p w14:paraId="3E855AB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36.5</w:t>
                  </w:r>
                </w:p>
              </w:tc>
              <w:tc>
                <w:tcPr>
                  <w:tcW w:w="1291" w:type="pct"/>
                  <w:tcBorders>
                    <w:tl2br w:val="nil"/>
                    <w:tr2bl w:val="nil"/>
                  </w:tcBorders>
                  <w:vAlign w:val="center"/>
                </w:tcPr>
                <w:p w14:paraId="1CF70DD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38.5</w:t>
                  </w:r>
                </w:p>
              </w:tc>
            </w:tr>
            <w:tr w14:paraId="778CD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15432A4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13" w:type="pct"/>
                  <w:vMerge w:val="continue"/>
                  <w:tcBorders>
                    <w:tl2br w:val="nil"/>
                    <w:tr2bl w:val="nil"/>
                  </w:tcBorders>
                  <w:vAlign w:val="center"/>
                </w:tcPr>
                <w:p w14:paraId="4CB99440">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0679266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15m</w:t>
                  </w:r>
                </w:p>
              </w:tc>
              <w:tc>
                <w:tcPr>
                  <w:tcW w:w="1219" w:type="pct"/>
                  <w:tcBorders>
                    <w:tl2br w:val="nil"/>
                    <w:tr2bl w:val="nil"/>
                  </w:tcBorders>
                  <w:vAlign w:val="center"/>
                </w:tcPr>
                <w:p w14:paraId="70C31E5F">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42.0</w:t>
                  </w:r>
                </w:p>
              </w:tc>
              <w:tc>
                <w:tcPr>
                  <w:tcW w:w="1291" w:type="pct"/>
                  <w:tcBorders>
                    <w:tl2br w:val="nil"/>
                    <w:tr2bl w:val="nil"/>
                  </w:tcBorders>
                  <w:vAlign w:val="center"/>
                </w:tcPr>
                <w:p w14:paraId="0871245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39.3</w:t>
                  </w:r>
                </w:p>
              </w:tc>
            </w:tr>
            <w:tr w14:paraId="112E2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70E2E305">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13" w:type="pct"/>
                  <w:vMerge w:val="continue"/>
                  <w:tcBorders>
                    <w:tl2br w:val="nil"/>
                    <w:tr2bl w:val="nil"/>
                  </w:tcBorders>
                  <w:vAlign w:val="center"/>
                </w:tcPr>
                <w:p w14:paraId="4B2C2F87">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7928197E">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w:t>
                  </w:r>
                </w:p>
              </w:tc>
              <w:tc>
                <w:tcPr>
                  <w:tcW w:w="1219" w:type="pct"/>
                  <w:tcBorders>
                    <w:tl2br w:val="nil"/>
                    <w:tr2bl w:val="nil"/>
                  </w:tcBorders>
                  <w:vAlign w:val="center"/>
                </w:tcPr>
                <w:p w14:paraId="1266F39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37.7</w:t>
                  </w:r>
                </w:p>
              </w:tc>
              <w:tc>
                <w:tcPr>
                  <w:tcW w:w="1291" w:type="pct"/>
                  <w:tcBorders>
                    <w:tl2br w:val="nil"/>
                    <w:tr2bl w:val="nil"/>
                  </w:tcBorders>
                  <w:vAlign w:val="center"/>
                </w:tcPr>
                <w:p w14:paraId="129C4C7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39.5</w:t>
                  </w:r>
                </w:p>
              </w:tc>
            </w:tr>
            <w:tr w14:paraId="6B8F2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67" w:type="pct"/>
                  <w:tcBorders>
                    <w:tl2br w:val="nil"/>
                    <w:tr2bl w:val="nil"/>
                  </w:tcBorders>
                  <w:vAlign w:val="center"/>
                </w:tcPr>
                <w:p w14:paraId="325E36F3">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1413" w:type="pct"/>
                  <w:vMerge w:val="continue"/>
                  <w:tcBorders>
                    <w:tl2br w:val="nil"/>
                    <w:tr2bl w:val="nil"/>
                  </w:tcBorders>
                  <w:vAlign w:val="center"/>
                </w:tcPr>
                <w:p w14:paraId="636ED90C">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2E899A38">
                  <w:pPr>
                    <w:autoSpaceDE/>
                    <w:autoSpaceDN/>
                    <w:spacing w:line="32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p>
              </w:tc>
              <w:tc>
                <w:tcPr>
                  <w:tcW w:w="1219" w:type="pct"/>
                  <w:tcBorders>
                    <w:tl2br w:val="nil"/>
                    <w:tr2bl w:val="nil"/>
                  </w:tcBorders>
                  <w:vAlign w:val="center"/>
                </w:tcPr>
                <w:p w14:paraId="6FEE2FA8">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38.0</w:t>
                  </w:r>
                </w:p>
              </w:tc>
              <w:tc>
                <w:tcPr>
                  <w:tcW w:w="1291" w:type="pct"/>
                  <w:tcBorders>
                    <w:tl2br w:val="nil"/>
                    <w:tr2bl w:val="nil"/>
                  </w:tcBorders>
                  <w:vAlign w:val="center"/>
                </w:tcPr>
                <w:p w14:paraId="1FA72DA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r>
            <w:tr w14:paraId="46024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55C73667">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1413" w:type="pct"/>
                  <w:vMerge w:val="continue"/>
                  <w:tcBorders>
                    <w:tl2br w:val="nil"/>
                    <w:tr2bl w:val="nil"/>
                  </w:tcBorders>
                  <w:vAlign w:val="center"/>
                </w:tcPr>
                <w:p w14:paraId="567EE515">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vAlign w:val="center"/>
                </w:tcPr>
                <w:p w14:paraId="5D274466">
                  <w:pPr>
                    <w:autoSpaceDE/>
                    <w:autoSpaceDN/>
                    <w:spacing w:line="32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0m</w:t>
                  </w:r>
                </w:p>
              </w:tc>
              <w:tc>
                <w:tcPr>
                  <w:tcW w:w="1219" w:type="pct"/>
                  <w:tcBorders>
                    <w:tl2br w:val="nil"/>
                    <w:tr2bl w:val="nil"/>
                  </w:tcBorders>
                  <w:vAlign w:val="center"/>
                </w:tcPr>
                <w:p w14:paraId="4677DADD">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37.1</w:t>
                  </w:r>
                </w:p>
              </w:tc>
              <w:tc>
                <w:tcPr>
                  <w:tcW w:w="1291" w:type="pct"/>
                  <w:tcBorders>
                    <w:tl2br w:val="nil"/>
                    <w:tr2bl w:val="nil"/>
                  </w:tcBorders>
                  <w:vAlign w:val="center"/>
                </w:tcPr>
                <w:p w14:paraId="7F143A0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39.3</w:t>
                  </w:r>
                </w:p>
              </w:tc>
            </w:tr>
            <w:tr w14:paraId="72D19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13DFD683">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413" w:type="pct"/>
                  <w:vMerge w:val="continue"/>
                  <w:tcBorders>
                    <w:tl2br w:val="nil"/>
                    <w:tr2bl w:val="nil"/>
                  </w:tcBorders>
                  <w:vAlign w:val="center"/>
                </w:tcPr>
                <w:p w14:paraId="6A257224">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shd w:val="clear" w:color="auto" w:fill="auto"/>
                  <w:vAlign w:val="center"/>
                </w:tcPr>
                <w:p w14:paraId="5E3673C0">
                  <w:pPr>
                    <w:autoSpaceDE/>
                    <w:autoSpaceDN/>
                    <w:spacing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5m</w:t>
                  </w:r>
                </w:p>
              </w:tc>
              <w:tc>
                <w:tcPr>
                  <w:tcW w:w="1219" w:type="pct"/>
                  <w:tcBorders>
                    <w:tl2br w:val="nil"/>
                    <w:tr2bl w:val="nil"/>
                  </w:tcBorders>
                  <w:vAlign w:val="center"/>
                </w:tcPr>
                <w:p w14:paraId="0E2664B0">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w:t>
                  </w:r>
                </w:p>
              </w:tc>
              <w:tc>
                <w:tcPr>
                  <w:tcW w:w="1291" w:type="pct"/>
                  <w:tcBorders>
                    <w:tl2br w:val="nil"/>
                    <w:tr2bl w:val="nil"/>
                  </w:tcBorders>
                  <w:vAlign w:val="center"/>
                </w:tcPr>
                <w:p w14:paraId="7C632E0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40.8</w:t>
                  </w:r>
                </w:p>
              </w:tc>
            </w:tr>
            <w:tr w14:paraId="472ED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590FBF60">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413" w:type="pct"/>
                  <w:vMerge w:val="continue"/>
                  <w:tcBorders>
                    <w:tl2br w:val="nil"/>
                    <w:tr2bl w:val="nil"/>
                  </w:tcBorders>
                  <w:vAlign w:val="center"/>
                </w:tcPr>
                <w:p w14:paraId="2ED21EB7">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shd w:val="clear" w:color="auto" w:fill="auto"/>
                  <w:vAlign w:val="center"/>
                </w:tcPr>
                <w:p w14:paraId="02358E32">
                  <w:pPr>
                    <w:autoSpaceDE/>
                    <w:autoSpaceDN/>
                    <w:spacing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w:t>
                  </w:r>
                </w:p>
              </w:tc>
              <w:tc>
                <w:tcPr>
                  <w:tcW w:w="1219" w:type="pct"/>
                  <w:tcBorders>
                    <w:tl2br w:val="nil"/>
                    <w:tr2bl w:val="nil"/>
                  </w:tcBorders>
                  <w:vAlign w:val="center"/>
                </w:tcPr>
                <w:p w14:paraId="580C4572">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37.0</w:t>
                  </w:r>
                </w:p>
              </w:tc>
              <w:tc>
                <w:tcPr>
                  <w:tcW w:w="1291" w:type="pct"/>
                  <w:tcBorders>
                    <w:tl2br w:val="nil"/>
                    <w:tr2bl w:val="nil"/>
                  </w:tcBorders>
                  <w:vAlign w:val="center"/>
                </w:tcPr>
                <w:p w14:paraId="7522C2E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39.6</w:t>
                  </w:r>
                </w:p>
              </w:tc>
            </w:tr>
            <w:tr w14:paraId="1D703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4EDFD2A0">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413" w:type="pct"/>
                  <w:vMerge w:val="continue"/>
                  <w:tcBorders>
                    <w:tl2br w:val="nil"/>
                    <w:tr2bl w:val="nil"/>
                  </w:tcBorders>
                  <w:vAlign w:val="center"/>
                </w:tcPr>
                <w:p w14:paraId="70601D70">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shd w:val="clear" w:color="auto" w:fill="auto"/>
                  <w:vAlign w:val="center"/>
                </w:tcPr>
                <w:p w14:paraId="3FD81A18">
                  <w:pPr>
                    <w:autoSpaceDE/>
                    <w:autoSpaceDN/>
                    <w:spacing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w:t>
                  </w:r>
                </w:p>
              </w:tc>
              <w:tc>
                <w:tcPr>
                  <w:tcW w:w="1219" w:type="pct"/>
                  <w:tcBorders>
                    <w:tl2br w:val="nil"/>
                    <w:tr2bl w:val="nil"/>
                  </w:tcBorders>
                  <w:vAlign w:val="center"/>
                </w:tcPr>
                <w:p w14:paraId="16B4373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p>
              </w:tc>
              <w:tc>
                <w:tcPr>
                  <w:tcW w:w="1291" w:type="pct"/>
                  <w:tcBorders>
                    <w:tl2br w:val="nil"/>
                    <w:tr2bl w:val="nil"/>
                  </w:tcBorders>
                  <w:vAlign w:val="center"/>
                </w:tcPr>
                <w:p w14:paraId="06820EE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39.1</w:t>
                  </w:r>
                </w:p>
              </w:tc>
            </w:tr>
            <w:tr w14:paraId="5F7A3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67" w:type="pct"/>
                  <w:tcBorders>
                    <w:tl2br w:val="nil"/>
                    <w:tr2bl w:val="nil"/>
                  </w:tcBorders>
                  <w:vAlign w:val="center"/>
                </w:tcPr>
                <w:p w14:paraId="1C8B2552">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1413" w:type="pct"/>
                  <w:vMerge w:val="continue"/>
                  <w:tcBorders>
                    <w:tl2br w:val="nil"/>
                    <w:tr2bl w:val="nil"/>
                  </w:tcBorders>
                  <w:vAlign w:val="center"/>
                </w:tcPr>
                <w:p w14:paraId="1A74D0B4">
                  <w:pPr>
                    <w:autoSpaceDE/>
                    <w:autoSpaceDN/>
                    <w:spacing w:line="320" w:lineRule="exact"/>
                    <w:jc w:val="center"/>
                    <w:rPr>
                      <w:rFonts w:hint="default" w:ascii="Times New Roman" w:hAnsi="Times New Roman" w:eastAsia="宋体" w:cs="Times New Roman"/>
                      <w:color w:val="auto"/>
                      <w:sz w:val="21"/>
                      <w:szCs w:val="21"/>
                      <w:highlight w:val="none"/>
                    </w:rPr>
                  </w:pPr>
                </w:p>
              </w:tc>
              <w:tc>
                <w:tcPr>
                  <w:tcW w:w="608" w:type="pct"/>
                  <w:tcBorders>
                    <w:tl2br w:val="nil"/>
                    <w:tr2bl w:val="nil"/>
                  </w:tcBorders>
                  <w:shd w:val="clear" w:color="auto" w:fill="auto"/>
                  <w:vAlign w:val="center"/>
                </w:tcPr>
                <w:p w14:paraId="533A9791">
                  <w:pPr>
                    <w:autoSpaceDE/>
                    <w:autoSpaceDN/>
                    <w:spacing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p>
              </w:tc>
              <w:tc>
                <w:tcPr>
                  <w:tcW w:w="1219" w:type="pct"/>
                  <w:tcBorders>
                    <w:tl2br w:val="nil"/>
                    <w:tr2bl w:val="nil"/>
                  </w:tcBorders>
                  <w:vAlign w:val="center"/>
                </w:tcPr>
                <w:p w14:paraId="6F4F015F">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44.1</w:t>
                  </w:r>
                </w:p>
              </w:tc>
              <w:tc>
                <w:tcPr>
                  <w:tcW w:w="1291" w:type="pct"/>
                  <w:tcBorders>
                    <w:tl2br w:val="nil"/>
                    <w:tr2bl w:val="nil"/>
                  </w:tcBorders>
                  <w:vAlign w:val="center"/>
                </w:tcPr>
                <w:p w14:paraId="269EDD0B">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w:t>
                  </w:r>
                </w:p>
              </w:tc>
            </w:tr>
          </w:tbl>
          <w:p w14:paraId="3E082A27">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监测结果分析：</w:t>
            </w:r>
          </w:p>
          <w:p w14:paraId="5A45E326">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广宗县国瑞能源有限公司300MW农光互补光伏发电项目220kV输变电工程</w:t>
            </w:r>
            <w:r>
              <w:rPr>
                <w:rFonts w:hint="eastAsia" w:ascii="Times New Roman" w:hAnsi="Times New Roman" w:eastAsia="宋体" w:cs="Times New Roman"/>
                <w:bCs/>
                <w:color w:val="auto"/>
                <w:spacing w:val="10"/>
                <w:sz w:val="24"/>
                <w:highlight w:val="none"/>
                <w:lang w:val="en-US" w:eastAsia="zh-CN"/>
              </w:rPr>
              <w:t>架空线路</w:t>
            </w:r>
            <w:r>
              <w:rPr>
                <w:rFonts w:hint="default" w:ascii="Times New Roman" w:hAnsi="Times New Roman" w:eastAsia="宋体" w:cs="Times New Roman"/>
                <w:bCs/>
                <w:color w:val="auto"/>
                <w:spacing w:val="10"/>
                <w:sz w:val="24"/>
                <w:highlight w:val="none"/>
              </w:rPr>
              <w:t>声环境监测断面的昼间噪声监测值为</w:t>
            </w:r>
            <w:r>
              <w:rPr>
                <w:rFonts w:hint="eastAsia" w:ascii="Times New Roman" w:hAnsi="Times New Roman" w:eastAsia="宋体" w:cs="Times New Roman"/>
                <w:bCs/>
                <w:color w:val="auto"/>
                <w:spacing w:val="10"/>
                <w:sz w:val="24"/>
                <w:highlight w:val="none"/>
                <w:lang w:val="en-US" w:eastAsia="zh-CN"/>
              </w:rPr>
              <w:t>36.5</w:t>
            </w:r>
            <w:r>
              <w:rPr>
                <w:rFonts w:hint="default" w:ascii="Times New Roman" w:hAnsi="Times New Roman" w:eastAsia="宋体" w:cs="Times New Roman"/>
                <w:bCs/>
                <w:color w:val="auto"/>
                <w:spacing w:val="10"/>
                <w:sz w:val="24"/>
                <w:highlight w:val="none"/>
              </w:rPr>
              <w:t>dB（A）~4</w:t>
            </w:r>
            <w:r>
              <w:rPr>
                <w:rFonts w:hint="eastAsia" w:ascii="Times New Roman" w:hAnsi="Times New Roman" w:eastAsia="宋体" w:cs="Times New Roman"/>
                <w:bCs/>
                <w:color w:val="auto"/>
                <w:spacing w:val="10"/>
                <w:sz w:val="24"/>
                <w:highlight w:val="none"/>
                <w:lang w:val="en-US" w:eastAsia="zh-CN"/>
              </w:rPr>
              <w:t>4.1</w:t>
            </w:r>
            <w:r>
              <w:rPr>
                <w:rFonts w:hint="default" w:ascii="Times New Roman" w:hAnsi="Times New Roman" w:eastAsia="宋体" w:cs="Times New Roman"/>
                <w:bCs/>
                <w:color w:val="auto"/>
                <w:spacing w:val="10"/>
                <w:sz w:val="24"/>
                <w:highlight w:val="none"/>
              </w:rPr>
              <w:t>dB（A），夜间噪声监测值为3</w:t>
            </w:r>
            <w:r>
              <w:rPr>
                <w:rFonts w:hint="eastAsia" w:ascii="Times New Roman" w:hAnsi="Times New Roman" w:eastAsia="宋体" w:cs="Times New Roman"/>
                <w:bCs/>
                <w:color w:val="auto"/>
                <w:spacing w:val="10"/>
                <w:sz w:val="24"/>
                <w:highlight w:val="none"/>
                <w:lang w:val="en-US" w:eastAsia="zh-CN"/>
              </w:rPr>
              <w:t>8.5</w:t>
            </w:r>
            <w:r>
              <w:rPr>
                <w:rFonts w:hint="default" w:ascii="Times New Roman" w:hAnsi="Times New Roman" w:eastAsia="宋体" w:cs="Times New Roman"/>
                <w:bCs/>
                <w:color w:val="auto"/>
                <w:spacing w:val="10"/>
                <w:sz w:val="24"/>
                <w:highlight w:val="none"/>
              </w:rPr>
              <w:t>dB（A）~</w:t>
            </w:r>
            <w:r>
              <w:rPr>
                <w:rFonts w:hint="eastAsia" w:ascii="Times New Roman" w:hAnsi="Times New Roman" w:eastAsia="宋体" w:cs="Times New Roman"/>
                <w:bCs/>
                <w:color w:val="auto"/>
                <w:spacing w:val="10"/>
                <w:sz w:val="24"/>
                <w:highlight w:val="none"/>
                <w:lang w:val="en-US" w:eastAsia="zh-CN"/>
              </w:rPr>
              <w:t>40.8</w:t>
            </w:r>
            <w:r>
              <w:rPr>
                <w:rFonts w:hint="default" w:ascii="Times New Roman" w:hAnsi="Times New Roman" w:eastAsia="宋体" w:cs="Times New Roman"/>
                <w:bCs/>
                <w:color w:val="auto"/>
                <w:spacing w:val="10"/>
                <w:sz w:val="24"/>
                <w:highlight w:val="none"/>
              </w:rPr>
              <w:t>dB（A），满足《声环境质量标准》（GB3096-2008）1类声环境功能区标准限值要求。</w:t>
            </w:r>
          </w:p>
          <w:p w14:paraId="4627FF7F">
            <w:pPr>
              <w:spacing w:line="360" w:lineRule="auto"/>
              <w:ind w:firstLine="520" w:firstLineChars="20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⑥类比分析结论</w:t>
            </w:r>
          </w:p>
          <w:p w14:paraId="07818B0C">
            <w:pPr>
              <w:spacing w:line="360" w:lineRule="auto"/>
              <w:ind w:firstLine="52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pacing w:val="10"/>
                <w:sz w:val="24"/>
                <w:highlight w:val="none"/>
              </w:rPr>
              <w:t>综上所述，根据广宗县国瑞能源有限公司300MW农光互补光伏发电项目220kV输变电工程</w:t>
            </w:r>
            <w:r>
              <w:rPr>
                <w:rFonts w:hint="eastAsia" w:ascii="Times New Roman" w:hAnsi="Times New Roman" w:eastAsia="宋体" w:cs="Times New Roman"/>
                <w:bCs/>
                <w:color w:val="auto"/>
                <w:spacing w:val="10"/>
                <w:sz w:val="24"/>
                <w:highlight w:val="none"/>
                <w:lang w:val="en-US" w:eastAsia="zh-CN"/>
              </w:rPr>
              <w:t>架空线路</w:t>
            </w:r>
            <w:r>
              <w:rPr>
                <w:rFonts w:hint="default" w:ascii="Times New Roman" w:hAnsi="Times New Roman" w:eastAsia="宋体" w:cs="Times New Roman"/>
                <w:bCs/>
                <w:color w:val="auto"/>
                <w:spacing w:val="10"/>
                <w:sz w:val="24"/>
                <w:highlight w:val="none"/>
              </w:rPr>
              <w:t>声环境监测断面监测实测结果可知，本项目投入运营后全线亦会符合《声环境质量标准》（GB3096－2008）1类声环境功能区标准要求。本项目</w:t>
            </w:r>
            <w:r>
              <w:rPr>
                <w:rFonts w:hint="default" w:ascii="Times New Roman" w:hAnsi="Times New Roman" w:eastAsia="宋体" w:cs="Times New Roman"/>
                <w:color w:val="auto"/>
                <w:sz w:val="24"/>
                <w:highlight w:val="none"/>
              </w:rPr>
              <w:t>河北滦河上游国家级自然保护区段</w:t>
            </w:r>
            <w:r>
              <w:rPr>
                <w:rFonts w:hint="default" w:ascii="Times New Roman" w:hAnsi="Times New Roman" w:eastAsia="宋体" w:cs="Times New Roman"/>
                <w:bCs/>
                <w:color w:val="auto"/>
                <w:spacing w:val="10"/>
                <w:sz w:val="24"/>
                <w:highlight w:val="none"/>
              </w:rPr>
              <w:t>满足《声环境质量标准》（GB3096－2008）1类标准要求，因此，本项目220kV架空线路建成后，对区域声环境质量影响轻微。</w:t>
            </w:r>
          </w:p>
          <w:p w14:paraId="0FC01205">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4"/>
                <w:szCs w:val="24"/>
                <w:highlight w:val="none"/>
              </w:rPr>
              <w:t>三</w:t>
            </w:r>
            <w:r>
              <w:rPr>
                <w:rFonts w:hint="default" w:ascii="Times New Roman" w:hAnsi="Times New Roman" w:eastAsia="宋体" w:cs="Times New Roman"/>
                <w:b/>
                <w:color w:val="auto"/>
                <w:sz w:val="24"/>
                <w:szCs w:val="24"/>
                <w:highlight w:val="none"/>
              </w:rPr>
              <w:t>、生态影响分析</w:t>
            </w:r>
          </w:p>
          <w:p w14:paraId="5680084E">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施工结束后对临时占地及时恢复。优先使用原生表土和选用乡土物种进行生态恢复，防止外来生物入侵，构建与周边生态环境相协调的植物群落，最终形成可自我维持的生态系统。投入运行后对恢复植被进行定期养护，确保成活率和生物量。因此，本项目输电线路建设对周围生态环境影响较小。</w:t>
            </w:r>
          </w:p>
          <w:p w14:paraId="08CB84E9">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本项目线路工程运行期主要是线路的巡护，对生态环境基本无影响。</w:t>
            </w:r>
          </w:p>
          <w:p w14:paraId="02B699B1">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四、大气环境、水环境、固体废物、环境风险影响分析</w:t>
            </w:r>
          </w:p>
          <w:p w14:paraId="3232D3DF">
            <w:pPr>
              <w:pStyle w:val="23"/>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本项目建设220kV线路运行后，不新增劳动定员，不新增用水，不涉及废气、废水、固体废物产生，不涉及环境风险物质，对周边环境无影响。</w:t>
            </w:r>
          </w:p>
        </w:tc>
      </w:tr>
      <w:tr w14:paraId="656A8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993" w:type="dxa"/>
            <w:tcBorders>
              <w:top w:val="single" w:color="000000" w:sz="4" w:space="0"/>
              <w:right w:val="single" w:color="000000" w:sz="4" w:space="0"/>
            </w:tcBorders>
            <w:vAlign w:val="center"/>
          </w:tcPr>
          <w:p w14:paraId="368F09B0">
            <w:pPr>
              <w:pStyle w:val="23"/>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选址选线环境合理性分析</w:t>
            </w:r>
          </w:p>
        </w:tc>
        <w:tc>
          <w:tcPr>
            <w:tcW w:w="8505" w:type="dxa"/>
            <w:tcBorders>
              <w:top w:val="single" w:color="000000" w:sz="4" w:space="0"/>
              <w:left w:val="single" w:color="000000" w:sz="4" w:space="0"/>
            </w:tcBorders>
            <w:vAlign w:val="center"/>
          </w:tcPr>
          <w:p w14:paraId="28738393">
            <w:pPr>
              <w:tabs>
                <w:tab w:val="left" w:pos="2445"/>
              </w:tabs>
              <w:spacing w:line="360" w:lineRule="auto"/>
              <w:ind w:firstLine="482" w:firstLineChars="200"/>
              <w:rPr>
                <w:rFonts w:hint="default" w:ascii="Times New Roman" w:hAnsi="Times New Roman" w:eastAsia="宋体" w:cs="Times New Roman"/>
                <w:b/>
                <w:bCs/>
                <w:iCs/>
                <w:color w:val="auto"/>
                <w:kern w:val="13"/>
                <w:sz w:val="24"/>
                <w:highlight w:val="none"/>
              </w:rPr>
            </w:pPr>
            <w:r>
              <w:rPr>
                <w:rFonts w:hint="default" w:ascii="Times New Roman" w:hAnsi="Times New Roman" w:eastAsia="宋体" w:cs="Times New Roman"/>
                <w:b/>
                <w:bCs/>
                <w:iCs/>
                <w:color w:val="auto"/>
                <w:kern w:val="13"/>
                <w:sz w:val="24"/>
                <w:highlight w:val="none"/>
              </w:rPr>
              <w:t>一、线路比选</w:t>
            </w:r>
          </w:p>
          <w:p w14:paraId="728B61AF">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1、输电线路选择原则</w:t>
            </w:r>
          </w:p>
          <w:p w14:paraId="682F7B1F">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（1）降低环境影响：路径选择应尽量避开自然保护区、国有林地、永久基本农田等场所，减少对自然环境的破坏。在必须穿越这些区域时，应采取有效措施降低影响。</w:t>
            </w:r>
          </w:p>
          <w:p w14:paraId="00933A8B">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（2）保护生态环境：在设计过程中，应注重生态保护，避免对野生动物栖息地和生态系统的破坏。同时，应充分考虑线路对沿线居民生活的影响，尽量降低噪音、电磁辐射等不利因素。</w:t>
            </w:r>
          </w:p>
          <w:p w14:paraId="2B3997A7">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（3）确保线路安全：路径选择必须考虑传输线的安全操作要求，防止发生安全事故。应避免线路与建筑物之间的交叉点设计不当导致的安全隐患；在穿过人口稠密地区时，应采取特殊措施确保线路安全。</w:t>
            </w:r>
          </w:p>
          <w:p w14:paraId="5B7B9B23">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（4）路径选择应以交通便利和经济适用为基本理念，尽可能减少线路长度，降低施工和维护成本，同时确保施工资费的合理性。</w:t>
            </w:r>
          </w:p>
          <w:p w14:paraId="2FFB7F45">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2、方案比选</w:t>
            </w:r>
          </w:p>
          <w:p w14:paraId="5E4E4B4A">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本项目线路起于华能围场风光储氢热一体化项目（光伏200MW）升压站，止于华能围场风光储氢热一体化项目（风电200MW）升压站，线路长度为22.99km，线路的起点和终点位于河北滦河上游国家级自然保护区</w:t>
            </w:r>
            <w:r>
              <w:rPr>
                <w:rFonts w:hint="eastAsia" w:ascii="Times New Roman" w:hAnsi="Times New Roman" w:eastAsia="宋体" w:cs="Times New Roman"/>
                <w:iCs/>
                <w:color w:val="auto"/>
                <w:kern w:val="13"/>
                <w:sz w:val="24"/>
                <w:highlight w:val="none"/>
                <w:lang w:val="en-US" w:eastAsia="zh-CN"/>
              </w:rPr>
              <w:t>的中间位置</w:t>
            </w:r>
            <w:r>
              <w:rPr>
                <w:rFonts w:hint="default" w:ascii="Times New Roman" w:hAnsi="Times New Roman" w:eastAsia="宋体" w:cs="Times New Roman"/>
                <w:iCs/>
                <w:color w:val="auto"/>
                <w:kern w:val="13"/>
                <w:sz w:val="24"/>
                <w:highlight w:val="none"/>
              </w:rPr>
              <w:t>南北</w:t>
            </w:r>
            <w:r>
              <w:rPr>
                <w:rFonts w:hint="eastAsia" w:ascii="Times New Roman" w:hAnsi="Times New Roman" w:eastAsia="宋体" w:cs="Times New Roman"/>
                <w:iCs/>
                <w:color w:val="auto"/>
                <w:kern w:val="13"/>
                <w:sz w:val="24"/>
                <w:highlight w:val="none"/>
                <w:lang w:val="en-US" w:eastAsia="zh-CN"/>
              </w:rPr>
              <w:t>两侧</w:t>
            </w:r>
            <w:r>
              <w:rPr>
                <w:rFonts w:hint="eastAsia" w:ascii="Times New Roman" w:hAnsi="Times New Roman" w:eastAsia="宋体" w:cs="Times New Roman"/>
                <w:iCs/>
                <w:color w:val="auto"/>
                <w:kern w:val="13"/>
                <w:sz w:val="24"/>
                <w:highlight w:val="none"/>
                <w:lang w:eastAsia="zh-CN"/>
              </w:rPr>
              <w:t>，</w:t>
            </w:r>
            <w:r>
              <w:rPr>
                <w:rFonts w:hint="eastAsia" w:ascii="Times New Roman" w:hAnsi="Times New Roman" w:eastAsia="宋体" w:cs="Times New Roman"/>
                <w:iCs/>
                <w:color w:val="auto"/>
                <w:kern w:val="13"/>
                <w:sz w:val="24"/>
                <w:highlight w:val="none"/>
                <w:lang w:val="en-US" w:eastAsia="zh-CN"/>
              </w:rPr>
              <w:t>送出线路不可避免穿越</w:t>
            </w:r>
            <w:r>
              <w:rPr>
                <w:rFonts w:hint="default" w:ascii="Times New Roman" w:hAnsi="Times New Roman" w:eastAsia="宋体" w:cs="Times New Roman"/>
                <w:iCs/>
                <w:color w:val="auto"/>
                <w:kern w:val="13"/>
                <w:sz w:val="24"/>
                <w:highlight w:val="none"/>
              </w:rPr>
              <w:t>河北滦河上游国家级自然保护区</w:t>
            </w:r>
            <w:r>
              <w:rPr>
                <w:rFonts w:hint="eastAsia" w:ascii="Times New Roman" w:hAnsi="Times New Roman" w:eastAsia="宋体" w:cs="Times New Roman"/>
                <w:iCs/>
                <w:color w:val="auto"/>
                <w:kern w:val="13"/>
                <w:sz w:val="24"/>
                <w:highlight w:val="none"/>
                <w:lang w:eastAsia="zh-CN"/>
              </w:rPr>
              <w:t>，</w:t>
            </w:r>
            <w:r>
              <w:rPr>
                <w:rFonts w:hint="eastAsia" w:ascii="Times New Roman" w:hAnsi="Times New Roman" w:eastAsia="宋体" w:cs="Times New Roman"/>
                <w:iCs/>
                <w:color w:val="auto"/>
                <w:kern w:val="13"/>
                <w:sz w:val="24"/>
                <w:highlight w:val="none"/>
                <w:lang w:val="en-US" w:eastAsia="zh-CN"/>
              </w:rPr>
              <w:t>送出线路穿越</w:t>
            </w:r>
            <w:r>
              <w:rPr>
                <w:rFonts w:hint="default" w:ascii="Times New Roman" w:hAnsi="Times New Roman" w:eastAsia="宋体" w:cs="Times New Roman"/>
                <w:iCs/>
                <w:color w:val="auto"/>
                <w:kern w:val="13"/>
                <w:sz w:val="24"/>
                <w:highlight w:val="none"/>
              </w:rPr>
              <w:t>河北滦河上游国家级自然保护区</w:t>
            </w:r>
            <w:r>
              <w:rPr>
                <w:rFonts w:hint="eastAsia" w:ascii="Times New Roman" w:hAnsi="Times New Roman" w:eastAsia="宋体" w:cs="Times New Roman"/>
                <w:iCs/>
                <w:color w:val="auto"/>
                <w:kern w:val="13"/>
                <w:sz w:val="24"/>
                <w:highlight w:val="none"/>
                <w:lang w:val="en-US" w:eastAsia="zh-CN"/>
              </w:rPr>
              <w:t>具有唯一性</w:t>
            </w:r>
            <w:r>
              <w:rPr>
                <w:rFonts w:hint="default" w:ascii="Times New Roman" w:hAnsi="Times New Roman" w:eastAsia="宋体" w:cs="Times New Roman"/>
                <w:iCs/>
                <w:color w:val="auto"/>
                <w:kern w:val="13"/>
                <w:sz w:val="24"/>
                <w:highlight w:val="none"/>
              </w:rPr>
              <w:t>。</w:t>
            </w:r>
          </w:p>
          <w:p w14:paraId="4DBD249A">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最短穿越保护区方案）：线路出光伏升压站后向东避让保护区，再向东南并入路径，此方案长度22.19km，穿越保护区长度5459.90m，此方案在保护区内塔基个数减少，占地面积少，但是向东避让区域有村庄和永久基本农田，永久基本农田分布较为广泛连续，无法满足塔基设置的最远距离，若选择此方案无法避让占用永久基本农田。且多为山谷地区，山顶之间的距离过长，输电线路应充分考虑电压等级、地形地貌、安全要求等多种因素，遵循相关的规定和标准以确保线路的安全运行和减少对周围环境的影响，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超过塔基最长</w:t>
            </w:r>
            <w:r>
              <w:rPr>
                <w:rFonts w:hint="eastAsia" w:ascii="Times New Roman" w:hAnsi="Times New Roman" w:eastAsia="宋体" w:cs="Times New Roman"/>
                <w:iCs/>
                <w:color w:val="auto"/>
                <w:kern w:val="13"/>
                <w:sz w:val="24"/>
                <w:highlight w:val="none"/>
                <w:lang w:val="en-US" w:eastAsia="zh-CN"/>
              </w:rPr>
              <w:t>距离</w:t>
            </w:r>
            <w:r>
              <w:rPr>
                <w:rFonts w:hint="default" w:ascii="Times New Roman" w:hAnsi="Times New Roman" w:eastAsia="宋体" w:cs="Times New Roman"/>
                <w:iCs/>
                <w:color w:val="auto"/>
                <w:kern w:val="13"/>
                <w:sz w:val="24"/>
                <w:highlight w:val="none"/>
              </w:rPr>
              <w:t>的限制，不具备设计条件和施工条件。</w:t>
            </w:r>
          </w:p>
          <w:p w14:paraId="6C3217F6">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二</w:t>
            </w:r>
            <w:r>
              <w:rPr>
                <w:rFonts w:hint="default" w:ascii="Times New Roman" w:hAnsi="Times New Roman" w:eastAsia="宋体" w:cs="Times New Roman"/>
                <w:iCs/>
                <w:color w:val="auto"/>
                <w:kern w:val="13"/>
                <w:sz w:val="24"/>
                <w:highlight w:val="none"/>
              </w:rPr>
              <w:t>（可行方案）：自华能围场光伏220kV升压站出线后，向东南方向走线，跨越国有林地和永久基本农田后，至二道岔北山附近后左转向东偏北方向，跨越部分基本草原后至四道岔北山附近后右转向东南方向，跨越国有林地后，至大梁子台核心保护区最东侧边界，右转向南跨越国有林地后，左转向东南方向避让基本草原和永久基本农田后，右转跨越永久基本农田，至石人山北侧基本草原附近，跨越基本草原左转至华能200兆瓦风电升压站西侧附近后进站。此方案线路长度22.99km，穿越保护区实验区9094.58m</w:t>
            </w:r>
            <w:r>
              <w:rPr>
                <w:rFonts w:hint="default" w:ascii="Times New Roman" w:hAnsi="Times New Roman" w:eastAsia="宋体" w:cs="Times New Roman"/>
                <w:iCs/>
                <w:color w:val="auto"/>
                <w:kern w:val="13"/>
                <w:sz w:val="24"/>
                <w:highlight w:val="none"/>
                <w:lang w:eastAsia="zh-CN"/>
              </w:rPr>
              <w:t>（保护区内塔基</w:t>
            </w:r>
            <w:r>
              <w:rPr>
                <w:rFonts w:hint="default" w:ascii="Times New Roman" w:hAnsi="Times New Roman" w:eastAsia="宋体" w:cs="Times New Roman"/>
                <w:iCs/>
                <w:color w:val="auto"/>
                <w:kern w:val="13"/>
                <w:sz w:val="24"/>
                <w:highlight w:val="none"/>
                <w:lang w:val="en-US" w:eastAsia="zh-CN"/>
              </w:rPr>
              <w:t>23基</w:t>
            </w:r>
            <w:r>
              <w:rPr>
                <w:rFonts w:hint="default" w:ascii="Times New Roman" w:hAnsi="Times New Roman" w:eastAsia="宋体" w:cs="Times New Roman"/>
                <w:iCs/>
                <w:color w:val="auto"/>
                <w:kern w:val="13"/>
                <w:sz w:val="24"/>
                <w:highlight w:val="none"/>
                <w:lang w:eastAsia="zh-CN"/>
              </w:rPr>
              <w:t>）</w:t>
            </w:r>
            <w:r>
              <w:rPr>
                <w:rFonts w:hint="default" w:ascii="Times New Roman" w:hAnsi="Times New Roman" w:eastAsia="宋体" w:cs="Times New Roman"/>
                <w:iCs/>
                <w:color w:val="auto"/>
                <w:kern w:val="13"/>
                <w:sz w:val="24"/>
                <w:highlight w:val="none"/>
              </w:rPr>
              <w:t>，不占用永久基本农田和村庄，地形较为简单，满足塔基和架线的施工条件。由于进入保护区后路径东侧有规划克什克腾-承德围场高速公路，所以线路未进入保护区缓冲区。</w:t>
            </w:r>
          </w:p>
          <w:p w14:paraId="58CE2769">
            <w:pPr>
              <w:tabs>
                <w:tab w:val="left" w:pos="2445"/>
              </w:tabs>
              <w:spacing w:line="360" w:lineRule="auto"/>
              <w:jc w:val="center"/>
              <w:rPr>
                <w:rFonts w:hint="default" w:ascii="Times New Roman" w:hAnsi="Times New Roman" w:cs="Times New Roman"/>
                <w:color w:val="auto"/>
                <w:highlight w:val="none"/>
              </w:rPr>
            </w:pPr>
            <w:r>
              <w:rPr>
                <w:color w:val="auto"/>
              </w:rPr>
              <w:drawing>
                <wp:inline distT="0" distB="0" distL="114300" distR="114300">
                  <wp:extent cx="5400040" cy="3573145"/>
                  <wp:effectExtent l="0" t="0" r="10160"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5"/>
                          <a:stretch>
                            <a:fillRect/>
                          </a:stretch>
                        </pic:blipFill>
                        <pic:spPr>
                          <a:xfrm>
                            <a:off x="0" y="0"/>
                            <a:ext cx="5400040" cy="3573145"/>
                          </a:xfrm>
                          <a:prstGeom prst="rect">
                            <a:avLst/>
                          </a:prstGeom>
                          <a:noFill/>
                          <a:ln>
                            <a:noFill/>
                          </a:ln>
                        </pic:spPr>
                      </pic:pic>
                    </a:graphicData>
                  </a:graphic>
                </wp:inline>
              </w:drawing>
            </w:r>
          </w:p>
          <w:p w14:paraId="77CAC879">
            <w:pPr>
              <w:tabs>
                <w:tab w:val="left" w:pos="2445"/>
              </w:tabs>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图4-1  线路路径比选方案</w:t>
            </w:r>
          </w:p>
          <w:p w14:paraId="3979C849">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3、比选结果</w:t>
            </w:r>
          </w:p>
          <w:p w14:paraId="10057BF4">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在考虑山地路径选取和地形的基础上，综合考虑架空线路路径，以最大程度减少对</w:t>
            </w:r>
            <w:r>
              <w:rPr>
                <w:rFonts w:hint="eastAsia" w:ascii="Times New Roman" w:hAnsi="Times New Roman" w:eastAsia="宋体" w:cs="Times New Roman"/>
                <w:iCs/>
                <w:color w:val="auto"/>
                <w:kern w:val="13"/>
                <w:sz w:val="24"/>
                <w:highlight w:val="none"/>
                <w:lang w:val="en-US" w:eastAsia="zh-CN"/>
              </w:rPr>
              <w:t>保护区和</w:t>
            </w:r>
            <w:r>
              <w:rPr>
                <w:rFonts w:hint="default" w:ascii="Times New Roman" w:hAnsi="Times New Roman" w:eastAsia="宋体" w:cs="Times New Roman"/>
                <w:iCs/>
                <w:color w:val="auto"/>
                <w:kern w:val="13"/>
                <w:sz w:val="24"/>
                <w:highlight w:val="none"/>
              </w:rPr>
              <w:t>生态红线的占地，对永久基本农田零占地，加之考虑施工可行性等因素，</w:t>
            </w:r>
            <w:r>
              <w:rPr>
                <w:rFonts w:hint="eastAsia" w:ascii="Times New Roman" w:hAnsi="Times New Roman" w:eastAsia="宋体" w:cs="Times New Roman"/>
                <w:iCs/>
                <w:color w:val="auto"/>
                <w:kern w:val="13"/>
                <w:sz w:val="24"/>
                <w:highlight w:val="none"/>
                <w:lang w:val="en-US" w:eastAsia="zh-CN"/>
              </w:rPr>
              <w:t>由于</w:t>
            </w: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超过塔基最长</w:t>
            </w:r>
            <w:r>
              <w:rPr>
                <w:rFonts w:hint="eastAsia" w:ascii="Times New Roman" w:hAnsi="Times New Roman" w:eastAsia="宋体" w:cs="Times New Roman"/>
                <w:iCs/>
                <w:color w:val="auto"/>
                <w:kern w:val="13"/>
                <w:sz w:val="24"/>
                <w:highlight w:val="none"/>
                <w:lang w:val="en-US" w:eastAsia="zh-CN"/>
              </w:rPr>
              <w:t>距离</w:t>
            </w:r>
            <w:r>
              <w:rPr>
                <w:rFonts w:hint="default" w:ascii="Times New Roman" w:hAnsi="Times New Roman" w:eastAsia="宋体" w:cs="Times New Roman"/>
                <w:iCs/>
                <w:color w:val="auto"/>
                <w:kern w:val="13"/>
                <w:sz w:val="24"/>
                <w:highlight w:val="none"/>
              </w:rPr>
              <w:t>的限制，不具备设计条件和施工条件</w:t>
            </w:r>
            <w:r>
              <w:rPr>
                <w:rFonts w:hint="eastAsia" w:ascii="Times New Roman" w:hAnsi="Times New Roman" w:eastAsia="宋体" w:cs="Times New Roman"/>
                <w:iCs/>
                <w:color w:val="auto"/>
                <w:kern w:val="13"/>
                <w:sz w:val="24"/>
                <w:highlight w:val="none"/>
                <w:lang w:eastAsia="zh-CN"/>
              </w:rPr>
              <w:t>，</w:t>
            </w:r>
            <w:r>
              <w:rPr>
                <w:rFonts w:hint="default" w:ascii="Times New Roman" w:hAnsi="Times New Roman" w:eastAsia="宋体" w:cs="Times New Roman"/>
                <w:iCs/>
                <w:color w:val="auto"/>
                <w:kern w:val="13"/>
                <w:sz w:val="24"/>
                <w:highlight w:val="none"/>
              </w:rPr>
              <w:t>最终确定选择方案</w:t>
            </w:r>
            <w:r>
              <w:rPr>
                <w:rFonts w:hint="eastAsia" w:ascii="Times New Roman" w:hAnsi="Times New Roman" w:eastAsia="宋体" w:cs="Times New Roman"/>
                <w:iCs/>
                <w:color w:val="auto"/>
                <w:kern w:val="13"/>
                <w:sz w:val="24"/>
                <w:highlight w:val="none"/>
                <w:lang w:val="en-US" w:eastAsia="zh-CN"/>
              </w:rPr>
              <w:t>二</w:t>
            </w:r>
            <w:r>
              <w:rPr>
                <w:rFonts w:hint="default" w:ascii="Times New Roman" w:hAnsi="Times New Roman" w:eastAsia="宋体" w:cs="Times New Roman"/>
                <w:iCs/>
                <w:color w:val="auto"/>
                <w:kern w:val="13"/>
                <w:sz w:val="24"/>
                <w:highlight w:val="none"/>
              </w:rPr>
              <w:t>为此次项目最终路径，此方案不涉及永久基本农田和村庄，地形较为简单，满足工程施工要求，可以最大程度减少对生态红线、永久基本农田的占用，减少对森林的破坏，使本项目对环境的影响降到最低。</w:t>
            </w:r>
          </w:p>
          <w:p w14:paraId="3D70F48A">
            <w:pPr>
              <w:tabs>
                <w:tab w:val="left" w:pos="2445"/>
              </w:tabs>
              <w:spacing w:line="360" w:lineRule="auto"/>
              <w:ind w:firstLine="482" w:firstLineChars="200"/>
              <w:rPr>
                <w:rFonts w:hint="default" w:ascii="Times New Roman" w:hAnsi="Times New Roman" w:eastAsia="宋体" w:cs="Times New Roman"/>
                <w:b/>
                <w:bCs/>
                <w:iCs/>
                <w:color w:val="auto"/>
                <w:kern w:val="13"/>
                <w:sz w:val="24"/>
                <w:highlight w:val="none"/>
              </w:rPr>
            </w:pPr>
            <w:r>
              <w:rPr>
                <w:rFonts w:hint="default" w:ascii="Times New Roman" w:hAnsi="Times New Roman" w:eastAsia="宋体" w:cs="Times New Roman"/>
                <w:b/>
                <w:bCs/>
                <w:iCs/>
                <w:color w:val="auto"/>
                <w:kern w:val="13"/>
                <w:sz w:val="24"/>
                <w:highlight w:val="none"/>
              </w:rPr>
              <w:t>二、选址符合性</w:t>
            </w:r>
          </w:p>
          <w:p w14:paraId="3162351D">
            <w:pPr>
              <w:pStyle w:val="23"/>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本项目选择好线路路径方案后，</w:t>
            </w:r>
            <w:r>
              <w:rPr>
                <w:rFonts w:hint="default" w:ascii="Times New Roman" w:hAnsi="Times New Roman" w:eastAsia="宋体" w:cs="Times New Roman"/>
                <w:color w:val="auto"/>
                <w:sz w:val="24"/>
                <w:highlight w:val="none"/>
              </w:rPr>
              <w:t>国家林业和草原局、</w:t>
            </w:r>
            <w:r>
              <w:rPr>
                <w:rFonts w:hint="default" w:ascii="Times New Roman" w:hAnsi="Times New Roman" w:eastAsia="宋体" w:cs="Times New Roman"/>
                <w:color w:val="auto"/>
                <w:sz w:val="24"/>
                <w:szCs w:val="24"/>
                <w:highlight w:val="none"/>
              </w:rPr>
              <w:t>围场满族蒙古族自治县自然资源和规划局、承德市生态环境局围场满族蒙古族自治县分局、围场满族蒙古族自治县林业和草原局出具了路径意见的函，原则同意项目路径方案。协议情况见下表。</w:t>
            </w:r>
          </w:p>
          <w:p w14:paraId="1F9C715A">
            <w:pPr>
              <w:pStyle w:val="2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表4-6  本工程路径协议情况一览表</w:t>
            </w:r>
          </w:p>
          <w:tbl>
            <w:tblPr>
              <w:tblStyle w:val="15"/>
              <w:tblpPr w:leftFromText="180" w:rightFromText="180" w:vertAnchor="text" w:horzAnchor="page" w:tblpX="250" w:tblpY="45"/>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2"/>
              <w:gridCol w:w="2109"/>
              <w:gridCol w:w="5796"/>
            </w:tblGrid>
            <w:tr w14:paraId="4A836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tcBorders>
                    <w:top w:val="single" w:color="000000" w:sz="4" w:space="0"/>
                    <w:left w:val="single" w:color="000000" w:sz="4" w:space="0"/>
                    <w:bottom w:val="single" w:color="000000" w:sz="4" w:space="0"/>
                    <w:right w:val="single" w:color="000000" w:sz="4" w:space="0"/>
                  </w:tcBorders>
                  <w:vAlign w:val="center"/>
                </w:tcPr>
                <w:p w14:paraId="4FB55F0A">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239" w:type="pct"/>
                  <w:tcBorders>
                    <w:top w:val="single" w:color="000000" w:sz="4" w:space="0"/>
                    <w:left w:val="single" w:color="000000" w:sz="4" w:space="0"/>
                    <w:bottom w:val="single" w:color="000000" w:sz="4" w:space="0"/>
                    <w:right w:val="single" w:color="000000" w:sz="4" w:space="0"/>
                  </w:tcBorders>
                  <w:vAlign w:val="center"/>
                </w:tcPr>
                <w:p w14:paraId="7C0BD833">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协议单位</w:t>
                  </w:r>
                </w:p>
              </w:tc>
              <w:tc>
                <w:tcPr>
                  <w:tcW w:w="3406" w:type="pct"/>
                  <w:tcBorders>
                    <w:top w:val="single" w:color="000000" w:sz="4" w:space="0"/>
                    <w:left w:val="single" w:color="000000" w:sz="4" w:space="0"/>
                    <w:bottom w:val="single" w:color="000000" w:sz="4" w:space="0"/>
                    <w:right w:val="single" w:color="000000" w:sz="4" w:space="0"/>
                  </w:tcBorders>
                  <w:vAlign w:val="center"/>
                </w:tcPr>
                <w:p w14:paraId="6D7206FF">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协议情况</w:t>
                  </w:r>
                </w:p>
              </w:tc>
            </w:tr>
            <w:tr w14:paraId="0549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tcBorders>
                    <w:top w:val="single" w:color="000000" w:sz="4" w:space="0"/>
                    <w:left w:val="single" w:color="000000" w:sz="4" w:space="0"/>
                    <w:bottom w:val="single" w:color="000000" w:sz="4" w:space="0"/>
                    <w:right w:val="single" w:color="000000" w:sz="4" w:space="0"/>
                  </w:tcBorders>
                  <w:vAlign w:val="center"/>
                </w:tcPr>
                <w:p w14:paraId="2E67165A">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39" w:type="pct"/>
                  <w:tcBorders>
                    <w:top w:val="single" w:color="000000" w:sz="4" w:space="0"/>
                    <w:left w:val="single" w:color="000000" w:sz="4" w:space="0"/>
                    <w:bottom w:val="single" w:color="000000" w:sz="4" w:space="0"/>
                    <w:right w:val="single" w:color="000000" w:sz="4" w:space="0"/>
                  </w:tcBorders>
                  <w:vAlign w:val="center"/>
                </w:tcPr>
                <w:p w14:paraId="43D15236">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国家林业和草原局</w:t>
                  </w:r>
                </w:p>
              </w:tc>
              <w:tc>
                <w:tcPr>
                  <w:tcW w:w="3406" w:type="pct"/>
                  <w:tcBorders>
                    <w:top w:val="single" w:color="000000" w:sz="4" w:space="0"/>
                    <w:left w:val="single" w:color="000000" w:sz="4" w:space="0"/>
                    <w:bottom w:val="single" w:color="000000" w:sz="4" w:space="0"/>
                    <w:right w:val="single" w:color="000000" w:sz="4" w:space="0"/>
                  </w:tcBorders>
                  <w:vAlign w:val="center"/>
                </w:tcPr>
                <w:p w14:paraId="504BC173">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原则同意华能围场“风光储氢热一体化”项目（光伏200MW）项目220kV送出线路工程穿越河北滦河上游国家级自然保护区实验区，占用自然保护区实验区面积0.2438公顷。</w:t>
                  </w:r>
                </w:p>
              </w:tc>
            </w:tr>
            <w:tr w14:paraId="0F9D5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vMerge w:val="restart"/>
                  <w:tcBorders>
                    <w:top w:val="single" w:color="000000" w:sz="4" w:space="0"/>
                    <w:left w:val="single" w:color="000000" w:sz="4" w:space="0"/>
                    <w:right w:val="single" w:color="000000" w:sz="4" w:space="0"/>
                  </w:tcBorders>
                  <w:vAlign w:val="center"/>
                </w:tcPr>
                <w:p w14:paraId="65FC33FD">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239" w:type="pct"/>
                  <w:vMerge w:val="restart"/>
                  <w:tcBorders>
                    <w:top w:val="single" w:color="000000" w:sz="4" w:space="0"/>
                    <w:left w:val="single" w:color="000000" w:sz="4" w:space="0"/>
                    <w:right w:val="single" w:color="000000" w:sz="4" w:space="0"/>
                  </w:tcBorders>
                  <w:vAlign w:val="center"/>
                </w:tcPr>
                <w:p w14:paraId="17635D1C">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围场满族蒙古族自治县自然资源和规划局</w:t>
                  </w:r>
                </w:p>
              </w:tc>
              <w:tc>
                <w:tcPr>
                  <w:tcW w:w="3406" w:type="pct"/>
                  <w:tcBorders>
                    <w:top w:val="single" w:color="000000" w:sz="4" w:space="0"/>
                    <w:left w:val="single" w:color="000000" w:sz="4" w:space="0"/>
                    <w:bottom w:val="single" w:color="000000" w:sz="4" w:space="0"/>
                    <w:right w:val="single" w:color="000000" w:sz="4" w:space="0"/>
                  </w:tcBorders>
                  <w:vAlign w:val="center"/>
                </w:tcPr>
                <w:p w14:paraId="59F7B9BC">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认为该项目建设占用生态保护红线不可避让，《报告》提出的项目占用和穿越生态保护红线的保护措施以及相关施工措施可行，同意通过论证。</w:t>
                  </w:r>
                </w:p>
              </w:tc>
            </w:tr>
            <w:tr w14:paraId="41DD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vMerge w:val="continue"/>
                  <w:tcBorders>
                    <w:left w:val="single" w:color="000000" w:sz="4" w:space="0"/>
                    <w:bottom w:val="single" w:color="000000" w:sz="4" w:space="0"/>
                    <w:right w:val="single" w:color="000000" w:sz="4" w:space="0"/>
                  </w:tcBorders>
                  <w:vAlign w:val="center"/>
                </w:tcPr>
                <w:p w14:paraId="21CC7308">
                  <w:pPr>
                    <w:pStyle w:val="31"/>
                    <w:spacing w:line="240" w:lineRule="auto"/>
                    <w:ind w:firstLine="0" w:firstLineChars="0"/>
                    <w:jc w:val="center"/>
                    <w:rPr>
                      <w:rFonts w:hint="default" w:ascii="Times New Roman" w:hAnsi="Times New Roman" w:cs="Times New Roman"/>
                      <w:color w:val="auto"/>
                      <w:sz w:val="21"/>
                      <w:szCs w:val="21"/>
                      <w:highlight w:val="none"/>
                    </w:rPr>
                  </w:pPr>
                </w:p>
              </w:tc>
              <w:tc>
                <w:tcPr>
                  <w:tcW w:w="1239" w:type="pct"/>
                  <w:vMerge w:val="continue"/>
                  <w:tcBorders>
                    <w:left w:val="single" w:color="000000" w:sz="4" w:space="0"/>
                    <w:bottom w:val="single" w:color="000000" w:sz="4" w:space="0"/>
                    <w:right w:val="single" w:color="000000" w:sz="4" w:space="0"/>
                  </w:tcBorders>
                  <w:vAlign w:val="center"/>
                </w:tcPr>
                <w:p w14:paraId="3B65B2DA">
                  <w:pPr>
                    <w:pStyle w:val="31"/>
                    <w:spacing w:line="240" w:lineRule="auto"/>
                    <w:ind w:firstLine="0" w:firstLineChars="0"/>
                    <w:jc w:val="center"/>
                    <w:rPr>
                      <w:rFonts w:hint="default" w:ascii="Times New Roman" w:hAnsi="Times New Roman" w:cs="Times New Roman"/>
                      <w:color w:val="auto"/>
                      <w:sz w:val="21"/>
                      <w:szCs w:val="21"/>
                      <w:highlight w:val="none"/>
                    </w:rPr>
                  </w:pPr>
                </w:p>
              </w:tc>
              <w:tc>
                <w:tcPr>
                  <w:tcW w:w="3406" w:type="pct"/>
                  <w:tcBorders>
                    <w:top w:val="single" w:color="000000" w:sz="4" w:space="0"/>
                    <w:left w:val="single" w:color="000000" w:sz="4" w:space="0"/>
                    <w:bottom w:val="single" w:color="000000" w:sz="4" w:space="0"/>
                    <w:right w:val="single" w:color="000000" w:sz="4" w:space="0"/>
                  </w:tcBorders>
                  <w:vAlign w:val="center"/>
                </w:tcPr>
                <w:p w14:paraId="478B30D5">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华能围场“风光储氢热一体化”项目(光伏200MW)项目220kv送出线路工程</w:t>
                  </w:r>
                  <w:r>
                    <w:rPr>
                      <w:rFonts w:hint="eastAsia" w:ascii="Times New Roman" w:hAnsi="Times New Roman" w:eastAsia="宋体" w:cs="Times New Roman"/>
                      <w:color w:val="auto"/>
                      <w:sz w:val="21"/>
                      <w:szCs w:val="21"/>
                      <w:highlight w:val="none"/>
                      <w:lang w:eastAsia="zh-CN"/>
                    </w:rPr>
                    <w:t>已纳入县国土空间总体规划，</w:t>
                  </w:r>
                  <w:r>
                    <w:rPr>
                      <w:rFonts w:hint="default" w:ascii="Times New Roman" w:hAnsi="Times New Roman" w:cs="Times New Roman"/>
                      <w:color w:val="auto"/>
                      <w:sz w:val="21"/>
                      <w:szCs w:val="21"/>
                      <w:highlight w:val="none"/>
                    </w:rPr>
                    <w:t>路径</w:t>
                  </w:r>
                  <w:r>
                    <w:rPr>
                      <w:rFonts w:hint="eastAsia" w:ascii="Times New Roman" w:hAnsi="Times New Roman" w:cs="Times New Roman"/>
                      <w:color w:val="auto"/>
                      <w:sz w:val="21"/>
                      <w:szCs w:val="21"/>
                      <w:highlight w:val="none"/>
                      <w:lang w:eastAsia="zh-CN"/>
                    </w:rPr>
                    <w:t>经过</w:t>
                  </w:r>
                  <w:r>
                    <w:rPr>
                      <w:rFonts w:hint="default" w:ascii="Times New Roman" w:hAnsi="Times New Roman" w:cs="Times New Roman"/>
                      <w:color w:val="auto"/>
                      <w:sz w:val="21"/>
                      <w:szCs w:val="21"/>
                      <w:highlight w:val="none"/>
                    </w:rPr>
                    <w:t>围场县老窝铺乡、御道口镇、城子镇，</w:t>
                  </w:r>
                  <w:r>
                    <w:rPr>
                      <w:rFonts w:hint="default"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eastAsia="zh-CN"/>
                    </w:rPr>
                    <w:t>线路</w:t>
                  </w:r>
                  <w:r>
                    <w:rPr>
                      <w:rFonts w:hint="default" w:ascii="Times New Roman" w:hAnsi="Times New Roman" w:eastAsia="宋体" w:cs="Times New Roman"/>
                      <w:color w:val="auto"/>
                      <w:sz w:val="21"/>
                      <w:szCs w:val="21"/>
                      <w:highlight w:val="none"/>
                    </w:rPr>
                    <w:t>涉及</w:t>
                  </w:r>
                  <w:r>
                    <w:rPr>
                      <w:rFonts w:hint="eastAsia" w:ascii="Times New Roman" w:hAnsi="Times New Roman" w:eastAsia="宋体" w:cs="Times New Roman"/>
                      <w:color w:val="auto"/>
                      <w:sz w:val="21"/>
                      <w:szCs w:val="21"/>
                      <w:highlight w:val="none"/>
                      <w:lang w:eastAsia="zh-CN"/>
                    </w:rPr>
                    <w:t>穿越生态保护</w:t>
                  </w:r>
                  <w:r>
                    <w:rPr>
                      <w:rFonts w:hint="default" w:ascii="Times New Roman" w:hAnsi="Times New Roman" w:eastAsia="宋体" w:cs="Times New Roman"/>
                      <w:color w:val="auto"/>
                      <w:sz w:val="21"/>
                      <w:szCs w:val="21"/>
                      <w:highlight w:val="none"/>
                    </w:rPr>
                    <w:t>红线，</w:t>
                  </w:r>
                  <w:r>
                    <w:rPr>
                      <w:rFonts w:hint="eastAsia" w:ascii="Times New Roman" w:hAnsi="Times New Roman" w:eastAsia="宋体" w:cs="Times New Roman"/>
                      <w:color w:val="auto"/>
                      <w:sz w:val="21"/>
                      <w:szCs w:val="21"/>
                      <w:highlight w:val="none"/>
                      <w:lang w:eastAsia="zh-CN"/>
                    </w:rPr>
                    <w:t>编制了不可避让论证报告并通过</w:t>
                  </w:r>
                  <w:r>
                    <w:rPr>
                      <w:rFonts w:hint="default" w:ascii="Times New Roman" w:hAnsi="Times New Roman" w:eastAsia="宋体" w:cs="Times New Roman"/>
                      <w:color w:val="auto"/>
                      <w:sz w:val="21"/>
                      <w:szCs w:val="21"/>
                      <w:highlight w:val="none"/>
                    </w:rPr>
                    <w:t>专家论证，原则同意该线路</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选址</w:t>
                  </w:r>
                  <w:r>
                    <w:rPr>
                      <w:rFonts w:hint="default" w:ascii="Times New Roman" w:hAnsi="Times New Roman" w:cs="Times New Roman"/>
                      <w:color w:val="auto"/>
                      <w:sz w:val="21"/>
                      <w:szCs w:val="21"/>
                      <w:highlight w:val="none"/>
                    </w:rPr>
                    <w:t>。</w:t>
                  </w:r>
                </w:p>
              </w:tc>
            </w:tr>
            <w:tr w14:paraId="5A756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tcBorders>
                    <w:top w:val="single" w:color="000000" w:sz="4" w:space="0"/>
                    <w:left w:val="single" w:color="000000" w:sz="4" w:space="0"/>
                    <w:bottom w:val="single" w:color="000000" w:sz="4" w:space="0"/>
                    <w:right w:val="single" w:color="000000" w:sz="4" w:space="0"/>
                  </w:tcBorders>
                  <w:vAlign w:val="center"/>
                </w:tcPr>
                <w:p w14:paraId="5F270D51">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239" w:type="pct"/>
                  <w:tcBorders>
                    <w:top w:val="single" w:color="000000" w:sz="4" w:space="0"/>
                    <w:left w:val="single" w:color="000000" w:sz="4" w:space="0"/>
                    <w:bottom w:val="single" w:color="000000" w:sz="4" w:space="0"/>
                    <w:right w:val="single" w:color="000000" w:sz="4" w:space="0"/>
                  </w:tcBorders>
                  <w:vAlign w:val="center"/>
                </w:tcPr>
                <w:p w14:paraId="7836B3A4">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承德市生态环境局围场满族蒙古族自治县分局</w:t>
                  </w:r>
                </w:p>
              </w:tc>
              <w:tc>
                <w:tcPr>
                  <w:tcW w:w="3406" w:type="pct"/>
                  <w:tcBorders>
                    <w:top w:val="single" w:color="000000" w:sz="4" w:space="0"/>
                    <w:left w:val="single" w:color="000000" w:sz="4" w:space="0"/>
                    <w:bottom w:val="single" w:color="000000" w:sz="4" w:space="0"/>
                    <w:right w:val="single" w:color="000000" w:sz="4" w:space="0"/>
                  </w:tcBorders>
                  <w:vAlign w:val="center"/>
                </w:tcPr>
                <w:p w14:paraId="659684E6">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原则同意</w:t>
                  </w:r>
                </w:p>
              </w:tc>
            </w:tr>
            <w:tr w14:paraId="7160A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54" w:type="pct"/>
                  <w:tcBorders>
                    <w:top w:val="single" w:color="000000" w:sz="4" w:space="0"/>
                    <w:left w:val="single" w:color="000000" w:sz="4" w:space="0"/>
                    <w:bottom w:val="single" w:color="000000" w:sz="4" w:space="0"/>
                    <w:right w:val="single" w:color="000000" w:sz="4" w:space="0"/>
                  </w:tcBorders>
                  <w:vAlign w:val="center"/>
                </w:tcPr>
                <w:p w14:paraId="6443D3B3">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239" w:type="pct"/>
                  <w:tcBorders>
                    <w:top w:val="single" w:color="000000" w:sz="4" w:space="0"/>
                    <w:left w:val="single" w:color="000000" w:sz="4" w:space="0"/>
                    <w:bottom w:val="single" w:color="000000" w:sz="4" w:space="0"/>
                    <w:right w:val="single" w:color="000000" w:sz="4" w:space="0"/>
                  </w:tcBorders>
                  <w:vAlign w:val="center"/>
                </w:tcPr>
                <w:p w14:paraId="191D7031">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围场满族蒙古族自治县林业和草原局</w:t>
                  </w:r>
                </w:p>
              </w:tc>
              <w:tc>
                <w:tcPr>
                  <w:tcW w:w="3406" w:type="pct"/>
                  <w:tcBorders>
                    <w:top w:val="single" w:color="000000" w:sz="4" w:space="0"/>
                    <w:left w:val="single" w:color="000000" w:sz="4" w:space="0"/>
                    <w:bottom w:val="single" w:color="000000" w:sz="4" w:space="0"/>
                    <w:right w:val="single" w:color="000000" w:sz="4" w:space="0"/>
                  </w:tcBorders>
                  <w:vAlign w:val="center"/>
                </w:tcPr>
                <w:p w14:paraId="1965CC70">
                  <w:pPr>
                    <w:pStyle w:val="31"/>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原则同意，涉及林草事项及时与林草局对接、沟通</w:t>
                  </w:r>
                </w:p>
              </w:tc>
            </w:tr>
          </w:tbl>
          <w:p w14:paraId="23EDBB95">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综上所述，本项目送出线路路径确定不可避让生态红线和河北滦河上游国家级自然保护区实验区。符合现行国土空间规划，原则同意该线路选址。</w:t>
            </w:r>
          </w:p>
          <w:p w14:paraId="72421A91">
            <w:pPr>
              <w:spacing w:line="480" w:lineRule="exact"/>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三、环境影响程度分析</w:t>
            </w:r>
          </w:p>
          <w:p w14:paraId="6D022BE7">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本工程施工期加强对施工现场的管理，可开展施工期工程环境监理等，在采取有效的防护措施后，可最大限度地降低施工期间对周围环境的影响。</w:t>
            </w:r>
          </w:p>
          <w:p w14:paraId="075B273F">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建成后，拟建线路沿线及声环境敏感目标处周围工频电场强度、工频磁感应强度满足《电磁环境控制限值》（GB8702-2014）规定的工频电场强度公众曝露控制限值4kV/m（其中架空输电线路线下的耕地、园地、道路等场所，其频率50Hz的电场强度控制限值为10kV/m）、工频磁感应强度公众曝露控制限值100μT的要求；拟建线路沿线声环境满足《声环境质量标准》（GB3096-2008）1类及相应声环境功能区标准；本项目运行期主要为电力输送，220kV线路正常运行后对周围生态环境影响较小。</w:t>
            </w:r>
          </w:p>
          <w:p w14:paraId="4EFD45C5">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综上所述，本工程在采取一系列措施后对生态的影响能够降到最低，污染物均能合理处置，从环保角度分析，本工程选线是合理的。</w:t>
            </w:r>
          </w:p>
        </w:tc>
      </w:tr>
    </w:tbl>
    <w:p w14:paraId="0B7448D0">
      <w:pPr>
        <w:rPr>
          <w:rFonts w:hint="default" w:ascii="Times New Roman" w:hAnsi="Times New Roman" w:eastAsia="宋体" w:cs="Times New Roman"/>
          <w:color w:val="auto"/>
          <w:sz w:val="21"/>
          <w:highlight w:val="none"/>
        </w:rPr>
        <w:sectPr>
          <w:pgSz w:w="11910" w:h="16850"/>
          <w:pgMar w:top="1600" w:right="1320" w:bottom="1000" w:left="1340" w:header="0" w:footer="817" w:gutter="0"/>
          <w:cols w:space="720" w:num="1"/>
        </w:sectPr>
      </w:pPr>
    </w:p>
    <w:p w14:paraId="669F5676">
      <w:pPr>
        <w:pStyle w:val="4"/>
        <w:spacing w:before="10"/>
        <w:rPr>
          <w:rFonts w:hint="default" w:ascii="Times New Roman" w:hAnsi="Times New Roman" w:eastAsia="宋体" w:cs="Times New Roman"/>
          <w:color w:val="auto"/>
          <w:sz w:val="15"/>
          <w:highlight w:val="none"/>
        </w:rPr>
      </w:pPr>
    </w:p>
    <w:p w14:paraId="09C4D565">
      <w:pPr>
        <w:pStyle w:val="4"/>
        <w:spacing w:line="550" w:lineRule="exact"/>
        <w:ind w:left="635" w:right="652"/>
        <w:jc w:val="center"/>
        <w:outlineLvl w:val="0"/>
        <w:rPr>
          <w:rFonts w:hint="default" w:ascii="Times New Roman" w:hAnsi="Times New Roman" w:eastAsia="宋体" w:cs="Times New Roman"/>
          <w:color w:val="auto"/>
          <w:highlight w:val="none"/>
        </w:rPr>
      </w:pPr>
      <w:bookmarkStart w:id="11" w:name="_Toc150930990"/>
      <w:r>
        <w:rPr>
          <w:rFonts w:hint="default" w:ascii="Times New Roman" w:hAnsi="Times New Roman" w:eastAsia="宋体" w:cs="Times New Roman"/>
          <w:color w:val="auto"/>
          <w:highlight w:val="none"/>
        </w:rPr>
        <w:t>五、主要生态环境保护措施</w:t>
      </w:r>
      <w:bookmarkEnd w:id="11"/>
    </w:p>
    <w:tbl>
      <w:tblPr>
        <w:tblStyle w:val="16"/>
        <w:tblW w:w="9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8880"/>
      </w:tblGrid>
      <w:tr w14:paraId="55C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5F3B4614">
            <w:pPr>
              <w:pStyle w:val="4"/>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施工期生态环境保护措施</w:t>
            </w:r>
          </w:p>
        </w:tc>
        <w:tc>
          <w:tcPr>
            <w:tcW w:w="8880" w:type="dxa"/>
            <w:tcBorders>
              <w:top w:val="single" w:color="auto" w:sz="4" w:space="0"/>
              <w:left w:val="single" w:color="auto" w:sz="4" w:space="0"/>
              <w:bottom w:val="single" w:color="auto" w:sz="4" w:space="0"/>
              <w:right w:val="single" w:color="auto" w:sz="4" w:space="0"/>
            </w:tcBorders>
          </w:tcPr>
          <w:p w14:paraId="7FFC448E">
            <w:pPr>
              <w:spacing w:line="48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一、生态环境保护措施</w:t>
            </w:r>
          </w:p>
          <w:p w14:paraId="0BDEECE2">
            <w:pPr>
              <w:spacing w:line="480" w:lineRule="exact"/>
              <w:ind w:firstLine="48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1、一般段生态保护措施</w:t>
            </w:r>
          </w:p>
          <w:p w14:paraId="02323FC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（1）生态环境保护措施</w:t>
            </w:r>
          </w:p>
          <w:p w14:paraId="5CC6103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输电工程，施工临时占地面积较小、施工分散且施工期较短，施工场地严格控制在征地范围内进行，施工人员租住线路沿线的居民房屋，不设施工营地，不会改变周围植被的生长及动物的生存环境，施工结束后恢复原有生态功能。</w:t>
            </w:r>
          </w:p>
          <w:p w14:paraId="35699E33">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过程中，由于开挖土方，会引起自然地表的破坏，造成土壤疏松，原有的植被和蓄水保土作用遭到破坏，环境失去原有状态，引发水土流失。因此，工程建设过程中应严格按照《输变电建设项目环境保护技术要求》相关要求降低对生态的影响。</w:t>
            </w:r>
          </w:p>
          <w:p w14:paraId="2FE6D130">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①输电线路工程建设项目施工期临时用地应永临结合，优先利用荒地、劣地。</w:t>
            </w:r>
          </w:p>
          <w:p w14:paraId="44F3DCE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②输电线路工程建设项目施工占地，应做好表土剥离、分类存放和回填利用。</w:t>
            </w:r>
          </w:p>
          <w:p w14:paraId="5A6F5CA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③施工临时道路应尽可能利用机耕路等现有道路，新建道路应严格控制道路宽度，以减少临时工程对生态环境的影响。</w:t>
            </w:r>
          </w:p>
          <w:p w14:paraId="7D42ED8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④施工现场使用的带油料的机械器具，应采取措施防止油跑、冒、滴、漏，防止对土壤和水体造成污染。</w:t>
            </w:r>
          </w:p>
          <w:p w14:paraId="0B9F32F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⑤选择综合素质高、有施工经验的队伍，在施工期间对施工人员加强生态保护的宣传教育；严格按照《110kV-750kV架空输电线路设计规范》（GB50545-2010）中规定的架线高度架设输电线路。</w:t>
            </w:r>
          </w:p>
          <w:p w14:paraId="7573800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⑥线路架设施工时，动土工程避开雨天，避免土壤和水土流失，工程建设过程中的开挖土方、容易流失的建筑材料，做好临时的防护措施，集中堆放，并注意堆放坡度，做好施工区内的排水工作。</w:t>
            </w:r>
          </w:p>
          <w:p w14:paraId="6B046DC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⑦</w:t>
            </w:r>
            <w:r>
              <w:rPr>
                <w:rFonts w:hint="default" w:ascii="Times New Roman" w:hAnsi="Times New Roman" w:eastAsia="宋体" w:cs="Times New Roman"/>
                <w:color w:val="auto"/>
                <w:sz w:val="24"/>
                <w:szCs w:val="24"/>
                <w:highlight w:val="none"/>
              </w:rPr>
              <w:t>施工废水须经沉淀池沉淀后回用，严禁排入附近地表水体；工程开挖土方不能随意丢弃河流中或岸边。</w:t>
            </w:r>
          </w:p>
          <w:p w14:paraId="23F368D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⑧</w:t>
            </w:r>
            <w:r>
              <w:rPr>
                <w:rFonts w:hint="default" w:ascii="Times New Roman" w:hAnsi="Times New Roman" w:eastAsia="宋体" w:cs="Times New Roman"/>
                <w:color w:val="auto"/>
                <w:sz w:val="24"/>
                <w:szCs w:val="24"/>
                <w:highlight w:val="none"/>
              </w:rPr>
              <w:t>牵张场地等临时场地选址应远离生态红线保护范围、生态功能区、河流等生态敏感区，施工结束后，应及时清理施工现场，因地制宜进行土地功能恢复。</w:t>
            </w:r>
          </w:p>
          <w:p w14:paraId="4C09F751">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因此本工程对生态环境产生的影响较小。</w:t>
            </w:r>
          </w:p>
          <w:p w14:paraId="3561B7E4">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本项目主要为塔基施工，均在征地范围内开展，对周围区域生态环境影响可接受。</w:t>
            </w:r>
          </w:p>
          <w:p w14:paraId="00D87B07">
            <w:pPr>
              <w:widowControl/>
              <w:spacing w:line="440" w:lineRule="exact"/>
              <w:ind w:firstLine="480" w:firstLineChars="200"/>
              <w:jc w:val="both"/>
              <w:outlineLvl w:val="2"/>
              <w:rPr>
                <w:rFonts w:hint="default" w:ascii="Times New Roman" w:hAnsi="Times New Roman" w:eastAsia="宋体" w:cs="Times New Roman"/>
                <w:bCs/>
                <w:snapToGrid w:val="0"/>
                <w:color w:val="auto"/>
                <w:sz w:val="24"/>
                <w:highlight w:val="none"/>
              </w:rPr>
            </w:pPr>
            <w:bookmarkStart w:id="12" w:name="_Toc25323"/>
            <w:r>
              <w:rPr>
                <w:rFonts w:hint="default" w:ascii="Times New Roman" w:hAnsi="Times New Roman" w:eastAsia="宋体" w:cs="Times New Roman"/>
                <w:bCs/>
                <w:snapToGrid w:val="0"/>
                <w:color w:val="auto"/>
                <w:sz w:val="24"/>
                <w:highlight w:val="none"/>
              </w:rPr>
              <w:t>（2）工程占地保护措施</w:t>
            </w:r>
            <w:bookmarkEnd w:id="12"/>
          </w:p>
          <w:p w14:paraId="0BF45CD1">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临时占地对生态环境的主要影响表现在地表植被破坏、增加水土流失和影响景观。临时用地选在植被稀疏的地方，对于破坏植被的地段，在施工期或服务期满后及时在场地内种植本地区常见植物，对植被进行恢复。加强对施工人员的环境保护意识教育，要求文明施工，不得开展滥采滥挖滥伐等植被破坏活动，根据项目施工位点，划定施工范围，禁止随意扩展施工范围。</w:t>
            </w:r>
          </w:p>
          <w:p w14:paraId="389963EB">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项目永久占地使该区域内植被覆盖度下降，对生态环境会产生一定不利影响。项目建成后，及时对施工运输机械碾压过的土地进行恢复，并对塔基下方播撒草籽，提高土壤保水性等生态功能。</w:t>
            </w:r>
          </w:p>
          <w:p w14:paraId="6F9AF0DE">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（3）植被保护措施</w:t>
            </w:r>
          </w:p>
          <w:p w14:paraId="2617698A">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临时压埋的植被，一般当年就可以完全恢复；临时堆土场压埋及基础开挖造成的植被铲除、压埋，在施工完毕后及时种草进行恢复，一般完全恢复需要3年时间。同时根据项目不同特点，种植相应植物提高绿化。当被破坏的植被完全得到恢复时，拟建工程对植被的影响就可消除。</w:t>
            </w:r>
          </w:p>
          <w:p w14:paraId="6B389465">
            <w:pPr>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（4）水土流失</w:t>
            </w:r>
            <w:r>
              <w:rPr>
                <w:rFonts w:hint="eastAsia" w:eastAsia="宋体" w:cs="Times New Roman"/>
                <w:bCs/>
                <w:color w:val="auto"/>
                <w:sz w:val="24"/>
                <w:szCs w:val="24"/>
                <w:highlight w:val="none"/>
                <w:lang w:eastAsia="zh-CN"/>
              </w:rPr>
              <w:t>、</w:t>
            </w:r>
            <w:r>
              <w:rPr>
                <w:rFonts w:hint="eastAsia" w:eastAsia="宋体" w:cs="Times New Roman"/>
                <w:bCs/>
                <w:color w:val="auto"/>
                <w:sz w:val="24"/>
                <w:szCs w:val="24"/>
                <w:highlight w:val="none"/>
                <w:lang w:val="en-US" w:eastAsia="zh-CN"/>
              </w:rPr>
              <w:t>土地沙化</w:t>
            </w:r>
            <w:r>
              <w:rPr>
                <w:rFonts w:hint="default" w:ascii="Times New Roman" w:hAnsi="Times New Roman" w:eastAsia="宋体" w:cs="Times New Roman"/>
                <w:bCs/>
                <w:color w:val="auto"/>
                <w:sz w:val="24"/>
                <w:szCs w:val="24"/>
                <w:highlight w:val="none"/>
              </w:rPr>
              <w:t>保护措施</w:t>
            </w:r>
          </w:p>
          <w:p w14:paraId="31763F9F">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围场满族蒙古族自治县阳洁光伏发电有限责任公司</w:t>
            </w:r>
            <w:r>
              <w:rPr>
                <w:rFonts w:hint="eastAsia" w:ascii="Times New Roman" w:hAnsi="Times New Roman" w:eastAsia="宋体" w:cs="Times New Roman"/>
                <w:color w:val="auto"/>
                <w:sz w:val="24"/>
                <w:highlight w:val="none"/>
                <w:lang w:val="en-US" w:eastAsia="zh-CN"/>
              </w:rPr>
              <w:t>委托河北能晖工程技术服务有限公司编制了</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w:t>
            </w:r>
            <w:r>
              <w:rPr>
                <w:rFonts w:hint="eastAsia" w:ascii="Times New Roman" w:hAnsi="Times New Roman" w:eastAsia="宋体" w:cs="Times New Roman"/>
                <w:snapToGrid w:val="0"/>
                <w:color w:val="auto"/>
                <w:kern w:val="2"/>
                <w:sz w:val="24"/>
                <w:szCs w:val="24"/>
                <w:highlight w:val="none"/>
                <w:lang w:val="en-US" w:eastAsia="zh-CN"/>
              </w:rPr>
              <w:t>以下简称水土保持方案</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2024年6月17日取得承德市数据和政务服务局准予许可的文件（承数政决字202407-10）。引用水土保持方案中水土保护措施：</w:t>
            </w:r>
          </w:p>
          <w:p w14:paraId="0A0337AA">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项目建设特点、水土流失预测结果、防治目标、水土流失防治分区等内容，在分析主体工程建设中具有水土保持功能设施的基础上，借鉴同类工程的水土保持经验，针对本项目建设活动引发的水土流失因害设防，采用工程措施、植物措施、临时措施和管理措施相结合的水土流失综合防治措施体系，力求使本项目造成的水土流失得以集中和全面治理。在发挥工程措施、临时措施控制性和速效性特点的同时，充分发挥植物措施的长效性和美化效果，形成工程措施、植物措施、临时措施和管理措施结合互补的综合防治体系，在时间和空间上形成完整的水土保持防治体系。</w:t>
            </w:r>
          </w:p>
          <w:p w14:paraId="7E760117">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1）平地段送出线路区</w:t>
            </w:r>
          </w:p>
          <w:p w14:paraId="602972A1">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①塔基基础区</w:t>
            </w:r>
          </w:p>
          <w:p w14:paraId="2C651F46">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机基础施工前进行清表，剥离表土与一般土石方分别堆放在各个铁塔施工场地边角且不影响施工处，并采取草袋装土拦挡、防尘网苫盖等临时防护措施；塔机基础完工后回铺表土、在塔基基础周边设置挡水土埂、对塔基基础区进行植被恢复。</w:t>
            </w:r>
          </w:p>
          <w:p w14:paraId="70387946">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4D302786">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表土剥离：送出线路平地段设计塔基8基，塔基基础开挖前进行表土剥离，可剥离面积0.07hm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，平均剥离厚度30cm，剥离表土0.02万m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，堆放在施工场边角不影响施工作业处，用于施工结束后绿化覆土来源。</w:t>
            </w:r>
          </w:p>
          <w:p w14:paraId="525FD37B">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表土回覆：塔基基础施工完成后对回填区域进行回覆平整，覆土面积0.07hm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，覆土厚度约31cm左右，回覆量约0.02万m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63AB7AD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挡水土埂：塔基架线施工结束后在平地段塔基基础四周边缘修筑挡水土埂，避免汇集径流冲刷坡面，土埂长度210m，土埂断面为梯形，埂高0.3m，上底0.3m，边坡1:1。</w:t>
            </w:r>
          </w:p>
          <w:p w14:paraId="133CE58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11EAB7C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种草绿化：塔基架线施工结束后对塔基基础占地区域进行平整绿化，绿化采用撒播草籽的方式，绿化面积0.07hm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，需羊茅、沙打旺草籽4.20kg</w:t>
            </w:r>
            <w:r>
              <w:rPr>
                <w:rFonts w:hint="eastAsia" w:ascii="Times New Roman" w:hAnsi="Times New Roman" w:eastAsia="宋体" w:cs="Times New Roman"/>
                <w:b w:val="0"/>
                <w:bCs w:val="0"/>
                <w:color w:val="auto"/>
                <w:kern w:val="0"/>
                <w:sz w:val="24"/>
                <w:szCs w:val="24"/>
                <w:lang w:val="en-US" w:eastAsia="zh-CN" w:bidi="ar"/>
              </w:rPr>
              <w:t>。</w:t>
            </w:r>
          </w:p>
          <w:p w14:paraId="55C61551">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②塔基施工区</w:t>
            </w:r>
          </w:p>
          <w:p w14:paraId="477952DD">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基基础剥离表土与一般土石方分别堆放在各个铁塔施工场地边角且不影响施工处，并采取草袋装土拦挡、防尘网苫盖等临时防护措施；为保护场区内地表植被，减少地表扰动，方案在塔基施工区设置了彩条布铺垫措施；铁塔安装施工结束对临时占用耕地区域进行复耕、对临时占用林草地区域进行植被恢复。</w:t>
            </w:r>
          </w:p>
          <w:p w14:paraId="764B5505">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0D3F557E">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复耕：塔基架线施工结束后对平地段塔基施工区临时占用耕地区域进行场地清理、坑凹回填、人工施肥、机械耕翻，耕地恢复面积0.04hm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2673D91D">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4B16611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种草绿化：塔基架线施工结束后对平地段塔基施工场地进行平整绿化，绿化采用撒播草籽的方式，绿化面积0.05hm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，需羊茅、沙打旺草籽3.00kg。</w:t>
            </w:r>
          </w:p>
          <w:p w14:paraId="6D3DBF38">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14AC1B5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拦挡：平地段塔基基础开挖剥离表土及一般土石方堆放在施工场地边角且不影响施工作业处，为防止降雨对临时堆土的冲刷流失，在堆土四周用草袋装土拦挡，需设置草袋装土拦挡144m，砌码草袋装土拦挡86.40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w:t>
            </w:r>
          </w:p>
          <w:p w14:paraId="2D2A619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临时苫盖：施工期间，为防止扬尘，需对平地段场地内堆放土方及裸露的松散地表采取防尘网苫盖措施，苫盖面积160m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1D909FA6">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彩条布铺垫：施工期间，为减少地表扰动，对平地段塔基施工场地扰动区域采用彩条布铺垫，铺垫面积400m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31C4E154">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2）山地段送出线路区</w:t>
            </w:r>
          </w:p>
          <w:p w14:paraId="750C22AF">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①塔基基础区</w:t>
            </w:r>
          </w:p>
          <w:p w14:paraId="71128225">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机基础施工前进行清表，剥离表土与一般土石方分别堆放在各个铁塔施工场地边角且不影响施工处，并采取草袋装土拦挡、防尘网苫盖等临时防护措施；为保证边坡的稳定性，方案在山地送出线路塔基区布设干砌石挡墙；为排泄塔机基础上游汇水，方案在塔基基础周边设置挡水土埂、在山坡段塔基基础处布设浆砌石排水沟；塔基基础完工后回铺表土、对塔基基础区进行植被恢复。</w:t>
            </w:r>
          </w:p>
          <w:p w14:paraId="63759C5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7A58261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表土剥离：送出线路山地段设计塔基49基，塔基基础开挖前进行表土剥离，可剥离面积0.33hm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，平均剥离厚度30cm，剥离表土0.10万m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，堆放在施工场边角不影响施工作业处，用于施工结束后绿化覆土来源。</w:t>
            </w:r>
          </w:p>
          <w:p w14:paraId="3A21E2C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表土回覆：山地段塔基基础施工完成后对回填区域进行回覆平整，覆土面积0.31hm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，覆土厚度约31cm左右，回覆量约0.10万m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0A92668B">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干砌石挡墙：为保证边坡的稳定性，方案设计在山地段送电线路塔基边坡处设置干砌石挡墙600m对覆土进行防护，断面型式为矩形，尺寸为顶宽0.4m，高0.7m，埋深0.2m。</w:t>
            </w:r>
          </w:p>
          <w:p w14:paraId="4EFE4DBD">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浆砌石排水沟：为排泄山坡段塔机基础汇水，方案设计在山坡段塔机基础汇水处设置浆砌石排水沟192m，排水沟采用矩形断面，深0.4m，宽0.4m，砌筑浆砌石103.68m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eastAsia" w:ascii="Times New Roman" w:hAnsi="Times New Roman" w:eastAsia="宋体" w:cs="Times New Roman"/>
                <w:b w:val="0"/>
                <w:bCs w:val="0"/>
                <w:color w:val="auto"/>
                <w:kern w:val="0"/>
                <w:sz w:val="24"/>
                <w:szCs w:val="24"/>
                <w:lang w:val="en-US" w:eastAsia="zh-CN" w:bidi="ar"/>
              </w:rPr>
              <w:t>。</w:t>
            </w:r>
          </w:p>
          <w:p w14:paraId="3534659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挡水土埂：塔基架线施工结束后在山地段塔基基础四周边缘修筑挡水土埂，避免汇集径流冲刷坡面，土埂长度1470m，土埂断面为梯形，埂高0.3m，上底0.3m，边坡1:1。</w:t>
            </w:r>
          </w:p>
          <w:p w14:paraId="4C967E65">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72E8357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种草绿化：塔基架线施工结束后对山地段塔基基础占地区域进行平整绿化，绿化采用撒播草籽的方式，绿化面积0.31hm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，需羊茅、沙打旺草籽18.60kg</w:t>
            </w:r>
            <w:r>
              <w:rPr>
                <w:rFonts w:hint="eastAsia" w:ascii="Times New Roman" w:hAnsi="Times New Roman" w:eastAsia="宋体" w:cs="Times New Roman"/>
                <w:b w:val="0"/>
                <w:bCs w:val="0"/>
                <w:color w:val="auto"/>
                <w:kern w:val="0"/>
                <w:sz w:val="24"/>
                <w:szCs w:val="24"/>
                <w:lang w:val="en-US" w:eastAsia="zh-CN" w:bidi="ar"/>
              </w:rPr>
              <w:t>。</w:t>
            </w:r>
          </w:p>
          <w:p w14:paraId="3B9820D8">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②塔基施工区</w:t>
            </w:r>
          </w:p>
          <w:p w14:paraId="7BCEEAB1">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基基础剥离表土与一般土石方分别堆放在各个铁塔施工场地边角且不影响施工处，并采取草袋装土拦挡、防尘网苫盖等临时防护措施；为保护场区内地表植被，减少地表扰动，方案在塔基施工区设置了彩条布铺垫措施；铁塔安装施工结束对临时占用林草地区域进行植被恢复。</w:t>
            </w:r>
          </w:p>
          <w:p w14:paraId="3C469C2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02B1444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种草绿化：塔基架线施工结束后对山地段塔基施工场地进行平整绿化，绿化采用撒播草籽的方式，绿化面积0.65hm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，需羊茅、沙打旺草籽39.00kg。</w:t>
            </w:r>
          </w:p>
          <w:p w14:paraId="427251F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603D1B6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拦挡：塔基基础开挖剥离表土及一般土石方堆放在施工场地边角且不影响施工作业处，为防止降雨对临时堆土的冲刷流失，在山地段堆土四周用草袋装土拦挡，需设置草袋装土拦挡882m，砌码草袋装土拦挡529.20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w:t>
            </w:r>
          </w:p>
          <w:p w14:paraId="051C187E">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临时苫盖：施工期间，为防止扬尘，需对山地段场地内堆放土方及裸露的松散地表采取防尘网苫盖措施，苫盖面积980m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176F558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彩条布铺垫：施工期间，为减少地表扰动，对山地段塔基施工场地扰动区域采用彩条布铺垫，铺垫面积2450m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49BDFC41">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3）牵张场区</w:t>
            </w:r>
          </w:p>
          <w:p w14:paraId="20069345">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为保护牵张场区内地表植被，减少地表扰动，方案在牵张场区设置了彩条布铺垫措施；铁塔架线施工结束后牵张场区临时占用耕地区域进行复耕、对临时占用林草地区域进行植被恢复。</w:t>
            </w:r>
          </w:p>
          <w:p w14:paraId="78D0985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729A991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复耕：塔基架线施工结束后对牵张场临时占用耕地区域进行场地清理、坑凹回填、人工施肥、机械耕翻，耕地恢复面积0.10hm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741D122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2CB063BE">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种草绿化：塔基架线施工结束后对牵张场进行平整绿化，绿化采用撒播草籽的方式，绿化面积0.50hm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，需羊茅、沙打旺草籽30.00kg。</w:t>
            </w:r>
          </w:p>
          <w:p w14:paraId="60E5C03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08E5DDA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彩条布铺垫：施工期间，为减少地表扰动，对牵张场扰动区域采用彩条布铺垫，铺垫面积1600m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2E9B4322">
            <w:pPr>
              <w:keepNext w:val="0"/>
              <w:keepLines w:val="0"/>
              <w:pageBreakBefore w:val="0"/>
              <w:kinsoku/>
              <w:wordWrap/>
              <w:overflowPunct/>
              <w:topLinePunct w:val="0"/>
              <w:autoSpaceDE w:val="0"/>
              <w:autoSpaceDN w:val="0"/>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4）施工便道区</w:t>
            </w:r>
          </w:p>
          <w:p w14:paraId="776B94E8">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施工便道施工前进行表土剥离，剥离表土临时堆放在便道一侧并采取防尘网苫盖等临时防护措施；铁塔架线施工结束对施工便道区回铺表土并恢复植被。</w:t>
            </w:r>
          </w:p>
          <w:p w14:paraId="456E8CAC">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29A2A05A">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表土剥离：施工便道施工前进行表土剥离，可剥离面积1.80hm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，平均剥离厚度30cm，剥离表土0.54万m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，堆放在便道一侧不影响施工作业处，用于施工结束后绿化覆土来源。</w:t>
            </w:r>
          </w:p>
          <w:p w14:paraId="5D0DEC9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表土回覆：塔基架线施工结束后对施工便道进行回覆平整，覆土面积1.80hm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，覆土厚度约30cm左右，回覆量约0.54万m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6C3E635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41C4AB58">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种草绿化：塔基架线施工结束后对施工便道扰动区域进行平整绿化，绿化采用撒播草籽的方式，绿化面积3.00hm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，需羊茅、沙打旺草籽180.00kg。</w:t>
            </w:r>
          </w:p>
          <w:p w14:paraId="6F0D2B2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0309563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临时苫盖：施工期间，为防止扬尘，需对场地内堆放土方及裸露的松散地表采取防尘网苫盖措施，苫盖面积9000m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vertAlign w:val="baseline"/>
                <w:lang w:val="en-US" w:eastAsia="zh-CN" w:bidi="ar"/>
              </w:rPr>
              <w:t>。</w:t>
            </w:r>
          </w:p>
          <w:p w14:paraId="494D77A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Cs/>
                <w:color w:val="auto"/>
                <w:sz w:val="24"/>
                <w:szCs w:val="24"/>
                <w:highlight w:val="none"/>
                <w:lang w:bidi="ar"/>
              </w:rPr>
            </w:pPr>
            <w:r>
              <w:rPr>
                <w:color w:val="auto"/>
              </w:rPr>
              <w:drawing>
                <wp:inline distT="0" distB="0" distL="114300" distR="114300">
                  <wp:extent cx="5498465" cy="5801995"/>
                  <wp:effectExtent l="0" t="0" r="698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6"/>
                          <a:stretch>
                            <a:fillRect/>
                          </a:stretch>
                        </pic:blipFill>
                        <pic:spPr>
                          <a:xfrm>
                            <a:off x="0" y="0"/>
                            <a:ext cx="5498465" cy="5801995"/>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-1 水土保持措施体系框图</w:t>
            </w:r>
          </w:p>
          <w:p w14:paraId="3BF52461">
            <w:pPr>
              <w:widowControl/>
              <w:spacing w:line="440" w:lineRule="exact"/>
              <w:ind w:left="440" w:left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（5）景观保护措施</w:t>
            </w:r>
          </w:p>
          <w:p w14:paraId="468172BB">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通过采取围挡作业、分区施工、及时清理余方、采取防扬尘措施、集中收集施工人员生活垃圾并及时清运处理等措施，可以将施工期造成的景观影响降至最小。</w:t>
            </w:r>
          </w:p>
          <w:p w14:paraId="362DC606">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（6）预期效果</w:t>
            </w:r>
          </w:p>
          <w:p w14:paraId="1512A09C">
            <w:pPr>
              <w:pStyle w:val="2"/>
              <w:spacing w:after="0" w:line="480" w:lineRule="exact"/>
              <w:ind w:firstLine="480" w:firstLineChars="200"/>
              <w:jc w:val="both"/>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项目在采取以上生态保护措施后，可以有效减轻工程施工对评价区的生态影响，减少施工造成的土壤侵蚀，使本项目的建设对生态环境的影响减少到最小。施工期结束后，经过1-3年的生态恢复后，植被能够基本恢复原貌。</w:t>
            </w:r>
          </w:p>
          <w:p w14:paraId="06A83EA4">
            <w:pPr>
              <w:pStyle w:val="2"/>
              <w:spacing w:after="0" w:line="480" w:lineRule="exact"/>
              <w:ind w:firstLine="482" w:firstLineChars="200"/>
              <w:jc w:val="both"/>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7F77D55E">
            <w:pPr>
              <w:spacing w:line="480" w:lineRule="exact"/>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经调查，项目工程占地范围无珍稀濒危的重点保护野生植物，动物以乌鸦、喜鹊、草兔、鼠类等动物为常见，工程建设对其影响轻微。植物以白桦、柞树等为主。施工过程中将直接铲除占地范围内的植被，机械和施工人员不可避免地破坏施工区域内的植被，造成植被减少，对该区域内生态系统会产生一定影响。</w:t>
            </w:r>
            <w:r>
              <w:rPr>
                <w:rFonts w:hint="default" w:ascii="Times New Roman" w:hAnsi="Times New Roman" w:eastAsia="宋体" w:cs="Times New Roman"/>
                <w:color w:val="auto"/>
                <w:sz w:val="24"/>
                <w:highlight w:val="none"/>
              </w:rPr>
              <w:t>河北滦河上游国家级自然保护区段和生态保护红线段除采取一般段生态保护措施外，还需采取以下措施</w:t>
            </w:r>
            <w:r>
              <w:rPr>
                <w:rFonts w:hint="default" w:ascii="Times New Roman" w:hAnsi="Times New Roman" w:eastAsia="宋体" w:cs="Times New Roman"/>
                <w:color w:val="auto"/>
                <w:sz w:val="24"/>
                <w:szCs w:val="24"/>
                <w:highlight w:val="none"/>
              </w:rPr>
              <w:t>减轻对动植物的影响。牵张场全部位于河北滦河上游国家级自然保护区外，保护区内采用无人机架设方式完成牵张任务</w:t>
            </w:r>
            <w:r>
              <w:rPr>
                <w:rFonts w:hint="eastAsia" w:ascii="Times New Roman" w:hAnsi="Times New Roman" w:eastAsia="宋体" w:cs="Times New Roman"/>
                <w:color w:val="auto"/>
                <w:sz w:val="24"/>
                <w:szCs w:val="24"/>
                <w:highlight w:val="none"/>
                <w:lang w:eastAsia="zh-CN"/>
              </w:rPr>
              <w:t>。</w:t>
            </w:r>
          </w:p>
          <w:p w14:paraId="33417567">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（1）植物保护措施</w:t>
            </w:r>
          </w:p>
          <w:p w14:paraId="7141CCC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①施工期间严禁在保护区</w:t>
            </w:r>
            <w:r>
              <w:rPr>
                <w:rFonts w:hint="default" w:ascii="Times New Roman" w:hAnsi="Times New Roman" w:eastAsia="宋体" w:cs="Times New Roman"/>
                <w:color w:val="auto"/>
                <w:sz w:val="24"/>
                <w:szCs w:val="24"/>
                <w:highlight w:val="none"/>
                <w:lang w:eastAsia="zh-CN"/>
              </w:rPr>
              <w:t>、生态保护红线范围内</w:t>
            </w:r>
            <w:r>
              <w:rPr>
                <w:rFonts w:hint="default" w:ascii="Times New Roman" w:hAnsi="Times New Roman" w:eastAsia="宋体" w:cs="Times New Roman"/>
                <w:color w:val="auto"/>
                <w:sz w:val="24"/>
                <w:szCs w:val="24"/>
                <w:highlight w:val="none"/>
              </w:rPr>
              <w:t>设置施工营地。</w:t>
            </w:r>
          </w:p>
          <w:p w14:paraId="045AD34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②河北滦河上游国家级自然保护区主要保护对象为多样完整的森林生态系统、珍稀野生动植物，对进入保护区的施工人员进行野生植物保护宣传教育，让其了解保护区的植物多样性，减少破坏保护区野生植被。</w:t>
            </w:r>
          </w:p>
          <w:p w14:paraId="2B6724FA">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③在施工前划定好塔基占地范围，按图施工，严格控制开挖范围及开挖量，每个塔基的开挖量控制在2m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，开挖的土石方应集中在塔基占地范围内堆置，严禁破坏占地区域外的植被。</w:t>
            </w:r>
          </w:p>
          <w:p w14:paraId="2F0265C9">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④塔基施工开挖时应分层开挖，分层堆放，注意表土保护，开挖土方均在塔基占地范围内合理位置填埋。</w:t>
            </w:r>
          </w:p>
          <w:p w14:paraId="0A07972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⑤工程施工过程中强化管理，提高管理者的消防意识，注意管理巡查，严禁携带火源进入保护区，避免森林火灾的发生。</w:t>
            </w:r>
          </w:p>
          <w:p w14:paraId="603D8EEC">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（2）动物保护措施</w:t>
            </w:r>
          </w:p>
          <w:p w14:paraId="34A0EDF2">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影响评价区内共有脊椎动物19目36科76种，其中两栖动物2目2科2种，爬行类2目3科6种，鸟类10目23科55种，哺乳类5目8科13种。野生动物资源较为丰富，开工前施工单位应对施工人员开展保护野生动物宣传教育，制作一定数量的宣传标识牌，禁止干扰动物活动，禁止伤害和猎捕保护区内野生动物。</w:t>
            </w:r>
          </w:p>
          <w:p w14:paraId="1CD51A3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②评价区繁殖鸟类主要繁殖期在3-7月，主要迁徙期在春季和秋季，施工时间不得安排在鸟类繁殖期和迁徙期，在开工前巡视因施工需要而将被移除的树木上是否筑巢繁殖，若有，须暂停施工，降低对动物的影响。</w:t>
            </w:r>
          </w:p>
          <w:p w14:paraId="365B2D0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③保护区内动物多在早晨和黄昏活动，一定要做好施工计划，尽量避免在这两个时间段施工。</w:t>
            </w:r>
          </w:p>
          <w:p w14:paraId="62DC6F1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④对施工人员严格要求，禁止施工人员进入施工区域外的林区休息、游玩等。</w:t>
            </w:r>
          </w:p>
          <w:p w14:paraId="3D9DB81E">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⑤在施工现场设置警示或提示牌，警示或提示施工人员在施工过程中如果发现野生动物出没，严禁干扰野生动物的活动，严禁伤害与猎杀任何野生动物。</w:t>
            </w:r>
          </w:p>
          <w:p w14:paraId="66AD21AD">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⑥在施工场地四周设置围栏、警示杆等，避免野生动物或鸟类误入施工区造成动物或鸟类的伤亡。</w:t>
            </w:r>
          </w:p>
          <w:p w14:paraId="1AF1CE54">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减少夜间作业，避免灯光、噪声对夜间动物活动的惊扰。加强建设期环境噪声监测，配备噪声测量仪器，对施工现场附近的敏感点进行定点、定时监测，根据敏感点的具体方位设置可移动的隔声屏障等保护措施。</w:t>
            </w:r>
          </w:p>
          <w:p w14:paraId="4985363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⑧严格控制工期。应在预期的时间内尽快完成工程，切忌拖延工期。加强施工人员管理，严格划定施工活动范围。</w:t>
            </w:r>
          </w:p>
          <w:p w14:paraId="167EDE8A">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（3）水土流失防治措施</w:t>
            </w:r>
          </w:p>
          <w:p w14:paraId="1C2C0AD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①施工单位在施工过程中必须按照设计要求，严格控制开挖范围及开挖量，输电线路施工限制在事先划定的施工区内，尽量减少开挖土体，减少对原有地貌的破坏。</w:t>
            </w:r>
          </w:p>
          <w:p w14:paraId="60A857C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②对开挖后的裸露开挖面用苫布覆盖，避免降雨时水流直接冲刷；施工时开挖的土石方不允许就地倾倒，应采取回填等方式妥善处置，堆土应采取围护拦挡措施，并在土体表面覆上苫布防止雨水冲刷水土流失。</w:t>
            </w:r>
          </w:p>
          <w:p w14:paraId="353C7BA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③施工尽量避开雨季施工。</w:t>
            </w:r>
          </w:p>
          <w:p w14:paraId="6C60BA5D">
            <w:pPr>
              <w:spacing w:line="480" w:lineRule="exact"/>
              <w:ind w:firstLine="480" w:firstLineChars="200"/>
              <w:jc w:val="both"/>
              <w:rPr>
                <w:rFonts w:hint="eastAsia"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 w:val="24"/>
                <w:szCs w:val="24"/>
                <w:highlight w:val="none"/>
              </w:rPr>
              <w:t>④建设期应限制施工区域，走同一道路，避免加开新路，尽量减少对地表的破坏</w:t>
            </w:r>
            <w:r>
              <w:rPr>
                <w:rFonts w:hint="eastAsia" w:ascii="Times New Roman" w:hAnsi="Times New Roman" w:eastAsia="宋体" w:cs="Times New Roman"/>
                <w:color w:val="auto"/>
                <w:sz w:val="24"/>
                <w:szCs w:val="24"/>
                <w:highlight w:val="none"/>
                <w:lang w:eastAsia="zh-CN"/>
              </w:rPr>
              <w:t>。</w:t>
            </w:r>
          </w:p>
          <w:p w14:paraId="55DA75EC">
            <w:pPr>
              <w:pStyle w:val="2"/>
              <w:spacing w:after="0" w:line="480" w:lineRule="exact"/>
              <w:ind w:firstLine="482" w:firstLineChars="200"/>
              <w:jc w:val="both"/>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二、大气环境保护措施</w:t>
            </w:r>
          </w:p>
          <w:p w14:paraId="38EACD8E">
            <w:pPr>
              <w:spacing w:line="440" w:lineRule="exact"/>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1、一般段大气环境保护措施</w:t>
            </w:r>
          </w:p>
          <w:p w14:paraId="22DC8CDD">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（1）扬尘治理措施</w:t>
            </w:r>
          </w:p>
          <w:p w14:paraId="0214D0A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结合《河北省扬尘污染防治办法》、《河北省建筑施工扬尘防治标准》，本项目施工期应严格执行如下扬尘治理措施：</w:t>
            </w:r>
          </w:p>
          <w:p w14:paraId="7396673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①施工单位必须在施工现场出入口明显位置设置扬尘防治公示牌，内容包括建设、施工、监理及监管等单位名称、扬尘防治负责人的名称、联系电话、举报电话等。</w:t>
            </w:r>
          </w:p>
          <w:p w14:paraId="6C03B307">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②施工现场设置硬质围挡，围挡应坚固、美观，严禁围挡不严或敞开式施工。本项目围挡高度应不低于1.8m。</w:t>
            </w:r>
          </w:p>
          <w:p w14:paraId="64F80DE6">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③施工现场出入口和场内施工道路、材料加工堆放区必须采用混凝土硬化或采用硬质砌块铺设，并实现硬化率达100%，硬化后的地面应清扫整洁无浮土、积土。</w:t>
            </w:r>
          </w:p>
          <w:p w14:paraId="1B3A2239">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④施工现场出入口必须配备车辆冲洗设施，设置排水、泥浆沉淀池等设施，建立冲洗制度并设专人管理，严禁车辆带泥上路。</w:t>
            </w:r>
          </w:p>
          <w:p w14:paraId="203FAD3D">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⑤施工现场集中堆放的土方和裸露场地必须采取覆盖、固化或绿化等防尘措施，严禁裸露。</w:t>
            </w:r>
          </w:p>
          <w:p w14:paraId="45E5D068">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⑥施工现场易飞扬的细颗粒建筑材料必须密闭存放或严密覆盖，严禁露天放置；搬运时应有降尘措施，余料及时回收。</w:t>
            </w:r>
          </w:p>
          <w:p w14:paraId="1C78F80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⑦部分施工区域距离村庄较近，为减少施工期对居民的影响，要求临近区域施工前及时通知影响范围内居民，适当增加临近居民侧围挡高度，增加临近居民处洒水抑尘次数，施工机械和车辆尽量避让居民居住区行驶，以减少施工废气对居民的影响。</w:t>
            </w:r>
          </w:p>
          <w:p w14:paraId="67D0F57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⑧生活垃圾应用封闭式容器存放，日产日清，严禁随意丢弃。</w:t>
            </w:r>
          </w:p>
          <w:p w14:paraId="5666DCC1">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⑨施工现场建立洒水清扫抑尘制度，配备洒水设备。非冰冻期每天洒水不少于2次，并有专人负责。重污染天气时相应增加洒水频次。遇有4级以上大风或重污染天气预警时，必须采取扬尘防治应急措施，严禁土方开挖、土方回填或其他有可能产生扬尘的作业。</w:t>
            </w:r>
          </w:p>
          <w:p w14:paraId="432FCD3A">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采取以上措施后，施工扬尘排放能够满足《施工场地扬尘排放标准》（DB13/2934-2019）表1扬尘排放浓度限值。随着施工的完成，这些影响也将消失，因此不会对周围环境产生较大的不利影响。</w:t>
            </w:r>
          </w:p>
          <w:p w14:paraId="1BE1003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（2）施工机械和运输车辆的尾气治理措施</w:t>
            </w:r>
          </w:p>
          <w:p w14:paraId="21D2F9A8">
            <w:pPr>
              <w:pStyle w:val="2"/>
              <w:spacing w:after="0" w:line="480" w:lineRule="exact"/>
              <w:ind w:firstLine="480" w:firstLineChars="200"/>
              <w:jc w:val="both"/>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本项目施工机械和运输车辆排放的大气污染物相对较少，对周边影响程度及范围较小，通过采取限制超载、限制超速等措施，可以大大降低运输车辆及施工机械尾气对周围环境敏感点的影响。因此，机械施工和运输车辆所排放的尾气对周围环境影响较小。</w:t>
            </w:r>
          </w:p>
          <w:p w14:paraId="35C05F2C">
            <w:pPr>
              <w:pStyle w:val="2"/>
              <w:spacing w:after="0" w:line="480" w:lineRule="exact"/>
              <w:ind w:firstLine="482" w:firstLineChars="200"/>
              <w:jc w:val="both"/>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2、河北滦河上游国家级自然保护区段和生态保护红线段</w:t>
            </w:r>
          </w:p>
          <w:p w14:paraId="300FFD37">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本项目对大气环境的影响主要体现在施工过程中土方挖掘与填筑、建筑材料装运等施工作业产生的扬尘，为降低项目施工对大气环境的影响，</w:t>
            </w:r>
            <w:r>
              <w:rPr>
                <w:rFonts w:hint="default" w:ascii="Times New Roman" w:hAnsi="Times New Roman" w:eastAsia="宋体" w:cs="Times New Roman"/>
                <w:color w:val="auto"/>
                <w:sz w:val="24"/>
                <w:highlight w:val="none"/>
              </w:rPr>
              <w:t>河北滦河上游国家级自然保护区段和生态保护红线段除采取一般段大气保护措施外，还需采取以下措施</w:t>
            </w:r>
            <w:r>
              <w:rPr>
                <w:rFonts w:hint="default" w:ascii="Times New Roman" w:hAnsi="Times New Roman" w:eastAsia="宋体" w:cs="Times New Roman"/>
                <w:color w:val="auto"/>
                <w:sz w:val="24"/>
                <w:szCs w:val="24"/>
                <w:highlight w:val="none"/>
              </w:rPr>
              <w:t>减轻影响。</w:t>
            </w:r>
          </w:p>
          <w:p w14:paraId="707205D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①施工单位必须在施工现场出入口明显位置设置扬尘防治公示牌，内容包括建设、施工、监理及监管等单位名称、扬尘防治负责人的名称、联系电话、举报电话等。</w:t>
            </w:r>
          </w:p>
          <w:p w14:paraId="6156E14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②施工现场必须连续设置硬质围挡，围挡应坚固、美观，严禁围挡不严或敞开式施工。本项目围挡高度应不低于1.8m。</w:t>
            </w:r>
          </w:p>
          <w:p w14:paraId="5D0DF28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③施工现场集中堆放的土方和裸露场地必须采取覆盖、固化或绿化等防尘措施，严禁裸露。</w:t>
            </w:r>
          </w:p>
          <w:p w14:paraId="7B1D2D2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④施工现场易飞扬的细颗粒建筑材料必须密闭存放或严密覆盖，严禁露天放置；搬运时应有降尘措施，余料及时回收。</w:t>
            </w:r>
          </w:p>
          <w:p w14:paraId="295A3FC2">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施工现场建立洒水清扫抑尘制度，配备洒水设备。非冰冻期每天洒水不少于2次，并有专人负责。重污染天气时相应增加洒水频次。遇有4级以上大风或重污染天气预警时，必须采取扬尘防治应急措施，严禁土方开挖、土方填埋或其他有可能产生扬尘的作业。</w:t>
            </w:r>
          </w:p>
          <w:p w14:paraId="064CC26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采取以上措施后，施工扬尘排放能够满足《施工场地扬尘排放标准》（DB13/2934-2019）扬尘排放浓度限值。</w:t>
            </w:r>
          </w:p>
          <w:p w14:paraId="49CBBE57">
            <w:pPr>
              <w:adjustRightInd w:val="0"/>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三、水环境保护措施</w:t>
            </w:r>
          </w:p>
          <w:p w14:paraId="2851FB47">
            <w:pPr>
              <w:spacing w:line="440" w:lineRule="exact"/>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1、一般段水环境保护措施</w:t>
            </w:r>
          </w:p>
          <w:p w14:paraId="6C21AD4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施工期产生的施工设备清洗和水泥养护排水，水量较小，主要污染物为泥沙，对环境影响较小。施工场地应设简易沉淀池，将施工废水收集沉淀后，用于场地泼洒降尘。建设期间，施工现场施工高峰期人数为50人，产生的生活污水为职工盥洗废水，水量较小，用于场区内泼洒抑尘，同时施工区设置防渗旱厕，定期清掏用作农肥，不外排。</w:t>
            </w:r>
          </w:p>
          <w:p w14:paraId="6302735C">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70106B2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河北滦河上游国家级自然保护区段和生态保护红线段除采取一般段水环境保护措施外，还需采取以下措施</w:t>
            </w:r>
            <w:r>
              <w:rPr>
                <w:rFonts w:hint="default" w:ascii="Times New Roman" w:hAnsi="Times New Roman" w:eastAsia="宋体" w:cs="Times New Roman"/>
                <w:color w:val="auto"/>
                <w:sz w:val="24"/>
                <w:szCs w:val="24"/>
                <w:highlight w:val="none"/>
              </w:rPr>
              <w:t>减轻影响。</w:t>
            </w:r>
          </w:p>
          <w:p w14:paraId="40EBDC76">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（1）本项目施工过程中在保护区内不设置施工驻地，施工期对水环境的影响主要是施工人员产生的生活污水，应加强对施工人员的管理，施工人员在自然保护区内施工时严禁随意排放生活污水。</w:t>
            </w:r>
          </w:p>
          <w:p w14:paraId="33756951">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（2）当日施工结束后，施工设备等应随人员转移至位于保护区范围外的施工营地存放。施工单位要做好施工场地周围的拦挡措施，尽量避开雨季土石方开挖作业。</w:t>
            </w:r>
          </w:p>
          <w:p w14:paraId="3A56291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综上，本项目施工期间无废水外排，不会对项目区水环境产生明显影响。</w:t>
            </w:r>
          </w:p>
          <w:p w14:paraId="1672F09C">
            <w:pPr>
              <w:pStyle w:val="10"/>
              <w:spacing w:before="0" w:after="0" w:line="480" w:lineRule="exact"/>
              <w:ind w:firstLine="482" w:firstLineChars="200"/>
              <w:jc w:val="both"/>
              <w:outlineLvl w:val="3"/>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 w:val="24"/>
                <w:szCs w:val="24"/>
                <w:highlight w:val="none"/>
              </w:rPr>
              <w:t>四、声环境保护措施</w:t>
            </w:r>
          </w:p>
          <w:p w14:paraId="52854C50">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1、一般段声环境保护措施</w:t>
            </w:r>
          </w:p>
          <w:p w14:paraId="5ECD8961">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对不同施工阶段和施工机械产生的噪声影响，建设单位应采取切实有效的防噪措施，尽可能的降低施工过程中机械设备和运输车辆产生的噪声对周边环境的影响，具体措施如下：</w:t>
            </w:r>
          </w:p>
          <w:p w14:paraId="0E1C32C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（1）施工单位所使用的主要施工机械应选用低噪声机械设备，并及时维修保养，严格按操作规程使用各类机械。</w:t>
            </w:r>
          </w:p>
          <w:p w14:paraId="6AD56671">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（2）对施工区外部采用围挡，减轻施工噪声对外环境的影响。压路机、挖掘机等设备运行噪声不可避免，因此基础开挖等作业必须在短期内完成。</w:t>
            </w:r>
          </w:p>
          <w:p w14:paraId="17C7EEF2">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（3）为了最大限度地减少施工噪声对外环境的影响，昼间施工限制使用高噪声施工机械施工，夜间（22：00点到6：00点）禁止施工。</w:t>
            </w:r>
          </w:p>
          <w:p w14:paraId="6C2670F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（4）为减少对临近居民的影响，钢筋调直机、钢筋切断机等非</w:t>
            </w:r>
            <w:r>
              <w:rPr>
                <w:rFonts w:hint="eastAsia" w:ascii="Times New Roman" w:hAnsi="Times New Roman" w:eastAsia="宋体" w:cs="Times New Roman"/>
                <w:bCs/>
                <w:color w:val="auto"/>
                <w:sz w:val="24"/>
                <w:highlight w:val="none"/>
                <w:lang w:eastAsia="zh-CN"/>
              </w:rPr>
              <w:t>必需</w:t>
            </w:r>
            <w:r>
              <w:rPr>
                <w:rFonts w:hint="default" w:ascii="Times New Roman" w:hAnsi="Times New Roman" w:eastAsia="宋体" w:cs="Times New Roman"/>
                <w:bCs/>
                <w:color w:val="auto"/>
                <w:sz w:val="24"/>
                <w:highlight w:val="none"/>
              </w:rPr>
              <w:t>固定设备远离居民区进行生产加工，不在居民区附近设置固定的加工点位。减少临近居民区域的非必要车辆行驶，不在夜间和中午进行运输，以减少车辆运输噪声对临近居民的影响。</w:t>
            </w:r>
          </w:p>
          <w:p w14:paraId="19C960CC">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（5）严格控制建筑施工过程中场界环境噪声，不得超过《建筑施工场界环境噪声排放标准》（GB12532-2011）中的标准要求，即：昼间不得超过70dB（A），夜间不得超过55dB（A）。</w:t>
            </w:r>
          </w:p>
          <w:p w14:paraId="5D931F4A">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7024480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河北滦河上游国家级自然保护区段和生态保护红线段除采取一般段声环境保护措施外，还需采取以下措施</w:t>
            </w:r>
            <w:r>
              <w:rPr>
                <w:rFonts w:hint="default" w:ascii="Times New Roman" w:hAnsi="Times New Roman" w:eastAsia="宋体" w:cs="Times New Roman"/>
                <w:color w:val="auto"/>
                <w:sz w:val="24"/>
                <w:szCs w:val="24"/>
                <w:highlight w:val="none"/>
              </w:rPr>
              <w:t>减轻影响。</w:t>
            </w:r>
          </w:p>
          <w:p w14:paraId="3AEC0ED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（1）施工单位所使用的主要施工机械应选用低噪声机械设备，并及时维修保养。</w:t>
            </w:r>
          </w:p>
          <w:p w14:paraId="0D01D693">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（2）对施工区外部采用</w:t>
            </w:r>
            <w:r>
              <w:rPr>
                <w:rFonts w:hint="eastAsia" w:ascii="Times New Roman" w:hAnsi="Times New Roman" w:eastAsia="宋体" w:cs="Times New Roman"/>
                <w:color w:val="auto"/>
                <w:sz w:val="24"/>
                <w:szCs w:val="24"/>
                <w:highlight w:val="none"/>
                <w:lang w:eastAsia="zh-CN"/>
              </w:rPr>
              <w:t>围挡</w:t>
            </w:r>
            <w:r>
              <w:rPr>
                <w:rFonts w:hint="default" w:ascii="Times New Roman" w:hAnsi="Times New Roman" w:eastAsia="宋体" w:cs="Times New Roman"/>
                <w:color w:val="auto"/>
                <w:sz w:val="24"/>
                <w:szCs w:val="24"/>
                <w:highlight w:val="none"/>
              </w:rPr>
              <w:t>，减轻施工噪声对外环境的影响，开挖作业尽量在短期内完成。</w:t>
            </w:r>
          </w:p>
          <w:p w14:paraId="1A918D09">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（3）保护区内有较多的夜行动物，比如黄鼬、艾鼬、狗獾等，为了最大限度地减少施工噪声对野生动物的影响，夜间（22：00点到6：00点）禁止施工。</w:t>
            </w:r>
          </w:p>
          <w:p w14:paraId="5CDC5E9F">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snapToGrid w:val="0"/>
                <w:color w:val="auto"/>
                <w:sz w:val="24"/>
                <w:highlight w:val="none"/>
              </w:rPr>
              <w:t>采取本评价提出的各项措施后，项目施工期产生的噪声可满足《建筑施工场界环境噪声排放标准》（GB12523-2011）的要求，对区域声环境影响较小。且随施工期结束而结束。</w:t>
            </w:r>
          </w:p>
          <w:p w14:paraId="0D26D720">
            <w:pPr>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五、固体废物保护措施</w:t>
            </w:r>
          </w:p>
          <w:p w14:paraId="2617A68A">
            <w:pPr>
              <w:spacing w:line="440" w:lineRule="exact"/>
              <w:ind w:firstLine="482"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1、一般线路段</w:t>
            </w:r>
          </w:p>
          <w:p w14:paraId="745CD3A5">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本项目土石方开挖和回填总土石方调配平衡，无需借方，无弃方，不设置取土场、弃渣场，所有余方全部就近平整、回填利用。</w:t>
            </w:r>
          </w:p>
          <w:p w14:paraId="28306724">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施工期间产生的固废包括施工过程中产生的建筑垃圾及施工人员生活垃圾等。</w:t>
            </w:r>
          </w:p>
          <w:p w14:paraId="63F18FD7">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sz w:val="24"/>
                <w:highlight w:val="none"/>
              </w:rPr>
              <w:t>上述固体废物应及时收集，不得随意抛弃、转移和扩散，施工过程中产生的建筑垃圾送市政部门指定的地点堆存；生活垃圾收集后，交由环卫部门统一处理。在采取以上措施后，施工期固废均可得到妥善处置，不会对周围环境产生明显不良影响。</w:t>
            </w:r>
          </w:p>
          <w:p w14:paraId="45281B0C">
            <w:pPr>
              <w:spacing w:line="480" w:lineRule="exact"/>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2、河北滦河上游国家级自然保护区段和生态保护红线段</w:t>
            </w:r>
          </w:p>
          <w:p w14:paraId="2EA28370">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default" w:ascii="Times New Roman" w:hAnsi="Times New Roman" w:eastAsia="宋体" w:cs="Times New Roman"/>
                <w:color w:val="auto"/>
                <w:sz w:val="24"/>
                <w:szCs w:val="24"/>
                <w:highlight w:val="none"/>
              </w:rPr>
              <w:t>减轻影响。</w:t>
            </w:r>
            <w:r>
              <w:rPr>
                <w:rFonts w:hint="default" w:ascii="Times New Roman" w:hAnsi="Times New Roman" w:eastAsia="宋体" w:cs="Times New Roman"/>
                <w:color w:val="auto"/>
                <w:sz w:val="24"/>
                <w:highlight w:val="none"/>
              </w:rPr>
              <w:t>固体废物主要是建筑垃圾和施工人员产生的生活垃圾。</w:t>
            </w:r>
          </w:p>
          <w:p w14:paraId="2B991EA1">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（1）建筑垃圾包括废弃的建筑材料以及场址平整和施工开挖所产生的弃土弃石等。开挖土石应有组织地在占地范围内堆置，以备回填利用，建筑垃圾应收集后带出保护区，尽量减少对周围生态环境的破坏。</w:t>
            </w:r>
          </w:p>
          <w:p w14:paraId="2C38D025">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（2）废旧导线、废旧塔材、绝缘子等可重复利用材料，由施工单位现场收集交由建设单位回收再利用。对于不可回收利用的建材和建筑垃圾由施工单位运送至指定的垃圾处理厂。</w:t>
            </w:r>
          </w:p>
          <w:p w14:paraId="1A95E420">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（3）避开雨季施工，防止雨水冲刷。</w:t>
            </w:r>
          </w:p>
          <w:p w14:paraId="035D5A73">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（4）加强出碴管理，及时清运，必须做到密闭、包扎、覆盖，不得沿途撒漏，做到工序完工后场地清洁。</w:t>
            </w:r>
          </w:p>
          <w:p w14:paraId="2F639172">
            <w:pPr>
              <w:spacing w:line="480" w:lineRule="exact"/>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（5）施工期间产生的生活垃圾集中收集，定期转运至保护区外进行无公害处理。</w:t>
            </w:r>
          </w:p>
          <w:p w14:paraId="19CF8793">
            <w:pPr>
              <w:adjustRightInd w:val="0"/>
              <w:spacing w:line="48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（6）施工结束后对施工区域再次进行清理，做到“工完、料尽、场地清”。</w:t>
            </w:r>
          </w:p>
          <w:p w14:paraId="4990DEFB">
            <w:pPr>
              <w:adjustRightIn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highlight w:val="none"/>
              </w:rPr>
              <w:t>综上，本项目施工期间无</w:t>
            </w:r>
            <w:r>
              <w:rPr>
                <w:rFonts w:hint="eastAsia" w:ascii="Times New Roman" w:hAnsi="Times New Roman" w:eastAsia="宋体" w:cs="Times New Roman"/>
                <w:bCs/>
                <w:color w:val="auto"/>
                <w:sz w:val="24"/>
                <w:highlight w:val="none"/>
                <w:lang w:eastAsia="zh-CN"/>
              </w:rPr>
              <w:t>固体废物</w:t>
            </w:r>
            <w:r>
              <w:rPr>
                <w:rFonts w:hint="default" w:ascii="Times New Roman" w:hAnsi="Times New Roman" w:eastAsia="宋体" w:cs="Times New Roman"/>
                <w:bCs/>
                <w:color w:val="auto"/>
                <w:sz w:val="24"/>
                <w:highlight w:val="none"/>
              </w:rPr>
              <w:t>排放，不会对项目所在区域环境造成明显不良影响。</w:t>
            </w:r>
          </w:p>
        </w:tc>
      </w:tr>
      <w:tr w14:paraId="078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509A98E8">
            <w:pPr>
              <w:pStyle w:val="4"/>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运营期生态环境保护措施</w:t>
            </w:r>
          </w:p>
        </w:tc>
        <w:tc>
          <w:tcPr>
            <w:tcW w:w="8880" w:type="dxa"/>
            <w:tcBorders>
              <w:top w:val="single" w:color="auto" w:sz="4" w:space="0"/>
              <w:left w:val="single" w:color="auto" w:sz="4" w:space="0"/>
              <w:bottom w:val="single" w:color="auto" w:sz="4" w:space="0"/>
              <w:right w:val="single" w:color="auto" w:sz="4" w:space="0"/>
            </w:tcBorders>
          </w:tcPr>
          <w:p w14:paraId="55E8D4EC">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本项目所建输电线路以架空方式穿越，只有塔基占地。正常运行期间，本项目不会对周围环境产生水、大气污染等影响。</w:t>
            </w:r>
          </w:p>
          <w:p w14:paraId="603D3700">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1、生态环境保护措施</w:t>
            </w:r>
          </w:p>
          <w:p w14:paraId="2773EFF7">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项目运行期需对线路沿线及塔基进行定期巡查及检修，应对线路运行维护人员进行生态环境保护，尤其是野生动植物保护相关知识的培训，提高他们的环境保护意识，不对工程周边区域的动植物及生态环境造成破坏；巡查及检修时对进入的交通工具及设备进行严格的外来物种及病虫害抽样检疫，一旦发现立即清除。</w:t>
            </w:r>
            <w:r>
              <w:rPr>
                <w:rFonts w:hint="eastAsia" w:ascii="Times New Roman" w:hAnsi="Times New Roman" w:eastAsia="宋体" w:cs="Times New Roman"/>
                <w:color w:val="auto"/>
                <w:kern w:val="2"/>
                <w:sz w:val="24"/>
                <w:szCs w:val="24"/>
                <w:highlight w:val="none"/>
                <w:lang w:val="en-US" w:eastAsia="zh-CN"/>
              </w:rPr>
              <w:t>按照</w:t>
            </w:r>
            <w:r>
              <w:rPr>
                <w:rFonts w:hint="default" w:ascii="Times New Roman" w:hAnsi="Times New Roman" w:eastAsia="宋体" w:cs="Times New Roman"/>
                <w:color w:val="auto"/>
                <w:kern w:val="2"/>
                <w:sz w:val="24"/>
                <w:szCs w:val="24"/>
                <w:highlight w:val="none"/>
              </w:rPr>
              <w:t>《110kV～750kV架空输电线路设计规范》（GB50545-2010）</w:t>
            </w:r>
            <w:r>
              <w:rPr>
                <w:rFonts w:hint="eastAsia" w:ascii="Times New Roman" w:hAnsi="Times New Roman" w:eastAsia="宋体" w:cs="Times New Roman"/>
                <w:color w:val="auto"/>
                <w:kern w:val="2"/>
                <w:sz w:val="24"/>
                <w:szCs w:val="24"/>
                <w:highlight w:val="none"/>
                <w:lang w:val="en-US" w:eastAsia="zh-CN"/>
              </w:rPr>
              <w:t>对线路下方树木进行修剪。</w:t>
            </w:r>
          </w:p>
          <w:p w14:paraId="25C99EF7">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2、生物资源保护措施</w:t>
            </w:r>
          </w:p>
          <w:p w14:paraId="42E4211A">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在项目运行期鸟类有可能在塔基筑巢，</w:t>
            </w:r>
            <w:r>
              <w:rPr>
                <w:rFonts w:hint="default" w:ascii="Times New Roman" w:hAnsi="Times New Roman" w:eastAsia="宋体" w:cs="Times New Roman"/>
                <w:color w:val="auto"/>
                <w:kern w:val="2"/>
                <w:sz w:val="24"/>
                <w:szCs w:val="24"/>
                <w:highlight w:val="none"/>
              </w:rPr>
              <w:t>塔基安装驱鸟器，在导线悬垂串及跳线串上方安装防鸟刺</w:t>
            </w:r>
            <w:r>
              <w:rPr>
                <w:rFonts w:hint="default" w:ascii="Times New Roman" w:hAnsi="Times New Roman" w:eastAsia="宋体" w:cs="Times New Roman"/>
                <w:color w:val="auto"/>
                <w:spacing w:val="10"/>
                <w:kern w:val="2"/>
                <w:sz w:val="24"/>
                <w:szCs w:val="24"/>
                <w:highlight w:val="none"/>
              </w:rPr>
              <w:t>，避免鸟类进入塔基内部筑巢，如果已经筑巢可以考虑在鸟类非繁殖期由专业人员进行人工清除，这样可以避免对鸟类及其幼雏造成伤害，定期对电线塔进行巡查，对安装的防鸟装置进行定期维护，确保其有效性。</w:t>
            </w:r>
          </w:p>
          <w:p w14:paraId="44D6C533">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3、固体废弃物影响措施</w:t>
            </w:r>
          </w:p>
          <w:p w14:paraId="7E581ECC">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在输电线路运行期，定期巡线过程中，线路的检修可能产生少量固体废物，运行维护过程中产生的废弃绝缘子、生活垃圾等废物不得随意丢弃，线路运</w:t>
            </w:r>
            <w:r>
              <w:rPr>
                <w:rFonts w:hint="eastAsia" w:ascii="Times New Roman" w:hAnsi="Times New Roman" w:eastAsia="宋体" w:cs="Times New Roman"/>
                <w:color w:val="auto"/>
                <w:spacing w:val="10"/>
                <w:kern w:val="2"/>
                <w:sz w:val="24"/>
                <w:szCs w:val="24"/>
                <w:highlight w:val="none"/>
                <w:lang w:val="en-US" w:eastAsia="zh-CN"/>
              </w:rPr>
              <w:t>行</w:t>
            </w:r>
            <w:r>
              <w:rPr>
                <w:rFonts w:hint="default" w:ascii="Times New Roman" w:hAnsi="Times New Roman" w:eastAsia="宋体" w:cs="Times New Roman"/>
                <w:color w:val="auto"/>
                <w:spacing w:val="10"/>
                <w:kern w:val="2"/>
                <w:sz w:val="24"/>
                <w:szCs w:val="24"/>
                <w:highlight w:val="none"/>
              </w:rPr>
              <w:t>维护人员应将生活垃圾带至垃圾集中收集点妥善处置，废弃绝缘子等废物回收处理。</w:t>
            </w:r>
          </w:p>
          <w:p w14:paraId="15A2802F">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4、电磁辐射影响措施</w:t>
            </w:r>
          </w:p>
          <w:p w14:paraId="161C3928">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本项目为线路工程，输电线路的电磁辐射可能会影响鸟类，可以使用高压线路用绝缘子，运行期间做到及时</w:t>
            </w:r>
            <w:r>
              <w:rPr>
                <w:rFonts w:hint="eastAsia" w:ascii="Times New Roman" w:hAnsi="Times New Roman" w:eastAsia="宋体" w:cs="Times New Roman"/>
                <w:color w:val="auto"/>
                <w:spacing w:val="10"/>
                <w:kern w:val="2"/>
                <w:sz w:val="24"/>
                <w:szCs w:val="24"/>
                <w:highlight w:val="none"/>
                <w:lang w:eastAsia="zh-CN"/>
              </w:rPr>
              <w:t>清扫</w:t>
            </w:r>
            <w:r>
              <w:rPr>
                <w:rFonts w:hint="default" w:ascii="Times New Roman" w:hAnsi="Times New Roman" w:eastAsia="宋体" w:cs="Times New Roman"/>
                <w:color w:val="auto"/>
                <w:spacing w:val="10"/>
                <w:kern w:val="2"/>
                <w:sz w:val="24"/>
                <w:szCs w:val="24"/>
                <w:highlight w:val="none"/>
              </w:rPr>
              <w:t>，特别是鸟类活动频繁的地区绝缘子更要多次清扫，以保证绝缘良好，防止对鸟类产生电磁辐射；</w:t>
            </w:r>
            <w:r>
              <w:rPr>
                <w:rFonts w:hint="default" w:ascii="Times New Roman" w:hAnsi="Times New Roman" w:eastAsia="宋体" w:cs="Times New Roman"/>
                <w:color w:val="auto"/>
                <w:kern w:val="2"/>
                <w:sz w:val="24"/>
                <w:szCs w:val="24"/>
                <w:highlight w:val="none"/>
              </w:rPr>
              <w:t>塔基安装驱鸟器，在导线悬垂串及跳线串上方安装防鸟刺</w:t>
            </w:r>
            <w:r>
              <w:rPr>
                <w:rFonts w:hint="default" w:ascii="Times New Roman" w:hAnsi="Times New Roman" w:eastAsia="宋体" w:cs="Times New Roman"/>
                <w:color w:val="auto"/>
                <w:spacing w:val="10"/>
                <w:kern w:val="2"/>
                <w:sz w:val="24"/>
                <w:szCs w:val="24"/>
                <w:highlight w:val="none"/>
              </w:rPr>
              <w:t>，避免鸟类飞行过程中发生碰撞。</w:t>
            </w:r>
          </w:p>
          <w:p w14:paraId="53C98234">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输电线路运行阶段在沿线杆塔上设置高压及警示标志，标明有关注意事项；运维单位加强输电线路巡线工作，确保输电线路的正常运行，确保输电线路周围电磁环境达标；对沿线居民进行有关高压输电方面的环境宣传工作，提高沿线居民环境保护意识和自我安全防护意识。</w:t>
            </w:r>
          </w:p>
          <w:p w14:paraId="7494FA73">
            <w:pPr>
              <w:autoSpaceDE/>
              <w:autoSpaceDN/>
              <w:adjustRightInd w:val="0"/>
              <w:snapToGrid w:val="0"/>
              <w:spacing w:line="360" w:lineRule="auto"/>
              <w:ind w:firstLine="522" w:firstLineChars="200"/>
              <w:jc w:val="both"/>
              <w:rPr>
                <w:rFonts w:hint="default" w:ascii="Times New Roman" w:hAnsi="Times New Roman" w:eastAsia="宋体" w:cs="Times New Roman"/>
                <w:b/>
                <w:bCs/>
                <w:color w:val="auto"/>
                <w:spacing w:val="10"/>
                <w:kern w:val="2"/>
                <w:sz w:val="24"/>
                <w:szCs w:val="24"/>
                <w:highlight w:val="none"/>
              </w:rPr>
            </w:pPr>
            <w:r>
              <w:rPr>
                <w:rFonts w:hint="default" w:ascii="Times New Roman" w:hAnsi="Times New Roman" w:eastAsia="宋体" w:cs="Times New Roman"/>
                <w:b/>
                <w:bCs/>
                <w:color w:val="auto"/>
                <w:spacing w:val="10"/>
                <w:kern w:val="2"/>
                <w:sz w:val="24"/>
                <w:szCs w:val="24"/>
                <w:highlight w:val="none"/>
              </w:rPr>
              <w:t>5、动态监测</w:t>
            </w:r>
          </w:p>
          <w:p w14:paraId="12590DC2">
            <w:pPr>
              <w:autoSpaceDE/>
              <w:autoSpaceDN/>
              <w:adjustRightInd w:val="0"/>
              <w:snapToGrid w:val="0"/>
              <w:spacing w:line="360" w:lineRule="auto"/>
              <w:ind w:firstLine="520" w:firstLineChars="200"/>
              <w:jc w:val="both"/>
              <w:rPr>
                <w:rFonts w:hint="default" w:ascii="Times New Roman" w:hAnsi="Times New Roman" w:eastAsia="宋体" w:cs="Times New Roman"/>
                <w:color w:val="auto"/>
                <w:spacing w:val="10"/>
                <w:kern w:val="2"/>
                <w:sz w:val="24"/>
                <w:szCs w:val="24"/>
                <w:highlight w:val="none"/>
              </w:rPr>
            </w:pPr>
            <w:r>
              <w:rPr>
                <w:rFonts w:hint="default" w:ascii="Times New Roman" w:hAnsi="Times New Roman" w:eastAsia="宋体" w:cs="Times New Roman"/>
                <w:color w:val="auto"/>
                <w:spacing w:val="10"/>
                <w:kern w:val="2"/>
                <w:sz w:val="24"/>
                <w:szCs w:val="24"/>
                <w:highlight w:val="none"/>
              </w:rPr>
              <w:t>在运营期需做好自然资源与生态环境的保护与动态监测，做好野生动植物的监测，开展高压输电工程对保护区兽类、鸟类等野生动物影响的监测研究，以及时掌握评价范围内生态环境和保护物种的种群动态变化，为自然保护区保护管理提供决策依据。项目建设方要加强与保护区管理部门的协调与联系，并配合保护区做好相应的生态宣教、生态管护和生态监测等方面的工作，认真落实生态保护与恢复措施。</w:t>
            </w:r>
          </w:p>
          <w:p w14:paraId="7D71883D">
            <w:pPr>
              <w:autoSpaceDE/>
              <w:autoSpaceDN/>
              <w:adjustRightInd w:val="0"/>
              <w:snapToGrid w:val="0"/>
              <w:spacing w:line="360" w:lineRule="auto"/>
              <w:ind w:firstLine="52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10"/>
                <w:kern w:val="2"/>
                <w:sz w:val="24"/>
                <w:szCs w:val="24"/>
                <w:highlight w:val="none"/>
              </w:rPr>
              <w:t>制定并实施电磁环境管理和监测计划，建立电磁环境监测的数据档案。加强线路沿线巡查和检查，定期开展环境监测，确保电磁符合GB8702国家标准要求，并及时解决公众合理的环境保护诉求。保护区管理部门应参与监督生态安全与输电线路运行安全的管理工作，制定监测、监督及跟踪管理计划，若因工程建设和运营发生突发事件或较大变化的事件，应及时上报上级主管部门，并采取相应的对策降低影响程度。</w:t>
            </w:r>
          </w:p>
        </w:tc>
      </w:tr>
      <w:tr w14:paraId="373C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04D2A90C">
            <w:pPr>
              <w:pStyle w:val="4"/>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880" w:type="dxa"/>
            <w:tcBorders>
              <w:top w:val="single" w:color="auto" w:sz="4" w:space="0"/>
              <w:left w:val="single" w:color="auto" w:sz="4" w:space="0"/>
              <w:bottom w:val="single" w:color="auto" w:sz="4" w:space="0"/>
              <w:right w:val="single" w:color="auto" w:sz="4" w:space="0"/>
            </w:tcBorders>
          </w:tcPr>
          <w:p w14:paraId="20ABEF41">
            <w:pPr>
              <w:adjustRightInd w:val="0"/>
              <w:spacing w:line="480" w:lineRule="exact"/>
              <w:ind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1、环境管理</w:t>
            </w:r>
          </w:p>
          <w:p w14:paraId="7F06456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前述分析评价可知，本项目在施工期和运营期都会对周围的生态环境、自然环境带来一定的影响，为了及时有效的减轻或消除不利影响，需要在项目施工建设期和运营期制定必要的环境保护管理制度。其主要目的是准确监测项目给环境带来的真实影响；监督工程的各项环保措施得以实施。</w:t>
            </w:r>
          </w:p>
          <w:p w14:paraId="2EA2B5B3">
            <w:pPr>
              <w:autoSpaceDE/>
              <w:autoSpaceDN/>
              <w:adjustRightInd w:val="0"/>
              <w:snapToGrid w:val="0"/>
              <w:spacing w:line="480" w:lineRule="exact"/>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（1）施工期生态保护环境</w:t>
            </w:r>
            <w:r>
              <w:rPr>
                <w:rFonts w:hint="eastAsia" w:ascii="Times New Roman" w:hAnsi="Times New Roman" w:eastAsia="宋体" w:cs="Times New Roman"/>
                <w:color w:val="auto"/>
                <w:sz w:val="24"/>
                <w:szCs w:val="24"/>
                <w:highlight w:val="none"/>
                <w:lang w:val="en-US" w:eastAsia="zh-CN"/>
              </w:rPr>
              <w:t>监理</w:t>
            </w:r>
          </w:p>
          <w:p w14:paraId="33216FF7">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机构由建设单位和</w:t>
            </w:r>
            <w:r>
              <w:rPr>
                <w:rFonts w:hint="eastAsia" w:ascii="Times New Roman" w:hAnsi="Times New Roman" w:eastAsia="宋体" w:cs="Times New Roman"/>
                <w:color w:val="auto"/>
                <w:sz w:val="24"/>
                <w:szCs w:val="24"/>
                <w:highlight w:val="none"/>
                <w:lang w:val="en-US" w:eastAsia="zh-CN"/>
              </w:rPr>
              <w:t>委托的第三方环境</w:t>
            </w:r>
            <w:r>
              <w:rPr>
                <w:rFonts w:hint="default" w:ascii="Times New Roman" w:hAnsi="Times New Roman" w:eastAsia="宋体" w:cs="Times New Roman"/>
                <w:color w:val="auto"/>
                <w:sz w:val="24"/>
                <w:szCs w:val="24"/>
                <w:highlight w:val="none"/>
              </w:rPr>
              <w:t>监理机构共同组成，由环保相关主管部门进行监督，共同进行施工期的环境管理。</w:t>
            </w:r>
          </w:p>
          <w:p w14:paraId="24D12BB3">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点位：环境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人员应随着主体工程的开展，选择具有代表性的部位（保护区段和生态红线段）进行全程</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w:t>
            </w:r>
          </w:p>
          <w:p w14:paraId="07864B1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内容：</w:t>
            </w:r>
          </w:p>
          <w:p w14:paraId="45FC969D">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影响水土流失因子：主要包括地形地貌、土壤性质、植被覆盖率和降水、风等因子。</w:t>
            </w:r>
          </w:p>
          <w:p w14:paraId="062AE147">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水土流失动态</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：包括水土流失类型、面积、强度和流失量变化，对下游及周边地区造成的危害和趋势。</w:t>
            </w:r>
          </w:p>
          <w:p w14:paraId="361104E9">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生态环境管理：包括地形、地貌和水系变化情况，项目建设占地和扰动地表面积，挖填方数量和占地面积，渣土堆放形态和面积，临时堆土数量、时间、形态和面积，项目区林草覆盖率。</w:t>
            </w:r>
          </w:p>
          <w:p w14:paraId="45F62740">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生态措施成效管理：各类生态措施的数量和质量，林草成活率、保存率、生长情况和覆盖率，</w:t>
            </w:r>
            <w:r>
              <w:rPr>
                <w:rFonts w:hint="eastAsia" w:ascii="Times New Roman" w:hAnsi="Times New Roman" w:eastAsia="宋体" w:cs="Times New Roman"/>
                <w:color w:val="auto"/>
                <w:sz w:val="24"/>
                <w:szCs w:val="24"/>
                <w:highlight w:val="none"/>
                <w:lang w:val="en-US" w:eastAsia="zh-CN"/>
              </w:rPr>
              <w:t>施工区范围内野生动物种类、数量、活动规律、对野生动物的影响；</w:t>
            </w:r>
            <w:r>
              <w:rPr>
                <w:rFonts w:hint="default" w:ascii="Times New Roman" w:hAnsi="Times New Roman" w:eastAsia="宋体" w:cs="Times New Roman"/>
                <w:color w:val="auto"/>
                <w:sz w:val="24"/>
                <w:szCs w:val="24"/>
                <w:highlight w:val="none"/>
              </w:rPr>
              <w:t>工程措施的稳定性、完好程度和运行情况及效果。</w:t>
            </w:r>
          </w:p>
          <w:p w14:paraId="0F4C9C78">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（3）环保管理与监测机构</w:t>
            </w:r>
          </w:p>
          <w:p w14:paraId="091B4F6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1）本项目应设置专门的环境保护管理机构，主要负责项目施工期的环境保护管理工作，其主要职责为：</w:t>
            </w:r>
          </w:p>
          <w:p w14:paraId="77C1276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①负责工程的环境管理。</w:t>
            </w:r>
          </w:p>
          <w:p w14:paraId="4810D110">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②督促和落实环保工程设计与实施及正常运营。</w:t>
            </w:r>
          </w:p>
          <w:p w14:paraId="48313365">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③在承包合同中落实环保条款，提供施工中环保执行信息。</w:t>
            </w:r>
          </w:p>
          <w:p w14:paraId="228D88B4">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④负责受影响公众的环保投诉。</w:t>
            </w:r>
          </w:p>
          <w:p w14:paraId="2AC22128">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⑤积极配合、支持地方环保主管部门的工作，并接受其监督与检查。</w:t>
            </w:r>
          </w:p>
          <w:p w14:paraId="747EC51C">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2）项目运营期的环境管理工作建议由本项目的管理部门承担，并设专人管理，主要负责项目一切环保工作。</w:t>
            </w:r>
          </w:p>
          <w:p w14:paraId="3E5CAB3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3）项目施工与运营期的环境监测工作建议委托有关地方环境监测机构承担。</w:t>
            </w:r>
          </w:p>
          <w:p w14:paraId="04227545">
            <w:pPr>
              <w:autoSpaceDE/>
              <w:autoSpaceDN/>
              <w:spacing w:line="480" w:lineRule="exact"/>
              <w:ind w:firstLine="482" w:firstLineChars="20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2、监测计划</w:t>
            </w:r>
          </w:p>
          <w:p w14:paraId="38F98254">
            <w:pPr>
              <w:autoSpaceDE/>
              <w:autoSpaceDN/>
              <w:spacing w:line="48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根据《输变电建设项目环境保护技术要求》（HJ1113-2020），线路周围电磁环境和声环境需要定期监测，及时了解电磁设备对周围环境的影响，监测记录包括监测位置、监测时间、监测人员和监测结果，并保存监测记录。</w:t>
            </w:r>
          </w:p>
          <w:p w14:paraId="57099513">
            <w:pPr>
              <w:autoSpaceDE/>
              <w:autoSpaceDN/>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表5-1  环境监测计划一览表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236"/>
              <w:gridCol w:w="1225"/>
              <w:gridCol w:w="1895"/>
              <w:gridCol w:w="2315"/>
            </w:tblGrid>
            <w:tr w14:paraId="0070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25A8DB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292" w:type="pct"/>
                  <w:vAlign w:val="center"/>
                </w:tcPr>
                <w:p w14:paraId="59F804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监测方法</w:t>
                  </w:r>
                </w:p>
              </w:tc>
              <w:tc>
                <w:tcPr>
                  <w:tcW w:w="708" w:type="pct"/>
                  <w:vAlign w:val="center"/>
                </w:tcPr>
                <w:p w14:paraId="1ACCAD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1095" w:type="pct"/>
                  <w:vAlign w:val="center"/>
                </w:tcPr>
                <w:p w14:paraId="393413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338" w:type="pct"/>
                  <w:vAlign w:val="center"/>
                </w:tcPr>
                <w:p w14:paraId="1DD145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监测周期</w:t>
                  </w:r>
                </w:p>
              </w:tc>
            </w:tr>
            <w:tr w14:paraId="35D2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746965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1292" w:type="pct"/>
                  <w:vAlign w:val="center"/>
                </w:tcPr>
                <w:p w14:paraId="0A6FC1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《交流输变电工程电磁环境监测方法（试行）》（HJ681-2013）</w:t>
                  </w:r>
                </w:p>
              </w:tc>
              <w:tc>
                <w:tcPr>
                  <w:tcW w:w="708" w:type="pct"/>
                  <w:vAlign w:val="center"/>
                </w:tcPr>
                <w:p w14:paraId="7C4EBF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w:t>
                  </w:r>
                </w:p>
              </w:tc>
              <w:tc>
                <w:tcPr>
                  <w:tcW w:w="1095" w:type="pct"/>
                  <w:vAlign w:val="center"/>
                </w:tcPr>
                <w:p w14:paraId="741D595E">
                  <w:pPr>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338" w:type="pct"/>
                  <w:vAlign w:val="center"/>
                </w:tcPr>
                <w:p w14:paraId="24FA6A74">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r w14:paraId="3A40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6E9031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92" w:type="pct"/>
                  <w:vAlign w:val="center"/>
                </w:tcPr>
                <w:p w14:paraId="2CD04BD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《声环境质量标准》（GB3096-2008）</w:t>
                  </w:r>
                </w:p>
              </w:tc>
              <w:tc>
                <w:tcPr>
                  <w:tcW w:w="708" w:type="pct"/>
                  <w:vAlign w:val="center"/>
                </w:tcPr>
                <w:p w14:paraId="4DF961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095" w:type="pct"/>
                  <w:vAlign w:val="center"/>
                </w:tcPr>
                <w:p w14:paraId="730C03AF">
                  <w:pPr>
                    <w:spacing w:line="0" w:lineRule="atLeas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338" w:type="pct"/>
                  <w:vAlign w:val="center"/>
                </w:tcPr>
                <w:p w14:paraId="2EF64EFB">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r w14:paraId="4846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258787B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生态环境</w:t>
                  </w:r>
                </w:p>
              </w:tc>
              <w:tc>
                <w:tcPr>
                  <w:tcW w:w="1292" w:type="pct"/>
                  <w:vAlign w:val="center"/>
                </w:tcPr>
                <w:p w14:paraId="2A565D4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测量法、样方调查</w:t>
                  </w:r>
                </w:p>
              </w:tc>
              <w:tc>
                <w:tcPr>
                  <w:tcW w:w="708" w:type="pct"/>
                  <w:vAlign w:val="center"/>
                </w:tcPr>
                <w:p w14:paraId="7B36F4C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植被、生物量、水土流失、土地沙化、野生动物</w:t>
                  </w:r>
                </w:p>
              </w:tc>
              <w:tc>
                <w:tcPr>
                  <w:tcW w:w="1095" w:type="pct"/>
                  <w:vAlign w:val="center"/>
                </w:tcPr>
                <w:p w14:paraId="1BE07B05">
                  <w:pPr>
                    <w:spacing w:line="0" w:lineRule="atLeas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施工占地区域、运行期线路沿线</w:t>
                  </w:r>
                </w:p>
              </w:tc>
              <w:tc>
                <w:tcPr>
                  <w:tcW w:w="1338" w:type="pct"/>
                  <w:vAlign w:val="center"/>
                </w:tcPr>
                <w:p w14:paraId="01B2BEE4">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施工期每月一次，运营期每半年一次</w:t>
                  </w:r>
                </w:p>
              </w:tc>
            </w:tr>
          </w:tbl>
          <w:p w14:paraId="6C18F8F6">
            <w:pPr>
              <w:autoSpaceDE/>
              <w:autoSpaceDN/>
              <w:adjustRightInd w:val="0"/>
              <w:snapToGrid w:val="0"/>
              <w:spacing w:line="480" w:lineRule="exact"/>
              <w:jc w:val="both"/>
              <w:rPr>
                <w:rFonts w:hint="default" w:ascii="Times New Roman" w:hAnsi="Times New Roman" w:eastAsia="宋体" w:cs="Times New Roman"/>
                <w:b/>
                <w:bCs/>
                <w:color w:val="auto"/>
                <w:spacing w:val="10"/>
                <w:kern w:val="2"/>
                <w:sz w:val="24"/>
                <w:szCs w:val="24"/>
                <w:highlight w:val="none"/>
              </w:rPr>
            </w:pPr>
          </w:p>
        </w:tc>
      </w:tr>
      <w:tr w14:paraId="021A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top w:val="single" w:color="auto" w:sz="4" w:space="0"/>
              <w:left w:val="single" w:color="auto" w:sz="4" w:space="0"/>
              <w:bottom w:val="single" w:color="auto" w:sz="4" w:space="0"/>
              <w:right w:val="single" w:color="auto" w:sz="4" w:space="0"/>
            </w:tcBorders>
            <w:vAlign w:val="center"/>
          </w:tcPr>
          <w:p w14:paraId="1A847183">
            <w:pPr>
              <w:pStyle w:val="4"/>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8880" w:type="dxa"/>
            <w:tcBorders>
              <w:top w:val="single" w:color="auto" w:sz="4" w:space="0"/>
              <w:left w:val="single" w:color="auto" w:sz="4" w:space="0"/>
              <w:bottom w:val="single" w:color="auto" w:sz="4" w:space="0"/>
              <w:right w:val="single" w:color="auto" w:sz="4" w:space="0"/>
            </w:tcBorders>
          </w:tcPr>
          <w:p w14:paraId="660372D9">
            <w:pPr>
              <w:autoSpaceDE/>
              <w:autoSpaceDN/>
              <w:adjustRightInd w:val="0"/>
              <w:snapToGrid w:val="0"/>
              <w:spacing w:line="480" w:lineRule="exact"/>
              <w:ind w:firstLine="520" w:firstLineChars="200"/>
              <w:jc w:val="both"/>
              <w:rPr>
                <w:rFonts w:hint="default" w:ascii="Times New Roman" w:hAnsi="Times New Roman" w:eastAsia="宋体" w:cs="Times New Roman"/>
                <w:bCs/>
                <w:color w:val="auto"/>
                <w:spacing w:val="10"/>
                <w:kern w:val="2"/>
                <w:sz w:val="24"/>
                <w:szCs w:val="24"/>
                <w:highlight w:val="none"/>
              </w:rPr>
            </w:pPr>
            <w:r>
              <w:rPr>
                <w:rFonts w:hint="default" w:ascii="Times New Roman" w:hAnsi="Times New Roman" w:eastAsia="宋体" w:cs="Times New Roman"/>
                <w:bCs/>
                <w:color w:val="auto"/>
                <w:spacing w:val="10"/>
                <w:kern w:val="2"/>
                <w:sz w:val="24"/>
                <w:szCs w:val="24"/>
                <w:highlight w:val="none"/>
              </w:rPr>
              <w:t>针对本项目施工期、运行期可能产生的环境问题，估算环保投资为</w:t>
            </w:r>
            <w:r>
              <w:rPr>
                <w:rFonts w:hint="default" w:ascii="Times New Roman" w:hAnsi="Times New Roman" w:eastAsia="宋体" w:cs="Times New Roman"/>
                <w:bCs/>
                <w:color w:val="auto"/>
                <w:spacing w:val="10"/>
                <w:kern w:val="2"/>
                <w:sz w:val="24"/>
                <w:szCs w:val="24"/>
                <w:highlight w:val="none"/>
                <w:lang w:val="en-US" w:eastAsia="zh-CN"/>
              </w:rPr>
              <w:t>24</w:t>
            </w:r>
            <w:r>
              <w:rPr>
                <w:rFonts w:hint="default" w:ascii="Times New Roman" w:hAnsi="Times New Roman" w:eastAsia="宋体" w:cs="Times New Roman"/>
                <w:bCs/>
                <w:color w:val="auto"/>
                <w:spacing w:val="10"/>
                <w:kern w:val="2"/>
                <w:sz w:val="24"/>
                <w:szCs w:val="24"/>
                <w:highlight w:val="none"/>
              </w:rPr>
              <w:t>0万元，具体明细见下表。</w:t>
            </w:r>
          </w:p>
          <w:p w14:paraId="2D59DAE1">
            <w:pPr>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rPr>
              <w:t>表5-2  项目环保投资一览表</w:t>
            </w:r>
          </w:p>
          <w:tbl>
            <w:tblPr>
              <w:tblStyle w:val="15"/>
              <w:tblW w:w="862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35"/>
              <w:gridCol w:w="554"/>
              <w:gridCol w:w="1962"/>
              <w:gridCol w:w="4429"/>
              <w:gridCol w:w="1148"/>
            </w:tblGrid>
            <w:tr w14:paraId="1C8AC5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51" w:type="dxa"/>
                  <w:gridSpan w:val="3"/>
                  <w:tcBorders>
                    <w:bottom w:val="single" w:color="000000" w:sz="4" w:space="0"/>
                    <w:right w:val="single" w:color="000000" w:sz="4" w:space="0"/>
                  </w:tcBorders>
                  <w:vAlign w:val="center"/>
                </w:tcPr>
                <w:p w14:paraId="6B2EC0B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4429" w:type="dxa"/>
                  <w:tcBorders>
                    <w:left w:val="single" w:color="000000" w:sz="4" w:space="0"/>
                    <w:bottom w:val="single" w:color="000000" w:sz="4" w:space="0"/>
                    <w:right w:val="single" w:color="000000" w:sz="4" w:space="0"/>
                  </w:tcBorders>
                  <w:vAlign w:val="center"/>
                </w:tcPr>
                <w:p w14:paraId="7BA49B59">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环保措施</w:t>
                  </w:r>
                </w:p>
              </w:tc>
              <w:tc>
                <w:tcPr>
                  <w:tcW w:w="1148" w:type="dxa"/>
                  <w:tcBorders>
                    <w:left w:val="single" w:color="000000" w:sz="4" w:space="0"/>
                    <w:bottom w:val="single" w:color="auto" w:sz="4" w:space="0"/>
                  </w:tcBorders>
                  <w:vAlign w:val="center"/>
                </w:tcPr>
                <w:p w14:paraId="74E8A83B">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投资（万元）</w:t>
                  </w:r>
                </w:p>
              </w:tc>
            </w:tr>
            <w:tr w14:paraId="434A5D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restart"/>
                  <w:tcBorders>
                    <w:top w:val="single" w:color="000000" w:sz="4" w:space="0"/>
                    <w:right w:val="single" w:color="000000" w:sz="4" w:space="0"/>
                  </w:tcBorders>
                  <w:vAlign w:val="center"/>
                </w:tcPr>
                <w:p w14:paraId="12D56E7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554" w:type="dxa"/>
                  <w:tcBorders>
                    <w:top w:val="single" w:color="000000" w:sz="4" w:space="0"/>
                    <w:right w:val="single" w:color="000000" w:sz="4" w:space="0"/>
                  </w:tcBorders>
                  <w:vAlign w:val="center"/>
                </w:tcPr>
                <w:p w14:paraId="20FB1057">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962" w:type="dxa"/>
                  <w:tcBorders>
                    <w:top w:val="single" w:color="000000" w:sz="4" w:space="0"/>
                    <w:left w:val="single" w:color="000000" w:sz="4" w:space="0"/>
                    <w:bottom w:val="single" w:color="000000" w:sz="4" w:space="0"/>
                    <w:right w:val="single" w:color="000000" w:sz="4" w:space="0"/>
                  </w:tcBorders>
                  <w:vAlign w:val="center"/>
                </w:tcPr>
                <w:p w14:paraId="5AAE95E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4429" w:type="dxa"/>
                  <w:tcBorders>
                    <w:top w:val="single" w:color="000000" w:sz="4" w:space="0"/>
                    <w:left w:val="single" w:color="000000" w:sz="4" w:space="0"/>
                    <w:bottom w:val="single" w:color="000000" w:sz="4" w:space="0"/>
                    <w:right w:val="single" w:color="auto" w:sz="4" w:space="0"/>
                  </w:tcBorders>
                  <w:vAlign w:val="center"/>
                </w:tcPr>
                <w:p w14:paraId="76BA610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出入车辆清洗、加强遮盖、及时清扫；洒水抑尘等</w:t>
                  </w:r>
                </w:p>
              </w:tc>
              <w:tc>
                <w:tcPr>
                  <w:tcW w:w="1148" w:type="dxa"/>
                  <w:tcBorders>
                    <w:top w:val="single" w:color="auto" w:sz="4" w:space="0"/>
                    <w:left w:val="single" w:color="auto" w:sz="4" w:space="0"/>
                    <w:bottom w:val="single" w:color="auto" w:sz="4" w:space="0"/>
                  </w:tcBorders>
                  <w:vAlign w:val="center"/>
                </w:tcPr>
                <w:p w14:paraId="6729A275">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2829B02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16DF154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073F3E4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62" w:type="dxa"/>
                  <w:tcBorders>
                    <w:top w:val="single" w:color="000000" w:sz="4" w:space="0"/>
                    <w:left w:val="single" w:color="000000" w:sz="4" w:space="0"/>
                    <w:bottom w:val="single" w:color="000000" w:sz="4" w:space="0"/>
                    <w:right w:val="single" w:color="000000" w:sz="4" w:space="0"/>
                  </w:tcBorders>
                  <w:vAlign w:val="center"/>
                </w:tcPr>
                <w:p w14:paraId="2045C1B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生活污水、生产废水</w:t>
                  </w:r>
                </w:p>
              </w:tc>
              <w:tc>
                <w:tcPr>
                  <w:tcW w:w="4429" w:type="dxa"/>
                  <w:tcBorders>
                    <w:top w:val="single" w:color="000000" w:sz="4" w:space="0"/>
                    <w:left w:val="single" w:color="000000" w:sz="4" w:space="0"/>
                    <w:bottom w:val="single" w:color="000000" w:sz="4" w:space="0"/>
                    <w:right w:val="single" w:color="auto" w:sz="4" w:space="0"/>
                  </w:tcBorders>
                  <w:vAlign w:val="center"/>
                </w:tcPr>
                <w:p w14:paraId="2F25C76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临时旱厕、沉淀池</w:t>
                  </w:r>
                </w:p>
              </w:tc>
              <w:tc>
                <w:tcPr>
                  <w:tcW w:w="1148" w:type="dxa"/>
                  <w:tcBorders>
                    <w:top w:val="single" w:color="auto" w:sz="4" w:space="0"/>
                    <w:left w:val="single" w:color="auto" w:sz="4" w:space="0"/>
                    <w:bottom w:val="single" w:color="auto" w:sz="4" w:space="0"/>
                  </w:tcBorders>
                  <w:vAlign w:val="center"/>
                </w:tcPr>
                <w:p w14:paraId="576065AE">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3AACAC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6258CB19">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037457A0">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62" w:type="dxa"/>
                  <w:tcBorders>
                    <w:top w:val="single" w:color="000000" w:sz="4" w:space="0"/>
                    <w:left w:val="single" w:color="000000" w:sz="4" w:space="0"/>
                    <w:bottom w:val="single" w:color="000000" w:sz="4" w:space="0"/>
                    <w:right w:val="single" w:color="000000" w:sz="4" w:space="0"/>
                  </w:tcBorders>
                  <w:vAlign w:val="center"/>
                </w:tcPr>
                <w:p w14:paraId="21524AE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建筑垃圾、生活垃圾</w:t>
                  </w:r>
                </w:p>
              </w:tc>
              <w:tc>
                <w:tcPr>
                  <w:tcW w:w="4429" w:type="dxa"/>
                  <w:tcBorders>
                    <w:top w:val="single" w:color="000000" w:sz="4" w:space="0"/>
                    <w:left w:val="single" w:color="000000" w:sz="4" w:space="0"/>
                    <w:bottom w:val="single" w:color="000000" w:sz="4" w:space="0"/>
                    <w:right w:val="single" w:color="auto" w:sz="4" w:space="0"/>
                  </w:tcBorders>
                  <w:vAlign w:val="center"/>
                </w:tcPr>
                <w:p w14:paraId="6D11299B">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建筑垃圾送市政部门指定的地点堆存；生活垃圾收集后，交由环卫部门统一处理。</w:t>
                  </w:r>
                </w:p>
              </w:tc>
              <w:tc>
                <w:tcPr>
                  <w:tcW w:w="1148" w:type="dxa"/>
                  <w:tcBorders>
                    <w:top w:val="single" w:color="auto" w:sz="4" w:space="0"/>
                    <w:left w:val="single" w:color="auto" w:sz="4" w:space="0"/>
                    <w:bottom w:val="single" w:color="auto" w:sz="4" w:space="0"/>
                  </w:tcBorders>
                  <w:vAlign w:val="center"/>
                </w:tcPr>
                <w:p w14:paraId="46761266">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0222FA9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0D719EDE">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vMerge w:val="restart"/>
                  <w:tcBorders>
                    <w:top w:val="single" w:color="000000" w:sz="4" w:space="0"/>
                    <w:right w:val="single" w:color="000000" w:sz="4" w:space="0"/>
                  </w:tcBorders>
                  <w:vAlign w:val="center"/>
                </w:tcPr>
                <w:p w14:paraId="5AE85DAC">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生态治理</w:t>
                  </w:r>
                </w:p>
              </w:tc>
              <w:tc>
                <w:tcPr>
                  <w:tcW w:w="1962" w:type="dxa"/>
                  <w:vMerge w:val="restart"/>
                  <w:tcBorders>
                    <w:top w:val="single" w:color="000000" w:sz="4" w:space="0"/>
                    <w:left w:val="single" w:color="000000" w:sz="4" w:space="0"/>
                    <w:right w:val="single" w:color="000000" w:sz="4" w:space="0"/>
                  </w:tcBorders>
                  <w:vAlign w:val="center"/>
                </w:tcPr>
                <w:p w14:paraId="1F5E8413">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水土保持、植被恢复</w:t>
                  </w:r>
                </w:p>
              </w:tc>
              <w:tc>
                <w:tcPr>
                  <w:tcW w:w="4429" w:type="dxa"/>
                  <w:tcBorders>
                    <w:top w:val="single" w:color="000000" w:sz="4" w:space="0"/>
                    <w:left w:val="single" w:color="000000" w:sz="4" w:space="0"/>
                    <w:bottom w:val="single" w:color="000000" w:sz="4" w:space="0"/>
                    <w:right w:val="single" w:color="auto" w:sz="4" w:space="0"/>
                  </w:tcBorders>
                  <w:vAlign w:val="center"/>
                </w:tcPr>
                <w:p w14:paraId="07FD98A9">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工程措施、植被措施、临时措施</w:t>
                  </w:r>
                </w:p>
              </w:tc>
              <w:tc>
                <w:tcPr>
                  <w:tcW w:w="1148" w:type="dxa"/>
                  <w:vMerge w:val="restart"/>
                  <w:tcBorders>
                    <w:top w:val="single" w:color="auto" w:sz="4" w:space="0"/>
                    <w:left w:val="single" w:color="auto" w:sz="4" w:space="0"/>
                  </w:tcBorders>
                  <w:vAlign w:val="center"/>
                </w:tcPr>
                <w:p w14:paraId="26D63103">
                  <w:pPr>
                    <w:autoSpaceDE/>
                    <w:autoSpaceDN/>
                    <w:spacing w:line="320" w:lineRule="exact"/>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w:t>
                  </w:r>
                </w:p>
              </w:tc>
            </w:tr>
            <w:tr w14:paraId="039A5E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12F5073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vMerge w:val="continue"/>
                  <w:tcBorders>
                    <w:right w:val="single" w:color="000000" w:sz="4" w:space="0"/>
                  </w:tcBorders>
                  <w:vAlign w:val="center"/>
                </w:tcPr>
                <w:p w14:paraId="5D21B872">
                  <w:pPr>
                    <w:autoSpaceDE/>
                    <w:autoSpaceDN/>
                    <w:spacing w:line="320" w:lineRule="exact"/>
                    <w:jc w:val="center"/>
                    <w:rPr>
                      <w:rFonts w:hint="default" w:ascii="Times New Roman" w:hAnsi="Times New Roman" w:eastAsia="宋体" w:cs="Times New Roman"/>
                      <w:color w:val="auto"/>
                      <w:sz w:val="21"/>
                      <w:szCs w:val="21"/>
                      <w:highlight w:val="none"/>
                    </w:rPr>
                  </w:pPr>
                </w:p>
              </w:tc>
              <w:tc>
                <w:tcPr>
                  <w:tcW w:w="1962" w:type="dxa"/>
                  <w:vMerge w:val="continue"/>
                  <w:tcBorders>
                    <w:left w:val="single" w:color="000000" w:sz="4" w:space="0"/>
                    <w:bottom w:val="single" w:color="000000" w:sz="4" w:space="0"/>
                    <w:right w:val="single" w:color="000000" w:sz="4" w:space="0"/>
                  </w:tcBorders>
                  <w:vAlign w:val="center"/>
                </w:tcPr>
                <w:p w14:paraId="71ADCF7E">
                  <w:pPr>
                    <w:autoSpaceDE/>
                    <w:autoSpaceDN/>
                    <w:spacing w:line="320" w:lineRule="exact"/>
                    <w:jc w:val="center"/>
                    <w:rPr>
                      <w:rFonts w:hint="default" w:ascii="Times New Roman" w:hAnsi="Times New Roman" w:eastAsia="宋体" w:cs="Times New Roman"/>
                      <w:color w:val="auto"/>
                      <w:kern w:val="2"/>
                      <w:sz w:val="21"/>
                      <w:szCs w:val="21"/>
                      <w:highlight w:val="none"/>
                    </w:rPr>
                  </w:pPr>
                </w:p>
              </w:tc>
              <w:tc>
                <w:tcPr>
                  <w:tcW w:w="4429" w:type="dxa"/>
                  <w:tcBorders>
                    <w:top w:val="single" w:color="000000" w:sz="4" w:space="0"/>
                    <w:left w:val="single" w:color="000000" w:sz="4" w:space="0"/>
                    <w:bottom w:val="single" w:color="000000" w:sz="4" w:space="0"/>
                    <w:right w:val="single" w:color="auto" w:sz="4" w:space="0"/>
                  </w:tcBorders>
                  <w:vAlign w:val="center"/>
                </w:tcPr>
                <w:p w14:paraId="33FE0C0F">
                  <w:pPr>
                    <w:autoSpaceDE/>
                    <w:autoSpaceDN/>
                    <w:spacing w:line="320" w:lineRule="exact"/>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施工区、牵张场、施工道路等的植被恢复</w:t>
                  </w:r>
                </w:p>
              </w:tc>
              <w:tc>
                <w:tcPr>
                  <w:tcW w:w="1148" w:type="dxa"/>
                  <w:vMerge w:val="continue"/>
                  <w:tcBorders>
                    <w:left w:val="single" w:color="auto" w:sz="4" w:space="0"/>
                    <w:bottom w:val="single" w:color="auto" w:sz="4" w:space="0"/>
                  </w:tcBorders>
                  <w:vAlign w:val="center"/>
                </w:tcPr>
                <w:p w14:paraId="34217BE2">
                  <w:pPr>
                    <w:autoSpaceDE/>
                    <w:autoSpaceDN/>
                    <w:spacing w:line="320" w:lineRule="exact"/>
                    <w:jc w:val="center"/>
                    <w:rPr>
                      <w:rFonts w:hint="default" w:ascii="Times New Roman" w:hAnsi="Times New Roman" w:eastAsia="宋体" w:cs="Times New Roman"/>
                      <w:color w:val="auto"/>
                      <w:kern w:val="2"/>
                      <w:sz w:val="21"/>
                      <w:szCs w:val="21"/>
                      <w:highlight w:val="none"/>
                    </w:rPr>
                  </w:pPr>
                </w:p>
              </w:tc>
            </w:tr>
            <w:tr w14:paraId="404413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restart"/>
                  <w:tcBorders>
                    <w:top w:val="single" w:color="000000" w:sz="4" w:space="0"/>
                    <w:right w:val="single" w:color="000000" w:sz="4" w:space="0"/>
                  </w:tcBorders>
                  <w:vAlign w:val="center"/>
                </w:tcPr>
                <w:p w14:paraId="541BAC5A">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554" w:type="dxa"/>
                  <w:tcBorders>
                    <w:top w:val="single" w:color="000000" w:sz="4" w:space="0"/>
                    <w:right w:val="single" w:color="000000" w:sz="4" w:space="0"/>
                  </w:tcBorders>
                  <w:vAlign w:val="center"/>
                </w:tcPr>
                <w:p w14:paraId="44AFE7E4">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电磁环境、噪声</w:t>
                  </w:r>
                </w:p>
              </w:tc>
              <w:tc>
                <w:tcPr>
                  <w:tcW w:w="1962" w:type="dxa"/>
                  <w:tcBorders>
                    <w:top w:val="single" w:color="000000" w:sz="4" w:space="0"/>
                    <w:left w:val="single" w:color="000000" w:sz="4" w:space="0"/>
                    <w:bottom w:val="single" w:color="000000" w:sz="4" w:space="0"/>
                    <w:right w:val="single" w:color="000000" w:sz="4" w:space="0"/>
                  </w:tcBorders>
                  <w:vAlign w:val="center"/>
                </w:tcPr>
                <w:p w14:paraId="2B5FDE96">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工频电场、工频磁场，等效连续A声级</w:t>
                  </w:r>
                </w:p>
              </w:tc>
              <w:tc>
                <w:tcPr>
                  <w:tcW w:w="4429" w:type="dxa"/>
                  <w:tcBorders>
                    <w:top w:val="single" w:color="000000" w:sz="4" w:space="0"/>
                    <w:left w:val="single" w:color="000000" w:sz="4" w:space="0"/>
                    <w:bottom w:val="single" w:color="000000" w:sz="4" w:space="0"/>
                    <w:right w:val="single" w:color="auto" w:sz="4" w:space="0"/>
                  </w:tcBorders>
                  <w:vAlign w:val="center"/>
                </w:tcPr>
                <w:p w14:paraId="17EAE248">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c>
                <w:tcPr>
                  <w:tcW w:w="1148" w:type="dxa"/>
                  <w:tcBorders>
                    <w:top w:val="single" w:color="auto" w:sz="4" w:space="0"/>
                    <w:left w:val="single" w:color="auto" w:sz="4" w:space="0"/>
                    <w:bottom w:val="single" w:color="auto" w:sz="4" w:space="0"/>
                  </w:tcBorders>
                  <w:vAlign w:val="center"/>
                </w:tcPr>
                <w:p w14:paraId="28F7AA11">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14:paraId="77C6AB1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535" w:type="dxa"/>
                  <w:vMerge w:val="continue"/>
                  <w:tcBorders>
                    <w:right w:val="single" w:color="000000" w:sz="4" w:space="0"/>
                  </w:tcBorders>
                  <w:vAlign w:val="center"/>
                </w:tcPr>
                <w:p w14:paraId="6325AC97">
                  <w:pPr>
                    <w:autoSpaceDE/>
                    <w:autoSpaceDN/>
                    <w:spacing w:line="320" w:lineRule="exact"/>
                    <w:jc w:val="center"/>
                    <w:rPr>
                      <w:rFonts w:hint="default" w:ascii="Times New Roman" w:hAnsi="Times New Roman" w:eastAsia="宋体" w:cs="Times New Roman"/>
                      <w:color w:val="auto"/>
                      <w:sz w:val="21"/>
                      <w:szCs w:val="21"/>
                      <w:highlight w:val="none"/>
                    </w:rPr>
                  </w:pPr>
                </w:p>
              </w:tc>
              <w:tc>
                <w:tcPr>
                  <w:tcW w:w="554" w:type="dxa"/>
                  <w:tcBorders>
                    <w:top w:val="single" w:color="000000" w:sz="4" w:space="0"/>
                    <w:right w:val="single" w:color="000000" w:sz="4" w:space="0"/>
                  </w:tcBorders>
                  <w:vAlign w:val="center"/>
                </w:tcPr>
                <w:p w14:paraId="45377A3E">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生态环境</w:t>
                  </w:r>
                </w:p>
              </w:tc>
              <w:tc>
                <w:tcPr>
                  <w:tcW w:w="1962" w:type="dxa"/>
                  <w:tcBorders>
                    <w:top w:val="single" w:color="000000" w:sz="4" w:space="0"/>
                    <w:left w:val="single" w:color="000000" w:sz="4" w:space="0"/>
                    <w:bottom w:val="single" w:color="000000" w:sz="4" w:space="0"/>
                    <w:right w:val="single" w:color="000000" w:sz="4" w:space="0"/>
                  </w:tcBorders>
                  <w:vAlign w:val="center"/>
                </w:tcPr>
                <w:p w14:paraId="6970E774">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生态监测</w:t>
                  </w:r>
                </w:p>
              </w:tc>
              <w:tc>
                <w:tcPr>
                  <w:tcW w:w="4429" w:type="dxa"/>
                  <w:tcBorders>
                    <w:top w:val="single" w:color="000000" w:sz="4" w:space="0"/>
                    <w:left w:val="single" w:color="000000" w:sz="4" w:space="0"/>
                    <w:bottom w:val="single" w:color="000000" w:sz="4" w:space="0"/>
                    <w:right w:val="single" w:color="auto" w:sz="4" w:space="0"/>
                  </w:tcBorders>
                  <w:vAlign w:val="center"/>
                </w:tcPr>
                <w:p w14:paraId="69A606E8">
                  <w:pPr>
                    <w:autoSpaceDE/>
                    <w:autoSpaceDN/>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对植被恢复养护、野生动物进行监测</w:t>
                  </w:r>
                </w:p>
              </w:tc>
              <w:tc>
                <w:tcPr>
                  <w:tcW w:w="1148" w:type="dxa"/>
                  <w:tcBorders>
                    <w:top w:val="single" w:color="auto" w:sz="4" w:space="0"/>
                    <w:left w:val="single" w:color="auto" w:sz="4" w:space="0"/>
                    <w:bottom w:val="single" w:color="auto" w:sz="4" w:space="0"/>
                  </w:tcBorders>
                  <w:vAlign w:val="center"/>
                </w:tcPr>
                <w:p w14:paraId="3E42D7F7">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14:paraId="04483C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7480" w:type="dxa"/>
                  <w:gridSpan w:val="4"/>
                  <w:tcBorders>
                    <w:top w:val="single" w:color="000000" w:sz="4" w:space="0"/>
                    <w:right w:val="single" w:color="000000" w:sz="4" w:space="0"/>
                  </w:tcBorders>
                  <w:vAlign w:val="center"/>
                </w:tcPr>
                <w:p w14:paraId="0EB4F62D">
                  <w:pPr>
                    <w:autoSpaceDE/>
                    <w:autoSpaceDN/>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148" w:type="dxa"/>
                  <w:tcBorders>
                    <w:top w:val="single" w:color="000000" w:sz="4" w:space="0"/>
                    <w:left w:val="single" w:color="000000" w:sz="4" w:space="0"/>
                  </w:tcBorders>
                  <w:vAlign w:val="center"/>
                </w:tcPr>
                <w:p w14:paraId="4F54D3A5">
                  <w:pPr>
                    <w:autoSpaceDE/>
                    <w:autoSpaceDN/>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w:t>
                  </w:r>
                </w:p>
              </w:tc>
            </w:tr>
          </w:tbl>
          <w:p w14:paraId="624E98F7">
            <w:pPr>
              <w:adjustRightInd w:val="0"/>
              <w:jc w:val="both"/>
              <w:rPr>
                <w:rFonts w:hint="default" w:ascii="Times New Roman" w:hAnsi="Times New Roman" w:eastAsia="宋体" w:cs="Times New Roman"/>
                <w:b/>
                <w:color w:val="auto"/>
                <w:sz w:val="24"/>
                <w:szCs w:val="24"/>
                <w:highlight w:val="none"/>
              </w:rPr>
            </w:pPr>
          </w:p>
          <w:p w14:paraId="7C4F1D0F">
            <w:pPr>
              <w:adjustRightInd w:val="0"/>
              <w:jc w:val="both"/>
              <w:rPr>
                <w:rFonts w:hint="default" w:ascii="Times New Roman" w:hAnsi="Times New Roman" w:eastAsia="宋体" w:cs="Times New Roman"/>
                <w:b/>
                <w:color w:val="auto"/>
                <w:sz w:val="24"/>
                <w:szCs w:val="24"/>
                <w:highlight w:val="none"/>
              </w:rPr>
            </w:pPr>
          </w:p>
        </w:tc>
      </w:tr>
    </w:tbl>
    <w:p w14:paraId="02B48FB1">
      <w:pPr>
        <w:pStyle w:val="4"/>
        <w:spacing w:line="550" w:lineRule="exact"/>
        <w:ind w:right="652"/>
        <w:rPr>
          <w:rFonts w:hint="default" w:ascii="Times New Roman" w:hAnsi="Times New Roman" w:eastAsia="宋体" w:cs="Times New Roman"/>
          <w:color w:val="auto"/>
          <w:highlight w:val="none"/>
        </w:rPr>
        <w:sectPr>
          <w:pgSz w:w="11910" w:h="16840"/>
          <w:pgMar w:top="1580" w:right="1320" w:bottom="1000" w:left="1340" w:header="0" w:footer="817" w:gutter="0"/>
          <w:cols w:space="720" w:num="1"/>
        </w:sectPr>
      </w:pPr>
    </w:p>
    <w:p w14:paraId="75BDCB78">
      <w:pPr>
        <w:pStyle w:val="4"/>
        <w:spacing w:line="550" w:lineRule="exact"/>
        <w:ind w:left="635" w:right="652"/>
        <w:jc w:val="center"/>
        <w:outlineLvl w:val="0"/>
        <w:rPr>
          <w:rFonts w:hint="default" w:ascii="Times New Roman" w:hAnsi="Times New Roman" w:eastAsia="宋体" w:cs="Times New Roman"/>
          <w:color w:val="auto"/>
          <w:highlight w:val="none"/>
        </w:rPr>
      </w:pPr>
      <w:bookmarkStart w:id="13" w:name="_Toc150930991"/>
      <w:r>
        <w:rPr>
          <w:rFonts w:hint="default" w:ascii="Times New Roman" w:hAnsi="Times New Roman" w:eastAsia="宋体" w:cs="Times New Roman"/>
          <w:color w:val="auto"/>
          <w:highlight w:val="none"/>
        </w:rPr>
        <w:t>六、环境保护措施监督检查清单</w:t>
      </w:r>
      <w:bookmarkEnd w:id="13"/>
    </w:p>
    <w:p w14:paraId="0D33B495">
      <w:pPr>
        <w:pStyle w:val="4"/>
        <w:spacing w:before="3"/>
        <w:rPr>
          <w:rFonts w:hint="default" w:ascii="Times New Roman" w:hAnsi="Times New Roman" w:eastAsia="宋体" w:cs="Times New Roman"/>
          <w:color w:val="auto"/>
          <w:sz w:val="8"/>
          <w:highlight w:val="none"/>
        </w:rPr>
      </w:pPr>
    </w:p>
    <w:tbl>
      <w:tblPr>
        <w:tblStyle w:val="15"/>
        <w:tblW w:w="14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4671"/>
        <w:gridCol w:w="1985"/>
        <w:gridCol w:w="3690"/>
        <w:gridCol w:w="2881"/>
      </w:tblGrid>
      <w:tr w14:paraId="1353F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vMerge w:val="restart"/>
            <w:tcBorders>
              <w:top w:val="single" w:color="auto" w:sz="8" w:space="0"/>
              <w:left w:val="single" w:color="auto" w:sz="8" w:space="0"/>
              <w:bottom w:val="single" w:color="auto" w:sz="4" w:space="0"/>
              <w:right w:val="single" w:color="auto" w:sz="4" w:space="0"/>
              <w:tl2br w:val="single" w:color="auto" w:sz="4" w:space="0"/>
            </w:tcBorders>
            <w:vAlign w:val="center"/>
          </w:tcPr>
          <w:p w14:paraId="7DBA7E1E">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4" w:name="_Toc457"/>
            <w:r>
              <w:rPr>
                <w:rFonts w:hint="default" w:ascii="Times New Roman" w:hAnsi="Times New Roman" w:eastAsia="宋体" w:cs="Times New Roman"/>
                <w:color w:val="auto"/>
                <w:kern w:val="2"/>
                <w:sz w:val="24"/>
                <w:szCs w:val="24"/>
                <w:highlight w:val="none"/>
              </w:rPr>
              <w:t xml:space="preserve">         要素</w:t>
            </w:r>
          </w:p>
          <w:p w14:paraId="768540C0">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p>
          <w:p w14:paraId="71120FB1">
            <w:pPr>
              <w:widowControl/>
              <w:autoSpaceDE/>
              <w:autoSpaceDN/>
              <w:adjustRightInd w:val="0"/>
              <w:snapToGrid w:val="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内容</w:t>
            </w:r>
            <w:bookmarkEnd w:id="14"/>
          </w:p>
        </w:tc>
        <w:tc>
          <w:tcPr>
            <w:tcW w:w="6656" w:type="dxa"/>
            <w:gridSpan w:val="2"/>
            <w:tcBorders>
              <w:top w:val="single" w:color="auto" w:sz="8" w:space="0"/>
              <w:left w:val="single" w:color="auto" w:sz="4" w:space="0"/>
              <w:bottom w:val="single" w:color="auto" w:sz="4" w:space="0"/>
              <w:right w:val="single" w:color="auto" w:sz="4" w:space="0"/>
            </w:tcBorders>
            <w:vAlign w:val="center"/>
          </w:tcPr>
          <w:p w14:paraId="5CF0E293">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5" w:name="_Toc9512"/>
            <w:r>
              <w:rPr>
                <w:rFonts w:hint="default" w:ascii="Times New Roman" w:hAnsi="Times New Roman" w:eastAsia="宋体" w:cs="Times New Roman"/>
                <w:color w:val="auto"/>
                <w:kern w:val="2"/>
                <w:sz w:val="24"/>
                <w:szCs w:val="24"/>
                <w:highlight w:val="none"/>
              </w:rPr>
              <w:t>施工期</w:t>
            </w:r>
            <w:bookmarkEnd w:id="15"/>
          </w:p>
        </w:tc>
        <w:tc>
          <w:tcPr>
            <w:tcW w:w="6571" w:type="dxa"/>
            <w:gridSpan w:val="2"/>
            <w:tcBorders>
              <w:top w:val="single" w:color="auto" w:sz="8" w:space="0"/>
              <w:left w:val="single" w:color="auto" w:sz="4" w:space="0"/>
              <w:bottom w:val="single" w:color="auto" w:sz="4" w:space="0"/>
              <w:right w:val="single" w:color="auto" w:sz="8" w:space="0"/>
            </w:tcBorders>
            <w:vAlign w:val="center"/>
          </w:tcPr>
          <w:p w14:paraId="20310330">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6" w:name="_Toc28342"/>
            <w:r>
              <w:rPr>
                <w:rFonts w:hint="default" w:ascii="Times New Roman" w:hAnsi="Times New Roman" w:eastAsia="宋体" w:cs="Times New Roman"/>
                <w:color w:val="auto"/>
                <w:kern w:val="2"/>
                <w:sz w:val="24"/>
                <w:szCs w:val="24"/>
                <w:highlight w:val="none"/>
              </w:rPr>
              <w:t>运营期</w:t>
            </w:r>
            <w:bookmarkEnd w:id="16"/>
          </w:p>
        </w:tc>
      </w:tr>
      <w:tr w14:paraId="3CFA8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vMerge w:val="continue"/>
            <w:tcBorders>
              <w:top w:val="single" w:color="auto" w:sz="8" w:space="0"/>
              <w:left w:val="single" w:color="auto" w:sz="8" w:space="0"/>
              <w:bottom w:val="single" w:color="auto" w:sz="4" w:space="0"/>
              <w:right w:val="single" w:color="auto" w:sz="4" w:space="0"/>
              <w:tl2br w:val="single" w:color="auto" w:sz="4" w:space="0"/>
            </w:tcBorders>
            <w:vAlign w:val="center"/>
          </w:tcPr>
          <w:p w14:paraId="18306EF7">
            <w:pPr>
              <w:widowControl/>
              <w:autoSpaceDE/>
              <w:autoSpaceDN/>
              <w:rPr>
                <w:rFonts w:hint="default" w:ascii="Times New Roman" w:hAnsi="Times New Roman" w:eastAsia="宋体" w:cs="Times New Roman"/>
                <w:color w:val="auto"/>
                <w:kern w:val="2"/>
                <w:sz w:val="24"/>
                <w:szCs w:val="24"/>
                <w:highlight w:val="none"/>
              </w:rPr>
            </w:pPr>
          </w:p>
        </w:tc>
        <w:tc>
          <w:tcPr>
            <w:tcW w:w="4671" w:type="dxa"/>
            <w:tcBorders>
              <w:top w:val="single" w:color="auto" w:sz="4" w:space="0"/>
              <w:left w:val="single" w:color="auto" w:sz="4" w:space="0"/>
              <w:bottom w:val="single" w:color="auto" w:sz="4" w:space="0"/>
              <w:right w:val="single" w:color="auto" w:sz="4" w:space="0"/>
            </w:tcBorders>
            <w:vAlign w:val="center"/>
          </w:tcPr>
          <w:p w14:paraId="151DC94F">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7" w:name="_Toc23993"/>
            <w:r>
              <w:rPr>
                <w:rFonts w:hint="default" w:ascii="Times New Roman" w:hAnsi="Times New Roman" w:eastAsia="宋体" w:cs="Times New Roman"/>
                <w:color w:val="auto"/>
                <w:kern w:val="2"/>
                <w:sz w:val="24"/>
                <w:szCs w:val="24"/>
                <w:highlight w:val="none"/>
              </w:rPr>
              <w:t>环境保护措施</w:t>
            </w:r>
            <w:bookmarkEnd w:id="17"/>
          </w:p>
        </w:tc>
        <w:tc>
          <w:tcPr>
            <w:tcW w:w="1985" w:type="dxa"/>
            <w:tcBorders>
              <w:top w:val="single" w:color="auto" w:sz="4" w:space="0"/>
              <w:left w:val="single" w:color="auto" w:sz="4" w:space="0"/>
              <w:bottom w:val="single" w:color="auto" w:sz="4" w:space="0"/>
              <w:right w:val="single" w:color="auto" w:sz="4" w:space="0"/>
            </w:tcBorders>
            <w:vAlign w:val="center"/>
          </w:tcPr>
          <w:p w14:paraId="32C08B6E">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8" w:name="_Toc601"/>
            <w:r>
              <w:rPr>
                <w:rFonts w:hint="default" w:ascii="Times New Roman" w:hAnsi="Times New Roman" w:eastAsia="宋体" w:cs="Times New Roman"/>
                <w:color w:val="auto"/>
                <w:kern w:val="2"/>
                <w:sz w:val="24"/>
                <w:szCs w:val="24"/>
                <w:highlight w:val="none"/>
              </w:rPr>
              <w:t>验收要求</w:t>
            </w:r>
            <w:bookmarkEnd w:id="18"/>
          </w:p>
        </w:tc>
        <w:tc>
          <w:tcPr>
            <w:tcW w:w="3690" w:type="dxa"/>
            <w:tcBorders>
              <w:top w:val="single" w:color="auto" w:sz="4" w:space="0"/>
              <w:left w:val="single" w:color="auto" w:sz="4" w:space="0"/>
              <w:bottom w:val="single" w:color="auto" w:sz="4" w:space="0"/>
              <w:right w:val="single" w:color="auto" w:sz="4" w:space="0"/>
            </w:tcBorders>
            <w:vAlign w:val="center"/>
          </w:tcPr>
          <w:p w14:paraId="1FB1C97D">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19" w:name="_Toc369"/>
            <w:r>
              <w:rPr>
                <w:rFonts w:hint="default" w:ascii="Times New Roman" w:hAnsi="Times New Roman" w:eastAsia="宋体" w:cs="Times New Roman"/>
                <w:color w:val="auto"/>
                <w:kern w:val="2"/>
                <w:sz w:val="24"/>
                <w:szCs w:val="24"/>
                <w:highlight w:val="none"/>
              </w:rPr>
              <w:t>环境保护措施</w:t>
            </w:r>
            <w:bookmarkEnd w:id="19"/>
          </w:p>
        </w:tc>
        <w:tc>
          <w:tcPr>
            <w:tcW w:w="2881" w:type="dxa"/>
            <w:tcBorders>
              <w:top w:val="single" w:color="auto" w:sz="4" w:space="0"/>
              <w:left w:val="single" w:color="auto" w:sz="4" w:space="0"/>
              <w:bottom w:val="single" w:color="auto" w:sz="4" w:space="0"/>
              <w:right w:val="single" w:color="auto" w:sz="8" w:space="0"/>
            </w:tcBorders>
            <w:vAlign w:val="center"/>
          </w:tcPr>
          <w:p w14:paraId="028B81AD">
            <w:pPr>
              <w:widowControl/>
              <w:autoSpaceDE/>
              <w:autoSpaceDN/>
              <w:adjustRightInd w:val="0"/>
              <w:snapToGrid w:val="0"/>
              <w:jc w:val="center"/>
              <w:rPr>
                <w:rFonts w:hint="default" w:ascii="Times New Roman" w:hAnsi="Times New Roman" w:eastAsia="宋体" w:cs="Times New Roman"/>
                <w:color w:val="auto"/>
                <w:kern w:val="2"/>
                <w:sz w:val="24"/>
                <w:szCs w:val="24"/>
                <w:highlight w:val="none"/>
              </w:rPr>
            </w:pPr>
            <w:bookmarkStart w:id="20" w:name="_Toc14192"/>
            <w:r>
              <w:rPr>
                <w:rFonts w:hint="default" w:ascii="Times New Roman" w:hAnsi="Times New Roman" w:eastAsia="宋体" w:cs="Times New Roman"/>
                <w:color w:val="auto"/>
                <w:kern w:val="2"/>
                <w:sz w:val="24"/>
                <w:szCs w:val="24"/>
                <w:highlight w:val="none"/>
              </w:rPr>
              <w:t>验收要求</w:t>
            </w:r>
            <w:bookmarkEnd w:id="20"/>
          </w:p>
        </w:tc>
      </w:tr>
      <w:tr w14:paraId="4E169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71DA3CF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陆生生态</w:t>
            </w:r>
          </w:p>
        </w:tc>
        <w:tc>
          <w:tcPr>
            <w:tcW w:w="4671" w:type="dxa"/>
            <w:tcBorders>
              <w:top w:val="single" w:color="auto" w:sz="4" w:space="0"/>
              <w:left w:val="single" w:color="auto" w:sz="4" w:space="0"/>
              <w:bottom w:val="single" w:color="auto" w:sz="4" w:space="0"/>
              <w:right w:val="single" w:color="auto" w:sz="4" w:space="0"/>
            </w:tcBorders>
            <w:vAlign w:val="center"/>
          </w:tcPr>
          <w:p w14:paraId="4F659B18">
            <w:pPr>
              <w:autoSpaceDE/>
              <w:autoSpaceDN/>
              <w:adjustRightInd w:val="0"/>
              <w:snapToGrid w:val="0"/>
              <w:spacing w:line="0" w:lineRule="atLeast"/>
              <w:rPr>
                <w:rFonts w:hint="eastAsia"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sz w:val="24"/>
                <w:szCs w:val="24"/>
                <w:highlight w:val="none"/>
              </w:rPr>
              <w:t>施工过程中采取严格的水土保持措施以及植被恢复措施；现场施工机械和人员活动范围严格限制在作业带范围内，同时避免在大风天气下进行施工作业，保护区内不设牵张场地、搅拌站等临时工程</w:t>
            </w:r>
            <w:r>
              <w:rPr>
                <w:rFonts w:hint="eastAsia" w:ascii="Times New Roman" w:hAnsi="Times New Roman" w:eastAsia="宋体" w:cs="Times New Roman"/>
                <w:color w:val="auto"/>
                <w:sz w:val="24"/>
                <w:szCs w:val="24"/>
                <w:highlight w:val="none"/>
                <w:lang w:eastAsia="zh-CN"/>
              </w:rPr>
              <w:t>。施工作业主要在远离生态红线的一侧，减少施工开挖面积和临时占地面积，表土分层堆放，分层回填；在施工区域设置警示牌，施工临时占地及时恢复，临时弃土、土石料场风季用苫布遮盖；优化土方平衡，弃土及时清运，减少二次倒运和堆放；施工结束后，及时对施工碾压过的土地进行人工洒水，使土壤自然疏松，按原来的地貌选择合适的草种或树木进行恢复性种植，在恢复期间注意保护，减少人畜和车辆的影响。</w:t>
            </w:r>
            <w:r>
              <w:rPr>
                <w:rFonts w:hint="default" w:ascii="Times New Roman" w:hAnsi="Times New Roman" w:eastAsia="宋体" w:cs="Times New Roman"/>
                <w:color w:val="auto"/>
                <w:sz w:val="24"/>
                <w:szCs w:val="24"/>
                <w:highlight w:val="none"/>
              </w:rPr>
              <w:t>牵张场全部位于河北滦河上游国家级自然保护区外，保护区内采用无人机架设方式完成牵张任务</w:t>
            </w:r>
            <w:r>
              <w:rPr>
                <w:rFonts w:hint="eastAsia" w:ascii="Times New Roman" w:hAnsi="Times New Roman" w:eastAsia="宋体" w:cs="Times New Roman"/>
                <w:color w:val="auto"/>
                <w:sz w:val="24"/>
                <w:szCs w:val="24"/>
                <w:highlight w:val="none"/>
                <w:lang w:eastAsia="zh-CN"/>
              </w:rPr>
              <w:t>。</w:t>
            </w:r>
          </w:p>
        </w:tc>
        <w:tc>
          <w:tcPr>
            <w:tcW w:w="1985" w:type="dxa"/>
            <w:tcBorders>
              <w:top w:val="single" w:color="auto" w:sz="4" w:space="0"/>
              <w:left w:val="single" w:color="auto" w:sz="4" w:space="0"/>
              <w:bottom w:val="single" w:color="auto" w:sz="4" w:space="0"/>
              <w:right w:val="single" w:color="auto" w:sz="4" w:space="0"/>
            </w:tcBorders>
            <w:vAlign w:val="center"/>
          </w:tcPr>
          <w:p w14:paraId="4CBB844A">
            <w:pPr>
              <w:autoSpaceDE/>
              <w:autoSpaceDN/>
              <w:adjustRightInd w:val="0"/>
              <w:snapToGrid w:val="0"/>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清理施工现场，恢复原有土地使用功能。</w:t>
            </w:r>
            <w:r>
              <w:rPr>
                <w:rFonts w:hint="eastAsia" w:ascii="Times New Roman" w:hAnsi="Times New Roman" w:eastAsia="宋体" w:cs="Times New Roman"/>
                <w:color w:val="auto"/>
                <w:kern w:val="2"/>
                <w:sz w:val="24"/>
                <w:szCs w:val="24"/>
                <w:highlight w:val="none"/>
                <w:lang w:val="en-US" w:eastAsia="zh-CN"/>
              </w:rPr>
              <w:t>水土保持措施按照水利部《生产建设项目水土保持方案管理办法》（水利部令第53号）要求进行；国有林场段林地恢复由河北省木兰围场国有林场进行实施</w:t>
            </w:r>
          </w:p>
        </w:tc>
        <w:tc>
          <w:tcPr>
            <w:tcW w:w="3690" w:type="dxa"/>
            <w:tcBorders>
              <w:top w:val="single" w:color="auto" w:sz="4" w:space="0"/>
              <w:left w:val="single" w:color="auto" w:sz="4" w:space="0"/>
              <w:bottom w:val="single" w:color="auto" w:sz="4" w:space="0"/>
              <w:right w:val="single" w:color="auto" w:sz="4" w:space="0"/>
            </w:tcBorders>
            <w:vAlign w:val="center"/>
          </w:tcPr>
          <w:p w14:paraId="50CEE53F">
            <w:pPr>
              <w:autoSpaceDE/>
              <w:autoSpaceDN/>
              <w:adjustRightInd w:val="0"/>
              <w:snapToGrid w:val="0"/>
              <w:jc w:val="both"/>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对恢复植被进行定期养护，确保成活率和生物量，塔基安装驱鸟器，在导线悬垂串及跳线串上方安装防鸟刺。</w:t>
            </w:r>
            <w:r>
              <w:rPr>
                <w:rFonts w:hint="eastAsia" w:ascii="Times New Roman" w:hAnsi="Times New Roman" w:eastAsia="宋体" w:cs="Times New Roman"/>
                <w:color w:val="auto"/>
                <w:kern w:val="2"/>
                <w:sz w:val="24"/>
                <w:szCs w:val="24"/>
                <w:highlight w:val="none"/>
                <w:lang w:val="en-US" w:eastAsia="zh-CN"/>
              </w:rPr>
              <w:t>按照</w:t>
            </w:r>
            <w:r>
              <w:rPr>
                <w:rFonts w:hint="default" w:ascii="Times New Roman" w:hAnsi="Times New Roman" w:eastAsia="宋体" w:cs="Times New Roman"/>
                <w:color w:val="auto"/>
                <w:kern w:val="2"/>
                <w:sz w:val="24"/>
                <w:szCs w:val="24"/>
                <w:highlight w:val="none"/>
              </w:rPr>
              <w:t>《110kV～750kV架空输电线路设计规范》（GB50545-2010）</w:t>
            </w:r>
            <w:r>
              <w:rPr>
                <w:rFonts w:hint="eastAsia" w:ascii="Times New Roman" w:hAnsi="Times New Roman" w:eastAsia="宋体" w:cs="Times New Roman"/>
                <w:color w:val="auto"/>
                <w:kern w:val="2"/>
                <w:sz w:val="24"/>
                <w:szCs w:val="24"/>
                <w:highlight w:val="none"/>
                <w:lang w:val="en-US" w:eastAsia="zh-CN"/>
              </w:rPr>
              <w:t>对线路下方树木进行修剪。</w:t>
            </w:r>
          </w:p>
        </w:tc>
        <w:tc>
          <w:tcPr>
            <w:tcW w:w="2881" w:type="dxa"/>
            <w:tcBorders>
              <w:top w:val="single" w:color="auto" w:sz="4" w:space="0"/>
              <w:left w:val="single" w:color="auto" w:sz="4" w:space="0"/>
              <w:bottom w:val="single" w:color="auto" w:sz="4" w:space="0"/>
              <w:right w:val="single" w:color="auto" w:sz="8" w:space="0"/>
            </w:tcBorders>
            <w:vAlign w:val="center"/>
          </w:tcPr>
          <w:p w14:paraId="2C3D7DFA">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lang w:val="en-US" w:eastAsia="zh-CN"/>
              </w:rPr>
              <w:t>临时占地全部恢复原有生态功能，</w:t>
            </w:r>
            <w:r>
              <w:rPr>
                <w:rFonts w:hint="default" w:ascii="Times New Roman" w:hAnsi="Times New Roman" w:eastAsia="宋体" w:cs="Times New Roman"/>
                <w:color w:val="auto"/>
                <w:kern w:val="2"/>
                <w:sz w:val="24"/>
                <w:szCs w:val="24"/>
                <w:highlight w:val="none"/>
              </w:rPr>
              <w:t>植被成活率、恢复措施效果、植被覆盖率、恢复面积、恢复植被种类，塔基安装驱鸟器，在导线悬垂串及跳线串上方安装防鸟刺。</w:t>
            </w:r>
            <w:r>
              <w:rPr>
                <w:rFonts w:hint="eastAsia" w:ascii="Times New Roman" w:hAnsi="Times New Roman" w:eastAsia="宋体" w:cs="Times New Roman"/>
                <w:color w:val="auto"/>
                <w:kern w:val="2"/>
                <w:sz w:val="24"/>
                <w:szCs w:val="24"/>
                <w:highlight w:val="none"/>
                <w:lang w:val="en-US" w:eastAsia="zh-CN"/>
              </w:rPr>
              <w:t>水土保持措施按照水利部《生产建设项目水土保持方案管理办法》（水利部令第53号）要求进行；国有林场段林地恢复由河北省木兰围场国有林场进行实施</w:t>
            </w:r>
          </w:p>
        </w:tc>
      </w:tr>
      <w:tr w14:paraId="66FFF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54796CA2">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水生生态</w:t>
            </w:r>
          </w:p>
        </w:tc>
        <w:tc>
          <w:tcPr>
            <w:tcW w:w="4671" w:type="dxa"/>
            <w:tcBorders>
              <w:top w:val="single" w:color="auto" w:sz="4" w:space="0"/>
              <w:left w:val="single" w:color="auto" w:sz="4" w:space="0"/>
              <w:bottom w:val="single" w:color="auto" w:sz="4" w:space="0"/>
              <w:right w:val="single" w:color="auto" w:sz="4" w:space="0"/>
            </w:tcBorders>
            <w:vAlign w:val="center"/>
          </w:tcPr>
          <w:p w14:paraId="51495C5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066764A0">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478BEF65">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5E6BC20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43E97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05A77257">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地表水环境</w:t>
            </w:r>
          </w:p>
        </w:tc>
        <w:tc>
          <w:tcPr>
            <w:tcW w:w="4671" w:type="dxa"/>
            <w:tcBorders>
              <w:top w:val="single" w:color="auto" w:sz="4" w:space="0"/>
              <w:left w:val="single" w:color="auto" w:sz="4" w:space="0"/>
              <w:bottom w:val="single" w:color="auto" w:sz="4" w:space="0"/>
              <w:right w:val="single" w:color="auto" w:sz="4" w:space="0"/>
            </w:tcBorders>
            <w:vAlign w:val="center"/>
          </w:tcPr>
          <w:p w14:paraId="03DA24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施工场地生产废水：在施工场区设置沉淀池，废水经沉淀池沉淀处理后，用于施工机械清洗及道路浇洒。</w:t>
            </w:r>
          </w:p>
          <w:p w14:paraId="62C1064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施工生活污水：盥洗废水全部用于地面抑尘；施工现场设防渗旱厕，定期清掏，用作农肥。</w:t>
            </w:r>
          </w:p>
        </w:tc>
        <w:tc>
          <w:tcPr>
            <w:tcW w:w="1985" w:type="dxa"/>
            <w:tcBorders>
              <w:top w:val="single" w:color="auto" w:sz="4" w:space="0"/>
              <w:left w:val="single" w:color="auto" w:sz="4" w:space="0"/>
              <w:bottom w:val="single" w:color="auto" w:sz="4" w:space="0"/>
              <w:right w:val="single" w:color="auto" w:sz="4" w:space="0"/>
            </w:tcBorders>
            <w:vAlign w:val="center"/>
          </w:tcPr>
          <w:p w14:paraId="221BEAC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废水不外排</w:t>
            </w:r>
          </w:p>
        </w:tc>
        <w:tc>
          <w:tcPr>
            <w:tcW w:w="3690" w:type="dxa"/>
            <w:tcBorders>
              <w:top w:val="single" w:color="auto" w:sz="4" w:space="0"/>
              <w:left w:val="single" w:color="auto" w:sz="4" w:space="0"/>
              <w:bottom w:val="single" w:color="auto" w:sz="4" w:space="0"/>
              <w:right w:val="single" w:color="auto" w:sz="4" w:space="0"/>
            </w:tcBorders>
            <w:vAlign w:val="center"/>
          </w:tcPr>
          <w:p w14:paraId="2409B0B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22CD956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B896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right w:val="single" w:color="auto" w:sz="4" w:space="0"/>
            </w:tcBorders>
            <w:vAlign w:val="center"/>
          </w:tcPr>
          <w:p w14:paraId="6E47A48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地下水及土壤环境</w:t>
            </w:r>
          </w:p>
        </w:tc>
        <w:tc>
          <w:tcPr>
            <w:tcW w:w="4671" w:type="dxa"/>
            <w:tcBorders>
              <w:top w:val="single" w:color="auto" w:sz="4" w:space="0"/>
              <w:left w:val="single" w:color="auto" w:sz="4" w:space="0"/>
              <w:right w:val="single" w:color="auto" w:sz="4" w:space="0"/>
            </w:tcBorders>
            <w:vAlign w:val="center"/>
          </w:tcPr>
          <w:p w14:paraId="4D7EEC83">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right w:val="single" w:color="auto" w:sz="4" w:space="0"/>
            </w:tcBorders>
            <w:vAlign w:val="center"/>
          </w:tcPr>
          <w:p w14:paraId="19443CFA">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69E3FF0F">
            <w:pPr>
              <w:autoSpaceDE/>
              <w:autoSpaceDN/>
              <w:spacing w:line="32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6ABCE426">
            <w:pPr>
              <w:autoSpaceDE/>
              <w:autoSpaceDN/>
              <w:spacing w:line="32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5BBAA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129112D0">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声环境</w:t>
            </w:r>
          </w:p>
        </w:tc>
        <w:tc>
          <w:tcPr>
            <w:tcW w:w="4671" w:type="dxa"/>
            <w:tcBorders>
              <w:top w:val="single" w:color="auto" w:sz="4" w:space="0"/>
              <w:left w:val="single" w:color="auto" w:sz="4" w:space="0"/>
              <w:bottom w:val="single" w:color="auto" w:sz="4" w:space="0"/>
              <w:right w:val="single" w:color="auto" w:sz="4" w:space="0"/>
            </w:tcBorders>
            <w:vAlign w:val="center"/>
          </w:tcPr>
          <w:p w14:paraId="628B64F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选用低噪声设备，控制施工时间等措施，远离居民区设置施工场地。</w:t>
            </w:r>
          </w:p>
        </w:tc>
        <w:tc>
          <w:tcPr>
            <w:tcW w:w="1985" w:type="dxa"/>
            <w:tcBorders>
              <w:top w:val="single" w:color="auto" w:sz="4" w:space="0"/>
              <w:left w:val="single" w:color="auto" w:sz="4" w:space="0"/>
              <w:bottom w:val="single" w:color="auto" w:sz="4" w:space="0"/>
              <w:right w:val="single" w:color="auto" w:sz="4" w:space="0"/>
            </w:tcBorders>
            <w:vAlign w:val="center"/>
          </w:tcPr>
          <w:p w14:paraId="18AE3D4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《建筑施工场界环境噪声排放标准》（GB12532-2011）中的标准要求。</w:t>
            </w:r>
          </w:p>
        </w:tc>
        <w:tc>
          <w:tcPr>
            <w:tcW w:w="3690" w:type="dxa"/>
            <w:tcBorders>
              <w:top w:val="single" w:color="auto" w:sz="4" w:space="0"/>
              <w:left w:val="single" w:color="auto" w:sz="4" w:space="0"/>
              <w:bottom w:val="single" w:color="auto" w:sz="4" w:space="0"/>
              <w:right w:val="single" w:color="auto" w:sz="4" w:space="0"/>
            </w:tcBorders>
            <w:vAlign w:val="center"/>
          </w:tcPr>
          <w:p w14:paraId="6F7211A1">
            <w:pPr>
              <w:pStyle w:val="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运行期加强输电线路运行维护检查，保证正常运行；开展运行期环境监测和管理工作，切实减少对周围环境的影响；建立健全环保管理机构，做好项目的环保竣工验收工作；科学设置导线排列方式、选购光洁度高的导线，确保噪声达标排放。</w:t>
            </w:r>
          </w:p>
        </w:tc>
        <w:tc>
          <w:tcPr>
            <w:tcW w:w="2881" w:type="dxa"/>
            <w:tcBorders>
              <w:top w:val="single" w:color="auto" w:sz="4" w:space="0"/>
              <w:left w:val="single" w:color="auto" w:sz="4" w:space="0"/>
              <w:bottom w:val="single" w:color="auto" w:sz="4" w:space="0"/>
              <w:right w:val="single" w:color="auto" w:sz="8" w:space="0"/>
            </w:tcBorders>
            <w:vAlign w:val="center"/>
          </w:tcPr>
          <w:p w14:paraId="061B2DDA">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线路周围声环境执行《声环境质量标准》（GB3096-2008）相应声功能区标准</w:t>
            </w:r>
          </w:p>
        </w:tc>
      </w:tr>
      <w:tr w14:paraId="5382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22CF2E0F">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振动</w:t>
            </w:r>
          </w:p>
        </w:tc>
        <w:tc>
          <w:tcPr>
            <w:tcW w:w="4671" w:type="dxa"/>
            <w:tcBorders>
              <w:top w:val="single" w:color="auto" w:sz="4" w:space="0"/>
              <w:left w:val="single" w:color="auto" w:sz="4" w:space="0"/>
              <w:bottom w:val="single" w:color="auto" w:sz="4" w:space="0"/>
              <w:right w:val="single" w:color="auto" w:sz="4" w:space="0"/>
            </w:tcBorders>
            <w:vAlign w:val="center"/>
          </w:tcPr>
          <w:p w14:paraId="0126B5A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single" w:color="auto" w:sz="4" w:space="0"/>
              <w:bottom w:val="single" w:color="auto" w:sz="4" w:space="0"/>
              <w:right w:val="single" w:color="auto" w:sz="4" w:space="0"/>
            </w:tcBorders>
            <w:vAlign w:val="center"/>
          </w:tcPr>
          <w:p w14:paraId="451407C9">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auto" w:sz="4" w:space="0"/>
            </w:tcBorders>
            <w:vAlign w:val="center"/>
          </w:tcPr>
          <w:p w14:paraId="2C7B795F">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17EBFE2B">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2406F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4C481BC8">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大气环境</w:t>
            </w:r>
          </w:p>
        </w:tc>
        <w:tc>
          <w:tcPr>
            <w:tcW w:w="4671" w:type="dxa"/>
            <w:tcBorders>
              <w:top w:val="single" w:color="auto" w:sz="4" w:space="0"/>
              <w:left w:val="single" w:color="auto" w:sz="4" w:space="0"/>
              <w:bottom w:val="single" w:color="auto" w:sz="4" w:space="0"/>
              <w:right w:val="single" w:color="auto" w:sz="4" w:space="0"/>
            </w:tcBorders>
            <w:vAlign w:val="center"/>
          </w:tcPr>
          <w:p w14:paraId="055EA0AD">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施工前及时通知周边居民，出入车辆清洗、加强遮盖、及时清扫抑尘等措施；离村庄较近区域不在</w:t>
            </w:r>
            <w:r>
              <w:rPr>
                <w:rFonts w:hint="eastAsia" w:ascii="Times New Roman" w:hAnsi="Times New Roman" w:eastAsia="宋体" w:cs="Times New Roman"/>
                <w:color w:val="auto"/>
                <w:sz w:val="24"/>
                <w:szCs w:val="24"/>
                <w:highlight w:val="none"/>
                <w:lang w:val="en-US" w:eastAsia="zh-CN"/>
              </w:rPr>
              <w:t>大</w:t>
            </w:r>
            <w:r>
              <w:rPr>
                <w:rFonts w:hint="default" w:ascii="Times New Roman" w:hAnsi="Times New Roman" w:eastAsia="宋体" w:cs="Times New Roman"/>
                <w:color w:val="auto"/>
                <w:sz w:val="24"/>
                <w:szCs w:val="24"/>
                <w:highlight w:val="none"/>
              </w:rPr>
              <w:t>风天气施工，适当增加临近居民处洒水抑尘次数，施工机械和车辆尽量避让居民居住区行驶，以减</w:t>
            </w:r>
            <w:r>
              <w:rPr>
                <w:rFonts w:hint="default" w:ascii="Times New Roman" w:hAnsi="Times New Roman" w:eastAsia="宋体" w:cs="Times New Roman"/>
                <w:color w:val="auto"/>
                <w:spacing w:val="-6"/>
                <w:sz w:val="24"/>
                <w:szCs w:val="24"/>
                <w:highlight w:val="none"/>
              </w:rPr>
              <w:t>少施工废气对居民的影响。</w:t>
            </w:r>
          </w:p>
        </w:tc>
        <w:tc>
          <w:tcPr>
            <w:tcW w:w="1985" w:type="dxa"/>
            <w:tcBorders>
              <w:top w:val="single" w:color="auto" w:sz="4" w:space="0"/>
              <w:left w:val="nil"/>
              <w:bottom w:val="single" w:color="auto" w:sz="4" w:space="0"/>
              <w:right w:val="single" w:color="auto" w:sz="4" w:space="0"/>
            </w:tcBorders>
            <w:vAlign w:val="center"/>
          </w:tcPr>
          <w:p w14:paraId="1A46B83C">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《施工场地扬尘排放标准》（DB13/2934-2019）表1扬尘排放浓度限值。</w:t>
            </w:r>
          </w:p>
        </w:tc>
        <w:tc>
          <w:tcPr>
            <w:tcW w:w="3690" w:type="dxa"/>
            <w:tcBorders>
              <w:top w:val="single" w:color="auto" w:sz="4" w:space="0"/>
              <w:left w:val="single" w:color="auto" w:sz="4" w:space="0"/>
              <w:bottom w:val="single" w:color="auto" w:sz="4" w:space="0"/>
              <w:right w:val="single" w:color="auto" w:sz="4" w:space="0"/>
            </w:tcBorders>
            <w:vAlign w:val="center"/>
          </w:tcPr>
          <w:p w14:paraId="26168FC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4A9728DA">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0F24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3B7DDB9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固体废物</w:t>
            </w:r>
          </w:p>
        </w:tc>
        <w:tc>
          <w:tcPr>
            <w:tcW w:w="4671" w:type="dxa"/>
            <w:tcBorders>
              <w:top w:val="single" w:color="auto" w:sz="4" w:space="0"/>
              <w:left w:val="single" w:color="auto" w:sz="4" w:space="0"/>
              <w:bottom w:val="single" w:color="auto" w:sz="4" w:space="0"/>
              <w:right w:val="single" w:color="auto" w:sz="4" w:space="0"/>
            </w:tcBorders>
            <w:vAlign w:val="center"/>
          </w:tcPr>
          <w:p w14:paraId="665EBBF2">
            <w:pPr>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建筑垃圾送市政部门指定的地点堆存；生活垃圾收集后，交由环卫部门统一处理。</w:t>
            </w:r>
          </w:p>
        </w:tc>
        <w:tc>
          <w:tcPr>
            <w:tcW w:w="1985" w:type="dxa"/>
            <w:tcBorders>
              <w:top w:val="single" w:color="auto" w:sz="4" w:space="0"/>
              <w:left w:val="nil"/>
              <w:bottom w:val="single" w:color="auto" w:sz="4" w:space="0"/>
              <w:right w:val="single" w:color="auto" w:sz="4" w:space="0"/>
            </w:tcBorders>
            <w:vAlign w:val="center"/>
          </w:tcPr>
          <w:p w14:paraId="5B5D2FA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妥善处理</w:t>
            </w:r>
          </w:p>
        </w:tc>
        <w:tc>
          <w:tcPr>
            <w:tcW w:w="3690" w:type="dxa"/>
            <w:tcBorders>
              <w:top w:val="single" w:color="auto" w:sz="4" w:space="0"/>
              <w:left w:val="single" w:color="auto" w:sz="4" w:space="0"/>
              <w:bottom w:val="single" w:color="auto" w:sz="4" w:space="0"/>
              <w:right w:val="single" w:color="auto" w:sz="4" w:space="0"/>
            </w:tcBorders>
            <w:vAlign w:val="center"/>
          </w:tcPr>
          <w:p w14:paraId="20FA9D86">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single" w:color="auto" w:sz="4" w:space="0"/>
              <w:bottom w:val="single" w:color="auto" w:sz="4" w:space="0"/>
              <w:right w:val="single" w:color="auto" w:sz="8" w:space="0"/>
            </w:tcBorders>
            <w:vAlign w:val="center"/>
          </w:tcPr>
          <w:p w14:paraId="4979CE7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14:paraId="66455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48D56937">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电磁环境</w:t>
            </w:r>
          </w:p>
        </w:tc>
        <w:tc>
          <w:tcPr>
            <w:tcW w:w="4671" w:type="dxa"/>
            <w:tcBorders>
              <w:top w:val="single" w:color="auto" w:sz="4" w:space="0"/>
              <w:left w:val="single" w:color="auto" w:sz="4" w:space="0"/>
              <w:bottom w:val="single" w:color="auto" w:sz="4" w:space="0"/>
              <w:right w:val="single" w:color="auto" w:sz="4" w:space="0"/>
            </w:tcBorders>
            <w:vAlign w:val="center"/>
          </w:tcPr>
          <w:p w14:paraId="3E324A15">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nil"/>
              <w:bottom w:val="single" w:color="auto" w:sz="4" w:space="0"/>
              <w:right w:val="single" w:color="auto" w:sz="4" w:space="0"/>
            </w:tcBorders>
            <w:vAlign w:val="center"/>
          </w:tcPr>
          <w:p w14:paraId="2A50DF12">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000000" w:sz="4" w:space="0"/>
            </w:tcBorders>
            <w:vAlign w:val="center"/>
          </w:tcPr>
          <w:p w14:paraId="7B8A8E67">
            <w:pPr>
              <w:adjustRightInd w:val="0"/>
              <w:snapToGrid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行期加强输电线路运行维护检查，保证正常运行；开展运行期环境监测和管理工作，切实减少对周围环境的影响；建立健全环保管理机构，做好项目的环保竣工验收工作；科学设置导线排列方式、选购光洁度高的导线，确保电磁达标排放</w:t>
            </w:r>
            <w:r>
              <w:rPr>
                <w:rFonts w:hint="default" w:ascii="Times New Roman" w:hAnsi="Times New Roman" w:eastAsia="宋体" w:cs="Times New Roman"/>
                <w:color w:val="auto"/>
                <w:kern w:val="2"/>
                <w:sz w:val="24"/>
                <w:szCs w:val="24"/>
                <w:highlight w:val="none"/>
                <w:lang w:bidi="ar"/>
              </w:rPr>
              <w:t>。</w:t>
            </w:r>
          </w:p>
        </w:tc>
        <w:tc>
          <w:tcPr>
            <w:tcW w:w="2881" w:type="dxa"/>
            <w:tcBorders>
              <w:top w:val="single" w:color="auto" w:sz="4" w:space="0"/>
              <w:left w:val="nil"/>
              <w:bottom w:val="single" w:color="auto" w:sz="4" w:space="0"/>
              <w:right w:val="single" w:color="auto" w:sz="8" w:space="0"/>
            </w:tcBorders>
            <w:vAlign w:val="center"/>
          </w:tcPr>
          <w:p w14:paraId="0D85EF98">
            <w:pPr>
              <w:adjustRightInd w:val="0"/>
              <w:snapToGrid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《电磁环境控制限值》（GB8702-2014）</w:t>
            </w:r>
          </w:p>
        </w:tc>
      </w:tr>
      <w:tr w14:paraId="5F3ED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4" w:space="0"/>
              <w:right w:val="single" w:color="auto" w:sz="4" w:space="0"/>
            </w:tcBorders>
            <w:vAlign w:val="center"/>
          </w:tcPr>
          <w:p w14:paraId="0DFB9DB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环境风险</w:t>
            </w:r>
          </w:p>
        </w:tc>
        <w:tc>
          <w:tcPr>
            <w:tcW w:w="4671" w:type="dxa"/>
            <w:tcBorders>
              <w:top w:val="single" w:color="auto" w:sz="4" w:space="0"/>
              <w:left w:val="single" w:color="auto" w:sz="4" w:space="0"/>
              <w:bottom w:val="single" w:color="auto" w:sz="4" w:space="0"/>
              <w:right w:val="single" w:color="000000" w:sz="4" w:space="0"/>
            </w:tcBorders>
            <w:vAlign w:val="center"/>
          </w:tcPr>
          <w:p w14:paraId="08DEDDFD">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1985" w:type="dxa"/>
            <w:tcBorders>
              <w:top w:val="single" w:color="auto" w:sz="4" w:space="0"/>
              <w:left w:val="nil"/>
              <w:bottom w:val="single" w:color="auto" w:sz="4" w:space="0"/>
              <w:right w:val="single" w:color="auto" w:sz="4" w:space="0"/>
            </w:tcBorders>
            <w:vAlign w:val="center"/>
          </w:tcPr>
          <w:p w14:paraId="68F6D839">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c>
          <w:tcPr>
            <w:tcW w:w="3690" w:type="dxa"/>
            <w:tcBorders>
              <w:top w:val="single" w:color="auto" w:sz="4" w:space="0"/>
              <w:left w:val="single" w:color="auto" w:sz="4" w:space="0"/>
              <w:bottom w:val="single" w:color="auto" w:sz="4" w:space="0"/>
              <w:right w:val="single" w:color="000000" w:sz="4" w:space="0"/>
            </w:tcBorders>
            <w:vAlign w:val="center"/>
          </w:tcPr>
          <w:p w14:paraId="60D1EE14">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本项目不涉及环境风险物质</w:t>
            </w:r>
          </w:p>
        </w:tc>
        <w:tc>
          <w:tcPr>
            <w:tcW w:w="2881" w:type="dxa"/>
            <w:tcBorders>
              <w:top w:val="single" w:color="auto" w:sz="4" w:space="0"/>
              <w:left w:val="nil"/>
              <w:bottom w:val="single" w:color="auto" w:sz="4" w:space="0"/>
              <w:right w:val="single" w:color="auto" w:sz="8" w:space="0"/>
            </w:tcBorders>
            <w:vAlign w:val="center"/>
          </w:tcPr>
          <w:p w14:paraId="70A75A44">
            <w:pPr>
              <w:autoSpaceDE/>
              <w:autoSpaceDN/>
              <w:adjustRightInd w:val="0"/>
              <w:snapToGrid w:val="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w:t>
            </w:r>
          </w:p>
        </w:tc>
      </w:tr>
      <w:tr w14:paraId="1218E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249" w:type="dxa"/>
            <w:vMerge w:val="restart"/>
            <w:tcBorders>
              <w:top w:val="single" w:color="auto" w:sz="4" w:space="0"/>
              <w:left w:val="single" w:color="auto" w:sz="8" w:space="0"/>
              <w:right w:val="single" w:color="auto" w:sz="4" w:space="0"/>
            </w:tcBorders>
            <w:vAlign w:val="center"/>
          </w:tcPr>
          <w:p w14:paraId="09B939D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环境监测</w:t>
            </w:r>
          </w:p>
        </w:tc>
        <w:tc>
          <w:tcPr>
            <w:tcW w:w="4671" w:type="dxa"/>
            <w:tcBorders>
              <w:top w:val="single" w:color="auto" w:sz="4" w:space="0"/>
              <w:left w:val="single" w:color="auto" w:sz="4" w:space="0"/>
              <w:right w:val="single" w:color="000000" w:sz="4" w:space="0"/>
            </w:tcBorders>
            <w:vAlign w:val="center"/>
          </w:tcPr>
          <w:p w14:paraId="21ED6D36">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环境空气</w:t>
            </w:r>
          </w:p>
        </w:tc>
        <w:tc>
          <w:tcPr>
            <w:tcW w:w="1985" w:type="dxa"/>
            <w:tcBorders>
              <w:top w:val="single" w:color="auto" w:sz="4" w:space="0"/>
              <w:left w:val="nil"/>
              <w:right w:val="single" w:color="auto" w:sz="4" w:space="0"/>
            </w:tcBorders>
            <w:vAlign w:val="center"/>
          </w:tcPr>
          <w:p w14:paraId="2C83849D">
            <w:pPr>
              <w:autoSpaceDE/>
              <w:autoSpaceDN/>
              <w:adjustRightInd w:val="0"/>
              <w:snapToGrid w:val="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PM</w:t>
            </w:r>
            <w:r>
              <w:rPr>
                <w:rFonts w:hint="default" w:ascii="Times New Roman" w:hAnsi="Times New Roman" w:eastAsia="宋体" w:cs="Times New Roman"/>
                <w:color w:val="auto"/>
                <w:kern w:val="2"/>
                <w:sz w:val="24"/>
                <w:szCs w:val="24"/>
                <w:highlight w:val="none"/>
                <w:vertAlign w:val="subscript"/>
              </w:rPr>
              <w:t>10</w:t>
            </w:r>
            <w:r>
              <w:rPr>
                <w:rFonts w:hint="default" w:ascii="Times New Roman" w:hAnsi="Times New Roman" w:eastAsia="宋体" w:cs="Times New Roman"/>
                <w:color w:val="auto"/>
                <w:kern w:val="2"/>
                <w:sz w:val="24"/>
                <w:szCs w:val="24"/>
                <w:highlight w:val="none"/>
              </w:rPr>
              <w:t>符合《施工场地扬尘排放标准》（DB13/2934-2019）表1扬尘排放浓度限值</w:t>
            </w:r>
          </w:p>
        </w:tc>
        <w:tc>
          <w:tcPr>
            <w:tcW w:w="3690" w:type="dxa"/>
            <w:tcBorders>
              <w:top w:val="single" w:color="auto" w:sz="4" w:space="0"/>
              <w:left w:val="single" w:color="auto" w:sz="4" w:space="0"/>
              <w:right w:val="single" w:color="000000" w:sz="4" w:space="0"/>
            </w:tcBorders>
            <w:vAlign w:val="center"/>
          </w:tcPr>
          <w:p w14:paraId="4C83464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w:t>
            </w:r>
          </w:p>
        </w:tc>
        <w:tc>
          <w:tcPr>
            <w:tcW w:w="2881" w:type="dxa"/>
            <w:tcBorders>
              <w:top w:val="single" w:color="auto" w:sz="4" w:space="0"/>
              <w:left w:val="nil"/>
              <w:right w:val="single" w:color="auto" w:sz="8" w:space="0"/>
            </w:tcBorders>
            <w:vAlign w:val="center"/>
          </w:tcPr>
          <w:p w14:paraId="632B6043">
            <w:pPr>
              <w:adjustRightInd w:val="0"/>
              <w:snapToGrid w:val="0"/>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bidi="ar"/>
              </w:rPr>
              <w:t>电磁环境满足《电磁环境控制限值》（GB8702-2014）中规定的4kV/m（</w:t>
            </w:r>
            <w:r>
              <w:rPr>
                <w:rFonts w:hint="default" w:ascii="Times New Roman" w:hAnsi="Times New Roman" w:eastAsia="宋体" w:cs="Times New Roman"/>
                <w:color w:val="auto"/>
                <w:sz w:val="24"/>
                <w:szCs w:val="24"/>
                <w:highlight w:val="none"/>
              </w:rPr>
              <w:t>其中架空输电线路线下的耕地、园地、道路等场所，其频率50Hz的电场强度控制限值为10kV/m</w:t>
            </w:r>
            <w:r>
              <w:rPr>
                <w:rFonts w:hint="default" w:ascii="Times New Roman" w:hAnsi="Times New Roman" w:eastAsia="宋体" w:cs="Times New Roman"/>
                <w:color w:val="auto"/>
                <w:kern w:val="2"/>
                <w:sz w:val="24"/>
                <w:szCs w:val="24"/>
                <w:highlight w:val="none"/>
                <w:lang w:bidi="ar"/>
              </w:rPr>
              <w:t>）和100μT公众曝露控制限值要求。</w:t>
            </w:r>
          </w:p>
        </w:tc>
      </w:tr>
      <w:tr w14:paraId="5DA38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249" w:type="dxa"/>
            <w:vMerge w:val="continue"/>
            <w:tcBorders>
              <w:left w:val="single" w:color="auto" w:sz="8" w:space="0"/>
              <w:right w:val="single" w:color="auto" w:sz="4" w:space="0"/>
            </w:tcBorders>
            <w:vAlign w:val="center"/>
          </w:tcPr>
          <w:p w14:paraId="608BCC6F">
            <w:pPr>
              <w:autoSpaceDE/>
              <w:autoSpaceDN/>
              <w:adjustRightInd w:val="0"/>
              <w:snapToGrid w:val="0"/>
              <w:jc w:val="center"/>
              <w:rPr>
                <w:rFonts w:hint="default" w:ascii="Times New Roman" w:hAnsi="Times New Roman" w:eastAsia="宋体" w:cs="Times New Roman"/>
                <w:color w:val="auto"/>
                <w:kern w:val="2"/>
                <w:sz w:val="24"/>
                <w:szCs w:val="24"/>
                <w:highlight w:val="none"/>
              </w:rPr>
            </w:pPr>
          </w:p>
        </w:tc>
        <w:tc>
          <w:tcPr>
            <w:tcW w:w="4671" w:type="dxa"/>
            <w:tcBorders>
              <w:top w:val="single" w:color="auto" w:sz="4" w:space="0"/>
              <w:left w:val="single" w:color="auto" w:sz="4" w:space="0"/>
              <w:right w:val="single" w:color="000000" w:sz="4" w:space="0"/>
            </w:tcBorders>
            <w:vAlign w:val="center"/>
          </w:tcPr>
          <w:p w14:paraId="6E2EAC9E">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噪声</w:t>
            </w:r>
          </w:p>
        </w:tc>
        <w:tc>
          <w:tcPr>
            <w:tcW w:w="1985" w:type="dxa"/>
            <w:tcBorders>
              <w:left w:val="nil"/>
              <w:right w:val="single" w:color="auto" w:sz="4" w:space="0"/>
            </w:tcBorders>
            <w:vAlign w:val="center"/>
          </w:tcPr>
          <w:p w14:paraId="0FA111A1">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施工噪声满足《建筑施工场界环境噪声排放标准》（GB12523-2011）</w:t>
            </w:r>
          </w:p>
        </w:tc>
        <w:tc>
          <w:tcPr>
            <w:tcW w:w="3690" w:type="dxa"/>
            <w:tcBorders>
              <w:left w:val="single" w:color="auto" w:sz="4" w:space="0"/>
              <w:bottom w:val="single" w:color="auto" w:sz="4" w:space="0"/>
              <w:right w:val="single" w:color="000000" w:sz="4" w:space="0"/>
            </w:tcBorders>
            <w:vAlign w:val="center"/>
          </w:tcPr>
          <w:p w14:paraId="312DF414">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bidi="ar"/>
              </w:rPr>
              <w:t>噪声</w:t>
            </w:r>
          </w:p>
        </w:tc>
        <w:tc>
          <w:tcPr>
            <w:tcW w:w="2881" w:type="dxa"/>
            <w:tcBorders>
              <w:left w:val="nil"/>
              <w:bottom w:val="single" w:color="auto" w:sz="4" w:space="0"/>
              <w:right w:val="single" w:color="auto" w:sz="8" w:space="0"/>
            </w:tcBorders>
            <w:vAlign w:val="center"/>
          </w:tcPr>
          <w:p w14:paraId="4AF96BA5">
            <w:pPr>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bidi="ar"/>
              </w:rPr>
              <w:t>线路周围声环境执行《声环境质量标准》（GB3096-2008）1类声功能区标准</w:t>
            </w:r>
          </w:p>
        </w:tc>
      </w:tr>
      <w:tr w14:paraId="0D3E6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9" w:type="dxa"/>
            <w:tcBorders>
              <w:top w:val="single" w:color="auto" w:sz="4" w:space="0"/>
              <w:left w:val="single" w:color="auto" w:sz="8" w:space="0"/>
              <w:bottom w:val="single" w:color="auto" w:sz="8" w:space="0"/>
              <w:right w:val="single" w:color="auto" w:sz="4" w:space="0"/>
            </w:tcBorders>
            <w:vAlign w:val="center"/>
          </w:tcPr>
          <w:p w14:paraId="6523558C">
            <w:pPr>
              <w:autoSpaceDE/>
              <w:autoSpaceDN/>
              <w:adjustRightInd w:val="0"/>
              <w:snapToGrid w:val="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其他</w:t>
            </w:r>
          </w:p>
        </w:tc>
        <w:tc>
          <w:tcPr>
            <w:tcW w:w="4671" w:type="dxa"/>
            <w:tcBorders>
              <w:top w:val="single" w:color="auto" w:sz="4" w:space="0"/>
              <w:left w:val="single" w:color="auto" w:sz="4" w:space="0"/>
              <w:bottom w:val="single" w:color="auto" w:sz="8" w:space="0"/>
              <w:right w:val="single" w:color="000000" w:sz="4" w:space="0"/>
            </w:tcBorders>
            <w:vAlign w:val="center"/>
          </w:tcPr>
          <w:p w14:paraId="1795C5E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985" w:type="dxa"/>
            <w:tcBorders>
              <w:top w:val="single" w:color="auto" w:sz="4" w:space="0"/>
              <w:left w:val="nil"/>
              <w:bottom w:val="single" w:color="auto" w:sz="8" w:space="0"/>
              <w:right w:val="single" w:color="auto" w:sz="4" w:space="0"/>
            </w:tcBorders>
            <w:vAlign w:val="center"/>
          </w:tcPr>
          <w:p w14:paraId="67D549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3690" w:type="dxa"/>
            <w:tcBorders>
              <w:top w:val="single" w:color="auto" w:sz="4" w:space="0"/>
              <w:left w:val="single" w:color="auto" w:sz="4" w:space="0"/>
              <w:bottom w:val="single" w:color="auto" w:sz="8" w:space="0"/>
              <w:right w:val="single" w:color="000000" w:sz="4" w:space="0"/>
            </w:tcBorders>
            <w:vAlign w:val="center"/>
          </w:tcPr>
          <w:p w14:paraId="7C7BB5CC">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2881" w:type="dxa"/>
            <w:tcBorders>
              <w:top w:val="single" w:color="auto" w:sz="4" w:space="0"/>
              <w:left w:val="nil"/>
              <w:bottom w:val="single" w:color="auto" w:sz="8" w:space="0"/>
              <w:right w:val="single" w:color="auto" w:sz="8" w:space="0"/>
            </w:tcBorders>
            <w:vAlign w:val="center"/>
          </w:tcPr>
          <w:p w14:paraId="30FA4BE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bl>
    <w:p w14:paraId="7E9EC036">
      <w:pPr>
        <w:rPr>
          <w:rFonts w:hint="default" w:ascii="Times New Roman" w:hAnsi="Times New Roman" w:eastAsia="宋体" w:cs="Times New Roman"/>
          <w:color w:val="auto"/>
          <w:sz w:val="21"/>
          <w:highlight w:val="none"/>
        </w:rPr>
        <w:sectPr>
          <w:pgSz w:w="16840" w:h="11910" w:orient="landscape"/>
          <w:pgMar w:top="1338" w:right="1582" w:bottom="1321" w:left="998" w:header="0" w:footer="816" w:gutter="0"/>
          <w:cols w:space="720" w:num="1"/>
        </w:sectPr>
      </w:pPr>
    </w:p>
    <w:p w14:paraId="00945818">
      <w:pPr>
        <w:pStyle w:val="4"/>
        <w:spacing w:line="550" w:lineRule="exact"/>
        <w:ind w:left="635" w:right="652"/>
        <w:jc w:val="center"/>
        <w:outlineLvl w:val="0"/>
        <w:rPr>
          <w:rFonts w:hint="default" w:ascii="Times New Roman" w:hAnsi="Times New Roman" w:eastAsia="宋体" w:cs="Times New Roman"/>
          <w:color w:val="auto"/>
          <w:highlight w:val="none"/>
        </w:rPr>
      </w:pPr>
      <w:bookmarkStart w:id="21" w:name="_Toc150930992"/>
      <w:r>
        <w:rPr>
          <w:rFonts w:hint="default" w:ascii="Times New Roman" w:hAnsi="Times New Roman" w:eastAsia="宋体" w:cs="Times New Roman"/>
          <w:color w:val="auto"/>
          <w:highlight w:val="none"/>
        </w:rPr>
        <w:t>七、结论</w:t>
      </w:r>
      <w:bookmarkEnd w:id="21"/>
    </w:p>
    <w:tbl>
      <w:tblPr>
        <w:tblStyle w:val="16"/>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8"/>
      </w:tblGrid>
      <w:tr w14:paraId="5257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tcPr>
          <w:p w14:paraId="5604397B">
            <w:pPr>
              <w:autoSpaceDE/>
              <w:autoSpaceDN/>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华能围场“风光储氢热一体化”项目（光伏200MW）项目220kV送出线路工程项目符合国家及地方产业政策，工程采取了较为完善的污染防治措施，可确保污染物达标排放，项目的建设不会对周围环境产生明显影响。在加强监督管理和严格执行“三同时”前提下，从环保角度分析，本项目的建设可行。</w:t>
            </w:r>
          </w:p>
          <w:p w14:paraId="7B1DF654">
            <w:pPr>
              <w:pStyle w:val="4"/>
              <w:autoSpaceDE/>
              <w:autoSpaceDN/>
              <w:spacing w:line="551" w:lineRule="exact"/>
              <w:ind w:right="652"/>
              <w:jc w:val="both"/>
              <w:rPr>
                <w:rFonts w:hint="default" w:ascii="Times New Roman" w:hAnsi="Times New Roman" w:eastAsia="宋体" w:cs="Times New Roman"/>
                <w:color w:val="auto"/>
                <w:highlight w:val="none"/>
              </w:rPr>
            </w:pPr>
          </w:p>
          <w:p w14:paraId="477FE73B">
            <w:pPr>
              <w:pStyle w:val="4"/>
              <w:autoSpaceDE/>
              <w:autoSpaceDN/>
              <w:spacing w:line="551" w:lineRule="exact"/>
              <w:ind w:right="652"/>
              <w:jc w:val="both"/>
              <w:rPr>
                <w:rFonts w:hint="default" w:ascii="Times New Roman" w:hAnsi="Times New Roman" w:eastAsia="宋体" w:cs="Times New Roman"/>
                <w:color w:val="auto"/>
                <w:highlight w:val="none"/>
              </w:rPr>
            </w:pPr>
          </w:p>
          <w:p w14:paraId="10D69FDF">
            <w:pPr>
              <w:pStyle w:val="4"/>
              <w:autoSpaceDE/>
              <w:autoSpaceDN/>
              <w:spacing w:line="551" w:lineRule="exact"/>
              <w:ind w:right="652"/>
              <w:jc w:val="both"/>
              <w:rPr>
                <w:rFonts w:hint="default" w:ascii="Times New Roman" w:hAnsi="Times New Roman" w:eastAsia="宋体" w:cs="Times New Roman"/>
                <w:color w:val="auto"/>
                <w:highlight w:val="none"/>
              </w:rPr>
            </w:pPr>
          </w:p>
          <w:p w14:paraId="14BFF4E6">
            <w:pPr>
              <w:pStyle w:val="4"/>
              <w:autoSpaceDE/>
              <w:autoSpaceDN/>
              <w:spacing w:line="551" w:lineRule="exact"/>
              <w:ind w:right="652"/>
              <w:jc w:val="both"/>
              <w:rPr>
                <w:rFonts w:hint="default" w:ascii="Times New Roman" w:hAnsi="Times New Roman" w:eastAsia="宋体" w:cs="Times New Roman"/>
                <w:color w:val="auto"/>
                <w:highlight w:val="none"/>
              </w:rPr>
            </w:pPr>
          </w:p>
          <w:p w14:paraId="2322C897">
            <w:pPr>
              <w:pStyle w:val="4"/>
              <w:autoSpaceDE/>
              <w:autoSpaceDN/>
              <w:spacing w:line="551" w:lineRule="exact"/>
              <w:ind w:right="652"/>
              <w:jc w:val="both"/>
              <w:rPr>
                <w:rFonts w:hint="default" w:ascii="Times New Roman" w:hAnsi="Times New Roman" w:eastAsia="宋体" w:cs="Times New Roman"/>
                <w:color w:val="auto"/>
                <w:highlight w:val="none"/>
              </w:rPr>
            </w:pPr>
          </w:p>
          <w:p w14:paraId="087602B4">
            <w:pPr>
              <w:pStyle w:val="4"/>
              <w:autoSpaceDE/>
              <w:autoSpaceDN/>
              <w:spacing w:line="551" w:lineRule="exact"/>
              <w:ind w:right="652"/>
              <w:jc w:val="both"/>
              <w:rPr>
                <w:rFonts w:hint="default" w:ascii="Times New Roman" w:hAnsi="Times New Roman" w:eastAsia="宋体" w:cs="Times New Roman"/>
                <w:color w:val="auto"/>
                <w:highlight w:val="none"/>
              </w:rPr>
            </w:pPr>
          </w:p>
          <w:p w14:paraId="32526F8F">
            <w:pPr>
              <w:pStyle w:val="4"/>
              <w:autoSpaceDE/>
              <w:autoSpaceDN/>
              <w:spacing w:line="551" w:lineRule="exact"/>
              <w:ind w:right="652"/>
              <w:jc w:val="both"/>
              <w:rPr>
                <w:rFonts w:hint="default" w:ascii="Times New Roman" w:hAnsi="Times New Roman" w:eastAsia="宋体" w:cs="Times New Roman"/>
                <w:color w:val="auto"/>
                <w:highlight w:val="none"/>
              </w:rPr>
            </w:pPr>
          </w:p>
          <w:p w14:paraId="1F8E9552">
            <w:pPr>
              <w:pStyle w:val="4"/>
              <w:autoSpaceDE/>
              <w:autoSpaceDN/>
              <w:spacing w:line="551" w:lineRule="exact"/>
              <w:ind w:right="652"/>
              <w:jc w:val="both"/>
              <w:rPr>
                <w:rFonts w:hint="default" w:ascii="Times New Roman" w:hAnsi="Times New Roman" w:eastAsia="宋体" w:cs="Times New Roman"/>
                <w:color w:val="auto"/>
                <w:highlight w:val="none"/>
              </w:rPr>
            </w:pPr>
          </w:p>
          <w:p w14:paraId="3C03327F">
            <w:pPr>
              <w:pStyle w:val="4"/>
              <w:autoSpaceDE/>
              <w:autoSpaceDN/>
              <w:spacing w:line="551" w:lineRule="exact"/>
              <w:ind w:right="652"/>
              <w:jc w:val="both"/>
              <w:rPr>
                <w:rFonts w:hint="default" w:ascii="Times New Roman" w:hAnsi="Times New Roman" w:eastAsia="宋体" w:cs="Times New Roman"/>
                <w:color w:val="auto"/>
                <w:highlight w:val="none"/>
              </w:rPr>
            </w:pPr>
          </w:p>
          <w:p w14:paraId="61B50575">
            <w:pPr>
              <w:pStyle w:val="4"/>
              <w:autoSpaceDE/>
              <w:autoSpaceDN/>
              <w:spacing w:line="551" w:lineRule="exact"/>
              <w:ind w:right="652"/>
              <w:jc w:val="both"/>
              <w:rPr>
                <w:rFonts w:hint="default" w:ascii="Times New Roman" w:hAnsi="Times New Roman" w:eastAsia="宋体" w:cs="Times New Roman"/>
                <w:color w:val="auto"/>
                <w:highlight w:val="none"/>
              </w:rPr>
            </w:pPr>
          </w:p>
          <w:p w14:paraId="789F32BE">
            <w:pPr>
              <w:pStyle w:val="4"/>
              <w:autoSpaceDE/>
              <w:autoSpaceDN/>
              <w:spacing w:line="551" w:lineRule="exact"/>
              <w:ind w:right="652"/>
              <w:jc w:val="both"/>
              <w:rPr>
                <w:rFonts w:hint="default" w:ascii="Times New Roman" w:hAnsi="Times New Roman" w:eastAsia="宋体" w:cs="Times New Roman"/>
                <w:color w:val="auto"/>
                <w:highlight w:val="none"/>
              </w:rPr>
            </w:pPr>
          </w:p>
          <w:p w14:paraId="0E6A89AE">
            <w:pPr>
              <w:pStyle w:val="4"/>
              <w:autoSpaceDE/>
              <w:autoSpaceDN/>
              <w:spacing w:line="551" w:lineRule="exact"/>
              <w:ind w:right="652"/>
              <w:jc w:val="both"/>
              <w:rPr>
                <w:rFonts w:hint="default" w:ascii="Times New Roman" w:hAnsi="Times New Roman" w:eastAsia="宋体" w:cs="Times New Roman"/>
                <w:color w:val="auto"/>
                <w:highlight w:val="none"/>
              </w:rPr>
            </w:pPr>
          </w:p>
          <w:p w14:paraId="283085FE">
            <w:pPr>
              <w:pStyle w:val="4"/>
              <w:autoSpaceDE/>
              <w:autoSpaceDN/>
              <w:spacing w:line="551" w:lineRule="exact"/>
              <w:ind w:right="652"/>
              <w:jc w:val="both"/>
              <w:rPr>
                <w:rFonts w:hint="default" w:ascii="Times New Roman" w:hAnsi="Times New Roman" w:eastAsia="宋体" w:cs="Times New Roman"/>
                <w:color w:val="auto"/>
                <w:highlight w:val="none"/>
              </w:rPr>
            </w:pPr>
          </w:p>
          <w:p w14:paraId="68913A70">
            <w:pPr>
              <w:pStyle w:val="4"/>
              <w:autoSpaceDE/>
              <w:autoSpaceDN/>
              <w:spacing w:line="551" w:lineRule="exact"/>
              <w:ind w:right="652"/>
              <w:jc w:val="both"/>
              <w:rPr>
                <w:rFonts w:hint="default" w:ascii="Times New Roman" w:hAnsi="Times New Roman" w:eastAsia="宋体" w:cs="Times New Roman"/>
                <w:color w:val="auto"/>
                <w:highlight w:val="none"/>
              </w:rPr>
            </w:pPr>
          </w:p>
          <w:p w14:paraId="267BBA5F">
            <w:pPr>
              <w:pStyle w:val="4"/>
              <w:autoSpaceDE/>
              <w:autoSpaceDN/>
              <w:spacing w:line="551" w:lineRule="exact"/>
              <w:ind w:right="652"/>
              <w:jc w:val="both"/>
              <w:rPr>
                <w:rFonts w:hint="default" w:ascii="Times New Roman" w:hAnsi="Times New Roman" w:eastAsia="宋体" w:cs="Times New Roman"/>
                <w:color w:val="auto"/>
                <w:highlight w:val="none"/>
              </w:rPr>
            </w:pPr>
          </w:p>
          <w:p w14:paraId="73A9A6A0">
            <w:pPr>
              <w:pStyle w:val="4"/>
              <w:autoSpaceDE/>
              <w:autoSpaceDN/>
              <w:spacing w:line="551" w:lineRule="exact"/>
              <w:ind w:right="652"/>
              <w:jc w:val="both"/>
              <w:rPr>
                <w:rFonts w:hint="default" w:ascii="Times New Roman" w:hAnsi="Times New Roman" w:eastAsia="宋体" w:cs="Times New Roman"/>
                <w:color w:val="auto"/>
                <w:highlight w:val="none"/>
              </w:rPr>
            </w:pPr>
          </w:p>
          <w:p w14:paraId="4E6A3957">
            <w:pPr>
              <w:pStyle w:val="4"/>
              <w:autoSpaceDE/>
              <w:autoSpaceDN/>
              <w:spacing w:line="551" w:lineRule="exact"/>
              <w:ind w:right="652"/>
              <w:jc w:val="both"/>
              <w:rPr>
                <w:rFonts w:hint="default" w:ascii="Times New Roman" w:hAnsi="Times New Roman" w:eastAsia="宋体" w:cs="Times New Roman"/>
                <w:color w:val="auto"/>
                <w:highlight w:val="none"/>
              </w:rPr>
            </w:pPr>
          </w:p>
          <w:p w14:paraId="5C26AA20">
            <w:pPr>
              <w:pStyle w:val="4"/>
              <w:autoSpaceDE/>
              <w:autoSpaceDN/>
              <w:spacing w:line="551" w:lineRule="exact"/>
              <w:ind w:right="652"/>
              <w:jc w:val="both"/>
              <w:rPr>
                <w:rFonts w:hint="default" w:ascii="Times New Roman" w:hAnsi="Times New Roman" w:eastAsia="宋体" w:cs="Times New Roman"/>
                <w:color w:val="auto"/>
                <w:highlight w:val="none"/>
              </w:rPr>
            </w:pPr>
          </w:p>
          <w:p w14:paraId="52598090">
            <w:pPr>
              <w:pStyle w:val="4"/>
              <w:autoSpaceDE/>
              <w:autoSpaceDN/>
              <w:spacing w:line="551" w:lineRule="exact"/>
              <w:ind w:right="652"/>
              <w:jc w:val="both"/>
              <w:rPr>
                <w:rFonts w:hint="default" w:ascii="Times New Roman" w:hAnsi="Times New Roman" w:eastAsia="宋体" w:cs="Times New Roman"/>
                <w:color w:val="auto"/>
                <w:highlight w:val="none"/>
              </w:rPr>
            </w:pPr>
          </w:p>
          <w:p w14:paraId="4EA60694">
            <w:pPr>
              <w:pStyle w:val="4"/>
              <w:autoSpaceDE/>
              <w:autoSpaceDN/>
              <w:spacing w:line="551" w:lineRule="exact"/>
              <w:ind w:right="652"/>
              <w:jc w:val="both"/>
              <w:rPr>
                <w:rFonts w:hint="default" w:ascii="Times New Roman" w:hAnsi="Times New Roman" w:eastAsia="宋体" w:cs="Times New Roman"/>
                <w:color w:val="auto"/>
                <w:highlight w:val="none"/>
              </w:rPr>
            </w:pPr>
          </w:p>
        </w:tc>
      </w:tr>
    </w:tbl>
    <w:p w14:paraId="76B32CD9">
      <w:pPr>
        <w:rPr>
          <w:rFonts w:hint="default" w:ascii="Times New Roman" w:hAnsi="Times New Roman" w:eastAsia="宋体" w:cs="Times New Roman"/>
          <w:color w:val="auto"/>
          <w:sz w:val="14"/>
          <w:highlight w:val="none"/>
        </w:rPr>
      </w:pPr>
    </w:p>
    <w:p w14:paraId="0DA5006D">
      <w:pPr>
        <w:ind w:firstLine="880"/>
        <w:jc w:val="center"/>
        <w:rPr>
          <w:rFonts w:cs="Times New Roman"/>
          <w:color w:val="auto"/>
          <w:kern w:val="0"/>
          <w:sz w:val="44"/>
          <w:szCs w:val="44"/>
          <w:highlight w:val="none"/>
        </w:rPr>
        <w:sectPr>
          <w:headerReference r:id="rId8" w:type="first"/>
          <w:footerReference r:id="rId10" w:type="first"/>
          <w:headerReference r:id="rId7" w:type="even"/>
          <w:footerReference r:id="rId9" w:type="even"/>
          <w:pgSz w:w="11906" w:h="16838"/>
          <w:pgMar w:top="1440" w:right="1800" w:bottom="1440" w:left="1800" w:header="851" w:footer="992" w:gutter="0"/>
          <w:cols w:space="425" w:num="1"/>
          <w:docGrid w:type="lines" w:linePitch="312" w:charSpace="0"/>
        </w:sectPr>
      </w:pPr>
    </w:p>
    <w:p w14:paraId="46E8AEC7">
      <w:pPr>
        <w:pStyle w:val="2"/>
      </w:pPr>
    </w:p>
    <w:p w14:paraId="64CE945A">
      <w:pPr>
        <w:ind w:firstLine="880"/>
        <w:jc w:val="center"/>
        <w:rPr>
          <w:rFonts w:cs="Times New Roman"/>
          <w:color w:val="auto"/>
          <w:kern w:val="0"/>
          <w:sz w:val="44"/>
          <w:szCs w:val="44"/>
          <w:highlight w:val="none"/>
        </w:rPr>
      </w:pPr>
    </w:p>
    <w:p w14:paraId="0291FAC7">
      <w:pPr>
        <w:tabs>
          <w:tab w:val="right" w:pos="8306"/>
        </w:tabs>
        <w:spacing w:before="936" w:beforeLines="300" w:after="936" w:afterLines="300" w:line="240" w:lineRule="auto"/>
        <w:ind w:firstLine="0" w:firstLineChars="0"/>
        <w:jc w:val="center"/>
        <w:rPr>
          <w:rFonts w:cs="Times New Roman"/>
          <w:color w:val="auto"/>
          <w:spacing w:val="-20"/>
          <w:kern w:val="0"/>
          <w:sz w:val="36"/>
          <w:szCs w:val="36"/>
          <w:highlight w:val="none"/>
        </w:rPr>
      </w:pPr>
      <w:r>
        <w:rPr>
          <w:rFonts w:cs="Times New Roman"/>
          <w:color w:val="auto"/>
          <w:spacing w:val="-20"/>
          <w:kern w:val="0"/>
          <w:sz w:val="36"/>
          <w:szCs w:val="36"/>
          <w:highlight w:val="none"/>
        </w:rPr>
        <w:t>华能围场“风光储氢热一体化”项目（光伏200MW）项目220kV送出线路工程项目</w:t>
      </w:r>
    </w:p>
    <w:p w14:paraId="456B5EF2">
      <w:pPr>
        <w:tabs>
          <w:tab w:val="right" w:pos="8306"/>
        </w:tabs>
        <w:spacing w:before="936" w:beforeLines="300" w:after="936" w:afterLines="300" w:line="240" w:lineRule="auto"/>
        <w:ind w:firstLine="0" w:firstLineChars="0"/>
        <w:jc w:val="center"/>
        <w:rPr>
          <w:rFonts w:cs="Times New Roman"/>
          <w:color w:val="auto"/>
          <w:kern w:val="0"/>
          <w:sz w:val="72"/>
          <w:szCs w:val="72"/>
          <w:highlight w:val="none"/>
        </w:rPr>
      </w:pPr>
      <w:r>
        <w:rPr>
          <w:rFonts w:cs="Times New Roman"/>
          <w:color w:val="auto"/>
          <w:kern w:val="0"/>
          <w:sz w:val="72"/>
          <w:szCs w:val="72"/>
          <w:highlight w:val="none"/>
        </w:rPr>
        <w:t>电磁环境影响专项评价</w:t>
      </w:r>
    </w:p>
    <w:p w14:paraId="405F2136">
      <w:pPr>
        <w:tabs>
          <w:tab w:val="right" w:pos="8306"/>
        </w:tabs>
        <w:ind w:firstLine="1440"/>
        <w:jc w:val="center"/>
        <w:rPr>
          <w:rFonts w:cs="Times New Roman"/>
          <w:color w:val="auto"/>
          <w:kern w:val="0"/>
          <w:sz w:val="72"/>
          <w:szCs w:val="72"/>
          <w:highlight w:val="none"/>
        </w:rPr>
      </w:pPr>
    </w:p>
    <w:p w14:paraId="08E9CD7A">
      <w:pPr>
        <w:tabs>
          <w:tab w:val="right" w:pos="8306"/>
        </w:tabs>
        <w:ind w:firstLine="1440"/>
        <w:jc w:val="center"/>
        <w:rPr>
          <w:rFonts w:cs="Times New Roman"/>
          <w:color w:val="auto"/>
          <w:kern w:val="0"/>
          <w:sz w:val="72"/>
          <w:szCs w:val="72"/>
          <w:highlight w:val="none"/>
        </w:rPr>
      </w:pPr>
    </w:p>
    <w:p w14:paraId="041B1190">
      <w:pPr>
        <w:tabs>
          <w:tab w:val="right" w:pos="8306"/>
        </w:tabs>
        <w:ind w:firstLine="1440"/>
        <w:jc w:val="center"/>
        <w:rPr>
          <w:rFonts w:cs="Times New Roman"/>
          <w:color w:val="auto"/>
          <w:kern w:val="0"/>
          <w:sz w:val="72"/>
          <w:szCs w:val="72"/>
          <w:highlight w:val="none"/>
        </w:rPr>
      </w:pPr>
    </w:p>
    <w:p w14:paraId="571074F1">
      <w:pPr>
        <w:tabs>
          <w:tab w:val="right" w:pos="8306"/>
        </w:tabs>
        <w:ind w:firstLine="1440"/>
        <w:jc w:val="center"/>
        <w:rPr>
          <w:rFonts w:cs="Times New Roman"/>
          <w:color w:val="auto"/>
          <w:kern w:val="0"/>
          <w:sz w:val="72"/>
          <w:szCs w:val="72"/>
          <w:highlight w:val="none"/>
        </w:rPr>
      </w:pPr>
    </w:p>
    <w:p w14:paraId="3ED758F1">
      <w:pPr>
        <w:tabs>
          <w:tab w:val="right" w:pos="8306"/>
        </w:tabs>
        <w:ind w:firstLine="1440"/>
        <w:jc w:val="center"/>
        <w:rPr>
          <w:rFonts w:cs="Times New Roman"/>
          <w:color w:val="auto"/>
          <w:kern w:val="0"/>
          <w:sz w:val="72"/>
          <w:szCs w:val="72"/>
          <w:highlight w:val="none"/>
        </w:rPr>
      </w:pPr>
    </w:p>
    <w:p w14:paraId="7CE83BFD">
      <w:pPr>
        <w:tabs>
          <w:tab w:val="right" w:pos="8306"/>
        </w:tabs>
        <w:spacing w:line="480" w:lineRule="auto"/>
        <w:ind w:firstLine="0" w:firstLineChars="0"/>
        <w:jc w:val="center"/>
        <w:rPr>
          <w:rFonts w:cs="Times New Roman"/>
          <w:color w:val="auto"/>
          <w:spacing w:val="-11"/>
          <w:kern w:val="0"/>
          <w:sz w:val="32"/>
          <w:szCs w:val="32"/>
          <w:highlight w:val="none"/>
        </w:rPr>
      </w:pPr>
      <w:r>
        <w:rPr>
          <w:rFonts w:cs="Times New Roman"/>
          <w:color w:val="auto"/>
          <w:spacing w:val="-11"/>
          <w:kern w:val="0"/>
          <w:sz w:val="32"/>
          <w:szCs w:val="32"/>
          <w:highlight w:val="none"/>
        </w:rPr>
        <w:t>建设单位：围场满族蒙古族自治县阳洁光伏发电有限责任公司</w:t>
      </w:r>
    </w:p>
    <w:p w14:paraId="662E3C4F">
      <w:pPr>
        <w:tabs>
          <w:tab w:val="right" w:pos="8306"/>
        </w:tabs>
        <w:spacing w:line="480" w:lineRule="auto"/>
        <w:ind w:firstLine="0" w:firstLineChars="0"/>
        <w:jc w:val="center"/>
        <w:rPr>
          <w:rFonts w:cs="Times New Roman"/>
          <w:color w:val="auto"/>
          <w:kern w:val="0"/>
          <w:sz w:val="32"/>
          <w:szCs w:val="32"/>
          <w:highlight w:val="none"/>
        </w:rPr>
      </w:pPr>
      <w:r>
        <w:rPr>
          <w:rFonts w:cs="Times New Roman"/>
          <w:color w:val="auto"/>
          <w:kern w:val="0"/>
          <w:sz w:val="32"/>
          <w:szCs w:val="32"/>
          <w:highlight w:val="none"/>
        </w:rPr>
        <w:t>编制单位：河北冀跃工程咨询有限公司</w:t>
      </w:r>
    </w:p>
    <w:p w14:paraId="6D673F67">
      <w:pPr>
        <w:tabs>
          <w:tab w:val="right" w:pos="8306"/>
        </w:tabs>
        <w:spacing w:line="480" w:lineRule="auto"/>
        <w:ind w:firstLine="0" w:firstLineChars="0"/>
        <w:jc w:val="center"/>
        <w:rPr>
          <w:rFonts w:cs="Times New Roman"/>
          <w:color w:val="auto"/>
          <w:sz w:val="32"/>
          <w:szCs w:val="32"/>
          <w:highlight w:val="none"/>
        </w:rPr>
      </w:pPr>
      <w:r>
        <w:rPr>
          <w:rFonts w:cs="Times New Roman"/>
          <w:color w:val="auto"/>
          <w:sz w:val="32"/>
          <w:szCs w:val="32"/>
          <w:highlight w:val="none"/>
        </w:rPr>
        <w:t>二〇二</w:t>
      </w:r>
      <w:r>
        <w:rPr>
          <w:rFonts w:hint="eastAsia" w:cs="Times New Roman"/>
          <w:color w:val="auto"/>
          <w:sz w:val="32"/>
          <w:szCs w:val="32"/>
          <w:highlight w:val="none"/>
        </w:rPr>
        <w:t>四</w:t>
      </w:r>
      <w:r>
        <w:rPr>
          <w:rFonts w:cs="Times New Roman"/>
          <w:color w:val="auto"/>
          <w:sz w:val="32"/>
          <w:szCs w:val="32"/>
          <w:highlight w:val="none"/>
        </w:rPr>
        <w:t>年</w:t>
      </w:r>
      <w:r>
        <w:rPr>
          <w:rFonts w:hint="eastAsia" w:cs="Times New Roman"/>
          <w:color w:val="auto"/>
          <w:sz w:val="32"/>
          <w:szCs w:val="32"/>
          <w:highlight w:val="none"/>
          <w:lang w:eastAsia="zh-CN"/>
        </w:rPr>
        <w:t>十一</w:t>
      </w:r>
      <w:r>
        <w:rPr>
          <w:rFonts w:cs="Times New Roman"/>
          <w:color w:val="auto"/>
          <w:sz w:val="32"/>
          <w:szCs w:val="32"/>
          <w:highlight w:val="none"/>
        </w:rPr>
        <w:t>月</w:t>
      </w:r>
    </w:p>
    <w:p w14:paraId="01109537">
      <w:pPr>
        <w:ind w:firstLine="480"/>
        <w:rPr>
          <w:rFonts w:cs="Times New Roman"/>
          <w:color w:val="auto"/>
          <w:highlight w:val="none"/>
        </w:rPr>
      </w:pPr>
      <w:r>
        <w:rPr>
          <w:rFonts w:cs="Times New Roman"/>
          <w:color w:val="auto"/>
          <w:highlight w:val="none"/>
        </w:rPr>
        <w:br w:type="page"/>
      </w:r>
    </w:p>
    <w:p w14:paraId="39A22886">
      <w:pPr>
        <w:pStyle w:val="2"/>
        <w:rPr>
          <w:rFonts w:ascii="Times New Roman" w:hAnsi="Times New Roman" w:cs="Times New Roman"/>
          <w:color w:val="auto"/>
          <w:highlight w:val="none"/>
        </w:rPr>
        <w:sectPr>
          <w:footerReference r:id="rId11" w:type="default"/>
          <w:pgSz w:w="11906" w:h="16838"/>
          <w:pgMar w:top="1440" w:right="1800" w:bottom="1440" w:left="1800" w:header="851" w:footer="992" w:gutter="0"/>
          <w:cols w:space="425" w:num="1"/>
          <w:docGrid w:type="lines" w:linePitch="312" w:charSpace="0"/>
        </w:sectPr>
      </w:pPr>
    </w:p>
    <w:sdt>
      <w:sdtPr>
        <w:rPr>
          <w:rFonts w:eastAsia="宋体" w:cs="Times New Roman"/>
          <w:color w:val="auto"/>
          <w:sz w:val="21"/>
          <w:highlight w:val="none"/>
        </w:rPr>
        <w:id w:val="147471520"/>
        <w15:color w:val="DBDBDB"/>
        <w:docPartObj>
          <w:docPartGallery w:val="Table of Contents"/>
          <w:docPartUnique/>
        </w:docPartObj>
      </w:sdtPr>
      <w:sdtEndPr>
        <w:rPr>
          <w:rFonts w:cs="Times New Roman" w:eastAsiaTheme="minorEastAsia"/>
          <w:color w:val="auto"/>
          <w:kern w:val="0"/>
          <w:sz w:val="24"/>
          <w:szCs w:val="30"/>
          <w:highlight w:val="none"/>
        </w:rPr>
      </w:sdtEndPr>
      <w:sdtContent>
        <w:p w14:paraId="7BEA3750">
          <w:pPr>
            <w:spacing w:line="240" w:lineRule="auto"/>
            <w:ind w:firstLine="0" w:firstLineChars="0"/>
            <w:jc w:val="center"/>
            <w:rPr>
              <w:rFonts w:cs="Times New Roman"/>
              <w:color w:val="auto"/>
              <w:highlight w:val="none"/>
            </w:rPr>
          </w:pPr>
          <w:r>
            <w:rPr>
              <w:rFonts w:eastAsia="宋体" w:cs="Times New Roman"/>
              <w:b/>
              <w:bCs/>
              <w:color w:val="auto"/>
              <w:sz w:val="28"/>
              <w:szCs w:val="28"/>
              <w:highlight w:val="none"/>
            </w:rPr>
            <w:t>目  录</w:t>
          </w:r>
        </w:p>
        <w:p w14:paraId="7270F7E8">
          <w:pPr>
            <w:pStyle w:val="13"/>
            <w:tabs>
              <w:tab w:val="right" w:leader="dot" w:pos="8306"/>
            </w:tabs>
            <w:spacing w:line="480" w:lineRule="auto"/>
            <w:ind w:firstLine="0" w:firstLineChars="0"/>
            <w:rPr>
              <w:rFonts w:ascii="Times New Roman" w:hAnsi="Times New Roman"/>
              <w:b w:val="0"/>
              <w:color w:val="auto"/>
              <w:highlight w:val="none"/>
            </w:rPr>
          </w:pPr>
          <w:r>
            <w:rPr>
              <w:rFonts w:ascii="Times New Roman" w:hAnsi="Times New Roman"/>
              <w:b w:val="0"/>
              <w:color w:val="auto"/>
              <w:kern w:val="0"/>
              <w:sz w:val="24"/>
              <w:szCs w:val="24"/>
              <w:highlight w:val="none"/>
            </w:rPr>
            <w:fldChar w:fldCharType="begin"/>
          </w:r>
          <w:r>
            <w:rPr>
              <w:rFonts w:ascii="Times New Roman" w:hAnsi="Times New Roman"/>
              <w:b w:val="0"/>
              <w:color w:val="auto"/>
              <w:kern w:val="0"/>
              <w:sz w:val="24"/>
              <w:szCs w:val="24"/>
              <w:highlight w:val="none"/>
            </w:rPr>
            <w:instrText xml:space="preserve">TOC \o "1-1" \h \u </w:instrText>
          </w:r>
          <w:r>
            <w:rPr>
              <w:rFonts w:ascii="Times New Roman" w:hAnsi="Times New Roman"/>
              <w:b w:val="0"/>
              <w:color w:val="auto"/>
              <w:kern w:val="0"/>
              <w:sz w:val="24"/>
              <w:szCs w:val="24"/>
              <w:highlight w:val="none"/>
            </w:rPr>
            <w:fldChar w:fldCharType="separate"/>
          </w: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rFonts w:ascii="Times New Roman" w:hAnsi="Times New Roman"/>
              <w:b w:val="0"/>
              <w:color w:val="auto"/>
              <w:highlight w:val="none"/>
            </w:rPr>
            <w:t>1前言</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_Toc30392 \h </w:instrText>
          </w:r>
          <w:r>
            <w:rPr>
              <w:rFonts w:ascii="Times New Roman" w:hAnsi="Times New Roman"/>
              <w:b w:val="0"/>
              <w:color w:val="auto"/>
              <w:highlight w:val="none"/>
            </w:rPr>
            <w:fldChar w:fldCharType="separate"/>
          </w:r>
          <w:r>
            <w:rPr>
              <w:rFonts w:ascii="Times New Roman" w:hAnsi="Times New Roman"/>
              <w:b w:val="0"/>
              <w:color w:val="auto"/>
              <w:highlight w:val="none"/>
            </w:rPr>
            <w:t>1</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25E6DE3D">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"_Toc18307" </w:instrText>
          </w:r>
          <w:r>
            <w:rPr>
              <w:color w:val="auto"/>
              <w:highlight w:val="none"/>
            </w:rPr>
            <w:fldChar w:fldCharType="separate"/>
          </w:r>
          <w:r>
            <w:rPr>
              <w:rFonts w:ascii="Times New Roman" w:hAnsi="Times New Roman"/>
              <w:b w:val="0"/>
              <w:color w:val="auto"/>
              <w:kern w:val="0"/>
              <w:highlight w:val="none"/>
            </w:rPr>
            <w:t>2 总则</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_Toc18307 \h </w:instrText>
          </w:r>
          <w:r>
            <w:rPr>
              <w:rFonts w:ascii="Times New Roman" w:hAnsi="Times New Roman"/>
              <w:b w:val="0"/>
              <w:color w:val="auto"/>
              <w:highlight w:val="none"/>
            </w:rPr>
            <w:fldChar w:fldCharType="separate"/>
          </w:r>
          <w:r>
            <w:rPr>
              <w:rFonts w:ascii="Times New Roman" w:hAnsi="Times New Roman"/>
              <w:b w:val="0"/>
              <w:color w:val="auto"/>
              <w:highlight w:val="none"/>
            </w:rPr>
            <w:t>4</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21770090">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"_Toc27633" </w:instrText>
          </w:r>
          <w:r>
            <w:rPr>
              <w:color w:val="auto"/>
              <w:highlight w:val="none"/>
            </w:rPr>
            <w:fldChar w:fldCharType="separate"/>
          </w:r>
          <w:r>
            <w:rPr>
              <w:rFonts w:ascii="Times New Roman" w:hAnsi="Times New Roman"/>
              <w:b w:val="0"/>
              <w:color w:val="auto"/>
              <w:kern w:val="0"/>
              <w:highlight w:val="none"/>
            </w:rPr>
            <w:t>3 项目概况与分析</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_Toc27633 \h </w:instrText>
          </w:r>
          <w:r>
            <w:rPr>
              <w:rFonts w:ascii="Times New Roman" w:hAnsi="Times New Roman"/>
              <w:b w:val="0"/>
              <w:color w:val="auto"/>
              <w:highlight w:val="none"/>
            </w:rPr>
            <w:fldChar w:fldCharType="separate"/>
          </w:r>
          <w:r>
            <w:rPr>
              <w:rFonts w:ascii="Times New Roman" w:hAnsi="Times New Roman"/>
              <w:b w:val="0"/>
              <w:color w:val="auto"/>
              <w:highlight w:val="none"/>
            </w:rPr>
            <w:t>7</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31EB9A1D">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"_Toc28160" </w:instrText>
          </w:r>
          <w:r>
            <w:rPr>
              <w:color w:val="auto"/>
              <w:highlight w:val="none"/>
            </w:rPr>
            <w:fldChar w:fldCharType="separate"/>
          </w:r>
          <w:r>
            <w:rPr>
              <w:rFonts w:ascii="Times New Roman" w:hAnsi="Times New Roman"/>
              <w:b w:val="0"/>
              <w:color w:val="auto"/>
              <w:kern w:val="0"/>
              <w:highlight w:val="none"/>
            </w:rPr>
            <w:t>4 电磁环境现状监测与评价</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_Toc28160 \h </w:instrText>
          </w:r>
          <w:r>
            <w:rPr>
              <w:rFonts w:ascii="Times New Roman" w:hAnsi="Times New Roman"/>
              <w:b w:val="0"/>
              <w:color w:val="auto"/>
              <w:highlight w:val="none"/>
            </w:rPr>
            <w:fldChar w:fldCharType="separate"/>
          </w:r>
          <w:r>
            <w:rPr>
              <w:rFonts w:ascii="Times New Roman" w:hAnsi="Times New Roman"/>
              <w:b w:val="0"/>
              <w:color w:val="auto"/>
              <w:highlight w:val="none"/>
            </w:rPr>
            <w:t>14</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61679962">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"_Toc26975" </w:instrText>
          </w:r>
          <w:r>
            <w:rPr>
              <w:color w:val="auto"/>
              <w:highlight w:val="none"/>
            </w:rPr>
            <w:fldChar w:fldCharType="separate"/>
          </w:r>
          <w:r>
            <w:rPr>
              <w:rFonts w:ascii="Times New Roman" w:hAnsi="Times New Roman"/>
              <w:b w:val="0"/>
              <w:color w:val="auto"/>
              <w:kern w:val="0"/>
              <w:highlight w:val="none"/>
            </w:rPr>
            <w:t>5 电磁环境影响预测评价</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_Toc26975 \h </w:instrText>
          </w:r>
          <w:r>
            <w:rPr>
              <w:rFonts w:ascii="Times New Roman" w:hAnsi="Times New Roman"/>
              <w:b w:val="0"/>
              <w:color w:val="auto"/>
              <w:highlight w:val="none"/>
            </w:rPr>
            <w:fldChar w:fldCharType="separate"/>
          </w:r>
          <w:r>
            <w:rPr>
              <w:rFonts w:ascii="Times New Roman" w:hAnsi="Times New Roman"/>
              <w:b w:val="0"/>
              <w:color w:val="auto"/>
              <w:highlight w:val="none"/>
            </w:rPr>
            <w:t>16</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7A1DE6F7">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"_Toc24227" </w:instrText>
          </w:r>
          <w:r>
            <w:rPr>
              <w:color w:val="auto"/>
              <w:highlight w:val="none"/>
            </w:rPr>
            <w:fldChar w:fldCharType="separate"/>
          </w:r>
          <w:r>
            <w:rPr>
              <w:rFonts w:ascii="Times New Roman" w:hAnsi="Times New Roman"/>
              <w:b w:val="0"/>
              <w:color w:val="auto"/>
              <w:highlight w:val="none"/>
            </w:rPr>
            <w:t>6 电磁环境保护措施</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_Toc24227 \h </w:instrText>
          </w:r>
          <w:r>
            <w:rPr>
              <w:rFonts w:ascii="Times New Roman" w:hAnsi="Times New Roman"/>
              <w:b w:val="0"/>
              <w:color w:val="auto"/>
              <w:highlight w:val="none"/>
            </w:rPr>
            <w:fldChar w:fldCharType="separate"/>
          </w:r>
          <w:r>
            <w:rPr>
              <w:rFonts w:ascii="Times New Roman" w:hAnsi="Times New Roman"/>
              <w:b w:val="0"/>
              <w:color w:val="auto"/>
              <w:highlight w:val="none"/>
            </w:rPr>
            <w:t>29</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6A2CF278">
          <w:pPr>
            <w:pStyle w:val="13"/>
            <w:tabs>
              <w:tab w:val="right" w:leader="dot" w:pos="8306"/>
            </w:tabs>
            <w:spacing w:line="480" w:lineRule="auto"/>
            <w:ind w:firstLine="0" w:firstLineChars="0"/>
            <w:rPr>
              <w:rFonts w:ascii="Times New Roman" w:hAnsi="Times New Roman"/>
              <w:b w:val="0"/>
              <w:color w:val="auto"/>
              <w:highlight w:val="none"/>
            </w:rPr>
          </w:pPr>
          <w:r>
            <w:rPr>
              <w:color w:val="auto"/>
              <w:highlight w:val="none"/>
            </w:rPr>
            <w:fldChar w:fldCharType="begin"/>
          </w:r>
          <w:r>
            <w:rPr>
              <w:color w:val="auto"/>
              <w:highlight w:val="none"/>
            </w:rPr>
            <w:instrText xml:space="preserve"> HYPERLINK \l "_Toc317" </w:instrText>
          </w:r>
          <w:r>
            <w:rPr>
              <w:color w:val="auto"/>
              <w:highlight w:val="none"/>
            </w:rPr>
            <w:fldChar w:fldCharType="separate"/>
          </w:r>
          <w:r>
            <w:rPr>
              <w:rFonts w:ascii="Times New Roman" w:hAnsi="Times New Roman"/>
              <w:b w:val="0"/>
              <w:color w:val="auto"/>
              <w:highlight w:val="none"/>
            </w:rPr>
            <w:t>7电磁环境管理与监测计划</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_Toc317 \h </w:instrText>
          </w:r>
          <w:r>
            <w:rPr>
              <w:rFonts w:ascii="Times New Roman" w:hAnsi="Times New Roman"/>
              <w:b w:val="0"/>
              <w:color w:val="auto"/>
              <w:highlight w:val="none"/>
            </w:rPr>
            <w:fldChar w:fldCharType="separate"/>
          </w:r>
          <w:r>
            <w:rPr>
              <w:rFonts w:ascii="Times New Roman" w:hAnsi="Times New Roman"/>
              <w:b w:val="0"/>
              <w:color w:val="auto"/>
              <w:highlight w:val="none"/>
            </w:rPr>
            <w:t>30</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55F1EF4D">
          <w:pPr>
            <w:pStyle w:val="13"/>
            <w:tabs>
              <w:tab w:val="right" w:leader="dot" w:pos="8306"/>
            </w:tabs>
            <w:spacing w:line="480" w:lineRule="auto"/>
            <w:ind w:firstLine="0" w:firstLineChars="0"/>
            <w:rPr>
              <w:rFonts w:ascii="Times New Roman" w:hAnsi="Times New Roman"/>
              <w:b w:val="0"/>
              <w:color w:val="auto"/>
              <w:sz w:val="24"/>
              <w:szCs w:val="24"/>
              <w:highlight w:val="none"/>
            </w:rPr>
          </w:pPr>
          <w:r>
            <w:rPr>
              <w:color w:val="auto"/>
              <w:highlight w:val="none"/>
            </w:rPr>
            <w:fldChar w:fldCharType="begin"/>
          </w:r>
          <w:r>
            <w:rPr>
              <w:color w:val="auto"/>
              <w:highlight w:val="none"/>
            </w:rPr>
            <w:instrText xml:space="preserve"> HYPERLINK \l "_Toc5912" </w:instrText>
          </w:r>
          <w:r>
            <w:rPr>
              <w:color w:val="auto"/>
              <w:highlight w:val="none"/>
            </w:rPr>
            <w:fldChar w:fldCharType="separate"/>
          </w:r>
          <w:r>
            <w:rPr>
              <w:rFonts w:ascii="Times New Roman" w:hAnsi="Times New Roman"/>
              <w:b w:val="0"/>
              <w:color w:val="auto"/>
              <w:highlight w:val="none"/>
            </w:rPr>
            <w:t>8 电磁环境影响评价结论</w:t>
          </w:r>
          <w:r>
            <w:rPr>
              <w:rFonts w:ascii="Times New Roman" w:hAnsi="Times New Roman"/>
              <w:b w:val="0"/>
              <w:color w:val="auto"/>
              <w:highlight w:val="none"/>
            </w:rPr>
            <w:tab/>
          </w:r>
          <w:r>
            <w:rPr>
              <w:rFonts w:ascii="Times New Roman" w:hAnsi="Times New Roman"/>
              <w:b w:val="0"/>
              <w:color w:val="auto"/>
              <w:highlight w:val="none"/>
            </w:rPr>
            <w:fldChar w:fldCharType="begin"/>
          </w:r>
          <w:r>
            <w:rPr>
              <w:rFonts w:ascii="Times New Roman" w:hAnsi="Times New Roman"/>
              <w:b w:val="0"/>
              <w:color w:val="auto"/>
              <w:highlight w:val="none"/>
            </w:rPr>
            <w:instrText xml:space="preserve"> PAGEREF _Toc5912 \h </w:instrText>
          </w:r>
          <w:r>
            <w:rPr>
              <w:rFonts w:ascii="Times New Roman" w:hAnsi="Times New Roman"/>
              <w:b w:val="0"/>
              <w:color w:val="auto"/>
              <w:highlight w:val="none"/>
            </w:rPr>
            <w:fldChar w:fldCharType="separate"/>
          </w:r>
          <w:r>
            <w:rPr>
              <w:rFonts w:ascii="Times New Roman" w:hAnsi="Times New Roman"/>
              <w:b w:val="0"/>
              <w:color w:val="auto"/>
              <w:highlight w:val="none"/>
            </w:rPr>
            <w:t>31</w:t>
          </w:r>
          <w:r>
            <w:rPr>
              <w:rFonts w:ascii="Times New Roman" w:hAnsi="Times New Roman"/>
              <w:b w:val="0"/>
              <w:color w:val="auto"/>
              <w:highlight w:val="none"/>
            </w:rPr>
            <w:fldChar w:fldCharType="end"/>
          </w:r>
          <w:r>
            <w:rPr>
              <w:rFonts w:ascii="Times New Roman" w:hAnsi="Times New Roman"/>
              <w:b w:val="0"/>
              <w:color w:val="auto"/>
              <w:highlight w:val="none"/>
            </w:rPr>
            <w:fldChar w:fldCharType="end"/>
          </w:r>
        </w:p>
        <w:p w14:paraId="0E19C31D">
          <w:pPr>
            <w:tabs>
              <w:tab w:val="right" w:pos="8306"/>
            </w:tabs>
            <w:spacing w:line="360" w:lineRule="auto"/>
            <w:ind w:firstLine="480"/>
            <w:jc w:val="center"/>
            <w:rPr>
              <w:rFonts w:cs="Times New Roman"/>
              <w:color w:val="auto"/>
              <w:kern w:val="0"/>
              <w:szCs w:val="30"/>
              <w:highlight w:val="none"/>
            </w:rPr>
            <w:sectPr>
              <w:footerReference r:id="rId12" w:type="default"/>
              <w:pgSz w:w="11906" w:h="16838"/>
              <w:pgMar w:top="1440" w:right="1800" w:bottom="1440" w:left="1800" w:header="851" w:footer="992" w:gutter="0"/>
              <w:cols w:space="425" w:num="1"/>
              <w:docGrid w:type="lines" w:linePitch="312" w:charSpace="0"/>
            </w:sectPr>
          </w:pPr>
          <w:r>
            <w:rPr>
              <w:rFonts w:cs="Times New Roman"/>
              <w:color w:val="auto"/>
              <w:kern w:val="0"/>
              <w:szCs w:val="24"/>
              <w:highlight w:val="none"/>
            </w:rPr>
            <w:fldChar w:fldCharType="end"/>
          </w:r>
        </w:p>
      </w:sdtContent>
    </w:sdt>
    <w:p w14:paraId="6AC6D866">
      <w:pPr>
        <w:pStyle w:val="7"/>
        <w:rPr>
          <w:rFonts w:cs="Times New Roman"/>
          <w:color w:val="auto"/>
          <w:highlight w:val="none"/>
        </w:rPr>
      </w:pPr>
      <w:bookmarkStart w:id="22" w:name="_Toc30392"/>
      <w:r>
        <w:rPr>
          <w:rFonts w:cs="Times New Roman"/>
          <w:color w:val="auto"/>
          <w:highlight w:val="none"/>
        </w:rPr>
        <w:t>1前言</w:t>
      </w:r>
      <w:bookmarkEnd w:id="22"/>
    </w:p>
    <w:p w14:paraId="5D1D8632">
      <w:pPr>
        <w:pStyle w:val="8"/>
        <w:rPr>
          <w:rFonts w:cs="Times New Roman"/>
          <w:color w:val="auto"/>
          <w:highlight w:val="none"/>
        </w:rPr>
      </w:pPr>
      <w:bookmarkStart w:id="23" w:name="_Toc11549"/>
      <w:r>
        <w:rPr>
          <w:rFonts w:cs="Times New Roman"/>
          <w:color w:val="auto"/>
          <w:highlight w:val="none"/>
        </w:rPr>
        <w:t>1.1 本项目建设的必要性</w:t>
      </w:r>
      <w:bookmarkEnd w:id="23"/>
    </w:p>
    <w:p w14:paraId="5251252B">
      <w:pPr>
        <w:pStyle w:val="23"/>
        <w:spacing w:line="480" w:lineRule="exact"/>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1、项目由来</w:t>
      </w:r>
    </w:p>
    <w:p w14:paraId="673115E2">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近年来，我国以风电、光伏发电为代表的新能源发展成效显著，“十四五”规划提出全面推进风电和太阳能发电大规模开发和高质量发展，因地制宜发展其他可再生能源。</w:t>
      </w:r>
    </w:p>
    <w:p w14:paraId="116B54F5">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承德地区太阳能资源比较丰富，适合建设光伏电站开发利用太阳能。围场满族蒙古族自治县阳洁光伏发电有限责任公司投资</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，项目位于河北省承德市</w:t>
      </w:r>
      <w:r>
        <w:rPr>
          <w:rFonts w:hint="default" w:ascii="Times New Roman" w:hAnsi="Times New Roman" w:eastAsia="宋体" w:cs="Times New Roman"/>
          <w:color w:val="auto"/>
          <w:sz w:val="24"/>
          <w:szCs w:val="24"/>
          <w:highlight w:val="none"/>
        </w:rPr>
        <w:t>围场满族蒙古族自治县老窝铺乡</w:t>
      </w:r>
      <w:r>
        <w:rPr>
          <w:rFonts w:hint="default" w:ascii="Times New Roman" w:hAnsi="Times New Roman" w:eastAsia="宋体" w:cs="Times New Roman"/>
          <w:bCs/>
          <w:color w:val="auto"/>
          <w:sz w:val="24"/>
          <w:szCs w:val="24"/>
          <w:highlight w:val="none"/>
        </w:rPr>
        <w:t>。</w:t>
      </w:r>
    </w:p>
    <w:p w14:paraId="22AF9BEB">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2022年委托编制了《</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环境影响报告表》，2022年9月20日本项目环境影响报告表已取得承德市生态环境局围场满族蒙古族自治县分局关于《</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环境影响报告表》的批复，批复文号：围环评〔2022〕20号。</w:t>
      </w:r>
    </w:p>
    <w:p w14:paraId="4BC556A8">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围场满族蒙古族自治县阳洁光伏发电有限责任公司在围场满族蒙古族自治县境内拟建设“华能围场“风光储氢热一体化”项目（风电200MW）项目”，</w:t>
      </w:r>
      <w:r>
        <w:rPr>
          <w:rFonts w:hint="eastAsia" w:ascii="Times New Roman" w:hAnsi="Times New Roman" w:eastAsia="宋体" w:cs="Times New Roman"/>
          <w:bCs/>
          <w:color w:val="auto"/>
          <w:sz w:val="24"/>
          <w:szCs w:val="24"/>
          <w:highlight w:val="none"/>
          <w:lang w:eastAsia="zh-CN"/>
        </w:rPr>
        <w:t>该</w:t>
      </w:r>
      <w:r>
        <w:rPr>
          <w:rFonts w:hint="default" w:ascii="Times New Roman" w:hAnsi="Times New Roman" w:eastAsia="宋体" w:cs="Times New Roman"/>
          <w:bCs/>
          <w:color w:val="auto"/>
          <w:sz w:val="24"/>
          <w:szCs w:val="24"/>
          <w:highlight w:val="none"/>
        </w:rPr>
        <w:t>项目已于2023年1月5日取得承德市行政审批局的核准批复（承审批核字[2023]3号），于2023年1月17日取得承德市生态环境局围场满族蒙古族自治县分局出具的环评审批意见(围环评[2023]4号)。</w:t>
      </w:r>
    </w:p>
    <w:p w14:paraId="41AFF5EA">
      <w:pPr>
        <w:pStyle w:val="23"/>
        <w:spacing w:line="480" w:lineRule="exact"/>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2023年8月22日国网冀北电力有限公司经济技术研究院出具关于华能围场“风光储氢热一体化”项目（光伏200兆瓦）接入系统设计的评审意见（冀北经研〔2023〕300号），根据接入系统设计：新建华能光伏220千伏升压站，新建1台200兆伏安主变，华能光伏220千伏升压站升压后通过华能光伏220千伏升压站~华能风电220千伏升压站~牌楼500千伏变电站的220千伏线路并网运行。新建华能光伏220千伏升压站~华能风电220千伏升压站220千伏线路长度约24千米</w:t>
      </w:r>
      <w:r>
        <w:rPr>
          <w:rFonts w:hint="eastAsia" w:ascii="Times New Roman" w:hAnsi="Times New Roman" w:eastAsia="宋体" w:cs="Times New Roman"/>
          <w:color w:val="auto"/>
          <w:sz w:val="24"/>
          <w:szCs w:val="24"/>
          <w:highlight w:val="none"/>
          <w:lang w:eastAsia="zh-CN"/>
        </w:rPr>
        <w:t>，本项目属于</w:t>
      </w:r>
      <w:r>
        <w:rPr>
          <w:rFonts w:hint="default" w:ascii="Times New Roman" w:hAnsi="Times New Roman" w:eastAsia="宋体" w:cs="Times New Roman"/>
          <w:color w:val="auto"/>
          <w:sz w:val="24"/>
          <w:szCs w:val="24"/>
          <w:highlight w:val="none"/>
        </w:rPr>
        <w:t>“风光储氢热一体化”项目（光伏200MW）项目</w:t>
      </w:r>
      <w:r>
        <w:rPr>
          <w:rFonts w:hint="eastAsia" w:ascii="Times New Roman" w:hAnsi="Times New Roman" w:eastAsia="宋体" w:cs="Times New Roman"/>
          <w:color w:val="auto"/>
          <w:sz w:val="24"/>
          <w:szCs w:val="24"/>
          <w:highlight w:val="none"/>
          <w:lang w:eastAsia="zh-CN"/>
        </w:rPr>
        <w:t>光伏</w:t>
      </w:r>
      <w:r>
        <w:rPr>
          <w:rFonts w:hint="eastAsia" w:ascii="Times New Roman" w:hAnsi="Times New Roman" w:eastAsia="宋体" w:cs="Times New Roman"/>
          <w:color w:val="auto"/>
          <w:sz w:val="24"/>
          <w:szCs w:val="24"/>
          <w:highlight w:val="none"/>
          <w:lang w:val="en-US" w:eastAsia="zh-CN"/>
        </w:rPr>
        <w:t>220kV升压站到</w:t>
      </w:r>
      <w:r>
        <w:rPr>
          <w:rFonts w:hint="default" w:ascii="Times New Roman" w:hAnsi="Times New Roman" w:eastAsia="宋体" w:cs="Times New Roman"/>
          <w:bCs/>
          <w:color w:val="auto"/>
          <w:sz w:val="24"/>
          <w:szCs w:val="24"/>
          <w:highlight w:val="none"/>
        </w:rPr>
        <w:t>华能围场“风光储氢热一体化”项目（风电200MW）项目</w:t>
      </w:r>
      <w:r>
        <w:rPr>
          <w:rFonts w:hint="eastAsia" w:ascii="Times New Roman" w:hAnsi="Times New Roman" w:eastAsia="宋体" w:cs="Times New Roman"/>
          <w:bCs/>
          <w:color w:val="auto"/>
          <w:sz w:val="24"/>
          <w:szCs w:val="24"/>
          <w:highlight w:val="none"/>
          <w:lang w:eastAsia="zh-CN"/>
        </w:rPr>
        <w:t>风电</w:t>
      </w:r>
      <w:r>
        <w:rPr>
          <w:rFonts w:hint="eastAsia" w:ascii="Times New Roman" w:hAnsi="Times New Roman" w:eastAsia="宋体" w:cs="Times New Roman"/>
          <w:bCs/>
          <w:color w:val="auto"/>
          <w:sz w:val="24"/>
          <w:szCs w:val="24"/>
          <w:highlight w:val="none"/>
          <w:lang w:val="en-US" w:eastAsia="zh-CN"/>
        </w:rPr>
        <w:t>220kV升压站的联络线工程。本项目依托两端的升压站，待两端升压站运行后本项目才可正常运行。</w:t>
      </w:r>
    </w:p>
    <w:p w14:paraId="0FBBDA88">
      <w:pPr>
        <w:pStyle w:val="23"/>
        <w:spacing w:line="480" w:lineRule="exact"/>
        <w:ind w:firstLine="480" w:firstLineChars="200"/>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委托河北冀跃工程咨询有限公司正在编制《</w:t>
      </w:r>
      <w:r>
        <w:rPr>
          <w:rFonts w:hint="default" w:ascii="Times New Roman" w:hAnsi="Times New Roman" w:eastAsia="宋体" w:cs="Times New Roman"/>
          <w:color w:val="auto"/>
          <w:sz w:val="24"/>
          <w:szCs w:val="24"/>
          <w:highlight w:val="none"/>
        </w:rPr>
        <w:t>华能围场“风光储氢热一体化”项目（光伏200MW）项目</w:t>
      </w:r>
      <w:r>
        <w:rPr>
          <w:rFonts w:hint="eastAsia" w:ascii="Times New Roman" w:hAnsi="Times New Roman" w:eastAsia="宋体" w:cs="Times New Roman"/>
          <w:color w:val="auto"/>
          <w:sz w:val="24"/>
          <w:szCs w:val="24"/>
          <w:highlight w:val="none"/>
          <w:lang w:val="en-US" w:eastAsia="zh-CN"/>
        </w:rPr>
        <w:t>220kV升压站工程环境影响报告表</w:t>
      </w:r>
      <w:r>
        <w:rPr>
          <w:rFonts w:hint="eastAsia" w:ascii="Times New Roman" w:hAnsi="Times New Roman" w:eastAsia="宋体" w:cs="Times New Roman"/>
          <w:bCs/>
          <w:color w:val="auto"/>
          <w:sz w:val="24"/>
          <w:szCs w:val="24"/>
          <w:highlight w:val="none"/>
          <w:lang w:eastAsia="zh-CN"/>
        </w:rPr>
        <w:t>》（协议见附件），</w:t>
      </w: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委托《华能围场“风光储氢热一体化”项目（风电200MW）项目220kV升压站工程环境影响报告表》，该报告表已上报承德市数据和政务服务局审批，线路依托的两端升压站内容合法合规</w:t>
      </w:r>
      <w:r>
        <w:rPr>
          <w:rFonts w:hint="default" w:ascii="Times New Roman" w:hAnsi="Times New Roman" w:eastAsia="宋体" w:cs="Times New Roman"/>
          <w:color w:val="auto"/>
          <w:sz w:val="24"/>
          <w:szCs w:val="24"/>
          <w:highlight w:val="none"/>
        </w:rPr>
        <w:t>。</w:t>
      </w:r>
      <w:r>
        <w:rPr>
          <w:rFonts w:ascii="Times New Roman" w:hAnsi="Times New Roman" w:eastAsia="宋体" w:cs="Times New Roman"/>
          <w:bCs/>
          <w:color w:val="auto"/>
          <w:sz w:val="24"/>
          <w:szCs w:val="24"/>
          <w:highlight w:val="none"/>
        </w:rPr>
        <w:t>。</w:t>
      </w:r>
    </w:p>
    <w:p w14:paraId="6E6F42B6">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本项目为</w:t>
      </w:r>
      <w:r>
        <w:rPr>
          <w:rFonts w:ascii="Times New Roman" w:hAnsi="Times New Roman" w:eastAsia="宋体" w:cs="Times New Roman"/>
          <w:color w:val="auto"/>
          <w:sz w:val="24"/>
          <w:szCs w:val="24"/>
          <w:highlight w:val="none"/>
        </w:rPr>
        <w:t>华能围场“风光储氢热一体化”项目（光伏200MW）项目</w:t>
      </w:r>
      <w:r>
        <w:rPr>
          <w:rFonts w:ascii="Times New Roman" w:hAnsi="Times New Roman" w:eastAsia="宋体" w:cs="Times New Roman"/>
          <w:bCs/>
          <w:color w:val="auto"/>
          <w:sz w:val="24"/>
          <w:szCs w:val="24"/>
          <w:highlight w:val="none"/>
        </w:rPr>
        <w:t>配套建设的</w:t>
      </w:r>
      <w:r>
        <w:rPr>
          <w:rFonts w:hint="eastAsia" w:ascii="Times New Roman" w:hAnsi="Times New Roman" w:eastAsia="宋体" w:cs="Times New Roman"/>
          <w:bCs/>
          <w:color w:val="auto"/>
          <w:sz w:val="24"/>
          <w:szCs w:val="24"/>
          <w:highlight w:val="none"/>
        </w:rPr>
        <w:t>输电线路</w:t>
      </w:r>
      <w:r>
        <w:rPr>
          <w:rFonts w:ascii="Times New Roman" w:hAnsi="Times New Roman" w:eastAsia="宋体" w:cs="Times New Roman"/>
          <w:bCs/>
          <w:color w:val="auto"/>
          <w:sz w:val="24"/>
          <w:szCs w:val="24"/>
          <w:highlight w:val="none"/>
        </w:rPr>
        <w:t>工程，为满足</w:t>
      </w:r>
      <w:r>
        <w:rPr>
          <w:rFonts w:ascii="Times New Roman" w:hAnsi="Times New Roman" w:eastAsia="宋体" w:cs="Times New Roman"/>
          <w:color w:val="auto"/>
          <w:sz w:val="24"/>
          <w:szCs w:val="24"/>
          <w:highlight w:val="none"/>
        </w:rPr>
        <w:t>华能围场“风光储氢热一体化”项目（光伏200MW）项目</w:t>
      </w:r>
      <w:r>
        <w:rPr>
          <w:rFonts w:ascii="Times New Roman" w:hAnsi="Times New Roman" w:eastAsia="宋体" w:cs="Times New Roman"/>
          <w:bCs/>
          <w:color w:val="auto"/>
          <w:sz w:val="24"/>
          <w:szCs w:val="24"/>
          <w:highlight w:val="none"/>
        </w:rPr>
        <w:t>输变电需求，</w:t>
      </w:r>
      <w:r>
        <w:rPr>
          <w:rFonts w:ascii="Times New Roman" w:hAnsi="Times New Roman" w:eastAsia="宋体" w:cs="Times New Roman"/>
          <w:color w:val="auto"/>
          <w:sz w:val="24"/>
          <w:szCs w:val="24"/>
          <w:highlight w:val="none"/>
        </w:rPr>
        <w:t>华能围场“风光储氢热一体化”项目（光伏200MW）项目220kV送出线路工程项目</w:t>
      </w:r>
      <w:r>
        <w:rPr>
          <w:rFonts w:ascii="Times New Roman" w:hAnsi="Times New Roman" w:eastAsia="宋体" w:cs="Times New Roman"/>
          <w:bCs/>
          <w:color w:val="auto"/>
          <w:sz w:val="24"/>
          <w:szCs w:val="24"/>
          <w:highlight w:val="none"/>
        </w:rPr>
        <w:t>是必要的。</w:t>
      </w:r>
    </w:p>
    <w:p w14:paraId="6C181BA8">
      <w:pPr>
        <w:pStyle w:val="23"/>
        <w:spacing w:line="480" w:lineRule="exact"/>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、接入系统和项目立项情况</w:t>
      </w:r>
    </w:p>
    <w:p w14:paraId="11F5078D">
      <w:pPr>
        <w:pStyle w:val="23"/>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2023年</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rPr>
        <w:t>22</w:t>
      </w:r>
      <w:r>
        <w:rPr>
          <w:rFonts w:ascii="Times New Roman" w:hAnsi="Times New Roman" w:eastAsia="宋体" w:cs="Times New Roman"/>
          <w:color w:val="auto"/>
          <w:sz w:val="24"/>
          <w:szCs w:val="24"/>
          <w:highlight w:val="none"/>
        </w:rPr>
        <w:t>日，国网冀北电力有限公司</w:t>
      </w:r>
      <w:r>
        <w:rPr>
          <w:rFonts w:hint="eastAsia" w:ascii="Times New Roman" w:hAnsi="Times New Roman" w:eastAsia="宋体" w:cs="Times New Roman"/>
          <w:color w:val="auto"/>
          <w:sz w:val="24"/>
          <w:szCs w:val="24"/>
          <w:highlight w:val="none"/>
        </w:rPr>
        <w:t>经济技术研究院出具关于</w:t>
      </w:r>
      <w:r>
        <w:rPr>
          <w:rFonts w:ascii="Times New Roman" w:hAnsi="Times New Roman" w:eastAsia="宋体" w:cs="Times New Roman"/>
          <w:color w:val="auto"/>
          <w:sz w:val="24"/>
          <w:szCs w:val="24"/>
          <w:highlight w:val="none"/>
        </w:rPr>
        <w:t>华能围场“风光储氢热一体化”项目（光伏200</w:t>
      </w:r>
      <w:r>
        <w:rPr>
          <w:rFonts w:hint="eastAsia" w:ascii="Times New Roman" w:hAnsi="Times New Roman" w:eastAsia="宋体" w:cs="Times New Roman"/>
          <w:color w:val="auto"/>
          <w:sz w:val="24"/>
          <w:szCs w:val="24"/>
          <w:highlight w:val="none"/>
        </w:rPr>
        <w:t>兆瓦</w:t>
      </w:r>
      <w:r>
        <w:rPr>
          <w:rFonts w:ascii="Times New Roman" w:hAnsi="Times New Roman" w:eastAsia="宋体" w:cs="Times New Roman"/>
          <w:color w:val="auto"/>
          <w:sz w:val="24"/>
          <w:szCs w:val="24"/>
          <w:highlight w:val="none"/>
        </w:rPr>
        <w:t>）接入系统</w:t>
      </w:r>
      <w:r>
        <w:rPr>
          <w:rFonts w:hint="eastAsia" w:ascii="Times New Roman" w:hAnsi="Times New Roman" w:eastAsia="宋体" w:cs="Times New Roman"/>
          <w:color w:val="auto"/>
          <w:sz w:val="24"/>
          <w:szCs w:val="24"/>
          <w:highlight w:val="none"/>
        </w:rPr>
        <w:t>设计的评审意见</w:t>
      </w:r>
      <w:r>
        <w:rPr>
          <w:rFonts w:ascii="Times New Roman" w:hAnsi="Times New Roman" w:eastAsia="宋体" w:cs="Times New Roman"/>
          <w:color w:val="auto"/>
          <w:sz w:val="24"/>
          <w:szCs w:val="24"/>
          <w:highlight w:val="none"/>
        </w:rPr>
        <w:t>（冀北</w:t>
      </w:r>
      <w:r>
        <w:rPr>
          <w:rFonts w:hint="eastAsia" w:ascii="Times New Roman" w:hAnsi="Times New Roman" w:eastAsia="宋体" w:cs="Times New Roman"/>
          <w:color w:val="auto"/>
          <w:sz w:val="24"/>
          <w:szCs w:val="24"/>
          <w:highlight w:val="none"/>
        </w:rPr>
        <w:t>经研</w:t>
      </w:r>
      <w:r>
        <w:rPr>
          <w:rFonts w:ascii="Times New Roman" w:hAnsi="Times New Roman" w:eastAsia="宋体" w:cs="Times New Roman"/>
          <w:color w:val="auto"/>
          <w:sz w:val="24"/>
          <w:szCs w:val="24"/>
          <w:highlight w:val="none"/>
        </w:rPr>
        <w:t>〔2023〕</w:t>
      </w:r>
      <w:r>
        <w:rPr>
          <w:rFonts w:hint="eastAsia" w:ascii="Times New Roman" w:hAnsi="Times New Roman" w:eastAsia="宋体" w:cs="Times New Roman"/>
          <w:color w:val="auto"/>
          <w:sz w:val="24"/>
          <w:szCs w:val="24"/>
          <w:highlight w:val="none"/>
        </w:rPr>
        <w:t>300</w:t>
      </w:r>
      <w:r>
        <w:rPr>
          <w:rFonts w:ascii="Times New Roman" w:hAnsi="Times New Roman" w:eastAsia="宋体" w:cs="Times New Roman"/>
          <w:color w:val="auto"/>
          <w:sz w:val="24"/>
          <w:szCs w:val="24"/>
          <w:highlight w:val="none"/>
        </w:rPr>
        <w:t>号），根据接入系统设计</w:t>
      </w:r>
      <w:r>
        <w:rPr>
          <w:rFonts w:hint="eastAsia" w:ascii="Times New Roman" w:hAnsi="Times New Roman" w:eastAsia="宋体" w:cs="Times New Roman"/>
          <w:color w:val="auto"/>
          <w:sz w:val="24"/>
          <w:szCs w:val="24"/>
          <w:highlight w:val="none"/>
        </w:rPr>
        <w:t>：新建华能光伏220千伏升压站，新建1台200兆伏安主变，电压等级220/35千伏。本工程200兆瓦光伏、30兆瓦/60兆瓦时储能系统分别通过8回、2回35千伏集电线路接入华能光伏220千伏升压站主变低压侧，升压后通过华能光伏220千伏升压站~华能风电220千伏升压站~牌楼500千伏变电站的220千伏线路并网运行。新建华能光伏220千伏升压站~华能风电220千伏升压站220千伏线路长度约24千米，导线型号不低于JL/G1A-240。</w:t>
      </w:r>
    </w:p>
    <w:p w14:paraId="71FC3603">
      <w:pPr>
        <w:pStyle w:val="23"/>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本项目已于2024年</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月5日取得</w:t>
      </w:r>
      <w:r>
        <w:rPr>
          <w:rFonts w:hint="eastAsia" w:ascii="Times New Roman" w:hAnsi="Times New Roman" w:eastAsia="宋体" w:cs="Times New Roman"/>
          <w:color w:val="auto"/>
          <w:sz w:val="24"/>
          <w:szCs w:val="24"/>
          <w:highlight w:val="none"/>
        </w:rPr>
        <w:t>承德</w:t>
      </w:r>
      <w:r>
        <w:rPr>
          <w:rFonts w:ascii="Times New Roman" w:hAnsi="Times New Roman" w:eastAsia="宋体" w:cs="Times New Roman"/>
          <w:color w:val="auto"/>
          <w:sz w:val="24"/>
          <w:szCs w:val="24"/>
          <w:highlight w:val="none"/>
        </w:rPr>
        <w:t>市行政审批局关于华能围场“风光储氢热一体化”项目（光伏200MW）项目220kV送出线路工程项目核准的批复（</w:t>
      </w:r>
      <w:r>
        <w:rPr>
          <w:rFonts w:hint="eastAsia" w:ascii="Times New Roman" w:hAnsi="Times New Roman" w:eastAsia="宋体" w:cs="Times New Roman"/>
          <w:color w:val="auto"/>
          <w:sz w:val="24"/>
          <w:szCs w:val="24"/>
          <w:highlight w:val="none"/>
        </w:rPr>
        <w:t>承审批核</w:t>
      </w:r>
      <w:r>
        <w:rPr>
          <w:rFonts w:ascii="Times New Roman" w:hAnsi="Times New Roman" w:eastAsia="宋体" w:cs="Times New Roman"/>
          <w:color w:val="auto"/>
          <w:sz w:val="24"/>
          <w:szCs w:val="24"/>
          <w:highlight w:val="none"/>
        </w:rPr>
        <w:t>字〔2024〕1</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号），项目代码240</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-130</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00-89-01-</w:t>
      </w:r>
      <w:r>
        <w:rPr>
          <w:rFonts w:hint="eastAsia" w:ascii="Times New Roman" w:hAnsi="Times New Roman" w:eastAsia="宋体" w:cs="Times New Roman"/>
          <w:color w:val="auto"/>
          <w:sz w:val="24"/>
          <w:szCs w:val="24"/>
          <w:highlight w:val="none"/>
        </w:rPr>
        <w:t>759066</w:t>
      </w:r>
      <w:r>
        <w:rPr>
          <w:rFonts w:ascii="Times New Roman" w:hAnsi="Times New Roman" w:eastAsia="宋体" w:cs="Times New Roman"/>
          <w:color w:val="auto"/>
          <w:sz w:val="24"/>
          <w:szCs w:val="24"/>
          <w:highlight w:val="none"/>
        </w:rPr>
        <w:t>。</w:t>
      </w:r>
    </w:p>
    <w:p w14:paraId="0F272DE4">
      <w:pPr>
        <w:pStyle w:val="8"/>
        <w:rPr>
          <w:rFonts w:cs="Times New Roman"/>
          <w:color w:val="auto"/>
          <w:highlight w:val="none"/>
        </w:rPr>
      </w:pPr>
      <w:bookmarkStart w:id="24" w:name="_Toc18870"/>
      <w:r>
        <w:rPr>
          <w:rFonts w:cs="Times New Roman"/>
          <w:color w:val="auto"/>
          <w:highlight w:val="none"/>
        </w:rPr>
        <w:t>1.2 评价工作过程</w:t>
      </w:r>
      <w:bookmarkEnd w:id="24"/>
    </w:p>
    <w:p w14:paraId="5DA944A4">
      <w:pPr>
        <w:ind w:firstLine="480"/>
        <w:rPr>
          <w:rFonts w:cs="Times New Roman"/>
          <w:color w:val="auto"/>
          <w:highlight w:val="none"/>
        </w:rPr>
      </w:pPr>
      <w:r>
        <w:rPr>
          <w:rFonts w:eastAsia="宋体" w:cs="Times New Roman"/>
          <w:bCs/>
          <w:color w:val="auto"/>
          <w:szCs w:val="24"/>
          <w:highlight w:val="none"/>
        </w:rPr>
        <w:t>本项目电压等级为220kV，按照《建设项目环境影响评价分类管理名录》的有关规定，本项目类别属于“五十五、核与辐射”中“161输变电工程”，需编制环境影响报告表，202</w:t>
      </w:r>
      <w:r>
        <w:rPr>
          <w:rFonts w:hint="eastAsia" w:eastAsia="宋体" w:cs="Times New Roman"/>
          <w:bCs/>
          <w:color w:val="auto"/>
          <w:szCs w:val="24"/>
          <w:highlight w:val="none"/>
          <w:lang w:val="en-US" w:eastAsia="zh-CN"/>
        </w:rPr>
        <w:t>3</w:t>
      </w:r>
      <w:r>
        <w:rPr>
          <w:rFonts w:eastAsia="宋体" w:cs="Times New Roman"/>
          <w:bCs/>
          <w:color w:val="auto"/>
          <w:szCs w:val="24"/>
          <w:highlight w:val="none"/>
        </w:rPr>
        <w:t>年</w:t>
      </w:r>
      <w:r>
        <w:rPr>
          <w:rFonts w:hint="eastAsia" w:eastAsia="宋体" w:cs="Times New Roman"/>
          <w:bCs/>
          <w:color w:val="auto"/>
          <w:szCs w:val="24"/>
          <w:highlight w:val="none"/>
          <w:lang w:val="en-US" w:eastAsia="zh-CN"/>
        </w:rPr>
        <w:t>8</w:t>
      </w:r>
      <w:r>
        <w:rPr>
          <w:rFonts w:eastAsia="宋体" w:cs="Times New Roman"/>
          <w:bCs/>
          <w:color w:val="auto"/>
          <w:szCs w:val="24"/>
          <w:highlight w:val="none"/>
        </w:rPr>
        <w:t>月，委托河北冀跃工程咨询有限公司开展</w:t>
      </w:r>
      <w:r>
        <w:rPr>
          <w:rFonts w:eastAsia="宋体" w:cs="Times New Roman"/>
          <w:color w:val="auto"/>
          <w:szCs w:val="24"/>
          <w:highlight w:val="none"/>
        </w:rPr>
        <w:t>华能围场</w:t>
      </w:r>
      <w:r>
        <w:rPr>
          <w:rFonts w:hint="eastAsia" w:eastAsia="宋体" w:cs="Times New Roman"/>
          <w:color w:val="auto"/>
          <w:szCs w:val="24"/>
          <w:highlight w:val="none"/>
        </w:rPr>
        <w:t>“</w:t>
      </w:r>
      <w:r>
        <w:rPr>
          <w:rFonts w:eastAsia="宋体" w:cs="Times New Roman"/>
          <w:color w:val="auto"/>
          <w:szCs w:val="24"/>
          <w:highlight w:val="none"/>
        </w:rPr>
        <w:t>风光储氢热一体化</w:t>
      </w:r>
      <w:r>
        <w:rPr>
          <w:rFonts w:hint="eastAsia" w:eastAsia="宋体" w:cs="Times New Roman"/>
          <w:color w:val="auto"/>
          <w:szCs w:val="24"/>
          <w:highlight w:val="none"/>
        </w:rPr>
        <w:t>”</w:t>
      </w:r>
      <w:r>
        <w:rPr>
          <w:rFonts w:eastAsia="宋体" w:cs="Times New Roman"/>
          <w:color w:val="auto"/>
          <w:szCs w:val="24"/>
          <w:highlight w:val="none"/>
        </w:rPr>
        <w:t>项目（光伏200MW）项目220kV送出线路工程项目</w:t>
      </w:r>
      <w:r>
        <w:rPr>
          <w:rFonts w:eastAsia="宋体" w:cs="Times New Roman"/>
          <w:bCs/>
          <w:color w:val="auto"/>
          <w:szCs w:val="24"/>
          <w:highlight w:val="none"/>
        </w:rPr>
        <w:t>的环境影响评价工作（详见附件1），我单位对本工程进行了实地踏勘和调查，收集了环境质量现状及有关工程资料，委托承德市东岭环境监测有限公司于2024年</w:t>
      </w:r>
      <w:r>
        <w:rPr>
          <w:rFonts w:hint="eastAsia" w:eastAsia="宋体" w:cs="Times New Roman"/>
          <w:bCs/>
          <w:color w:val="auto"/>
          <w:szCs w:val="24"/>
          <w:highlight w:val="none"/>
        </w:rPr>
        <w:t>8</w:t>
      </w:r>
      <w:r>
        <w:rPr>
          <w:rFonts w:eastAsia="宋体" w:cs="Times New Roman"/>
          <w:bCs/>
          <w:color w:val="auto"/>
          <w:szCs w:val="24"/>
          <w:highlight w:val="none"/>
        </w:rPr>
        <w:t>月</w:t>
      </w:r>
      <w:r>
        <w:rPr>
          <w:rFonts w:hint="eastAsia" w:eastAsia="宋体" w:cs="Times New Roman"/>
          <w:bCs/>
          <w:color w:val="auto"/>
          <w:szCs w:val="24"/>
          <w:highlight w:val="none"/>
        </w:rPr>
        <w:t>15日~16</w:t>
      </w:r>
      <w:r>
        <w:rPr>
          <w:rFonts w:eastAsia="宋体" w:cs="Times New Roman"/>
          <w:bCs/>
          <w:color w:val="auto"/>
          <w:szCs w:val="24"/>
          <w:highlight w:val="none"/>
        </w:rPr>
        <w:t>日开展环境现状检测，</w:t>
      </w:r>
      <w:r>
        <w:rPr>
          <w:rFonts w:cs="Times New Roman"/>
          <w:color w:val="auto"/>
          <w:highlight w:val="none"/>
        </w:rPr>
        <w:t>在此基础上，对收集的资料和数据处理分析，对工程区及评价范围的工频电场、工频磁场环境现状进行了评价，针对工程建设中可能存在的环保问题提出了相应的环保措施，并从环境保护的角度论证了工程建设的可行性。编制完成了《</w:t>
      </w:r>
      <w:r>
        <w:rPr>
          <w:rFonts w:eastAsia="宋体" w:cs="Times New Roman"/>
          <w:color w:val="auto"/>
          <w:szCs w:val="24"/>
          <w:highlight w:val="none"/>
        </w:rPr>
        <w:t>华能围场</w:t>
      </w:r>
      <w:r>
        <w:rPr>
          <w:rFonts w:hint="eastAsia" w:eastAsia="宋体" w:cs="Times New Roman"/>
          <w:color w:val="auto"/>
          <w:szCs w:val="24"/>
          <w:highlight w:val="none"/>
        </w:rPr>
        <w:t>“</w:t>
      </w:r>
      <w:r>
        <w:rPr>
          <w:rFonts w:eastAsia="宋体" w:cs="Times New Roman"/>
          <w:color w:val="auto"/>
          <w:szCs w:val="24"/>
          <w:highlight w:val="none"/>
        </w:rPr>
        <w:t>风光储氢热一体化</w:t>
      </w:r>
      <w:r>
        <w:rPr>
          <w:rFonts w:hint="eastAsia" w:eastAsia="宋体" w:cs="Times New Roman"/>
          <w:color w:val="auto"/>
          <w:szCs w:val="24"/>
          <w:highlight w:val="none"/>
        </w:rPr>
        <w:t>”</w:t>
      </w:r>
      <w:r>
        <w:rPr>
          <w:rFonts w:eastAsia="宋体" w:cs="Times New Roman"/>
          <w:color w:val="auto"/>
          <w:szCs w:val="24"/>
          <w:highlight w:val="none"/>
        </w:rPr>
        <w:t>项目（光伏200MW）项目220kV送出线路工程项目</w:t>
      </w:r>
      <w:r>
        <w:rPr>
          <w:rFonts w:cs="Times New Roman"/>
          <w:color w:val="auto"/>
          <w:highlight w:val="none"/>
        </w:rPr>
        <w:t>电磁环境影响专项评价》。</w:t>
      </w:r>
    </w:p>
    <w:p w14:paraId="5A0063F0">
      <w:pPr>
        <w:pStyle w:val="23"/>
        <w:spacing w:line="480" w:lineRule="exact"/>
        <w:ind w:firstLine="480" w:firstLineChars="200"/>
        <w:rPr>
          <w:rFonts w:ascii="Times New Roman" w:hAnsi="Times New Roman" w:eastAsia="宋体" w:cs="Times New Roman"/>
          <w:bCs/>
          <w:color w:val="auto"/>
          <w:sz w:val="24"/>
          <w:szCs w:val="24"/>
          <w:highlight w:val="none"/>
        </w:rPr>
      </w:pPr>
    </w:p>
    <w:p w14:paraId="15E44000">
      <w:pPr>
        <w:ind w:firstLine="480"/>
        <w:rPr>
          <w:rFonts w:cs="Times New Roman"/>
          <w:color w:val="auto"/>
          <w:highlight w:val="none"/>
        </w:rPr>
      </w:pPr>
    </w:p>
    <w:p w14:paraId="676A991D">
      <w:pPr>
        <w:ind w:firstLine="480"/>
        <w:rPr>
          <w:rFonts w:cs="Times New Roman"/>
          <w:color w:val="auto"/>
          <w:highlight w:val="none"/>
        </w:rPr>
      </w:pPr>
      <w:r>
        <w:rPr>
          <w:rFonts w:cs="Times New Roman"/>
          <w:color w:val="auto"/>
          <w:highlight w:val="none"/>
        </w:rPr>
        <w:br w:type="page"/>
      </w:r>
    </w:p>
    <w:p w14:paraId="4F78E1BA">
      <w:pPr>
        <w:ind w:firstLine="480"/>
        <w:rPr>
          <w:rFonts w:cs="Times New Roman"/>
          <w:color w:val="auto"/>
          <w:highlight w:val="none"/>
        </w:rPr>
      </w:pPr>
    </w:p>
    <w:p w14:paraId="0D5197AC">
      <w:pPr>
        <w:pStyle w:val="7"/>
        <w:rPr>
          <w:rFonts w:cs="Times New Roman"/>
          <w:color w:val="auto"/>
          <w:kern w:val="0"/>
          <w:highlight w:val="none"/>
        </w:rPr>
      </w:pPr>
      <w:bookmarkStart w:id="25" w:name="_Toc18307"/>
      <w:r>
        <w:rPr>
          <w:rFonts w:cs="Times New Roman"/>
          <w:color w:val="auto"/>
          <w:kern w:val="0"/>
          <w:highlight w:val="none"/>
        </w:rPr>
        <w:t>2 总则</w:t>
      </w:r>
      <w:bookmarkEnd w:id="25"/>
    </w:p>
    <w:p w14:paraId="79D4BFAC">
      <w:pPr>
        <w:pStyle w:val="8"/>
        <w:rPr>
          <w:rFonts w:cs="Times New Roman"/>
          <w:color w:val="auto"/>
          <w:highlight w:val="none"/>
        </w:rPr>
      </w:pPr>
      <w:bookmarkStart w:id="26" w:name="_Toc23172"/>
      <w:r>
        <w:rPr>
          <w:rFonts w:cs="Times New Roman"/>
          <w:color w:val="auto"/>
          <w:highlight w:val="none"/>
        </w:rPr>
        <w:t>2.1编制依据</w:t>
      </w:r>
      <w:bookmarkEnd w:id="26"/>
    </w:p>
    <w:p w14:paraId="7DD739BE">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1、</w:t>
      </w:r>
      <w:r>
        <w:rPr>
          <w:rFonts w:hint="eastAsia" w:eastAsia="宋体" w:cs="Times New Roman"/>
          <w:bCs/>
          <w:color w:val="auto"/>
          <w:szCs w:val="24"/>
          <w:highlight w:val="none"/>
        </w:rPr>
        <w:t>法律法规</w:t>
      </w:r>
    </w:p>
    <w:p w14:paraId="4514636E">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(1)《中华人民共和国环境保护法》(2014 年4 月24 日发布，2015 年1 月1 日实施）；</w:t>
      </w:r>
    </w:p>
    <w:p w14:paraId="1254750F">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(2)《中华人民共和国环境影响评价法》（修订）(2018 年12 月29 日修订并</w:t>
      </w:r>
      <w:r>
        <w:rPr>
          <w:rFonts w:hint="eastAsia" w:eastAsia="宋体" w:cs="Times New Roman"/>
          <w:bCs/>
          <w:color w:val="auto"/>
          <w:szCs w:val="24"/>
          <w:highlight w:val="none"/>
        </w:rPr>
        <w:t>实施</w:t>
      </w:r>
      <w:r>
        <w:rPr>
          <w:rFonts w:eastAsia="宋体" w:cs="Times New Roman"/>
          <w:bCs/>
          <w:color w:val="auto"/>
          <w:szCs w:val="24"/>
          <w:highlight w:val="none"/>
        </w:rPr>
        <w:t>）；</w:t>
      </w:r>
    </w:p>
    <w:p w14:paraId="106F6C82">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3</w:t>
      </w:r>
      <w:r>
        <w:rPr>
          <w:rFonts w:eastAsia="宋体" w:cs="Times New Roman"/>
          <w:bCs/>
          <w:color w:val="auto"/>
          <w:szCs w:val="24"/>
          <w:highlight w:val="none"/>
        </w:rPr>
        <w:t>)《中华人民共和国电力法》(2018年12月29日修订并实施）；</w:t>
      </w:r>
    </w:p>
    <w:p w14:paraId="5F77C78A">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4</w:t>
      </w:r>
      <w:r>
        <w:rPr>
          <w:rFonts w:eastAsia="宋体" w:cs="Times New Roman"/>
          <w:bCs/>
          <w:color w:val="auto"/>
          <w:szCs w:val="24"/>
          <w:highlight w:val="none"/>
        </w:rPr>
        <w:t>)《建设项目环境保护管理条例》（国务院令第682号，2017年7月16日公布，2017年10月1日实施）；</w:t>
      </w:r>
    </w:p>
    <w:p w14:paraId="384E3473">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5</w:t>
      </w:r>
      <w:r>
        <w:rPr>
          <w:rFonts w:eastAsia="宋体" w:cs="Times New Roman"/>
          <w:bCs/>
          <w:color w:val="auto"/>
          <w:szCs w:val="24"/>
          <w:highlight w:val="none"/>
        </w:rPr>
        <w:t>)《电力设施保护条例》(2011年1月8日修订并实施）；</w:t>
      </w:r>
    </w:p>
    <w:p w14:paraId="26CE1816">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6</w:t>
      </w:r>
      <w:r>
        <w:rPr>
          <w:rFonts w:eastAsia="宋体" w:cs="Times New Roman"/>
          <w:bCs/>
          <w:color w:val="auto"/>
          <w:szCs w:val="24"/>
          <w:highlight w:val="none"/>
        </w:rPr>
        <w:t>)《电力设施保护条例实施细则》(2011年6月30日修订并实施）；</w:t>
      </w:r>
    </w:p>
    <w:p w14:paraId="71A11C0D">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7</w:t>
      </w:r>
      <w:r>
        <w:rPr>
          <w:rFonts w:eastAsia="宋体" w:cs="Times New Roman"/>
          <w:bCs/>
          <w:color w:val="auto"/>
          <w:szCs w:val="24"/>
          <w:highlight w:val="none"/>
        </w:rPr>
        <w:t>)《建设项目环境影响评价分类管理名录（2021年本）》(2021年1月1日实施）；</w:t>
      </w:r>
    </w:p>
    <w:p w14:paraId="6FE9E926">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8</w:t>
      </w:r>
      <w:r>
        <w:rPr>
          <w:rFonts w:eastAsia="宋体" w:cs="Times New Roman"/>
          <w:bCs/>
          <w:color w:val="auto"/>
          <w:szCs w:val="24"/>
          <w:highlight w:val="none"/>
        </w:rPr>
        <w:t>)《关于进一步加强输变电类建设项目环境保护监管工作的通知》（环办[2012]131 号）；</w:t>
      </w:r>
    </w:p>
    <w:p w14:paraId="23744A30">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9</w:t>
      </w:r>
      <w:r>
        <w:rPr>
          <w:rFonts w:eastAsia="宋体" w:cs="Times New Roman"/>
          <w:bCs/>
          <w:color w:val="auto"/>
          <w:szCs w:val="24"/>
          <w:highlight w:val="none"/>
        </w:rPr>
        <w:t>)《河北省电力条例》（河北省第十四届人民代表大会常务委员会第八次会议于2024年3月28日修订通过，2024年5月1日起施行）；</w:t>
      </w:r>
    </w:p>
    <w:p w14:paraId="06964156">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10</w:t>
      </w:r>
      <w:r>
        <w:rPr>
          <w:rFonts w:eastAsia="宋体" w:cs="Times New Roman"/>
          <w:bCs/>
          <w:color w:val="auto"/>
          <w:szCs w:val="24"/>
          <w:highlight w:val="none"/>
        </w:rPr>
        <w:t>)《河北省辐射污染防治条例》(2020年7月30日修订并实施）；</w:t>
      </w:r>
    </w:p>
    <w:p w14:paraId="4D0D0A60">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rPr>
        <w:t>11</w:t>
      </w:r>
      <w:r>
        <w:rPr>
          <w:rFonts w:eastAsia="宋体" w:cs="Times New Roman"/>
          <w:bCs/>
          <w:color w:val="auto"/>
          <w:szCs w:val="24"/>
          <w:highlight w:val="none"/>
        </w:rPr>
        <w:t>)《建设项目环境影响评价文件审批及建设单位自主开展环境保护设施验收工作指引（试行）》（冀环办字函[2017]727号）；</w:t>
      </w:r>
    </w:p>
    <w:p w14:paraId="3E5D5FAF">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2、标准、技术导则</w:t>
      </w:r>
    </w:p>
    <w:p w14:paraId="179B6917">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(1)《建设项目环境影响评价技术导则 总纲》(HJ2.1-2016)；</w:t>
      </w:r>
    </w:p>
    <w:p w14:paraId="1F5B677D">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(2)《环境影响评价技术导则 输变电》(HJ24-2020)；</w:t>
      </w:r>
    </w:p>
    <w:p w14:paraId="3AF5EADE">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(3)《电磁环境控制限值》(GB8702-2014)；</w:t>
      </w:r>
    </w:p>
    <w:p w14:paraId="5395831B">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(4)《输变电建设项目环境保护技术要求》(HJ1113-2020)；</w:t>
      </w:r>
    </w:p>
    <w:p w14:paraId="7534899F">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(5)《交流输变电工程电磁环境监测方法（试行）》(HJ681-2013)；</w:t>
      </w:r>
    </w:p>
    <w:p w14:paraId="7F330E82">
      <w:pPr>
        <w:autoSpaceDE w:val="0"/>
        <w:autoSpaceDN w:val="0"/>
        <w:spacing w:line="360" w:lineRule="auto"/>
        <w:ind w:firstLine="480"/>
        <w:rPr>
          <w:rFonts w:eastAsia="宋体" w:cs="Times New Roman"/>
          <w:bCs/>
          <w:color w:val="auto"/>
          <w:szCs w:val="24"/>
          <w:highlight w:val="none"/>
        </w:rPr>
      </w:pPr>
      <w:r>
        <w:rPr>
          <w:rFonts w:eastAsia="宋体" w:cs="Times New Roman"/>
          <w:bCs/>
          <w:color w:val="auto"/>
          <w:szCs w:val="24"/>
          <w:highlight w:val="none"/>
        </w:rPr>
        <w:t>(6)《110kV～750kV架空输电线路设计规范》（GB 50545-2010）。</w:t>
      </w:r>
    </w:p>
    <w:p w14:paraId="0F339E35">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3、与项目有关的文件和资料</w:t>
      </w:r>
    </w:p>
    <w:p w14:paraId="6967C2FC">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（1）</w:t>
      </w:r>
      <w:r>
        <w:rPr>
          <w:rFonts w:hint="eastAsia" w:eastAsia="宋体" w:cs="Times New Roman"/>
          <w:color w:val="auto"/>
          <w:szCs w:val="24"/>
          <w:highlight w:val="none"/>
        </w:rPr>
        <w:t>承德</w:t>
      </w:r>
      <w:r>
        <w:rPr>
          <w:rFonts w:eastAsia="宋体" w:cs="Times New Roman"/>
          <w:color w:val="auto"/>
          <w:szCs w:val="24"/>
          <w:highlight w:val="none"/>
        </w:rPr>
        <w:t>市行政审批局关于华能围场“风光储氢热一体化”项目（光伏200MW）项目220kV送出线路工程项目核准的批复（</w:t>
      </w:r>
      <w:r>
        <w:rPr>
          <w:rFonts w:hint="eastAsia" w:eastAsia="宋体" w:cs="Times New Roman"/>
          <w:color w:val="auto"/>
          <w:szCs w:val="24"/>
          <w:highlight w:val="none"/>
        </w:rPr>
        <w:t>承审批核</w:t>
      </w:r>
      <w:r>
        <w:rPr>
          <w:rFonts w:eastAsia="宋体" w:cs="Times New Roman"/>
          <w:color w:val="auto"/>
          <w:szCs w:val="24"/>
          <w:highlight w:val="none"/>
        </w:rPr>
        <w:t>字〔2024〕1</w:t>
      </w:r>
      <w:r>
        <w:rPr>
          <w:rFonts w:hint="eastAsia" w:eastAsia="宋体" w:cs="Times New Roman"/>
          <w:color w:val="auto"/>
          <w:szCs w:val="24"/>
          <w:highlight w:val="none"/>
        </w:rPr>
        <w:t>1</w:t>
      </w:r>
      <w:r>
        <w:rPr>
          <w:rFonts w:eastAsia="宋体" w:cs="Times New Roman"/>
          <w:color w:val="auto"/>
          <w:szCs w:val="24"/>
          <w:highlight w:val="none"/>
        </w:rPr>
        <w:t>号）</w:t>
      </w:r>
      <w:r>
        <w:rPr>
          <w:rFonts w:eastAsia="宋体" w:cs="Times New Roman"/>
          <w:bCs/>
          <w:color w:val="auto"/>
          <w:szCs w:val="24"/>
          <w:highlight w:val="none"/>
        </w:rPr>
        <w:t>；</w:t>
      </w:r>
    </w:p>
    <w:p w14:paraId="473FAE65">
      <w:pPr>
        <w:spacing w:line="360" w:lineRule="auto"/>
        <w:ind w:firstLine="480"/>
        <w:rPr>
          <w:rFonts w:eastAsia="宋体" w:cs="Times New Roman"/>
          <w:color w:val="auto"/>
          <w:szCs w:val="24"/>
          <w:highlight w:val="none"/>
        </w:rPr>
      </w:pPr>
      <w:r>
        <w:rPr>
          <w:rFonts w:eastAsia="宋体" w:cs="Times New Roman"/>
          <w:bCs/>
          <w:color w:val="auto"/>
          <w:szCs w:val="24"/>
          <w:highlight w:val="none"/>
        </w:rPr>
        <w:t>（2）</w:t>
      </w:r>
      <w:r>
        <w:rPr>
          <w:rFonts w:eastAsia="宋体" w:cs="Times New Roman"/>
          <w:color w:val="auto"/>
          <w:szCs w:val="24"/>
          <w:highlight w:val="none"/>
        </w:rPr>
        <w:t>国网冀北电力有限公司</w:t>
      </w:r>
      <w:r>
        <w:rPr>
          <w:rFonts w:hint="eastAsia" w:eastAsia="宋体" w:cs="Times New Roman"/>
          <w:color w:val="auto"/>
          <w:szCs w:val="24"/>
          <w:highlight w:val="none"/>
        </w:rPr>
        <w:t>经济技术研究院出具关于</w:t>
      </w:r>
      <w:r>
        <w:rPr>
          <w:rFonts w:eastAsia="宋体" w:cs="Times New Roman"/>
          <w:color w:val="auto"/>
          <w:szCs w:val="24"/>
          <w:highlight w:val="none"/>
        </w:rPr>
        <w:t>华能围场“风光储氢热一体化”项目（光伏200</w:t>
      </w:r>
      <w:r>
        <w:rPr>
          <w:rFonts w:hint="eastAsia" w:eastAsia="宋体" w:cs="Times New Roman"/>
          <w:color w:val="auto"/>
          <w:szCs w:val="24"/>
          <w:highlight w:val="none"/>
        </w:rPr>
        <w:t>兆瓦</w:t>
      </w:r>
      <w:r>
        <w:rPr>
          <w:rFonts w:eastAsia="宋体" w:cs="Times New Roman"/>
          <w:color w:val="auto"/>
          <w:szCs w:val="24"/>
          <w:highlight w:val="none"/>
        </w:rPr>
        <w:t>）接入系统</w:t>
      </w:r>
      <w:r>
        <w:rPr>
          <w:rFonts w:hint="eastAsia" w:eastAsia="宋体" w:cs="Times New Roman"/>
          <w:color w:val="auto"/>
          <w:szCs w:val="24"/>
          <w:highlight w:val="none"/>
        </w:rPr>
        <w:t>设计的评审意见</w:t>
      </w:r>
      <w:r>
        <w:rPr>
          <w:rFonts w:eastAsia="宋体" w:cs="Times New Roman"/>
          <w:color w:val="auto"/>
          <w:szCs w:val="24"/>
          <w:highlight w:val="none"/>
        </w:rPr>
        <w:t>（冀北</w:t>
      </w:r>
      <w:r>
        <w:rPr>
          <w:rFonts w:hint="eastAsia" w:eastAsia="宋体" w:cs="Times New Roman"/>
          <w:color w:val="auto"/>
          <w:szCs w:val="24"/>
          <w:highlight w:val="none"/>
        </w:rPr>
        <w:t>经研</w:t>
      </w:r>
      <w:r>
        <w:rPr>
          <w:rFonts w:eastAsia="宋体" w:cs="Times New Roman"/>
          <w:color w:val="auto"/>
          <w:szCs w:val="24"/>
          <w:highlight w:val="none"/>
        </w:rPr>
        <w:t>〔2023〕</w:t>
      </w:r>
      <w:r>
        <w:rPr>
          <w:rFonts w:hint="eastAsia" w:eastAsia="宋体" w:cs="Times New Roman"/>
          <w:color w:val="auto"/>
          <w:szCs w:val="24"/>
          <w:highlight w:val="none"/>
        </w:rPr>
        <w:t>300</w:t>
      </w:r>
      <w:r>
        <w:rPr>
          <w:rFonts w:eastAsia="宋体" w:cs="Times New Roman"/>
          <w:color w:val="auto"/>
          <w:szCs w:val="24"/>
          <w:highlight w:val="none"/>
        </w:rPr>
        <w:t>号）</w:t>
      </w:r>
      <w:r>
        <w:rPr>
          <w:rFonts w:hint="eastAsia" w:eastAsia="宋体" w:cs="Times New Roman"/>
          <w:color w:val="auto"/>
          <w:szCs w:val="24"/>
          <w:highlight w:val="none"/>
        </w:rPr>
        <w:t>；</w:t>
      </w:r>
    </w:p>
    <w:p w14:paraId="3F4A3CA2">
      <w:pPr>
        <w:spacing w:line="360" w:lineRule="auto"/>
        <w:ind w:firstLine="480"/>
        <w:rPr>
          <w:rFonts w:eastAsia="宋体" w:cs="Times New Roman"/>
          <w:bCs/>
          <w:color w:val="auto"/>
          <w:szCs w:val="24"/>
          <w:highlight w:val="none"/>
        </w:rPr>
      </w:pPr>
      <w:r>
        <w:rPr>
          <w:rFonts w:hint="eastAsia" w:eastAsia="宋体" w:cs="Times New Roman"/>
          <w:color w:val="auto"/>
          <w:szCs w:val="24"/>
          <w:highlight w:val="none"/>
        </w:rPr>
        <w:t>（3）</w:t>
      </w:r>
      <w:r>
        <w:rPr>
          <w:rFonts w:eastAsia="宋体" w:cs="Times New Roman"/>
          <w:color w:val="auto"/>
          <w:szCs w:val="24"/>
          <w:highlight w:val="none"/>
        </w:rPr>
        <w:t>华能围场“风光储氢热一体化”项目（光伏200MW）项目220kV送出线路工程</w:t>
      </w:r>
      <w:r>
        <w:rPr>
          <w:rFonts w:eastAsia="宋体" w:cs="Times New Roman"/>
          <w:bCs/>
          <w:color w:val="auto"/>
          <w:szCs w:val="24"/>
          <w:highlight w:val="none"/>
        </w:rPr>
        <w:t>初步设计说明书；</w:t>
      </w:r>
    </w:p>
    <w:p w14:paraId="1E87C1A2">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（4）《</w:t>
      </w:r>
      <w:r>
        <w:rPr>
          <w:rFonts w:eastAsia="宋体" w:cs="Times New Roman"/>
          <w:color w:val="auto"/>
          <w:szCs w:val="24"/>
          <w:highlight w:val="none"/>
        </w:rPr>
        <w:t>华能围场“风光储氢热一体化”项目（光伏200MW）项目220kV送出线路工程</w:t>
      </w:r>
      <w:r>
        <w:rPr>
          <w:rFonts w:hint="eastAsia" w:eastAsia="宋体" w:cs="Times New Roman"/>
          <w:color w:val="auto"/>
          <w:szCs w:val="24"/>
          <w:highlight w:val="none"/>
        </w:rPr>
        <w:t>项目</w:t>
      </w:r>
      <w:r>
        <w:rPr>
          <w:rFonts w:eastAsia="宋体" w:cs="Times New Roman"/>
          <w:color w:val="auto"/>
          <w:szCs w:val="24"/>
          <w:highlight w:val="none"/>
        </w:rPr>
        <w:t>现状检测报告</w:t>
      </w:r>
      <w:r>
        <w:rPr>
          <w:rFonts w:eastAsia="宋体" w:cs="Times New Roman"/>
          <w:bCs/>
          <w:color w:val="auto"/>
          <w:szCs w:val="24"/>
          <w:highlight w:val="none"/>
        </w:rPr>
        <w:t>》</w:t>
      </w:r>
      <w:r>
        <w:rPr>
          <w:rFonts w:hint="eastAsia" w:eastAsia="宋体" w:cs="Times New Roman"/>
          <w:bCs/>
          <w:color w:val="auto"/>
          <w:szCs w:val="24"/>
          <w:highlight w:val="none"/>
        </w:rPr>
        <w:t>DLHJ字</w:t>
      </w:r>
      <w:r>
        <w:rPr>
          <w:rFonts w:eastAsia="宋体" w:cs="Times New Roman"/>
          <w:bCs/>
          <w:color w:val="auto"/>
          <w:szCs w:val="24"/>
          <w:highlight w:val="none"/>
        </w:rPr>
        <w:t>（</w:t>
      </w:r>
      <w:r>
        <w:rPr>
          <w:rFonts w:hint="eastAsia" w:eastAsia="宋体" w:cs="Times New Roman"/>
          <w:bCs/>
          <w:color w:val="auto"/>
          <w:szCs w:val="24"/>
          <w:highlight w:val="none"/>
        </w:rPr>
        <w:t>2024</w:t>
      </w:r>
      <w:r>
        <w:rPr>
          <w:rFonts w:eastAsia="宋体" w:cs="Times New Roman"/>
          <w:bCs/>
          <w:color w:val="auto"/>
          <w:szCs w:val="24"/>
          <w:highlight w:val="none"/>
        </w:rPr>
        <w:t>）第</w:t>
      </w:r>
      <w:r>
        <w:rPr>
          <w:rFonts w:hint="eastAsia" w:eastAsia="宋体" w:cs="Times New Roman"/>
          <w:bCs/>
          <w:color w:val="auto"/>
          <w:szCs w:val="24"/>
          <w:highlight w:val="none"/>
        </w:rPr>
        <w:t>224</w:t>
      </w:r>
      <w:r>
        <w:rPr>
          <w:rFonts w:eastAsia="宋体" w:cs="Times New Roman"/>
          <w:bCs/>
          <w:color w:val="auto"/>
          <w:szCs w:val="24"/>
          <w:highlight w:val="none"/>
        </w:rPr>
        <w:t>号。</w:t>
      </w:r>
    </w:p>
    <w:p w14:paraId="4611E7F7">
      <w:pPr>
        <w:pStyle w:val="8"/>
        <w:rPr>
          <w:rFonts w:cs="Times New Roman"/>
          <w:color w:val="auto"/>
          <w:highlight w:val="none"/>
        </w:rPr>
      </w:pPr>
      <w:r>
        <w:rPr>
          <w:rFonts w:cs="Times New Roman"/>
          <w:color w:val="auto"/>
          <w:highlight w:val="none"/>
        </w:rPr>
        <w:t>2.2评价内容</w:t>
      </w:r>
    </w:p>
    <w:p w14:paraId="45A2AC99">
      <w:pPr>
        <w:snapToGrid w:val="0"/>
        <w:spacing w:line="360" w:lineRule="auto"/>
        <w:ind w:firstLine="480"/>
        <w:rPr>
          <w:rFonts w:eastAsia="宋体" w:cs="Times New Roman"/>
          <w:bCs/>
          <w:color w:val="auto"/>
          <w:szCs w:val="24"/>
          <w:highlight w:val="none"/>
        </w:rPr>
      </w:pPr>
      <w:r>
        <w:rPr>
          <w:rFonts w:eastAsia="宋体" w:cs="Times New Roman"/>
          <w:bCs/>
          <w:color w:val="auto"/>
          <w:szCs w:val="24"/>
          <w:highlight w:val="none"/>
        </w:rPr>
        <w:t>运行期主要考虑电磁方面的内容。</w:t>
      </w:r>
    </w:p>
    <w:p w14:paraId="0895D9E1">
      <w:pPr>
        <w:pStyle w:val="8"/>
        <w:rPr>
          <w:rFonts w:cs="Times New Roman"/>
          <w:color w:val="auto"/>
          <w:highlight w:val="none"/>
        </w:rPr>
      </w:pPr>
      <w:r>
        <w:rPr>
          <w:rFonts w:cs="Times New Roman"/>
          <w:color w:val="auto"/>
          <w:highlight w:val="none"/>
        </w:rPr>
        <w:t>2.3评价因子</w:t>
      </w:r>
    </w:p>
    <w:p w14:paraId="2CC753B1">
      <w:pPr>
        <w:spacing w:line="360" w:lineRule="auto"/>
        <w:ind w:firstLine="422"/>
        <w:jc w:val="center"/>
        <w:rPr>
          <w:rFonts w:eastAsia="宋体" w:cs="Times New Roman"/>
          <w:bCs/>
          <w:color w:val="auto"/>
          <w:szCs w:val="24"/>
          <w:highlight w:val="none"/>
        </w:rPr>
      </w:pPr>
      <w:r>
        <w:rPr>
          <w:rFonts w:eastAsia="宋体" w:cs="Times New Roman"/>
          <w:b/>
          <w:color w:val="auto"/>
          <w:sz w:val="21"/>
          <w:szCs w:val="21"/>
          <w:highlight w:val="none"/>
        </w:rPr>
        <w:t>表2-1  主要环境影响评价因子汇总表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243"/>
        <w:gridCol w:w="1717"/>
        <w:gridCol w:w="1334"/>
        <w:gridCol w:w="1806"/>
        <w:gridCol w:w="1336"/>
      </w:tblGrid>
      <w:tr w14:paraId="5BB1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37" w:type="pct"/>
            <w:vAlign w:val="center"/>
          </w:tcPr>
          <w:p w14:paraId="6A439841">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评价阶段</w:t>
            </w:r>
          </w:p>
        </w:tc>
        <w:tc>
          <w:tcPr>
            <w:tcW w:w="729" w:type="pct"/>
            <w:vAlign w:val="center"/>
          </w:tcPr>
          <w:p w14:paraId="65FCC825">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评价项目</w:t>
            </w:r>
          </w:p>
        </w:tc>
        <w:tc>
          <w:tcPr>
            <w:tcW w:w="1007" w:type="pct"/>
            <w:vAlign w:val="center"/>
          </w:tcPr>
          <w:p w14:paraId="19BA6B49">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现状评价因子</w:t>
            </w:r>
          </w:p>
        </w:tc>
        <w:tc>
          <w:tcPr>
            <w:tcW w:w="782" w:type="pct"/>
            <w:vAlign w:val="center"/>
          </w:tcPr>
          <w:p w14:paraId="243F1F6D">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单位</w:t>
            </w:r>
          </w:p>
        </w:tc>
        <w:tc>
          <w:tcPr>
            <w:tcW w:w="1059" w:type="pct"/>
            <w:vAlign w:val="center"/>
          </w:tcPr>
          <w:p w14:paraId="261E5925">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预测评价因子</w:t>
            </w:r>
          </w:p>
        </w:tc>
        <w:tc>
          <w:tcPr>
            <w:tcW w:w="783" w:type="pct"/>
            <w:vAlign w:val="center"/>
          </w:tcPr>
          <w:p w14:paraId="058291D4">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单位</w:t>
            </w:r>
          </w:p>
        </w:tc>
      </w:tr>
      <w:tr w14:paraId="6FA4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37" w:type="pct"/>
            <w:vMerge w:val="restart"/>
            <w:vAlign w:val="center"/>
          </w:tcPr>
          <w:p w14:paraId="3508480A">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运行期</w:t>
            </w:r>
          </w:p>
        </w:tc>
        <w:tc>
          <w:tcPr>
            <w:tcW w:w="729" w:type="pct"/>
            <w:vMerge w:val="restart"/>
            <w:vAlign w:val="center"/>
          </w:tcPr>
          <w:p w14:paraId="487EC9C3">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电磁环境</w:t>
            </w:r>
          </w:p>
        </w:tc>
        <w:tc>
          <w:tcPr>
            <w:tcW w:w="1007" w:type="pct"/>
            <w:vAlign w:val="center"/>
          </w:tcPr>
          <w:p w14:paraId="3D72F802">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工频电场</w:t>
            </w:r>
          </w:p>
        </w:tc>
        <w:tc>
          <w:tcPr>
            <w:tcW w:w="782" w:type="pct"/>
            <w:vAlign w:val="center"/>
          </w:tcPr>
          <w:p w14:paraId="192BDD69">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kV/m</w:t>
            </w:r>
          </w:p>
        </w:tc>
        <w:tc>
          <w:tcPr>
            <w:tcW w:w="1059" w:type="pct"/>
            <w:vAlign w:val="center"/>
          </w:tcPr>
          <w:p w14:paraId="2BC50D2C">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工频电场</w:t>
            </w:r>
          </w:p>
        </w:tc>
        <w:tc>
          <w:tcPr>
            <w:tcW w:w="783" w:type="pct"/>
            <w:vAlign w:val="center"/>
          </w:tcPr>
          <w:p w14:paraId="74180BCC">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kV/m</w:t>
            </w:r>
          </w:p>
        </w:tc>
      </w:tr>
      <w:tr w14:paraId="158E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37" w:type="pct"/>
            <w:vMerge w:val="continue"/>
            <w:vAlign w:val="center"/>
          </w:tcPr>
          <w:p w14:paraId="13882F77">
            <w:pPr>
              <w:autoSpaceDE w:val="0"/>
              <w:autoSpaceDN w:val="0"/>
              <w:spacing w:line="240" w:lineRule="auto"/>
              <w:ind w:firstLine="0" w:firstLineChars="0"/>
              <w:jc w:val="center"/>
              <w:rPr>
                <w:rFonts w:eastAsia="宋体" w:cs="Times New Roman"/>
                <w:bCs/>
                <w:color w:val="auto"/>
                <w:sz w:val="21"/>
                <w:szCs w:val="21"/>
                <w:highlight w:val="none"/>
              </w:rPr>
            </w:pPr>
          </w:p>
        </w:tc>
        <w:tc>
          <w:tcPr>
            <w:tcW w:w="729" w:type="pct"/>
            <w:vMerge w:val="continue"/>
            <w:vAlign w:val="center"/>
          </w:tcPr>
          <w:p w14:paraId="2D1CB02E">
            <w:pPr>
              <w:autoSpaceDE w:val="0"/>
              <w:autoSpaceDN w:val="0"/>
              <w:spacing w:line="240" w:lineRule="auto"/>
              <w:ind w:firstLine="0" w:firstLineChars="0"/>
              <w:jc w:val="center"/>
              <w:rPr>
                <w:rFonts w:eastAsia="宋体" w:cs="Times New Roman"/>
                <w:bCs/>
                <w:color w:val="auto"/>
                <w:sz w:val="21"/>
                <w:szCs w:val="21"/>
                <w:highlight w:val="none"/>
              </w:rPr>
            </w:pPr>
          </w:p>
        </w:tc>
        <w:tc>
          <w:tcPr>
            <w:tcW w:w="1007" w:type="pct"/>
            <w:vAlign w:val="center"/>
          </w:tcPr>
          <w:p w14:paraId="0D730AC1">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工频磁场</w:t>
            </w:r>
          </w:p>
        </w:tc>
        <w:tc>
          <w:tcPr>
            <w:tcW w:w="782" w:type="pct"/>
            <w:vAlign w:val="center"/>
          </w:tcPr>
          <w:p w14:paraId="2B2D18CF">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μT</w:t>
            </w:r>
          </w:p>
        </w:tc>
        <w:tc>
          <w:tcPr>
            <w:tcW w:w="1059" w:type="pct"/>
            <w:vAlign w:val="center"/>
          </w:tcPr>
          <w:p w14:paraId="20305AFB">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工频磁场</w:t>
            </w:r>
          </w:p>
        </w:tc>
        <w:tc>
          <w:tcPr>
            <w:tcW w:w="783" w:type="pct"/>
            <w:vAlign w:val="center"/>
          </w:tcPr>
          <w:p w14:paraId="57DA4D22">
            <w:pPr>
              <w:autoSpaceDE w:val="0"/>
              <w:autoSpaceDN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μT</w:t>
            </w:r>
          </w:p>
        </w:tc>
      </w:tr>
    </w:tbl>
    <w:p w14:paraId="5E57BC9E">
      <w:pPr>
        <w:pStyle w:val="8"/>
        <w:rPr>
          <w:rFonts w:cs="Times New Roman"/>
          <w:color w:val="auto"/>
          <w:highlight w:val="none"/>
        </w:rPr>
      </w:pPr>
      <w:r>
        <w:rPr>
          <w:rFonts w:cs="Times New Roman"/>
          <w:color w:val="auto"/>
          <w:highlight w:val="none"/>
        </w:rPr>
        <w:t>2.4评价工作等级</w:t>
      </w:r>
    </w:p>
    <w:p w14:paraId="5334626E">
      <w:pPr>
        <w:adjustRightInd w:val="0"/>
        <w:snapToGrid w:val="0"/>
        <w:spacing w:line="440" w:lineRule="exact"/>
        <w:ind w:firstLine="456"/>
        <w:jc w:val="left"/>
        <w:rPr>
          <w:rFonts w:cs="Times New Roman"/>
          <w:color w:val="auto"/>
          <w:spacing w:val="-6"/>
          <w:szCs w:val="24"/>
          <w:highlight w:val="none"/>
        </w:rPr>
      </w:pPr>
      <w:r>
        <w:rPr>
          <w:rFonts w:cs="Times New Roman"/>
          <w:color w:val="auto"/>
          <w:spacing w:val="-6"/>
          <w:szCs w:val="24"/>
          <w:highlight w:val="none"/>
        </w:rPr>
        <w:t>本项目输电线路电压等级为</w:t>
      </w:r>
      <w:r>
        <w:rPr>
          <w:rFonts w:hint="eastAsia" w:cs="Times New Roman"/>
          <w:color w:val="auto"/>
          <w:spacing w:val="-6"/>
          <w:szCs w:val="24"/>
          <w:highlight w:val="none"/>
        </w:rPr>
        <w:t>22</w:t>
      </w:r>
      <w:r>
        <w:rPr>
          <w:rFonts w:cs="Times New Roman"/>
          <w:color w:val="auto"/>
          <w:spacing w:val="-6"/>
          <w:szCs w:val="24"/>
          <w:highlight w:val="none"/>
        </w:rPr>
        <w:t>0kV，</w:t>
      </w:r>
      <w:r>
        <w:rPr>
          <w:rFonts w:hint="eastAsia" w:cs="Times New Roman"/>
          <w:color w:val="auto"/>
          <w:spacing w:val="-6"/>
          <w:szCs w:val="24"/>
          <w:highlight w:val="none"/>
        </w:rPr>
        <w:t>单</w:t>
      </w:r>
      <w:r>
        <w:rPr>
          <w:rFonts w:cs="Times New Roman"/>
          <w:color w:val="auto"/>
          <w:spacing w:val="-6"/>
          <w:szCs w:val="24"/>
          <w:highlight w:val="none"/>
        </w:rPr>
        <w:t>回架空架设，边导线地面投影外两侧各1</w:t>
      </w:r>
      <w:r>
        <w:rPr>
          <w:rFonts w:hint="eastAsia" w:cs="Times New Roman"/>
          <w:color w:val="auto"/>
          <w:spacing w:val="-6"/>
          <w:szCs w:val="24"/>
          <w:highlight w:val="none"/>
        </w:rPr>
        <w:t>5</w:t>
      </w:r>
      <w:r>
        <w:rPr>
          <w:rFonts w:cs="Times New Roman"/>
          <w:color w:val="auto"/>
          <w:spacing w:val="-6"/>
          <w:szCs w:val="24"/>
          <w:highlight w:val="none"/>
        </w:rPr>
        <w:t>m范围内</w:t>
      </w:r>
      <w:r>
        <w:rPr>
          <w:rFonts w:hint="eastAsia" w:cs="Times New Roman"/>
          <w:color w:val="auto"/>
          <w:spacing w:val="-6"/>
          <w:szCs w:val="24"/>
          <w:highlight w:val="none"/>
        </w:rPr>
        <w:t>无</w:t>
      </w:r>
      <w:r>
        <w:rPr>
          <w:rFonts w:cs="Times New Roman"/>
          <w:color w:val="auto"/>
          <w:spacing w:val="-6"/>
          <w:szCs w:val="24"/>
          <w:highlight w:val="none"/>
        </w:rPr>
        <w:t>电磁环境敏感目标，根据《环境影响评价技术导则 输变电》（HJ24-2020）中表2可知，输电线路电磁环境评价工作等级</w:t>
      </w:r>
      <w:r>
        <w:rPr>
          <w:rFonts w:hint="eastAsia" w:cs="Times New Roman"/>
          <w:color w:val="auto"/>
          <w:spacing w:val="-6"/>
          <w:szCs w:val="24"/>
          <w:highlight w:val="none"/>
        </w:rPr>
        <w:t>取高者，定</w:t>
      </w:r>
      <w:r>
        <w:rPr>
          <w:rFonts w:cs="Times New Roman"/>
          <w:color w:val="auto"/>
          <w:spacing w:val="-6"/>
          <w:szCs w:val="24"/>
          <w:highlight w:val="none"/>
        </w:rPr>
        <w:t>为</w:t>
      </w:r>
      <w:r>
        <w:rPr>
          <w:rFonts w:hint="eastAsia" w:cs="Times New Roman"/>
          <w:color w:val="auto"/>
          <w:spacing w:val="-6"/>
          <w:szCs w:val="24"/>
          <w:highlight w:val="none"/>
        </w:rPr>
        <w:t>三</w:t>
      </w:r>
      <w:r>
        <w:rPr>
          <w:rFonts w:cs="Times New Roman"/>
          <w:color w:val="auto"/>
          <w:spacing w:val="-6"/>
          <w:szCs w:val="24"/>
          <w:highlight w:val="none"/>
        </w:rPr>
        <w:t>级。</w:t>
      </w:r>
    </w:p>
    <w:p w14:paraId="5770B5DC">
      <w:pPr>
        <w:spacing w:line="360" w:lineRule="auto"/>
        <w:ind w:firstLine="550" w:firstLineChars="250"/>
        <w:rPr>
          <w:rFonts w:eastAsia="宋体" w:cs="Times New Roman"/>
          <w:bCs/>
          <w:color w:val="auto"/>
          <w:szCs w:val="24"/>
          <w:highlight w:val="none"/>
        </w:rPr>
      </w:pPr>
      <w:r>
        <w:rPr>
          <w:rFonts w:eastAsia="宋体" w:cs="Times New Roman"/>
          <w:bCs/>
          <w:color w:val="auto"/>
          <w:szCs w:val="24"/>
          <w:highlight w:val="none"/>
        </w:rPr>
        <w:t>评价等级见表2-2。</w:t>
      </w:r>
    </w:p>
    <w:p w14:paraId="29B23DEE">
      <w:pPr>
        <w:spacing w:line="360" w:lineRule="auto"/>
        <w:ind w:firstLine="422"/>
        <w:jc w:val="center"/>
        <w:rPr>
          <w:rFonts w:eastAsia="宋体" w:cs="Times New Roman"/>
          <w:b/>
          <w:color w:val="auto"/>
          <w:sz w:val="21"/>
          <w:szCs w:val="21"/>
          <w:highlight w:val="none"/>
        </w:rPr>
      </w:pPr>
      <w:r>
        <w:rPr>
          <w:rFonts w:eastAsia="宋体" w:cs="Times New Roman"/>
          <w:b/>
          <w:color w:val="auto"/>
          <w:sz w:val="21"/>
          <w:szCs w:val="21"/>
          <w:highlight w:val="none"/>
        </w:rPr>
        <w:t>表2-2  本项目评价工作等级</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1"/>
        <w:gridCol w:w="1598"/>
        <w:gridCol w:w="3279"/>
      </w:tblGrid>
      <w:tr w14:paraId="3C9C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1" w:type="dxa"/>
            <w:vAlign w:val="center"/>
          </w:tcPr>
          <w:p w14:paraId="00B1EFCD">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评价项目</w:t>
            </w:r>
          </w:p>
        </w:tc>
        <w:tc>
          <w:tcPr>
            <w:tcW w:w="1598" w:type="dxa"/>
            <w:vAlign w:val="center"/>
          </w:tcPr>
          <w:p w14:paraId="0DF89B2B">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评价工作等级</w:t>
            </w:r>
          </w:p>
        </w:tc>
        <w:tc>
          <w:tcPr>
            <w:tcW w:w="3279" w:type="dxa"/>
            <w:vAlign w:val="center"/>
          </w:tcPr>
          <w:p w14:paraId="5D8B7994">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标准依据</w:t>
            </w:r>
          </w:p>
        </w:tc>
      </w:tr>
      <w:tr w14:paraId="443F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501" w:type="dxa"/>
            <w:vAlign w:val="center"/>
          </w:tcPr>
          <w:p w14:paraId="2129128A">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hint="eastAsia" w:eastAsia="宋体" w:cs="Times New Roman"/>
                <w:bCs/>
                <w:color w:val="auto"/>
                <w:sz w:val="21"/>
                <w:szCs w:val="21"/>
                <w:highlight w:val="none"/>
              </w:rPr>
              <w:t>220kV架空</w:t>
            </w:r>
            <w:r>
              <w:rPr>
                <w:rFonts w:eastAsia="宋体" w:cs="Times New Roman"/>
                <w:bCs/>
                <w:color w:val="auto"/>
                <w:sz w:val="21"/>
                <w:szCs w:val="21"/>
                <w:highlight w:val="none"/>
              </w:rPr>
              <w:t>输电线路电磁环境</w:t>
            </w:r>
          </w:p>
        </w:tc>
        <w:tc>
          <w:tcPr>
            <w:tcW w:w="1598" w:type="dxa"/>
            <w:vAlign w:val="center"/>
          </w:tcPr>
          <w:p w14:paraId="52BCAB46">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hint="eastAsia" w:eastAsia="宋体" w:cs="Times New Roman"/>
                <w:bCs/>
                <w:color w:val="auto"/>
                <w:sz w:val="21"/>
                <w:szCs w:val="21"/>
                <w:highlight w:val="none"/>
                <w:lang w:val="en-US" w:eastAsia="zh-CN"/>
              </w:rPr>
              <w:t>三</w:t>
            </w:r>
            <w:r>
              <w:rPr>
                <w:rFonts w:eastAsia="宋体" w:cs="Times New Roman"/>
                <w:bCs/>
                <w:color w:val="auto"/>
                <w:sz w:val="21"/>
                <w:szCs w:val="21"/>
                <w:highlight w:val="none"/>
              </w:rPr>
              <w:t>级</w:t>
            </w:r>
          </w:p>
        </w:tc>
        <w:tc>
          <w:tcPr>
            <w:tcW w:w="3279" w:type="dxa"/>
            <w:vAlign w:val="center"/>
          </w:tcPr>
          <w:p w14:paraId="4EED4339">
            <w:pPr>
              <w:tabs>
                <w:tab w:val="left" w:pos="1630"/>
              </w:tabs>
              <w:adjustRightInd w:val="0"/>
              <w:snapToGrid w:val="0"/>
              <w:spacing w:line="240" w:lineRule="auto"/>
              <w:ind w:firstLine="0" w:firstLineChars="0"/>
              <w:jc w:val="center"/>
              <w:rPr>
                <w:rFonts w:eastAsia="宋体" w:cs="Times New Roman"/>
                <w:bCs/>
                <w:color w:val="auto"/>
                <w:sz w:val="21"/>
                <w:szCs w:val="21"/>
                <w:highlight w:val="none"/>
              </w:rPr>
            </w:pPr>
            <w:r>
              <w:rPr>
                <w:rFonts w:eastAsia="宋体" w:cs="Times New Roman"/>
                <w:bCs/>
                <w:color w:val="auto"/>
                <w:sz w:val="21"/>
                <w:szCs w:val="21"/>
                <w:highlight w:val="none"/>
              </w:rPr>
              <w:t>《环境影响评价技术导则</w:t>
            </w:r>
            <w:r>
              <w:rPr>
                <w:rFonts w:hint="eastAsia" w:eastAsia="宋体" w:cs="Times New Roman"/>
                <w:bCs/>
                <w:color w:val="auto"/>
                <w:sz w:val="21"/>
                <w:szCs w:val="21"/>
                <w:highlight w:val="none"/>
              </w:rPr>
              <w:t xml:space="preserve"> </w:t>
            </w:r>
            <w:r>
              <w:rPr>
                <w:rFonts w:eastAsia="宋体" w:cs="Times New Roman"/>
                <w:bCs/>
                <w:color w:val="auto"/>
                <w:sz w:val="21"/>
                <w:szCs w:val="21"/>
                <w:highlight w:val="none"/>
              </w:rPr>
              <w:t>输变电》（HJ24—2020）</w:t>
            </w:r>
          </w:p>
        </w:tc>
      </w:tr>
    </w:tbl>
    <w:p w14:paraId="28C80B45">
      <w:pPr>
        <w:pStyle w:val="8"/>
        <w:rPr>
          <w:rFonts w:cs="Times New Roman"/>
          <w:color w:val="auto"/>
          <w:highlight w:val="none"/>
        </w:rPr>
      </w:pPr>
      <w:r>
        <w:rPr>
          <w:rFonts w:cs="Times New Roman"/>
          <w:color w:val="auto"/>
          <w:highlight w:val="none"/>
        </w:rPr>
        <w:t>2.5评价范围</w:t>
      </w:r>
    </w:p>
    <w:p w14:paraId="43B7EE0B">
      <w:pPr>
        <w:autoSpaceDE w:val="0"/>
        <w:autoSpaceDN w:val="0"/>
        <w:ind w:firstLine="480"/>
        <w:rPr>
          <w:rFonts w:eastAsia="宋体" w:cs="Times New Roman"/>
          <w:bCs/>
          <w:color w:val="auto"/>
          <w:szCs w:val="24"/>
          <w:highlight w:val="none"/>
        </w:rPr>
      </w:pPr>
      <w:r>
        <w:rPr>
          <w:rFonts w:eastAsia="宋体" w:cs="Times New Roman"/>
          <w:bCs/>
          <w:color w:val="auto"/>
          <w:szCs w:val="24"/>
          <w:highlight w:val="none"/>
        </w:rPr>
        <w:t>220kV线路工程</w:t>
      </w:r>
      <w:r>
        <w:rPr>
          <w:rFonts w:hint="eastAsia" w:eastAsia="宋体" w:cs="Times New Roman"/>
          <w:bCs/>
          <w:color w:val="auto"/>
          <w:szCs w:val="24"/>
          <w:highlight w:val="none"/>
        </w:rPr>
        <w:t>架空段</w:t>
      </w:r>
      <w:r>
        <w:rPr>
          <w:rFonts w:eastAsia="宋体" w:cs="Times New Roman"/>
          <w:bCs/>
          <w:color w:val="auto"/>
          <w:szCs w:val="24"/>
          <w:highlight w:val="none"/>
        </w:rPr>
        <w:t>电磁环境影响评价范围为架空线路边导线地面投影外两侧各</w:t>
      </w:r>
      <w:r>
        <w:rPr>
          <w:rFonts w:hint="eastAsia" w:eastAsia="宋体" w:cs="Times New Roman"/>
          <w:bCs/>
          <w:color w:val="auto"/>
          <w:szCs w:val="24"/>
          <w:highlight w:val="none"/>
        </w:rPr>
        <w:t>4</w:t>
      </w:r>
      <w:r>
        <w:rPr>
          <w:rFonts w:eastAsia="宋体" w:cs="Times New Roman"/>
          <w:bCs/>
          <w:color w:val="auto"/>
          <w:szCs w:val="24"/>
          <w:highlight w:val="none"/>
        </w:rPr>
        <w:t>0m内带状区域。</w:t>
      </w:r>
    </w:p>
    <w:p w14:paraId="7A5D68C5">
      <w:pPr>
        <w:pStyle w:val="8"/>
        <w:rPr>
          <w:rFonts w:cs="Times New Roman"/>
          <w:color w:val="auto"/>
          <w:highlight w:val="none"/>
        </w:rPr>
      </w:pPr>
      <w:r>
        <w:rPr>
          <w:rFonts w:cs="Times New Roman"/>
          <w:color w:val="auto"/>
          <w:highlight w:val="none"/>
        </w:rPr>
        <w:t>2.6评价标准</w:t>
      </w:r>
    </w:p>
    <w:p w14:paraId="3CCDBF42">
      <w:pPr>
        <w:ind w:firstLine="480"/>
        <w:rPr>
          <w:rFonts w:cs="Times New Roman"/>
          <w:color w:val="auto"/>
          <w:highlight w:val="none"/>
        </w:rPr>
      </w:pPr>
      <w:r>
        <w:rPr>
          <w:rFonts w:eastAsia="宋体" w:cs="Times New Roman"/>
          <w:color w:val="auto"/>
          <w:highlight w:val="none"/>
        </w:rPr>
        <w:t>运行期工频电场强度、工频磁感应强度执行《电磁环境控制限值》(GB8702-2014）中规定的4kV/m和100μT的公众曝露控制限制要求</w:t>
      </w:r>
      <w:r>
        <w:rPr>
          <w:rFonts w:eastAsia="宋体" w:cs="Times New Roman"/>
          <w:color w:val="auto"/>
          <w:szCs w:val="24"/>
          <w:highlight w:val="none"/>
        </w:rPr>
        <w:t>，</w:t>
      </w:r>
      <w:r>
        <w:rPr>
          <w:rFonts w:eastAsia="宋体" w:cs="Times New Roman"/>
          <w:color w:val="auto"/>
          <w:highlight w:val="none"/>
        </w:rPr>
        <w:t>其中架空输电线路线下的耕地、园地、</w:t>
      </w:r>
      <w:r>
        <w:rPr>
          <w:rFonts w:hint="eastAsia" w:eastAsia="宋体" w:cs="Times New Roman"/>
          <w:color w:val="auto"/>
          <w:highlight w:val="none"/>
        </w:rPr>
        <w:t>牧草地、</w:t>
      </w:r>
      <w:r>
        <w:rPr>
          <w:rFonts w:eastAsia="宋体" w:cs="Times New Roman"/>
          <w:color w:val="auto"/>
          <w:highlight w:val="none"/>
        </w:rPr>
        <w:t>道路等场所，其频率50Hz的电场强度控制限值为10kV/m</w:t>
      </w:r>
      <w:r>
        <w:rPr>
          <w:rFonts w:hint="eastAsia" w:eastAsia="宋体" w:cs="Times New Roman"/>
          <w:color w:val="auto"/>
          <w:highlight w:val="none"/>
        </w:rPr>
        <w:t>，且应给出警示和防护指示标志</w:t>
      </w:r>
      <w:r>
        <w:rPr>
          <w:rFonts w:eastAsia="宋体" w:cs="Times New Roman"/>
          <w:color w:val="auto"/>
          <w:highlight w:val="none"/>
        </w:rPr>
        <w:t>。</w:t>
      </w:r>
      <w:r>
        <w:rPr>
          <w:rFonts w:cs="Times New Roman"/>
          <w:color w:val="auto"/>
          <w:highlight w:val="none"/>
        </w:rPr>
        <w:t>以上采用评价标准限值详见表</w:t>
      </w:r>
      <w:r>
        <w:rPr>
          <w:rFonts w:eastAsia="宋体" w:cs="Times New Roman"/>
          <w:color w:val="auto"/>
          <w:highlight w:val="none"/>
        </w:rPr>
        <w:t>2-3</w:t>
      </w:r>
      <w:r>
        <w:rPr>
          <w:rFonts w:cs="Times New Roman"/>
          <w:color w:val="auto"/>
          <w:highlight w:val="none"/>
        </w:rPr>
        <w:t>。</w:t>
      </w:r>
    </w:p>
    <w:p w14:paraId="59F7F853">
      <w:pPr>
        <w:spacing w:line="440" w:lineRule="exact"/>
        <w:ind w:firstLine="422"/>
        <w:jc w:val="center"/>
        <w:rPr>
          <w:rFonts w:eastAsia="宋体" w:cs="Times New Roman"/>
          <w:b/>
          <w:color w:val="auto"/>
          <w:sz w:val="21"/>
          <w:szCs w:val="21"/>
          <w:highlight w:val="none"/>
        </w:rPr>
      </w:pPr>
      <w:r>
        <w:rPr>
          <w:rFonts w:cs="Times New Roman"/>
          <w:b/>
          <w:color w:val="auto"/>
          <w:sz w:val="21"/>
          <w:szCs w:val="21"/>
          <w:highlight w:val="none"/>
        </w:rPr>
        <w:t>表</w:t>
      </w:r>
      <w:r>
        <w:rPr>
          <w:rFonts w:eastAsia="宋体" w:cs="Times New Roman"/>
          <w:b/>
          <w:color w:val="auto"/>
          <w:sz w:val="21"/>
          <w:szCs w:val="21"/>
          <w:highlight w:val="none"/>
        </w:rPr>
        <w:t>2-3</w:t>
      </w:r>
      <w:r>
        <w:rPr>
          <w:rFonts w:cs="Times New Roman"/>
          <w:b/>
          <w:color w:val="auto"/>
          <w:sz w:val="21"/>
          <w:szCs w:val="21"/>
          <w:highlight w:val="none"/>
        </w:rPr>
        <w:t xml:space="preserve">  评价标准</w:t>
      </w:r>
      <w:r>
        <w:rPr>
          <w:rFonts w:eastAsia="宋体" w:cs="Times New Roman"/>
          <w:b/>
          <w:color w:val="auto"/>
          <w:sz w:val="21"/>
          <w:szCs w:val="21"/>
          <w:highlight w:val="none"/>
        </w:rPr>
        <w:t>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89"/>
        <w:gridCol w:w="4421"/>
        <w:gridCol w:w="1721"/>
      </w:tblGrid>
      <w:tr w14:paraId="3355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2B0F93A4">
            <w:pPr>
              <w:spacing w:line="0" w:lineRule="atLeast"/>
              <w:ind w:firstLine="0" w:firstLineChars="0"/>
              <w:jc w:val="center"/>
              <w:rPr>
                <w:rFonts w:cs="Times New Roman"/>
                <w:snapToGrid w:val="0"/>
                <w:color w:val="auto"/>
                <w:sz w:val="21"/>
                <w:szCs w:val="21"/>
                <w:highlight w:val="none"/>
              </w:rPr>
            </w:pPr>
            <w:r>
              <w:rPr>
                <w:rFonts w:hint="eastAsia" w:cs="Times New Roman"/>
                <w:snapToGrid w:val="0"/>
                <w:color w:val="auto"/>
                <w:sz w:val="21"/>
                <w:szCs w:val="21"/>
                <w:highlight w:val="none"/>
              </w:rPr>
              <w:t>项目</w:t>
            </w:r>
          </w:p>
        </w:tc>
        <w:tc>
          <w:tcPr>
            <w:tcW w:w="698" w:type="pct"/>
            <w:vAlign w:val="center"/>
          </w:tcPr>
          <w:p w14:paraId="34AD57BB">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污染物名称</w:t>
            </w:r>
          </w:p>
        </w:tc>
        <w:tc>
          <w:tcPr>
            <w:tcW w:w="2594" w:type="pct"/>
            <w:vAlign w:val="center"/>
          </w:tcPr>
          <w:p w14:paraId="4B9D5ED3">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标准值</w:t>
            </w:r>
          </w:p>
        </w:tc>
        <w:tc>
          <w:tcPr>
            <w:tcW w:w="1010" w:type="pct"/>
            <w:vAlign w:val="center"/>
          </w:tcPr>
          <w:p w14:paraId="61FFC3E5">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标准来源</w:t>
            </w:r>
          </w:p>
        </w:tc>
      </w:tr>
      <w:tr w14:paraId="69A8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restart"/>
            <w:vAlign w:val="center"/>
          </w:tcPr>
          <w:p w14:paraId="6E06C347">
            <w:pPr>
              <w:spacing w:line="0" w:lineRule="atLeast"/>
              <w:ind w:firstLine="0" w:firstLineChars="0"/>
              <w:jc w:val="center"/>
              <w:rPr>
                <w:rFonts w:cs="Times New Roman"/>
                <w:snapToGrid w:val="0"/>
                <w:color w:val="auto"/>
                <w:sz w:val="21"/>
                <w:szCs w:val="21"/>
                <w:highlight w:val="none"/>
              </w:rPr>
            </w:pPr>
            <w:r>
              <w:rPr>
                <w:rFonts w:hint="eastAsia" w:ascii="宋体" w:hAnsi="宋体" w:eastAsia="宋体" w:cs="Times New Roman"/>
                <w:color w:val="auto"/>
                <w:sz w:val="21"/>
                <w:szCs w:val="21"/>
                <w:highlight w:val="none"/>
              </w:rPr>
              <w:t>送出线路工程</w:t>
            </w:r>
          </w:p>
        </w:tc>
        <w:tc>
          <w:tcPr>
            <w:tcW w:w="698" w:type="pct"/>
            <w:vMerge w:val="restart"/>
            <w:vAlign w:val="center"/>
          </w:tcPr>
          <w:p w14:paraId="3D914B86">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工频电场</w:t>
            </w:r>
          </w:p>
        </w:tc>
        <w:tc>
          <w:tcPr>
            <w:tcW w:w="2594" w:type="pct"/>
            <w:vAlign w:val="center"/>
          </w:tcPr>
          <w:p w14:paraId="3F8ACC2A">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4kV/m</w:t>
            </w:r>
          </w:p>
        </w:tc>
        <w:tc>
          <w:tcPr>
            <w:tcW w:w="1010" w:type="pct"/>
            <w:vMerge w:val="restart"/>
            <w:vAlign w:val="center"/>
          </w:tcPr>
          <w:p w14:paraId="4EB13DDC">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《电磁环境控制限值》(GB8702-2014）</w:t>
            </w:r>
          </w:p>
        </w:tc>
      </w:tr>
      <w:tr w14:paraId="2803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0B49A193">
            <w:pPr>
              <w:spacing w:line="0" w:lineRule="atLeast"/>
              <w:ind w:firstLine="0" w:firstLineChars="0"/>
              <w:jc w:val="center"/>
              <w:rPr>
                <w:rFonts w:cs="Times New Roman"/>
                <w:snapToGrid w:val="0"/>
                <w:color w:val="auto"/>
                <w:sz w:val="21"/>
                <w:szCs w:val="21"/>
                <w:highlight w:val="none"/>
              </w:rPr>
            </w:pPr>
          </w:p>
        </w:tc>
        <w:tc>
          <w:tcPr>
            <w:tcW w:w="698" w:type="pct"/>
            <w:vMerge w:val="continue"/>
            <w:vAlign w:val="center"/>
          </w:tcPr>
          <w:p w14:paraId="0F824B22">
            <w:pPr>
              <w:spacing w:line="0" w:lineRule="atLeast"/>
              <w:ind w:firstLine="0" w:firstLineChars="0"/>
              <w:jc w:val="center"/>
              <w:rPr>
                <w:rFonts w:cs="Times New Roman"/>
                <w:snapToGrid w:val="0"/>
                <w:color w:val="auto"/>
                <w:sz w:val="21"/>
                <w:szCs w:val="21"/>
                <w:highlight w:val="none"/>
              </w:rPr>
            </w:pPr>
          </w:p>
        </w:tc>
        <w:tc>
          <w:tcPr>
            <w:tcW w:w="2594" w:type="pct"/>
            <w:vAlign w:val="center"/>
          </w:tcPr>
          <w:p w14:paraId="4DD1E5CE">
            <w:pPr>
              <w:spacing w:line="0" w:lineRule="atLeast"/>
              <w:ind w:firstLine="0" w:firstLineChars="0"/>
              <w:jc w:val="center"/>
              <w:rPr>
                <w:rFonts w:cs="Times New Roman"/>
                <w:snapToGrid w:val="0"/>
                <w:color w:val="auto"/>
                <w:sz w:val="21"/>
                <w:szCs w:val="21"/>
                <w:highlight w:val="none"/>
              </w:rPr>
            </w:pPr>
            <w:r>
              <w:rPr>
                <w:color w:val="auto"/>
                <w:sz w:val="21"/>
                <w:szCs w:val="21"/>
                <w:highlight w:val="none"/>
              </w:rPr>
              <w:t>架空输电线路线下的耕地、园地、道路等场所，其频率50Hz的电场强度控制限值为10kV/m</w:t>
            </w:r>
          </w:p>
        </w:tc>
        <w:tc>
          <w:tcPr>
            <w:tcW w:w="1010" w:type="pct"/>
            <w:vMerge w:val="continue"/>
            <w:vAlign w:val="center"/>
          </w:tcPr>
          <w:p w14:paraId="6F04787E">
            <w:pPr>
              <w:spacing w:line="0" w:lineRule="atLeast"/>
              <w:ind w:firstLine="0" w:firstLineChars="0"/>
              <w:jc w:val="center"/>
              <w:rPr>
                <w:rFonts w:cs="Times New Roman"/>
                <w:snapToGrid w:val="0"/>
                <w:color w:val="auto"/>
                <w:sz w:val="21"/>
                <w:szCs w:val="21"/>
                <w:highlight w:val="none"/>
              </w:rPr>
            </w:pPr>
          </w:p>
        </w:tc>
      </w:tr>
      <w:tr w14:paraId="7393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7BC3420C">
            <w:pPr>
              <w:spacing w:line="0" w:lineRule="atLeast"/>
              <w:ind w:firstLine="0" w:firstLineChars="0"/>
              <w:jc w:val="center"/>
              <w:rPr>
                <w:rFonts w:cs="Times New Roman"/>
                <w:snapToGrid w:val="0"/>
                <w:color w:val="auto"/>
                <w:sz w:val="21"/>
                <w:szCs w:val="21"/>
                <w:highlight w:val="none"/>
              </w:rPr>
            </w:pPr>
          </w:p>
        </w:tc>
        <w:tc>
          <w:tcPr>
            <w:tcW w:w="698" w:type="pct"/>
            <w:vAlign w:val="center"/>
          </w:tcPr>
          <w:p w14:paraId="25F26CFD">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工频磁场</w:t>
            </w:r>
          </w:p>
        </w:tc>
        <w:tc>
          <w:tcPr>
            <w:tcW w:w="2594" w:type="pct"/>
            <w:vAlign w:val="center"/>
          </w:tcPr>
          <w:p w14:paraId="62EF34EB">
            <w:pPr>
              <w:spacing w:line="0" w:lineRule="atLeast"/>
              <w:ind w:firstLine="0" w:firstLineChars="0"/>
              <w:jc w:val="center"/>
              <w:rPr>
                <w:rFonts w:cs="Times New Roman"/>
                <w:snapToGrid w:val="0"/>
                <w:color w:val="auto"/>
                <w:sz w:val="21"/>
                <w:szCs w:val="21"/>
                <w:highlight w:val="none"/>
              </w:rPr>
            </w:pPr>
            <w:r>
              <w:rPr>
                <w:rFonts w:cs="Times New Roman"/>
                <w:snapToGrid w:val="0"/>
                <w:color w:val="auto"/>
                <w:sz w:val="21"/>
                <w:szCs w:val="21"/>
                <w:highlight w:val="none"/>
              </w:rPr>
              <w:t>100μT</w:t>
            </w:r>
          </w:p>
        </w:tc>
        <w:tc>
          <w:tcPr>
            <w:tcW w:w="1010" w:type="pct"/>
            <w:vMerge w:val="continue"/>
            <w:vAlign w:val="center"/>
          </w:tcPr>
          <w:p w14:paraId="03962109">
            <w:pPr>
              <w:spacing w:line="0" w:lineRule="atLeast"/>
              <w:ind w:firstLine="0" w:firstLineChars="0"/>
              <w:jc w:val="center"/>
              <w:rPr>
                <w:rFonts w:cs="Times New Roman"/>
                <w:snapToGrid w:val="0"/>
                <w:color w:val="auto"/>
                <w:sz w:val="21"/>
                <w:szCs w:val="21"/>
                <w:highlight w:val="none"/>
              </w:rPr>
            </w:pPr>
          </w:p>
        </w:tc>
      </w:tr>
    </w:tbl>
    <w:p w14:paraId="61388882">
      <w:pPr>
        <w:pStyle w:val="8"/>
        <w:rPr>
          <w:rFonts w:cs="Times New Roman"/>
          <w:color w:val="auto"/>
          <w:highlight w:val="none"/>
        </w:rPr>
      </w:pPr>
      <w:r>
        <w:rPr>
          <w:rFonts w:cs="Times New Roman"/>
          <w:color w:val="auto"/>
          <w:highlight w:val="none"/>
        </w:rPr>
        <w:t>2.7评价方法</w:t>
      </w:r>
    </w:p>
    <w:p w14:paraId="7CE8754F">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架空线路</w:t>
      </w:r>
      <w:r>
        <w:rPr>
          <w:rFonts w:hint="eastAsia" w:eastAsia="宋体" w:cs="Times New Roman"/>
          <w:bCs/>
          <w:color w:val="auto"/>
          <w:szCs w:val="24"/>
          <w:highlight w:val="none"/>
        </w:rPr>
        <w:t>段</w:t>
      </w:r>
      <w:r>
        <w:rPr>
          <w:rFonts w:eastAsia="宋体" w:cs="Times New Roman"/>
          <w:bCs/>
          <w:color w:val="auto"/>
          <w:szCs w:val="24"/>
          <w:highlight w:val="none"/>
        </w:rPr>
        <w:t>工频电场、工频磁场采用模式预测进行评价。</w:t>
      </w:r>
    </w:p>
    <w:p w14:paraId="50AF53A5">
      <w:pPr>
        <w:pStyle w:val="8"/>
        <w:rPr>
          <w:rFonts w:cs="Times New Roman"/>
          <w:color w:val="auto"/>
          <w:highlight w:val="none"/>
        </w:rPr>
      </w:pPr>
      <w:bookmarkStart w:id="27" w:name="_Toc28025"/>
      <w:r>
        <w:rPr>
          <w:rFonts w:cs="Times New Roman"/>
          <w:color w:val="auto"/>
          <w:highlight w:val="none"/>
        </w:rPr>
        <w:t>2.8电磁环境</w:t>
      </w:r>
      <w:r>
        <w:rPr>
          <w:rFonts w:hint="eastAsia" w:cs="Times New Roman"/>
          <w:color w:val="auto"/>
          <w:highlight w:val="none"/>
        </w:rPr>
        <w:t>保护</w:t>
      </w:r>
      <w:r>
        <w:rPr>
          <w:rFonts w:cs="Times New Roman"/>
          <w:color w:val="auto"/>
          <w:highlight w:val="none"/>
        </w:rPr>
        <w:t>目标</w:t>
      </w:r>
      <w:bookmarkEnd w:id="27"/>
    </w:p>
    <w:p w14:paraId="7BEF11E2">
      <w:pPr>
        <w:pStyle w:val="23"/>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根据现状调查，本项目架空线路边导线</w:t>
      </w:r>
      <w:r>
        <w:rPr>
          <w:rFonts w:hint="eastAsia" w:ascii="Times New Roman" w:hAnsi="Times New Roman" w:eastAsia="宋体" w:cs="Times New Roman"/>
          <w:color w:val="auto"/>
          <w:sz w:val="24"/>
          <w:szCs w:val="24"/>
          <w:highlight w:val="none"/>
          <w:lang w:val="en-US" w:eastAsia="zh-CN"/>
        </w:rPr>
        <w:t>地面投影外</w:t>
      </w:r>
      <w:r>
        <w:rPr>
          <w:rFonts w:ascii="Times New Roman" w:hAnsi="Times New Roman" w:eastAsia="宋体" w:cs="Times New Roman"/>
          <w:color w:val="auto"/>
          <w:sz w:val="24"/>
          <w:szCs w:val="24"/>
          <w:highlight w:val="none"/>
        </w:rPr>
        <w:t>两侧</w:t>
      </w:r>
      <w:r>
        <w:rPr>
          <w:rFonts w:hint="eastAsia" w:ascii="Times New Roman" w:hAnsi="Times New Roman" w:eastAsia="宋体" w:cs="Times New Roman"/>
          <w:color w:val="auto"/>
          <w:sz w:val="24"/>
          <w:szCs w:val="24"/>
          <w:highlight w:val="none"/>
          <w:lang w:val="en-US" w:eastAsia="zh-CN"/>
        </w:rPr>
        <w:t>各</w:t>
      </w:r>
      <w:r>
        <w:rPr>
          <w:rFonts w:ascii="Times New Roman" w:hAnsi="Times New Roman" w:eastAsia="宋体" w:cs="Times New Roman"/>
          <w:color w:val="auto"/>
          <w:sz w:val="24"/>
          <w:szCs w:val="24"/>
          <w:highlight w:val="none"/>
        </w:rPr>
        <w:t>40m带状区</w:t>
      </w:r>
      <w:r>
        <w:rPr>
          <w:rFonts w:hint="eastAsia" w:ascii="Times New Roman" w:hAnsi="Times New Roman" w:eastAsia="宋体" w:cs="Times New Roman"/>
          <w:color w:val="auto"/>
          <w:sz w:val="24"/>
          <w:szCs w:val="24"/>
          <w:highlight w:val="none"/>
        </w:rPr>
        <w:t>无电磁环境保护目标</w:t>
      </w:r>
      <w:r>
        <w:rPr>
          <w:rFonts w:ascii="Times New Roman" w:hAnsi="Times New Roman" w:eastAsia="宋体" w:cs="Times New Roman"/>
          <w:color w:val="auto"/>
          <w:sz w:val="24"/>
          <w:szCs w:val="24"/>
          <w:highlight w:val="none"/>
        </w:rPr>
        <w:t>。</w:t>
      </w:r>
    </w:p>
    <w:p w14:paraId="531144CA">
      <w:pPr>
        <w:pStyle w:val="32"/>
        <w:ind w:left="480"/>
        <w:rPr>
          <w:color w:val="auto"/>
          <w:highlight w:val="none"/>
        </w:rPr>
        <w:sectPr>
          <w:footerReference r:id="rId13" w:type="default"/>
          <w:pgSz w:w="11906" w:h="16838"/>
          <w:pgMar w:top="1440" w:right="1800" w:bottom="1440" w:left="1800" w:header="851" w:footer="992" w:gutter="0"/>
          <w:pgNumType w:start="1"/>
          <w:cols w:space="425" w:num="1"/>
          <w:docGrid w:type="lines" w:linePitch="312" w:charSpace="0"/>
        </w:sectPr>
      </w:pPr>
    </w:p>
    <w:p w14:paraId="6E280CEE">
      <w:pPr>
        <w:pStyle w:val="7"/>
        <w:rPr>
          <w:rFonts w:cs="Times New Roman"/>
          <w:color w:val="auto"/>
          <w:kern w:val="0"/>
          <w:highlight w:val="none"/>
        </w:rPr>
      </w:pPr>
      <w:bookmarkStart w:id="28" w:name="_Toc27633"/>
      <w:r>
        <w:rPr>
          <w:rFonts w:cs="Times New Roman"/>
          <w:color w:val="auto"/>
          <w:kern w:val="0"/>
          <w:highlight w:val="none"/>
        </w:rPr>
        <w:t>3 项目概况与分析</w:t>
      </w:r>
      <w:bookmarkEnd w:id="28"/>
    </w:p>
    <w:p w14:paraId="50B00C7F">
      <w:pPr>
        <w:pStyle w:val="23"/>
        <w:spacing w:line="480" w:lineRule="exact"/>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、项目基本概况</w:t>
      </w:r>
    </w:p>
    <w:p w14:paraId="0498F2FD">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（1）工程名称：</w:t>
      </w:r>
      <w:r>
        <w:rPr>
          <w:rFonts w:ascii="Times New Roman" w:hAnsi="Times New Roman" w:eastAsia="宋体" w:cs="Times New Roman"/>
          <w:color w:val="auto"/>
          <w:sz w:val="24"/>
          <w:szCs w:val="24"/>
          <w:highlight w:val="none"/>
        </w:rPr>
        <w:t>华能围场“风光储氢热一体化”项目（光伏200MW）项目220kV送出线路工程项目</w:t>
      </w:r>
    </w:p>
    <w:p w14:paraId="563D8F8C">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（2）建设性质：新建</w:t>
      </w:r>
    </w:p>
    <w:p w14:paraId="73A7477E">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（3）主要建设内容及建设规模：</w:t>
      </w:r>
    </w:p>
    <w:p w14:paraId="002EFAEC">
      <w:pPr>
        <w:pStyle w:val="23"/>
        <w:spacing w:line="480" w:lineRule="exact"/>
        <w:ind w:firstLine="480" w:firstLineChars="200"/>
        <w:jc w:val="both"/>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本工程起于华能围场风光储氢热一体化项目(光伏200MW)升压站，止于华能围场风光储氢热一体化项目(风电200MW)升压站，220kV送出线路长度约22.99km，初步设计</w:t>
      </w:r>
      <w:r>
        <w:rPr>
          <w:rFonts w:hint="default" w:ascii="Times New Roman" w:hAnsi="Times New Roman" w:eastAsia="宋体" w:cs="Times New Roman"/>
          <w:bCs/>
          <w:color w:val="auto"/>
          <w:sz w:val="24"/>
          <w:szCs w:val="24"/>
          <w:highlight w:val="none"/>
          <w:lang w:eastAsia="zh-CN"/>
        </w:rPr>
        <w:t>阶段优化设计，</w:t>
      </w:r>
      <w:r>
        <w:rPr>
          <w:rFonts w:hint="eastAsia" w:ascii="Times New Roman" w:hAnsi="Times New Roman" w:eastAsia="宋体" w:cs="Times New Roman"/>
          <w:bCs/>
          <w:color w:val="auto"/>
          <w:sz w:val="24"/>
          <w:szCs w:val="24"/>
          <w:highlight w:val="none"/>
          <w:lang w:eastAsia="zh-CN"/>
        </w:rPr>
        <w:t>相对可研阶段，在原有线路上通过调整杆塔位置、提高塔高、长距离、大跨度跨越自然保护区和生态保护红线，共计减少塔基</w:t>
      </w:r>
      <w:r>
        <w:rPr>
          <w:rFonts w:hint="eastAsia" w:ascii="Times New Roman" w:hAnsi="Times New Roman" w:eastAsia="宋体" w:cs="Times New Roman"/>
          <w:bCs/>
          <w:color w:val="auto"/>
          <w:sz w:val="24"/>
          <w:szCs w:val="24"/>
          <w:highlight w:val="none"/>
          <w:lang w:val="en-US" w:eastAsia="zh-CN"/>
        </w:rPr>
        <w:t>10基，</w:t>
      </w:r>
      <w:r>
        <w:rPr>
          <w:rFonts w:hint="eastAsia" w:ascii="Times New Roman" w:hAnsi="Times New Roman" w:eastAsia="宋体" w:cs="Times New Roman"/>
          <w:bCs/>
          <w:color w:val="auto"/>
          <w:sz w:val="24"/>
          <w:szCs w:val="24"/>
          <w:highlight w:val="none"/>
          <w:lang w:eastAsia="zh-CN"/>
        </w:rPr>
        <w:t>其中保护内减少</w:t>
      </w:r>
      <w:r>
        <w:rPr>
          <w:rFonts w:hint="eastAsia" w:ascii="Times New Roman" w:hAnsi="Times New Roman" w:eastAsia="宋体" w:cs="Times New Roman"/>
          <w:bCs/>
          <w:color w:val="auto"/>
          <w:sz w:val="24"/>
          <w:szCs w:val="24"/>
          <w:highlight w:val="none"/>
          <w:lang w:val="en-US" w:eastAsia="zh-CN"/>
        </w:rPr>
        <w:t>4基，生态保护红线内减少塔基7基（含保护区塔基），</w:t>
      </w:r>
      <w:r>
        <w:rPr>
          <w:rFonts w:hint="default" w:ascii="Times New Roman" w:hAnsi="Times New Roman" w:eastAsia="宋体" w:cs="Times New Roman"/>
          <w:bCs/>
          <w:color w:val="auto"/>
          <w:sz w:val="24"/>
          <w:szCs w:val="24"/>
          <w:highlight w:val="none"/>
        </w:rPr>
        <w:t>新建铁塔总基数</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7基，其中单回路直线塔3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基、单回路耐张塔25基、双回路耐张塔1基，拟采用JL/G1A-300/40型号单导线及OPGW-17-150型号双光缆。</w:t>
      </w:r>
    </w:p>
    <w:p w14:paraId="10CD6283">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（4）建设地点：</w:t>
      </w:r>
      <w:r>
        <w:rPr>
          <w:rFonts w:hint="default" w:ascii="Times New Roman" w:hAnsi="Times New Roman" w:eastAsia="宋体" w:cs="Times New Roman"/>
          <w:bCs/>
          <w:color w:val="auto"/>
          <w:sz w:val="24"/>
          <w:szCs w:val="24"/>
          <w:highlight w:val="none"/>
        </w:rPr>
        <w:t>本项目位于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w:t>
      </w:r>
      <w:r>
        <w:rPr>
          <w:rFonts w:hint="eastAsia" w:ascii="Times New Roman" w:hAnsi="Times New Roman" w:eastAsia="宋体"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rPr>
        <w:t>″，北纬42°3′48.</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8″；线路终点坐标东经117°11′</w:t>
      </w:r>
      <w:r>
        <w:rPr>
          <w:rFonts w:hint="eastAsia" w:ascii="Times New Roman" w:hAnsi="Times New Roman" w:eastAsia="宋体" w:cs="Times New Roman"/>
          <w:color w:val="auto"/>
          <w:sz w:val="24"/>
          <w:szCs w:val="24"/>
          <w:highlight w:val="none"/>
          <w:lang w:val="en-US" w:eastAsia="zh-CN"/>
        </w:rPr>
        <w:t>7.199</w:t>
      </w:r>
      <w:r>
        <w:rPr>
          <w:rFonts w:hint="default" w:ascii="Times New Roman" w:hAnsi="Times New Roman" w:eastAsia="宋体" w:cs="Times New Roman"/>
          <w:color w:val="auto"/>
          <w:sz w:val="24"/>
          <w:szCs w:val="24"/>
          <w:highlight w:val="none"/>
        </w:rPr>
        <w:t>″，北纬41°58′</w:t>
      </w:r>
      <w:r>
        <w:rPr>
          <w:rFonts w:hint="eastAsia" w:ascii="Times New Roman" w:hAnsi="Times New Roman" w:eastAsia="宋体" w:cs="Times New Roman"/>
          <w:color w:val="auto"/>
          <w:sz w:val="24"/>
          <w:szCs w:val="24"/>
          <w:highlight w:val="none"/>
          <w:lang w:val="en-US" w:eastAsia="zh-CN"/>
        </w:rPr>
        <w:t>8.345</w:t>
      </w:r>
      <w:r>
        <w:rPr>
          <w:rFonts w:hint="default" w:ascii="Times New Roman" w:hAnsi="Times New Roman" w:eastAsia="宋体" w:cs="Times New Roman"/>
          <w:color w:val="auto"/>
          <w:sz w:val="24"/>
          <w:szCs w:val="24"/>
          <w:highlight w:val="none"/>
        </w:rPr>
        <w:t>″</w:t>
      </w:r>
      <w:r>
        <w:rPr>
          <w:rFonts w:ascii="Times New Roman" w:hAnsi="Times New Roman" w:eastAsia="宋体" w:cs="Times New Roman"/>
          <w:bCs/>
          <w:color w:val="auto"/>
          <w:sz w:val="24"/>
          <w:szCs w:val="24"/>
          <w:highlight w:val="none"/>
        </w:rPr>
        <w:t>。</w:t>
      </w:r>
    </w:p>
    <w:p w14:paraId="7DC50C47">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项目组成见表</w:t>
      </w:r>
      <w:r>
        <w:rPr>
          <w:rFonts w:hint="eastAsia" w:ascii="Times New Roman" w:hAnsi="Times New Roman" w:eastAsia="宋体" w:cs="Times New Roman"/>
          <w:bCs/>
          <w:color w:val="auto"/>
          <w:sz w:val="24"/>
          <w:szCs w:val="24"/>
          <w:highlight w:val="none"/>
        </w:rPr>
        <w:t>3</w:t>
      </w:r>
      <w:r>
        <w:rPr>
          <w:rFonts w:ascii="Times New Roman" w:hAnsi="Times New Roman" w:eastAsia="宋体" w:cs="Times New Roman"/>
          <w:bCs/>
          <w:color w:val="auto"/>
          <w:sz w:val="24"/>
          <w:szCs w:val="24"/>
          <w:highlight w:val="none"/>
        </w:rPr>
        <w:t>-1。</w:t>
      </w:r>
    </w:p>
    <w:p w14:paraId="03530661">
      <w:pPr>
        <w:pStyle w:val="23"/>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rPr>
        <w:t>3</w:t>
      </w:r>
      <w:r>
        <w:rPr>
          <w:rFonts w:ascii="Times New Roman" w:hAnsi="Times New Roman" w:eastAsia="宋体" w:cs="Times New Roman"/>
          <w:b/>
          <w:bCs/>
          <w:color w:val="auto"/>
          <w:sz w:val="21"/>
          <w:szCs w:val="21"/>
          <w:highlight w:val="none"/>
        </w:rPr>
        <w:t>-1  项目组成情况一览表</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48"/>
        <w:gridCol w:w="1009"/>
        <w:gridCol w:w="6822"/>
      </w:tblGrid>
      <w:tr w14:paraId="4A2A4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4" w:hRule="atLeast"/>
          <w:jc w:val="center"/>
        </w:trPr>
        <w:tc>
          <w:tcPr>
            <w:tcW w:w="436" w:type="pct"/>
            <w:tcBorders>
              <w:tl2br w:val="nil"/>
              <w:tr2bl w:val="nil"/>
            </w:tcBorders>
            <w:vAlign w:val="center"/>
          </w:tcPr>
          <w:p w14:paraId="3F89EE6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类别</w:t>
            </w:r>
          </w:p>
        </w:tc>
        <w:tc>
          <w:tcPr>
            <w:tcW w:w="588" w:type="pct"/>
            <w:tcBorders>
              <w:tl2br w:val="nil"/>
              <w:tr2bl w:val="nil"/>
            </w:tcBorders>
            <w:vAlign w:val="center"/>
          </w:tcPr>
          <w:p w14:paraId="0F3A323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名称</w:t>
            </w:r>
          </w:p>
        </w:tc>
        <w:tc>
          <w:tcPr>
            <w:tcW w:w="3975" w:type="pct"/>
            <w:tcBorders>
              <w:tl2br w:val="nil"/>
              <w:tr2bl w:val="nil"/>
            </w:tcBorders>
            <w:vAlign w:val="center"/>
          </w:tcPr>
          <w:p w14:paraId="3E33227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工程内容</w:t>
            </w:r>
          </w:p>
        </w:tc>
      </w:tr>
      <w:tr w14:paraId="6F20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restart"/>
            <w:tcBorders>
              <w:tl2br w:val="nil"/>
              <w:tr2bl w:val="nil"/>
            </w:tcBorders>
            <w:vAlign w:val="center"/>
          </w:tcPr>
          <w:p w14:paraId="1CBB055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主体工程</w:t>
            </w:r>
          </w:p>
        </w:tc>
        <w:tc>
          <w:tcPr>
            <w:tcW w:w="588" w:type="pct"/>
            <w:tcBorders>
              <w:tl2br w:val="nil"/>
              <w:tr2bl w:val="nil"/>
            </w:tcBorders>
            <w:vAlign w:val="center"/>
          </w:tcPr>
          <w:p w14:paraId="55CBCE5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起点</w:t>
            </w:r>
          </w:p>
        </w:tc>
        <w:tc>
          <w:tcPr>
            <w:tcW w:w="3975" w:type="pct"/>
            <w:vAlign w:val="center"/>
          </w:tcPr>
          <w:p w14:paraId="77A7DCE7">
            <w:pPr>
              <w:keepNext w:val="0"/>
              <w:keepLines w:val="0"/>
              <w:pageBreakBefore w:val="0"/>
              <w:widowControl/>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华能围场风光储氢热一体化项目(光伏200MW)升压站</w:t>
            </w:r>
            <w:r>
              <w:rPr>
                <w:rFonts w:hint="eastAsia" w:ascii="Times New Roman" w:eastAsia="宋体"/>
                <w:color w:val="auto"/>
                <w:sz w:val="21"/>
                <w:szCs w:val="21"/>
                <w:lang w:eastAsia="zh-CN"/>
              </w:rPr>
              <w:t>西</w:t>
            </w:r>
            <w:r>
              <w:rPr>
                <w:rFonts w:hint="eastAsia" w:ascii="Times New Roman"/>
                <w:color w:val="auto"/>
                <w:sz w:val="21"/>
                <w:szCs w:val="21"/>
              </w:rPr>
              <w:t>侧220kV架构</w:t>
            </w:r>
            <w:r>
              <w:rPr>
                <w:rFonts w:hint="eastAsia" w:ascii="Times New Roman" w:eastAsia="宋体"/>
                <w:color w:val="auto"/>
                <w:sz w:val="21"/>
                <w:szCs w:val="21"/>
                <w:lang w:eastAsia="zh-CN"/>
              </w:rPr>
              <w:t>仅有的</w:t>
            </w:r>
            <w:r>
              <w:rPr>
                <w:rFonts w:hint="eastAsia" w:ascii="Times New Roman" w:eastAsia="宋体"/>
                <w:color w:val="auto"/>
                <w:sz w:val="21"/>
                <w:szCs w:val="21"/>
                <w:lang w:val="en-US" w:eastAsia="zh-CN"/>
              </w:rPr>
              <w:t>1回</w:t>
            </w:r>
            <w:r>
              <w:rPr>
                <w:rFonts w:hint="eastAsia" w:ascii="Times New Roman"/>
                <w:color w:val="auto"/>
                <w:sz w:val="21"/>
                <w:szCs w:val="21"/>
              </w:rPr>
              <w:t>出线间隔，架空出线。</w:t>
            </w:r>
          </w:p>
        </w:tc>
      </w:tr>
      <w:tr w14:paraId="1D08D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1209BB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374C617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终点</w:t>
            </w:r>
          </w:p>
        </w:tc>
        <w:tc>
          <w:tcPr>
            <w:tcW w:w="3975" w:type="pct"/>
            <w:vAlign w:val="center"/>
          </w:tcPr>
          <w:p w14:paraId="4FF9DEA0">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1"/>
              </w:rPr>
              <w:t>华能围场风光储氢热一体化项目(风电200MW)升压站</w:t>
            </w:r>
            <w:r>
              <w:rPr>
                <w:rFonts w:hint="eastAsia" w:ascii="Times New Roman" w:eastAsia="宋体"/>
                <w:color w:val="auto"/>
                <w:sz w:val="21"/>
                <w:szCs w:val="21"/>
                <w:lang w:eastAsia="zh-CN"/>
              </w:rPr>
              <w:t>南</w:t>
            </w:r>
            <w:r>
              <w:rPr>
                <w:rFonts w:hint="eastAsia" w:ascii="Times New Roman"/>
                <w:color w:val="auto"/>
                <w:sz w:val="21"/>
                <w:szCs w:val="21"/>
              </w:rPr>
              <w:t>侧220kV架构</w:t>
            </w:r>
            <w:r>
              <w:rPr>
                <w:rFonts w:hint="eastAsia" w:ascii="Times New Roman" w:eastAsia="宋体"/>
                <w:color w:val="auto"/>
                <w:sz w:val="21"/>
                <w:szCs w:val="21"/>
                <w:lang w:eastAsia="zh-CN"/>
              </w:rPr>
              <w:t>西</w:t>
            </w:r>
            <w:r>
              <w:rPr>
                <w:rFonts w:hint="eastAsia" w:ascii="Times New Roman"/>
                <w:color w:val="auto"/>
                <w:sz w:val="21"/>
                <w:szCs w:val="21"/>
              </w:rPr>
              <w:t>起第</w:t>
            </w:r>
            <w:r>
              <w:rPr>
                <w:rFonts w:hint="eastAsia" w:ascii="Times New Roman" w:eastAsia="宋体"/>
                <w:color w:val="auto"/>
                <w:sz w:val="21"/>
                <w:szCs w:val="21"/>
                <w:lang w:val="en-US" w:eastAsia="zh-CN"/>
              </w:rPr>
              <w:t>2</w:t>
            </w:r>
            <w:r>
              <w:rPr>
                <w:rFonts w:hint="eastAsia" w:ascii="Times New Roman"/>
                <w:color w:val="auto"/>
                <w:sz w:val="21"/>
                <w:szCs w:val="21"/>
              </w:rPr>
              <w:t>进线间隔，架空进线。</w:t>
            </w:r>
          </w:p>
        </w:tc>
      </w:tr>
      <w:tr w14:paraId="2455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1DC17D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4A04180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工程特点</w:t>
            </w:r>
          </w:p>
        </w:tc>
        <w:tc>
          <w:tcPr>
            <w:tcW w:w="3975" w:type="pct"/>
            <w:tcBorders>
              <w:tl2br w:val="nil"/>
              <w:tr2bl w:val="nil"/>
            </w:tcBorders>
            <w:vAlign w:val="center"/>
          </w:tcPr>
          <w:p w14:paraId="585E949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1"/>
              </w:rPr>
            </w:pPr>
            <w:r>
              <w:rPr>
                <w:rFonts w:ascii="Times New Roman"/>
                <w:color w:val="auto"/>
                <w:sz w:val="21"/>
                <w:szCs w:val="21"/>
              </w:rPr>
              <w:t>线路位于承德市</w:t>
            </w:r>
            <w:r>
              <w:rPr>
                <w:rFonts w:hint="eastAsia" w:ascii="Times New Roman"/>
                <w:color w:val="auto"/>
                <w:sz w:val="21"/>
                <w:szCs w:val="21"/>
              </w:rPr>
              <w:t>围场</w:t>
            </w:r>
            <w:r>
              <w:rPr>
                <w:rFonts w:ascii="Times New Roman"/>
                <w:color w:val="auto"/>
                <w:sz w:val="21"/>
                <w:szCs w:val="21"/>
              </w:rPr>
              <w:t>县</w:t>
            </w:r>
            <w:r>
              <w:rPr>
                <w:rFonts w:hint="eastAsia" w:ascii="Times New Roman"/>
                <w:color w:val="auto"/>
                <w:sz w:val="21"/>
                <w:szCs w:val="21"/>
              </w:rPr>
              <w:t>老窝铺乡、城子镇、御道口镇境内</w:t>
            </w:r>
            <w:r>
              <w:rPr>
                <w:rFonts w:ascii="Times New Roman"/>
                <w:color w:val="auto"/>
                <w:sz w:val="21"/>
                <w:szCs w:val="21"/>
              </w:rPr>
              <w:t>，</w:t>
            </w:r>
            <w:r>
              <w:rPr>
                <w:rFonts w:hint="eastAsia" w:ascii="Times New Roman"/>
                <w:color w:val="auto"/>
                <w:sz w:val="21"/>
                <w:szCs w:val="21"/>
              </w:rPr>
              <w:t>大致呈西北至东南走向。</w:t>
            </w:r>
            <w:r>
              <w:rPr>
                <w:rFonts w:ascii="Times New Roman"/>
                <w:color w:val="auto"/>
                <w:sz w:val="21"/>
                <w:szCs w:val="21"/>
              </w:rPr>
              <w:t>全线属低山、丘陵地貌，</w:t>
            </w:r>
            <w:r>
              <w:rPr>
                <w:rFonts w:hint="eastAsia" w:ascii="Times New Roman"/>
                <w:color w:val="auto"/>
                <w:sz w:val="21"/>
                <w:szCs w:val="21"/>
              </w:rPr>
              <w:t>海拔高度在1050m～1650m之间</w:t>
            </w:r>
            <w:r>
              <w:rPr>
                <w:rFonts w:ascii="Times New Roman"/>
                <w:color w:val="auto"/>
                <w:sz w:val="21"/>
                <w:szCs w:val="21"/>
              </w:rPr>
              <w:t>。</w:t>
            </w:r>
            <w:r>
              <w:rPr>
                <w:rFonts w:hint="eastAsia" w:ascii="Times New Roman"/>
                <w:color w:val="auto"/>
                <w:sz w:val="21"/>
                <w:szCs w:val="21"/>
              </w:rPr>
              <w:t>线路沿线地势起伏及高差变化较大，多为山区林地，部分为耕地。</w:t>
            </w:r>
            <w:r>
              <w:rPr>
                <w:rFonts w:ascii="Times New Roman"/>
                <w:color w:val="auto"/>
                <w:sz w:val="21"/>
                <w:szCs w:val="21"/>
              </w:rPr>
              <w:t>线路所经地区为非居民区，线路需</w:t>
            </w:r>
            <w:r>
              <w:rPr>
                <w:rFonts w:hint="eastAsia" w:ascii="Times New Roman"/>
                <w:color w:val="auto"/>
                <w:sz w:val="21"/>
                <w:szCs w:val="21"/>
              </w:rPr>
              <w:t>穿越河北滦河上游国家级自然保护区试验区及</w:t>
            </w:r>
            <w:r>
              <w:rPr>
                <w:rFonts w:ascii="Times New Roman"/>
                <w:color w:val="auto"/>
                <w:sz w:val="21"/>
                <w:szCs w:val="21"/>
              </w:rPr>
              <w:t>生态红线</w:t>
            </w:r>
            <w:r>
              <w:rPr>
                <w:rFonts w:hint="eastAsia" w:ascii="Times New Roman"/>
                <w:color w:val="auto"/>
                <w:sz w:val="21"/>
                <w:szCs w:val="21"/>
              </w:rPr>
              <w:t>区</w:t>
            </w:r>
            <w:r>
              <w:rPr>
                <w:rFonts w:ascii="Times New Roman"/>
                <w:color w:val="auto"/>
                <w:sz w:val="21"/>
                <w:szCs w:val="21"/>
              </w:rPr>
              <w:t>。</w:t>
            </w:r>
          </w:p>
        </w:tc>
      </w:tr>
      <w:tr w14:paraId="1ADFC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7F92365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1DA65C3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额定电压</w:t>
            </w:r>
          </w:p>
        </w:tc>
        <w:tc>
          <w:tcPr>
            <w:tcW w:w="3975" w:type="pct"/>
            <w:tcBorders>
              <w:tl2br w:val="nil"/>
              <w:tr2bl w:val="nil"/>
            </w:tcBorders>
            <w:vAlign w:val="center"/>
          </w:tcPr>
          <w:p w14:paraId="0D8A248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kern w:val="0"/>
                <w:sz w:val="21"/>
                <w:szCs w:val="21"/>
              </w:rPr>
              <w:t>220kV</w:t>
            </w:r>
          </w:p>
        </w:tc>
      </w:tr>
      <w:tr w14:paraId="4D632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7A114B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5D08CF2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eastAsia="宋体"/>
                <w:color w:val="auto"/>
                <w:sz w:val="21"/>
                <w:szCs w:val="21"/>
                <w:lang w:eastAsia="zh-CN"/>
              </w:rPr>
            </w:pPr>
            <w:r>
              <w:rPr>
                <w:rFonts w:hint="eastAsia" w:ascii="Times New Roman" w:eastAsia="宋体"/>
                <w:color w:val="auto"/>
                <w:sz w:val="21"/>
                <w:szCs w:val="21"/>
                <w:lang w:eastAsia="zh-CN"/>
              </w:rPr>
              <w:t>输送容量</w:t>
            </w:r>
          </w:p>
        </w:tc>
        <w:tc>
          <w:tcPr>
            <w:tcW w:w="3975" w:type="pct"/>
            <w:tcBorders>
              <w:tl2br w:val="nil"/>
              <w:tr2bl w:val="nil"/>
            </w:tcBorders>
            <w:vAlign w:val="center"/>
          </w:tcPr>
          <w:p w14:paraId="2C05200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eastAsia="宋体"/>
                <w:color w:val="auto"/>
                <w:kern w:val="0"/>
                <w:sz w:val="21"/>
                <w:szCs w:val="21"/>
                <w:lang w:val="en-US" w:eastAsia="zh-CN"/>
              </w:rPr>
            </w:pPr>
            <w:r>
              <w:rPr>
                <w:rFonts w:hint="eastAsia" w:ascii="Times New Roman" w:eastAsia="宋体"/>
                <w:color w:val="auto"/>
                <w:kern w:val="0"/>
                <w:sz w:val="21"/>
                <w:szCs w:val="21"/>
                <w:lang w:val="en-US" w:eastAsia="zh-CN"/>
              </w:rPr>
              <w:t>200MW</w:t>
            </w:r>
          </w:p>
        </w:tc>
      </w:tr>
      <w:tr w14:paraId="49315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6A8AF2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21B042A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回路数</w:t>
            </w:r>
          </w:p>
        </w:tc>
        <w:tc>
          <w:tcPr>
            <w:tcW w:w="3975" w:type="pct"/>
            <w:tcBorders>
              <w:tl2br w:val="nil"/>
              <w:tr2bl w:val="nil"/>
            </w:tcBorders>
            <w:vAlign w:val="center"/>
          </w:tcPr>
          <w:p w14:paraId="25DC9F3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单回</w:t>
            </w:r>
            <w:r>
              <w:rPr>
                <w:rFonts w:hint="eastAsia" w:ascii="Times New Roman"/>
                <w:color w:val="auto"/>
                <w:sz w:val="21"/>
                <w:szCs w:val="24"/>
              </w:rPr>
              <w:t>（在终点处使用1基双回塔</w:t>
            </w:r>
            <w:r>
              <w:rPr>
                <w:rFonts w:hint="eastAsia" w:ascii="Times New Roman" w:eastAsia="宋体"/>
                <w:color w:val="auto"/>
                <w:sz w:val="21"/>
                <w:szCs w:val="24"/>
                <w:lang w:eastAsia="zh-CN"/>
              </w:rPr>
              <w:t>，本项目</w:t>
            </w:r>
            <w:r>
              <w:rPr>
                <w:rFonts w:hint="eastAsia" w:ascii="Times New Roman"/>
                <w:color w:val="auto"/>
                <w:sz w:val="21"/>
                <w:szCs w:val="24"/>
              </w:rPr>
              <w:t>单侧挂线）</w:t>
            </w:r>
          </w:p>
        </w:tc>
      </w:tr>
      <w:tr w14:paraId="0BD3D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1DC302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7B5811B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线路长度</w:t>
            </w:r>
          </w:p>
        </w:tc>
        <w:tc>
          <w:tcPr>
            <w:tcW w:w="3975" w:type="pct"/>
            <w:tcBorders>
              <w:tl2br w:val="nil"/>
              <w:tr2bl w:val="nil"/>
            </w:tcBorders>
            <w:vAlign w:val="center"/>
          </w:tcPr>
          <w:p w14:paraId="022D5A7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kern w:val="0"/>
                <w:sz w:val="21"/>
                <w:szCs w:val="21"/>
              </w:rPr>
              <w:t>路径全长约22.99km，全部为单回路架空架设（风电200MW升压站进站塔基为双回塔单侧挂线），其中穿越河北滦河上游国家级自然保护区实验区长度9094.58m（塔基23基），生态保护红线范围内长度12967m（塔基36基）。</w:t>
            </w:r>
          </w:p>
        </w:tc>
      </w:tr>
      <w:tr w14:paraId="4842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23EE6B7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1CFEDAF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曲折系数</w:t>
            </w:r>
          </w:p>
        </w:tc>
        <w:tc>
          <w:tcPr>
            <w:tcW w:w="3975" w:type="pct"/>
            <w:tcBorders>
              <w:tl2br w:val="nil"/>
              <w:tr2bl w:val="nil"/>
            </w:tcBorders>
            <w:vAlign w:val="center"/>
          </w:tcPr>
          <w:p w14:paraId="455A0FC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1</w:t>
            </w:r>
            <w:r>
              <w:rPr>
                <w:rFonts w:ascii="Times New Roman"/>
                <w:color w:val="auto"/>
                <w:sz w:val="21"/>
                <w:szCs w:val="24"/>
              </w:rPr>
              <w:t>.3</w:t>
            </w:r>
          </w:p>
        </w:tc>
      </w:tr>
      <w:tr w14:paraId="5337B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5588F2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78DBD37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导线型号</w:t>
            </w:r>
          </w:p>
        </w:tc>
        <w:tc>
          <w:tcPr>
            <w:tcW w:w="3975" w:type="pct"/>
            <w:tcBorders>
              <w:tl2br w:val="nil"/>
              <w:tr2bl w:val="nil"/>
            </w:tcBorders>
            <w:vAlign w:val="center"/>
          </w:tcPr>
          <w:p w14:paraId="12E09E2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JL/G1A-300/40</w:t>
            </w:r>
          </w:p>
        </w:tc>
      </w:tr>
      <w:tr w14:paraId="1CCDB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404A38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5639797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地线型号</w:t>
            </w:r>
          </w:p>
        </w:tc>
        <w:tc>
          <w:tcPr>
            <w:tcW w:w="3975" w:type="pct"/>
            <w:tcBorders>
              <w:tl2br w:val="nil"/>
              <w:tr2bl w:val="nil"/>
            </w:tcBorders>
            <w:vAlign w:val="center"/>
          </w:tcPr>
          <w:p w14:paraId="0061EBC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snapToGrid w:val="0"/>
                <w:color w:val="auto"/>
                <w:kern w:val="0"/>
                <w:sz w:val="21"/>
                <w:szCs w:val="21"/>
              </w:rPr>
              <w:t>2根24芯</w:t>
            </w:r>
            <w:r>
              <w:rPr>
                <w:rFonts w:ascii="Times New Roman"/>
                <w:snapToGrid w:val="0"/>
                <w:color w:val="auto"/>
                <w:kern w:val="0"/>
                <w:sz w:val="21"/>
                <w:szCs w:val="21"/>
              </w:rPr>
              <w:t>OPGW-17-150</w:t>
            </w:r>
            <w:r>
              <w:rPr>
                <w:rFonts w:hint="eastAsia" w:ascii="Times New Roman"/>
                <w:snapToGrid w:val="0"/>
                <w:color w:val="auto"/>
                <w:kern w:val="0"/>
                <w:sz w:val="21"/>
                <w:szCs w:val="21"/>
              </w:rPr>
              <w:t>光缆</w:t>
            </w:r>
            <w:r>
              <w:rPr>
                <w:rFonts w:ascii="Times New Roman"/>
                <w:snapToGrid w:val="0"/>
                <w:color w:val="auto"/>
                <w:kern w:val="0"/>
                <w:sz w:val="21"/>
                <w:szCs w:val="21"/>
              </w:rPr>
              <w:t>。</w:t>
            </w:r>
          </w:p>
        </w:tc>
      </w:tr>
      <w:tr w14:paraId="35773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4F5410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5D292DE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架设方式</w:t>
            </w:r>
          </w:p>
        </w:tc>
        <w:tc>
          <w:tcPr>
            <w:tcW w:w="3975" w:type="pct"/>
            <w:tcBorders>
              <w:tl2br w:val="nil"/>
              <w:tr2bl w:val="nil"/>
            </w:tcBorders>
            <w:vAlign w:val="center"/>
          </w:tcPr>
          <w:p w14:paraId="0D670A2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架空挂线</w:t>
            </w:r>
          </w:p>
        </w:tc>
      </w:tr>
      <w:tr w14:paraId="54746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D716A9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2AB10B39">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铁塔数量</w:t>
            </w:r>
          </w:p>
        </w:tc>
        <w:tc>
          <w:tcPr>
            <w:tcW w:w="3975" w:type="pct"/>
            <w:tcBorders>
              <w:tl2br w:val="nil"/>
              <w:tr2bl w:val="nil"/>
            </w:tcBorders>
            <w:vAlign w:val="center"/>
          </w:tcPr>
          <w:p w14:paraId="008F9BC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kern w:val="0"/>
                <w:sz w:val="21"/>
                <w:szCs w:val="21"/>
              </w:rPr>
            </w:pPr>
            <w:r>
              <w:rPr>
                <w:rFonts w:hint="eastAsia" w:ascii="Times New Roman"/>
                <w:color w:val="auto"/>
                <w:kern w:val="0"/>
                <w:sz w:val="21"/>
                <w:szCs w:val="21"/>
              </w:rPr>
              <w:t>新建铁塔总基数57基，其中单回路直线塔31基、单回路耐张塔25基、双回路耐张塔1基。</w:t>
            </w:r>
          </w:p>
        </w:tc>
      </w:tr>
      <w:tr w14:paraId="5ABB5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7E3F93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0BEFEB9F">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塔型</w:t>
            </w:r>
          </w:p>
        </w:tc>
        <w:tc>
          <w:tcPr>
            <w:tcW w:w="3975" w:type="pct"/>
            <w:tcBorders>
              <w:tl2br w:val="nil"/>
              <w:tr2bl w:val="nil"/>
            </w:tcBorders>
            <w:vAlign w:val="center"/>
          </w:tcPr>
          <w:p w14:paraId="3CCEB0B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left"/>
              <w:textAlignment w:val="auto"/>
              <w:rPr>
                <w:rFonts w:ascii="Times New Roman"/>
                <w:color w:val="auto"/>
                <w:kern w:val="0"/>
                <w:sz w:val="21"/>
                <w:szCs w:val="21"/>
              </w:rPr>
            </w:pPr>
            <w:r>
              <w:rPr>
                <w:rFonts w:hint="eastAsia" w:ascii="Times New Roman"/>
                <w:color w:val="auto"/>
                <w:kern w:val="0"/>
                <w:sz w:val="21"/>
                <w:szCs w:val="21"/>
              </w:rPr>
              <w:t>选用2A2模块的JC</w:t>
            </w:r>
            <w:r>
              <w:rPr>
                <w:rFonts w:ascii="Times New Roman"/>
                <w:color w:val="auto"/>
                <w:kern w:val="0"/>
                <w:sz w:val="21"/>
                <w:szCs w:val="21"/>
              </w:rPr>
              <w:t>1</w:t>
            </w:r>
            <w:r>
              <w:rPr>
                <w:rFonts w:hint="eastAsia" w:ascii="Times New Roman"/>
                <w:color w:val="auto"/>
                <w:kern w:val="0"/>
                <w:sz w:val="21"/>
                <w:szCs w:val="21"/>
              </w:rPr>
              <w:t>、JC</w:t>
            </w:r>
            <w:r>
              <w:rPr>
                <w:rFonts w:ascii="Times New Roman"/>
                <w:color w:val="auto"/>
                <w:kern w:val="0"/>
                <w:sz w:val="21"/>
                <w:szCs w:val="21"/>
              </w:rPr>
              <w:t>2</w:t>
            </w:r>
            <w:r>
              <w:rPr>
                <w:rFonts w:hint="eastAsia" w:ascii="Times New Roman"/>
                <w:color w:val="auto"/>
                <w:kern w:val="0"/>
                <w:sz w:val="21"/>
                <w:szCs w:val="21"/>
              </w:rPr>
              <w:t>、JC3、JC</w:t>
            </w:r>
            <w:r>
              <w:rPr>
                <w:rFonts w:ascii="Times New Roman"/>
                <w:color w:val="auto"/>
                <w:kern w:val="0"/>
                <w:sz w:val="21"/>
                <w:szCs w:val="21"/>
              </w:rPr>
              <w:t>4</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1、</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ZMC</w:t>
            </w:r>
            <w:r>
              <w:rPr>
                <w:rFonts w:ascii="Times New Roman"/>
                <w:color w:val="auto"/>
                <w:kern w:val="0"/>
                <w:sz w:val="21"/>
                <w:szCs w:val="21"/>
              </w:rPr>
              <w:t>3</w:t>
            </w:r>
            <w:r>
              <w:rPr>
                <w:rFonts w:hint="eastAsia" w:ascii="Times New Roman"/>
                <w:color w:val="auto"/>
                <w:kern w:val="0"/>
                <w:sz w:val="21"/>
                <w:szCs w:val="21"/>
              </w:rPr>
              <w:t>、ZMC</w:t>
            </w:r>
            <w:r>
              <w:rPr>
                <w:rFonts w:ascii="Times New Roman"/>
                <w:color w:val="auto"/>
                <w:kern w:val="0"/>
                <w:sz w:val="21"/>
                <w:szCs w:val="21"/>
              </w:rPr>
              <w:t>4</w:t>
            </w:r>
            <w:r>
              <w:rPr>
                <w:rFonts w:hint="eastAsia" w:ascii="Times New Roman"/>
                <w:color w:val="auto"/>
                <w:kern w:val="0"/>
                <w:sz w:val="21"/>
                <w:szCs w:val="21"/>
              </w:rPr>
              <w:t>、</w:t>
            </w:r>
            <w:r>
              <w:rPr>
                <w:rFonts w:ascii="Times New Roman"/>
                <w:color w:val="auto"/>
                <w:kern w:val="0"/>
                <w:sz w:val="21"/>
                <w:szCs w:val="21"/>
              </w:rPr>
              <w:t>ZMCK</w:t>
            </w:r>
            <w:r>
              <w:rPr>
                <w:rFonts w:hint="eastAsia" w:ascii="Times New Roman"/>
                <w:color w:val="auto"/>
                <w:kern w:val="0"/>
                <w:sz w:val="21"/>
                <w:szCs w:val="21"/>
              </w:rPr>
              <w:t>、DJC塔型及2E</w:t>
            </w:r>
            <w:r>
              <w:rPr>
                <w:rFonts w:ascii="Times New Roman"/>
                <w:color w:val="auto"/>
                <w:kern w:val="0"/>
                <w:sz w:val="21"/>
                <w:szCs w:val="21"/>
              </w:rPr>
              <w:t>6</w:t>
            </w:r>
            <w:r>
              <w:rPr>
                <w:rFonts w:hint="eastAsia" w:ascii="Times New Roman"/>
                <w:color w:val="auto"/>
                <w:kern w:val="0"/>
                <w:sz w:val="21"/>
                <w:szCs w:val="21"/>
              </w:rPr>
              <w:t>模块的SDJC塔型</w:t>
            </w:r>
          </w:p>
        </w:tc>
      </w:tr>
      <w:tr w14:paraId="7C91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0EFF6B8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692596C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污区等级</w:t>
            </w:r>
          </w:p>
        </w:tc>
        <w:tc>
          <w:tcPr>
            <w:tcW w:w="3975" w:type="pct"/>
            <w:tcBorders>
              <w:tl2br w:val="nil"/>
              <w:tr2bl w:val="nil"/>
            </w:tcBorders>
            <w:vAlign w:val="center"/>
          </w:tcPr>
          <w:p w14:paraId="7EB2618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kern w:val="0"/>
                <w:sz w:val="21"/>
                <w:szCs w:val="21"/>
              </w:rPr>
              <w:t>全线按</w:t>
            </w:r>
            <w:r>
              <w:rPr>
                <w:rFonts w:hint="eastAsia" w:ascii="Times New Roman" w:eastAsia="宋体"/>
                <w:color w:val="auto"/>
                <w:kern w:val="0"/>
                <w:sz w:val="21"/>
                <w:szCs w:val="21"/>
                <w:lang w:val="en-US" w:eastAsia="zh-CN"/>
              </w:rPr>
              <w:t>c</w:t>
            </w:r>
            <w:r>
              <w:rPr>
                <w:rFonts w:ascii="Times New Roman"/>
                <w:color w:val="auto"/>
                <w:kern w:val="0"/>
                <w:sz w:val="21"/>
                <w:szCs w:val="21"/>
              </w:rPr>
              <w:t>级污秽上限配置绝缘</w:t>
            </w:r>
          </w:p>
        </w:tc>
      </w:tr>
      <w:tr w14:paraId="731B2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9EEA34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203E759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color w:val="auto"/>
                <w:sz w:val="21"/>
                <w:szCs w:val="21"/>
              </w:rPr>
              <w:t>地基形式</w:t>
            </w:r>
          </w:p>
        </w:tc>
        <w:tc>
          <w:tcPr>
            <w:tcW w:w="3975" w:type="pct"/>
            <w:tcBorders>
              <w:tl2br w:val="nil"/>
              <w:tr2bl w:val="nil"/>
            </w:tcBorders>
            <w:vAlign w:val="center"/>
          </w:tcPr>
          <w:p w14:paraId="40AA7B5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kern w:val="0"/>
                <w:sz w:val="21"/>
                <w:szCs w:val="21"/>
              </w:rPr>
            </w:pPr>
            <w:r>
              <w:rPr>
                <w:rFonts w:hint="eastAsia" w:ascii="Times New Roman"/>
                <w:color w:val="auto"/>
                <w:kern w:val="0"/>
                <w:sz w:val="21"/>
                <w:szCs w:val="21"/>
              </w:rPr>
              <w:t>掏挖基础及挖孔桩基础</w:t>
            </w:r>
          </w:p>
        </w:tc>
      </w:tr>
      <w:tr w14:paraId="02084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AF7118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0CC1AE7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长期</w:t>
            </w:r>
            <w:r>
              <w:rPr>
                <w:rFonts w:ascii="Times New Roman"/>
                <w:color w:val="auto"/>
                <w:sz w:val="21"/>
                <w:szCs w:val="24"/>
              </w:rPr>
              <w:t>占地</w:t>
            </w:r>
          </w:p>
        </w:tc>
        <w:tc>
          <w:tcPr>
            <w:tcW w:w="3975" w:type="pct"/>
            <w:tcBorders>
              <w:tl2br w:val="nil"/>
              <w:tr2bl w:val="nil"/>
            </w:tcBorders>
            <w:vAlign w:val="center"/>
          </w:tcPr>
          <w:p w14:paraId="6BF107E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塔基占地</w:t>
            </w:r>
            <w:r>
              <w:rPr>
                <w:rFonts w:hint="eastAsia" w:ascii="Times New Roman" w:eastAsia="宋体"/>
                <w:color w:val="auto"/>
                <w:kern w:val="0"/>
                <w:sz w:val="21"/>
                <w:szCs w:val="21"/>
                <w:lang w:val="en-US" w:eastAsia="zh-CN"/>
              </w:rPr>
              <w:t>0.4h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r>
              <w:rPr>
                <w:rFonts w:ascii="Times New Roman"/>
                <w:color w:val="auto"/>
                <w:sz w:val="21"/>
                <w:szCs w:val="24"/>
              </w:rPr>
              <w:t>主要占用林地</w:t>
            </w:r>
            <w:r>
              <w:rPr>
                <w:rFonts w:hint="eastAsia" w:ascii="Times New Roman"/>
                <w:color w:val="auto"/>
                <w:sz w:val="21"/>
                <w:szCs w:val="24"/>
              </w:rPr>
              <w:t>。</w:t>
            </w:r>
          </w:p>
        </w:tc>
      </w:tr>
      <w:tr w14:paraId="6AFAE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restart"/>
            <w:tcBorders>
              <w:tl2br w:val="nil"/>
              <w:tr2bl w:val="nil"/>
            </w:tcBorders>
            <w:vAlign w:val="center"/>
          </w:tcPr>
          <w:p w14:paraId="0B4795C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临时工程</w:t>
            </w:r>
          </w:p>
        </w:tc>
        <w:tc>
          <w:tcPr>
            <w:tcW w:w="588" w:type="pct"/>
            <w:tcBorders>
              <w:tl2br w:val="nil"/>
              <w:tr2bl w:val="nil"/>
            </w:tcBorders>
            <w:vAlign w:val="center"/>
          </w:tcPr>
          <w:p w14:paraId="2BD4F5E2">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施工营地</w:t>
            </w:r>
          </w:p>
        </w:tc>
        <w:tc>
          <w:tcPr>
            <w:tcW w:w="3975" w:type="pct"/>
            <w:tcBorders>
              <w:tl2br w:val="nil"/>
              <w:tr2bl w:val="nil"/>
            </w:tcBorders>
            <w:vAlign w:val="center"/>
          </w:tcPr>
          <w:p w14:paraId="78027B9E">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不设置施工人员食宿营地，设备与设施营地利用牵张场及塔基占地。</w:t>
            </w:r>
          </w:p>
        </w:tc>
      </w:tr>
      <w:tr w14:paraId="242D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6B02E7B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7094895D">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hint="eastAsia" w:ascii="Times New Roman"/>
                <w:color w:val="auto"/>
                <w:sz w:val="21"/>
                <w:szCs w:val="21"/>
              </w:rPr>
              <w:t>塔基施工场地</w:t>
            </w:r>
          </w:p>
        </w:tc>
        <w:tc>
          <w:tcPr>
            <w:tcW w:w="3975" w:type="pct"/>
            <w:tcBorders>
              <w:tl2br w:val="nil"/>
              <w:tr2bl w:val="nil"/>
            </w:tcBorders>
            <w:vAlign w:val="center"/>
          </w:tcPr>
          <w:p w14:paraId="580DA577">
            <w:pPr>
              <w:keepNext w:val="0"/>
              <w:keepLines w:val="0"/>
              <w:pageBreakBefore w:val="0"/>
              <w:widowControl/>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塔基施工临时占地包含铁塔作业面、基础施工作业面等，根据设计资料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，合计约</w:t>
            </w:r>
            <w:r>
              <w:rPr>
                <w:rFonts w:hint="eastAsia" w:ascii="Times New Roman" w:eastAsia="宋体"/>
                <w:color w:val="auto"/>
                <w:kern w:val="0"/>
                <w:sz w:val="21"/>
                <w:szCs w:val="21"/>
                <w:lang w:val="en-US" w:eastAsia="zh-CN"/>
              </w:rPr>
              <w:t>0.74h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p>
        </w:tc>
      </w:tr>
      <w:tr w14:paraId="4BBC4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415BB64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67B4264C">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施工便道</w:t>
            </w:r>
          </w:p>
        </w:tc>
        <w:tc>
          <w:tcPr>
            <w:tcW w:w="3975" w:type="pct"/>
            <w:tcBorders>
              <w:tl2br w:val="nil"/>
              <w:tr2bl w:val="nil"/>
            </w:tcBorders>
            <w:vAlign w:val="center"/>
          </w:tcPr>
          <w:p w14:paraId="451C9169">
            <w:pPr>
              <w:keepNext w:val="0"/>
              <w:keepLines w:val="0"/>
              <w:pageBreakBefore w:val="0"/>
              <w:kinsoku/>
              <w:wordWrap/>
              <w:overflowPunct/>
              <w:topLinePunct w:val="0"/>
              <w:autoSpaceDE w:val="0"/>
              <w:autoSpaceDN w:val="0"/>
              <w:bidi w:val="0"/>
              <w:spacing w:line="240" w:lineRule="auto"/>
              <w:ind w:left="0" w:firstLine="0" w:firstLineChars="0"/>
              <w:jc w:val="left"/>
              <w:textAlignment w:val="auto"/>
              <w:rPr>
                <w:rFonts w:ascii="Times New Roman"/>
                <w:color w:val="auto"/>
                <w:sz w:val="21"/>
                <w:szCs w:val="24"/>
              </w:rPr>
            </w:pPr>
            <w:r>
              <w:rPr>
                <w:rFonts w:hint="eastAsia" w:ascii="Times New Roman"/>
                <w:color w:val="auto"/>
                <w:sz w:val="21"/>
                <w:szCs w:val="21"/>
              </w:rPr>
              <w:t>主要利用现有道路进行施工运输，河北滦河上游国家级自然保护区内采用骡马驮运，</w:t>
            </w:r>
            <w:r>
              <w:rPr>
                <w:rFonts w:ascii="Times New Roman"/>
                <w:color w:val="auto"/>
                <w:kern w:val="0"/>
                <w:sz w:val="21"/>
                <w:szCs w:val="21"/>
              </w:rPr>
              <w:t>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w:t>
            </w:r>
            <w:r>
              <w:rPr>
                <w:rFonts w:hint="eastAsia" w:ascii="Times New Roman"/>
                <w:color w:val="auto"/>
                <w:sz w:val="21"/>
                <w:szCs w:val="21"/>
              </w:rPr>
              <w:t>保护区外施工便道占地约</w:t>
            </w:r>
            <w:r>
              <w:rPr>
                <w:rFonts w:hint="eastAsia" w:ascii="Times New Roman" w:eastAsia="宋体"/>
                <w:color w:val="auto"/>
                <w:sz w:val="21"/>
                <w:szCs w:val="21"/>
                <w:lang w:val="en-US" w:eastAsia="zh-CN"/>
              </w:rPr>
              <w:t>3h</w:t>
            </w:r>
            <w:r>
              <w:rPr>
                <w:rFonts w:hint="eastAsia" w:ascii="Times New Roman"/>
                <w:color w:val="auto"/>
                <w:sz w:val="21"/>
                <w:szCs w:val="21"/>
              </w:rPr>
              <w:t>m</w:t>
            </w:r>
            <w:r>
              <w:rPr>
                <w:rFonts w:hint="eastAsia" w:ascii="Times New Roman"/>
                <w:color w:val="auto"/>
                <w:sz w:val="21"/>
                <w:szCs w:val="21"/>
                <w:vertAlign w:val="superscript"/>
              </w:rPr>
              <w:t>2</w:t>
            </w:r>
            <w:r>
              <w:rPr>
                <w:rFonts w:hint="eastAsia" w:ascii="Times New Roman"/>
                <w:color w:val="auto"/>
                <w:sz w:val="21"/>
                <w:szCs w:val="21"/>
              </w:rPr>
              <w:t>。</w:t>
            </w:r>
          </w:p>
        </w:tc>
      </w:tr>
      <w:tr w14:paraId="3FD71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3B10ED3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189F21AC">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弃土弃渣</w:t>
            </w:r>
          </w:p>
        </w:tc>
        <w:tc>
          <w:tcPr>
            <w:tcW w:w="3975" w:type="pct"/>
            <w:tcBorders>
              <w:tl2br w:val="nil"/>
              <w:tr2bl w:val="nil"/>
            </w:tcBorders>
            <w:vAlign w:val="center"/>
          </w:tcPr>
          <w:p w14:paraId="353880EB">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4"/>
              </w:rPr>
            </w:pPr>
            <w:r>
              <w:rPr>
                <w:rFonts w:ascii="Times New Roman"/>
                <w:color w:val="auto"/>
                <w:kern w:val="0"/>
                <w:sz w:val="21"/>
                <w:szCs w:val="21"/>
              </w:rPr>
              <w:t>不设置弃土、弃渣场，弃土、弃渣依托当地地形地势就地平整堆砌。</w:t>
            </w:r>
          </w:p>
        </w:tc>
      </w:tr>
      <w:tr w14:paraId="2C8C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4AABB37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7AA47D1F">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牵张场</w:t>
            </w:r>
          </w:p>
        </w:tc>
        <w:tc>
          <w:tcPr>
            <w:tcW w:w="3975" w:type="pct"/>
            <w:tcBorders>
              <w:tl2br w:val="nil"/>
              <w:tr2bl w:val="nil"/>
            </w:tcBorders>
          </w:tcPr>
          <w:p w14:paraId="55427049">
            <w:pPr>
              <w:keepNext w:val="0"/>
              <w:keepLines w:val="0"/>
              <w:pageBreakBefore w:val="0"/>
              <w:widowControl/>
              <w:kinsoku/>
              <w:wordWrap/>
              <w:overflowPunct/>
              <w:topLinePunct w:val="0"/>
              <w:autoSpaceDE w:val="0"/>
              <w:autoSpaceDN w:val="0"/>
              <w:bidi w:val="0"/>
              <w:snapToGrid w:val="0"/>
              <w:spacing w:line="240" w:lineRule="auto"/>
              <w:ind w:left="0" w:firstLine="0" w:firstLineChars="0"/>
              <w:textAlignment w:val="auto"/>
              <w:rPr>
                <w:rFonts w:ascii="Times New Roman"/>
                <w:color w:val="auto"/>
                <w:sz w:val="21"/>
                <w:szCs w:val="24"/>
              </w:rPr>
            </w:pPr>
            <w:r>
              <w:rPr>
                <w:rFonts w:ascii="Times New Roman"/>
                <w:color w:val="auto"/>
                <w:kern w:val="0"/>
                <w:sz w:val="21"/>
                <w:szCs w:val="21"/>
              </w:rPr>
              <w:t>每处布置牵张机、铁塔金具、导线等设施与材料。根据设计资料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，本线路工程共设计导线</w:t>
            </w:r>
            <w:r>
              <w:rPr>
                <w:rFonts w:hint="eastAsia" w:ascii="Times New Roman"/>
                <w:color w:val="auto"/>
                <w:kern w:val="0"/>
                <w:sz w:val="21"/>
                <w:szCs w:val="21"/>
              </w:rPr>
              <w:t>（包括地线）</w:t>
            </w:r>
            <w:r>
              <w:rPr>
                <w:rFonts w:ascii="Times New Roman"/>
                <w:color w:val="auto"/>
                <w:kern w:val="0"/>
                <w:sz w:val="21"/>
                <w:szCs w:val="21"/>
              </w:rPr>
              <w:t>牵张场5处，</w:t>
            </w:r>
            <w:r>
              <w:rPr>
                <w:rFonts w:hint="eastAsia" w:ascii="Times New Roman"/>
                <w:color w:val="auto"/>
                <w:kern w:val="0"/>
                <w:sz w:val="21"/>
                <w:szCs w:val="21"/>
              </w:rPr>
              <w:t>每处占地约</w:t>
            </w:r>
            <w:r>
              <w:rPr>
                <w:rFonts w:hint="eastAsia" w:ascii="Times New Roman" w:eastAsia="宋体"/>
                <w:color w:val="auto"/>
                <w:kern w:val="0"/>
                <w:sz w:val="21"/>
                <w:szCs w:val="21"/>
                <w:lang w:val="en-US" w:eastAsia="zh-CN"/>
              </w:rPr>
              <w:t>0.12h</w:t>
            </w:r>
            <w:r>
              <w:rPr>
                <w:rFonts w:ascii="Times New Roman"/>
                <w:color w:val="auto"/>
                <w:kern w:val="0"/>
                <w:sz w:val="21"/>
                <w:szCs w:val="21"/>
              </w:rPr>
              <w:t>m</w:t>
            </w:r>
            <w:r>
              <w:rPr>
                <w:rFonts w:ascii="Times New Roman"/>
                <w:color w:val="auto"/>
                <w:kern w:val="0"/>
                <w:sz w:val="21"/>
                <w:szCs w:val="21"/>
                <w:vertAlign w:val="superscript"/>
              </w:rPr>
              <w:t>2</w:t>
            </w:r>
            <w:r>
              <w:rPr>
                <w:rFonts w:hint="eastAsia" w:ascii="Times New Roman"/>
                <w:color w:val="auto"/>
                <w:kern w:val="0"/>
                <w:sz w:val="21"/>
                <w:szCs w:val="21"/>
              </w:rPr>
              <w:t>，</w:t>
            </w:r>
            <w:r>
              <w:rPr>
                <w:rFonts w:ascii="Times New Roman"/>
                <w:color w:val="auto"/>
                <w:kern w:val="0"/>
                <w:sz w:val="21"/>
                <w:szCs w:val="21"/>
              </w:rPr>
              <w:t>牵张场总占地合计</w:t>
            </w:r>
            <w:r>
              <w:rPr>
                <w:rFonts w:hint="eastAsia" w:ascii="Times New Roman" w:eastAsia="宋体"/>
                <w:color w:val="auto"/>
                <w:kern w:val="0"/>
                <w:sz w:val="21"/>
                <w:szCs w:val="21"/>
                <w:lang w:val="en-US" w:eastAsia="zh-CN"/>
              </w:rPr>
              <w:t>0.6h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p>
        </w:tc>
      </w:tr>
      <w:tr w14:paraId="25996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436" w:type="pct"/>
            <w:vMerge w:val="restart"/>
            <w:tcBorders>
              <w:tl2br w:val="nil"/>
              <w:tr2bl w:val="nil"/>
            </w:tcBorders>
            <w:vAlign w:val="center"/>
          </w:tcPr>
          <w:p w14:paraId="788E91B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公用工程</w:t>
            </w:r>
          </w:p>
        </w:tc>
        <w:tc>
          <w:tcPr>
            <w:tcW w:w="588" w:type="pct"/>
            <w:tcBorders>
              <w:tl2br w:val="nil"/>
              <w:tr2bl w:val="nil"/>
            </w:tcBorders>
            <w:vAlign w:val="center"/>
          </w:tcPr>
          <w:p w14:paraId="2145E32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给水</w:t>
            </w:r>
          </w:p>
        </w:tc>
        <w:tc>
          <w:tcPr>
            <w:tcW w:w="3975" w:type="pct"/>
            <w:tcBorders>
              <w:tl2br w:val="nil"/>
              <w:tr2bl w:val="nil"/>
            </w:tcBorders>
            <w:vAlign w:val="center"/>
          </w:tcPr>
          <w:p w14:paraId="1A849EA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引自附近村庄</w:t>
            </w:r>
          </w:p>
        </w:tc>
      </w:tr>
      <w:tr w14:paraId="75B2B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38A1BCA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vMerge w:val="restart"/>
            <w:tcBorders>
              <w:tl2br w:val="nil"/>
              <w:tr2bl w:val="nil"/>
            </w:tcBorders>
            <w:vAlign w:val="center"/>
          </w:tcPr>
          <w:p w14:paraId="28CE31B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排水</w:t>
            </w:r>
          </w:p>
        </w:tc>
        <w:tc>
          <w:tcPr>
            <w:tcW w:w="3975" w:type="pct"/>
            <w:tcBorders>
              <w:tl2br w:val="nil"/>
              <w:tr2bl w:val="nil"/>
            </w:tcBorders>
            <w:vAlign w:val="center"/>
          </w:tcPr>
          <w:p w14:paraId="6D4A2AB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施工期：施工生活废水依托当地居民的生活污水处理设施；生产废水经沉淀池处理后用于场地泼洒抑尘。</w:t>
            </w:r>
          </w:p>
        </w:tc>
      </w:tr>
      <w:tr w14:paraId="69D3E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4CBC225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vMerge w:val="continue"/>
            <w:tcBorders>
              <w:tl2br w:val="nil"/>
              <w:tr2bl w:val="nil"/>
            </w:tcBorders>
            <w:vAlign w:val="center"/>
          </w:tcPr>
          <w:p w14:paraId="31301C4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3975" w:type="pct"/>
            <w:tcBorders>
              <w:tl2br w:val="nil"/>
              <w:tr2bl w:val="nil"/>
            </w:tcBorders>
            <w:vAlign w:val="center"/>
          </w:tcPr>
          <w:p w14:paraId="7F13B98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运营期：无废水产生。</w:t>
            </w:r>
          </w:p>
        </w:tc>
      </w:tr>
      <w:tr w14:paraId="46E7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8" w:hRule="atLeast"/>
          <w:jc w:val="center"/>
        </w:trPr>
        <w:tc>
          <w:tcPr>
            <w:tcW w:w="436" w:type="pct"/>
            <w:vMerge w:val="continue"/>
            <w:tcBorders>
              <w:tl2br w:val="nil"/>
              <w:tr2bl w:val="nil"/>
            </w:tcBorders>
            <w:vAlign w:val="center"/>
          </w:tcPr>
          <w:p w14:paraId="3CA697C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441394E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供电</w:t>
            </w:r>
          </w:p>
        </w:tc>
        <w:tc>
          <w:tcPr>
            <w:tcW w:w="3975" w:type="pct"/>
            <w:tcBorders>
              <w:tl2br w:val="nil"/>
              <w:tr2bl w:val="nil"/>
            </w:tcBorders>
            <w:vAlign w:val="center"/>
          </w:tcPr>
          <w:p w14:paraId="7653C43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施工期临时用电引自附近线路；运营期项目区无人值守，定期巡查，无需供电</w:t>
            </w:r>
          </w:p>
        </w:tc>
      </w:tr>
      <w:tr w14:paraId="36FB0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restart"/>
            <w:tcBorders>
              <w:tl2br w:val="nil"/>
              <w:tr2bl w:val="nil"/>
            </w:tcBorders>
            <w:vAlign w:val="center"/>
          </w:tcPr>
          <w:p w14:paraId="0FB1039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环保工程</w:t>
            </w:r>
          </w:p>
        </w:tc>
        <w:tc>
          <w:tcPr>
            <w:tcW w:w="588" w:type="pct"/>
            <w:tcBorders>
              <w:tl2br w:val="nil"/>
              <w:tr2bl w:val="nil"/>
            </w:tcBorders>
            <w:vAlign w:val="center"/>
          </w:tcPr>
          <w:p w14:paraId="790D83A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废气</w:t>
            </w:r>
          </w:p>
        </w:tc>
        <w:tc>
          <w:tcPr>
            <w:tcW w:w="3975" w:type="pct"/>
            <w:tcBorders>
              <w:tl2br w:val="nil"/>
              <w:tr2bl w:val="nil"/>
            </w:tcBorders>
            <w:vAlign w:val="center"/>
          </w:tcPr>
          <w:p w14:paraId="2751C15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施工期：施工扬尘采用设置围挡、洒水降尘</w:t>
            </w:r>
            <w:r>
              <w:rPr>
                <w:rFonts w:hint="eastAsia" w:ascii="Times New Roman"/>
                <w:color w:val="auto"/>
                <w:sz w:val="21"/>
                <w:szCs w:val="24"/>
              </w:rPr>
              <w:t>、车辆冲洗等</w:t>
            </w:r>
            <w:r>
              <w:rPr>
                <w:rFonts w:ascii="Times New Roman"/>
                <w:color w:val="auto"/>
                <w:sz w:val="21"/>
                <w:szCs w:val="24"/>
              </w:rPr>
              <w:t>治理措施；物料运输篷布遮盖。</w:t>
            </w:r>
          </w:p>
          <w:p w14:paraId="27901CD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运营期：项目为输电线路运营期无废气产生。</w:t>
            </w:r>
          </w:p>
        </w:tc>
      </w:tr>
      <w:tr w14:paraId="046FF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023068A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19207F1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废水</w:t>
            </w:r>
          </w:p>
        </w:tc>
        <w:tc>
          <w:tcPr>
            <w:tcW w:w="3975" w:type="pct"/>
            <w:tcBorders>
              <w:tl2br w:val="nil"/>
              <w:tr2bl w:val="nil"/>
            </w:tcBorders>
            <w:vAlign w:val="center"/>
          </w:tcPr>
          <w:p w14:paraId="4F3FAE4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产生的废水主要为基础养护废水、车辆清洗废水和施工人员生活污水。本工程施工人员住宿租用当地民房解决，施工人员生活污水依托当地的生活污水处理设施处理。线路施工过程中产生的基础养护废水和车辆清洗废水，均经沉淀池沉淀处理后用于施工场地抑尘。</w:t>
            </w:r>
          </w:p>
          <w:p w14:paraId="14EE07F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运营期：无废水产生。</w:t>
            </w:r>
          </w:p>
        </w:tc>
      </w:tr>
      <w:tr w14:paraId="5BF2F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1427B1A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4279CDB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噪声</w:t>
            </w:r>
          </w:p>
        </w:tc>
        <w:tc>
          <w:tcPr>
            <w:tcW w:w="3975" w:type="pct"/>
            <w:tcBorders>
              <w:tl2br w:val="nil"/>
              <w:tr2bl w:val="nil"/>
            </w:tcBorders>
            <w:vAlign w:val="center"/>
          </w:tcPr>
          <w:p w14:paraId="1323153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施工期：施工期噪声主要为运输车辆交通噪声、挖掘机、装载机等施工、牵张场内牵张机等噪声；主要采取选用低噪声设备、注意设备维护保养合理操作；合理布置施工现场</w:t>
            </w:r>
            <w:r>
              <w:rPr>
                <w:rFonts w:hint="eastAsia" w:ascii="Times New Roman"/>
                <w:color w:val="auto"/>
                <w:sz w:val="21"/>
                <w:szCs w:val="24"/>
              </w:rPr>
              <w:t>，设置围挡</w:t>
            </w:r>
            <w:r>
              <w:rPr>
                <w:rFonts w:ascii="Times New Roman"/>
                <w:color w:val="auto"/>
                <w:sz w:val="21"/>
                <w:szCs w:val="24"/>
              </w:rPr>
              <w:t>；合理安排施工时间；运输车辆在穿越附近居民点时应控制车速、禁鸣，加强车辆维护；牵张场选择时应远离村庄。</w:t>
            </w:r>
          </w:p>
          <w:p w14:paraId="3D42689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运营</w:t>
            </w:r>
            <w:r>
              <w:rPr>
                <w:rFonts w:ascii="Times New Roman"/>
                <w:color w:val="auto"/>
                <w:sz w:val="21"/>
                <w:szCs w:val="24"/>
              </w:rPr>
              <w:t>期：选用工艺好的导线来降低输电线运营过程产生的电晕噪声。</w:t>
            </w:r>
          </w:p>
        </w:tc>
      </w:tr>
      <w:tr w14:paraId="4E8FF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22" w:hRule="atLeast"/>
          <w:jc w:val="center"/>
        </w:trPr>
        <w:tc>
          <w:tcPr>
            <w:tcW w:w="436" w:type="pct"/>
            <w:vMerge w:val="continue"/>
            <w:tcBorders>
              <w:tl2br w:val="nil"/>
              <w:tr2bl w:val="nil"/>
            </w:tcBorders>
            <w:vAlign w:val="center"/>
          </w:tcPr>
          <w:p w14:paraId="34E2745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77C3B39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固废</w:t>
            </w:r>
          </w:p>
        </w:tc>
        <w:tc>
          <w:tcPr>
            <w:tcW w:w="3975" w:type="pct"/>
            <w:tcBorders>
              <w:tl2br w:val="nil"/>
              <w:tr2bl w:val="nil"/>
            </w:tcBorders>
            <w:vAlign w:val="center"/>
          </w:tcPr>
          <w:p w14:paraId="6CC806D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施工期：生活垃圾集中收集后定期清运；建筑垃圾集中堆放，运至指定场所处理；施工的土石方尽量做到“挖填平衡”</w:t>
            </w:r>
            <w:r>
              <w:rPr>
                <w:rFonts w:hint="eastAsia" w:ascii="Times New Roman"/>
                <w:color w:val="auto"/>
                <w:sz w:val="21"/>
                <w:szCs w:val="24"/>
              </w:rPr>
              <w:t>；施工遮挡隔离措施。</w:t>
            </w:r>
          </w:p>
          <w:p w14:paraId="260DE13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运营期：无固废产生</w:t>
            </w:r>
          </w:p>
        </w:tc>
      </w:tr>
      <w:tr w14:paraId="4DEC7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90" w:hRule="atLeast"/>
          <w:jc w:val="center"/>
        </w:trPr>
        <w:tc>
          <w:tcPr>
            <w:tcW w:w="436" w:type="pct"/>
            <w:vMerge w:val="continue"/>
            <w:tcBorders>
              <w:tl2br w:val="nil"/>
              <w:tr2bl w:val="nil"/>
            </w:tcBorders>
            <w:vAlign w:val="center"/>
          </w:tcPr>
          <w:p w14:paraId="0894345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521C949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电磁</w:t>
            </w:r>
          </w:p>
        </w:tc>
        <w:tc>
          <w:tcPr>
            <w:tcW w:w="3975" w:type="pct"/>
            <w:tcBorders>
              <w:tl2br w:val="nil"/>
              <w:tr2bl w:val="nil"/>
            </w:tcBorders>
            <w:vAlign w:val="center"/>
          </w:tcPr>
          <w:p w14:paraId="061FA62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施工期：无。</w:t>
            </w:r>
          </w:p>
          <w:p w14:paraId="0F7277B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在本项目在选线过程中，对沿线与环境有关的地方政府、军事、林业、矿业、通信、文物等部门进行了收资调研和路径协调工作，并根据有关部门的意见对线路进行了优化工作，避开了相关的环境敏感点。</w:t>
            </w:r>
            <w:r>
              <w:rPr>
                <w:rFonts w:hint="eastAsia" w:ascii="Times New Roman"/>
                <w:color w:val="auto"/>
                <w:kern w:val="0"/>
                <w:sz w:val="21"/>
                <w:szCs w:val="21"/>
              </w:rPr>
              <w:t>科学设置导线排列方式、选购光洁度高的导线。加强线路日常管理和维护，使线路保持良好的运行状态。导线的挂设高度</w:t>
            </w:r>
            <w:r>
              <w:rPr>
                <w:rFonts w:ascii="Times New Roman"/>
                <w:color w:val="auto"/>
                <w:kern w:val="0"/>
                <w:sz w:val="21"/>
                <w:szCs w:val="21"/>
              </w:rPr>
              <w:t>应确保与</w:t>
            </w:r>
            <w:r>
              <w:rPr>
                <w:rFonts w:hint="eastAsia" w:ascii="Times New Roman"/>
                <w:color w:val="auto"/>
                <w:kern w:val="0"/>
                <w:sz w:val="21"/>
                <w:szCs w:val="21"/>
              </w:rPr>
              <w:t>各种</w:t>
            </w:r>
            <w:r>
              <w:rPr>
                <w:rFonts w:ascii="Times New Roman"/>
                <w:color w:val="auto"/>
                <w:kern w:val="0"/>
                <w:sz w:val="21"/>
                <w:szCs w:val="21"/>
              </w:rPr>
              <w:t>跨越物留有足够净空距离</w:t>
            </w:r>
            <w:r>
              <w:rPr>
                <w:rFonts w:hint="eastAsia" w:ascii="Times New Roman"/>
                <w:color w:val="auto"/>
                <w:kern w:val="0"/>
                <w:sz w:val="21"/>
                <w:szCs w:val="21"/>
              </w:rPr>
              <w:t>。</w:t>
            </w:r>
          </w:p>
        </w:tc>
      </w:tr>
      <w:tr w14:paraId="46F24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continue"/>
            <w:tcBorders>
              <w:tl2br w:val="nil"/>
              <w:tr2bl w:val="nil"/>
            </w:tcBorders>
            <w:vAlign w:val="center"/>
          </w:tcPr>
          <w:p w14:paraId="4294EE5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1003FFB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生态保护</w:t>
            </w:r>
          </w:p>
        </w:tc>
        <w:tc>
          <w:tcPr>
            <w:tcW w:w="3975" w:type="pct"/>
            <w:tcBorders>
              <w:tl2br w:val="nil"/>
              <w:tr2bl w:val="nil"/>
            </w:tcBorders>
            <w:vAlign w:val="center"/>
          </w:tcPr>
          <w:p w14:paraId="6CB5737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设计期：优化选址选线，尽量避让生态环境敏感目标，线路工程按照土石方挖填平衡进行设计，经过林区应尽量采用架高杆塔跨越方式，山区铁塔采用高低脚设计。</w:t>
            </w:r>
          </w:p>
          <w:p w14:paraId="5604DA6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hint="default" w:ascii="Times New Roman" w:eastAsia="宋体"/>
                <w:color w:val="auto"/>
                <w:sz w:val="21"/>
                <w:szCs w:val="24"/>
                <w:lang w:val="en-US" w:eastAsia="zh-CN"/>
              </w:rPr>
            </w:pPr>
            <w:r>
              <w:rPr>
                <w:rFonts w:hint="eastAsia" w:ascii="Times New Roman" w:eastAsia="宋体"/>
                <w:color w:val="auto"/>
                <w:sz w:val="21"/>
                <w:szCs w:val="24"/>
                <w:lang w:eastAsia="zh-CN"/>
              </w:rPr>
              <w:t>施工期在河北省木兰围场国有林场内长度为</w:t>
            </w:r>
            <w:r>
              <w:rPr>
                <w:rFonts w:hint="eastAsia" w:ascii="Times New Roman" w:eastAsia="宋体"/>
                <w:color w:val="auto"/>
                <w:sz w:val="21"/>
                <w:szCs w:val="24"/>
                <w:lang w:val="en-US" w:eastAsia="zh-CN"/>
              </w:rPr>
              <w:t>1.8km，占地1.014亩（约676m</w:t>
            </w:r>
            <w:r>
              <w:rPr>
                <w:rFonts w:hint="eastAsia" w:ascii="Times New Roman" w:eastAsia="宋体"/>
                <w:color w:val="auto"/>
                <w:sz w:val="21"/>
                <w:szCs w:val="24"/>
                <w:vertAlign w:val="superscript"/>
                <w:lang w:val="en-US" w:eastAsia="zh-CN"/>
              </w:rPr>
              <w:t>2</w:t>
            </w:r>
            <w:r>
              <w:rPr>
                <w:rFonts w:hint="eastAsia" w:ascii="Times New Roman" w:eastAsia="宋体"/>
                <w:color w:val="auto"/>
                <w:sz w:val="21"/>
                <w:szCs w:val="24"/>
                <w:lang w:val="en-US" w:eastAsia="zh-CN"/>
              </w:rPr>
              <w:t>），并支付了补偿金，国有林场段林地恢复有</w:t>
            </w:r>
            <w:r>
              <w:rPr>
                <w:rFonts w:hint="eastAsia" w:ascii="Times New Roman" w:eastAsia="宋体"/>
                <w:color w:val="auto"/>
                <w:sz w:val="21"/>
                <w:szCs w:val="24"/>
                <w:lang w:eastAsia="zh-CN"/>
              </w:rPr>
              <w:t>河北省木兰围场国有林场进行实施。其余段有围场满族蒙古族自治县阳洁光伏发电有限责任公司进行生态恢复，目前正在进行施工完毕塔基的土地平整、覆土，并进行苫盖，待具体植被种植条件后进行植被恢复。</w:t>
            </w:r>
          </w:p>
          <w:p w14:paraId="07574E7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限制施工作业带范围，施工作业主要在远离生态红线的一侧，减少施工开挖面积和临时占地面积，表土分层堆放，分层回填；在施工区域设置警示牌，施工临时占地及时恢复，临时弃土、土石料场风季用苫布遮盖；优化土方平衡，弃土及时清运，减少二次倒运和堆放；施工结束后，及时对施工碾压过的土地进行人工洒水，使土壤自然疏松，按原来的地貌选择合适的草种或树木进行恢复性种植，在恢复期间注意保护，减少人畜和车辆的影响。</w:t>
            </w:r>
          </w:p>
          <w:p w14:paraId="0EED6B3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运营期：为降低鸟类撞击铁塔或导线造成的影响，需在塔基安装驱鸟器，在导线悬垂串及跳线串上方安装防鸟刺。</w:t>
            </w:r>
          </w:p>
        </w:tc>
      </w:tr>
      <w:tr w14:paraId="104DB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5BF441E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1F62F0D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水土流失工程</w:t>
            </w:r>
          </w:p>
        </w:tc>
        <w:tc>
          <w:tcPr>
            <w:tcW w:w="3975" w:type="pct"/>
            <w:tcBorders>
              <w:tl2br w:val="nil"/>
              <w:tr2bl w:val="nil"/>
            </w:tcBorders>
            <w:vAlign w:val="center"/>
          </w:tcPr>
          <w:p w14:paraId="4268804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对因永久塔基占地的水土流失采取工程措施，对扰动的地表采取砾石覆盖措施，施工结束及时表土回填，并采取植被恢复措施；对于占用的林地、耕地已签订补偿协议；临时堆土场采用防护</w:t>
            </w:r>
            <w:r>
              <w:rPr>
                <w:rFonts w:hint="eastAsia" w:ascii="Times New Roman" w:eastAsia="宋体"/>
                <w:color w:val="auto"/>
                <w:sz w:val="21"/>
                <w:szCs w:val="24"/>
                <w:lang w:val="en-US" w:eastAsia="zh-CN"/>
              </w:rPr>
              <w:t>措施</w:t>
            </w:r>
            <w:r>
              <w:rPr>
                <w:rFonts w:ascii="Times New Roman"/>
                <w:color w:val="auto"/>
                <w:sz w:val="21"/>
                <w:szCs w:val="24"/>
              </w:rPr>
              <w:t>，及时回填，减少临时堆土量；</w:t>
            </w:r>
          </w:p>
        </w:tc>
      </w:tr>
      <w:tr w14:paraId="42320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restart"/>
            <w:tcBorders>
              <w:tl2br w:val="nil"/>
              <w:tr2bl w:val="nil"/>
            </w:tcBorders>
            <w:vAlign w:val="center"/>
          </w:tcPr>
          <w:p w14:paraId="3467297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依托工程</w:t>
            </w:r>
          </w:p>
        </w:tc>
        <w:tc>
          <w:tcPr>
            <w:tcW w:w="588" w:type="pct"/>
            <w:tcBorders>
              <w:tl2br w:val="nil"/>
              <w:tr2bl w:val="nil"/>
            </w:tcBorders>
            <w:vAlign w:val="center"/>
          </w:tcPr>
          <w:p w14:paraId="71C9822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华能光伏起点升压站</w:t>
            </w:r>
          </w:p>
        </w:tc>
        <w:tc>
          <w:tcPr>
            <w:tcW w:w="3975" w:type="pct"/>
            <w:tcBorders>
              <w:tl2br w:val="nil"/>
              <w:tr2bl w:val="nil"/>
            </w:tcBorders>
            <w:vAlign w:val="center"/>
          </w:tcPr>
          <w:p w14:paraId="1D6D2910">
            <w:pPr>
              <w:keepNext w:val="0"/>
              <w:keepLines w:val="0"/>
              <w:pageBreakBefore w:val="0"/>
              <w:kinsoku/>
              <w:wordWrap/>
              <w:overflowPunct/>
              <w:topLinePunct w:val="0"/>
              <w:autoSpaceDE w:val="0"/>
              <w:autoSpaceDN w:val="0"/>
              <w:bidi w:val="0"/>
              <w:snapToGrid w:val="0"/>
              <w:spacing w:line="240" w:lineRule="auto"/>
              <w:ind w:left="0" w:firstLine="0" w:firstLineChars="0"/>
              <w:jc w:val="left"/>
              <w:textAlignment w:val="auto"/>
              <w:rPr>
                <w:rFonts w:ascii="Times New Roman"/>
                <w:color w:val="auto"/>
                <w:kern w:val="0"/>
                <w:sz w:val="21"/>
                <w:szCs w:val="21"/>
              </w:rPr>
            </w:pPr>
            <w:r>
              <w:rPr>
                <w:rFonts w:hint="eastAsia" w:ascii="Times New Roman"/>
                <w:color w:val="auto"/>
                <w:kern w:val="0"/>
                <w:sz w:val="21"/>
                <w:szCs w:val="21"/>
              </w:rPr>
              <w:t>该站为建设单位建设，为220kV升压站。其设计：建设1台</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00MVA主变，电压等级为220/35kV。220kV出线1回，为架空出线；35kV规划出线</w:t>
            </w:r>
            <w:r>
              <w:rPr>
                <w:rFonts w:hint="eastAsia" w:ascii="Times New Roman" w:eastAsia="宋体"/>
                <w:color w:val="auto"/>
                <w:kern w:val="0"/>
                <w:sz w:val="21"/>
                <w:szCs w:val="21"/>
                <w:lang w:val="en-US" w:eastAsia="zh-CN"/>
              </w:rPr>
              <w:t>10</w:t>
            </w:r>
            <w:r>
              <w:rPr>
                <w:rFonts w:hint="eastAsia" w:ascii="Times New Roman"/>
                <w:color w:val="auto"/>
                <w:kern w:val="0"/>
                <w:sz w:val="21"/>
                <w:szCs w:val="21"/>
              </w:rPr>
              <w:t>回为电缆出线。</w:t>
            </w:r>
          </w:p>
          <w:p w14:paraId="4F794ADA">
            <w:pPr>
              <w:keepNext w:val="0"/>
              <w:keepLines w:val="0"/>
              <w:pageBreakBefore w:val="0"/>
              <w:kinsoku/>
              <w:wordWrap/>
              <w:overflowPunct/>
              <w:topLinePunct w:val="0"/>
              <w:autoSpaceDE w:val="0"/>
              <w:autoSpaceDN w:val="0"/>
              <w:bidi w:val="0"/>
              <w:snapToGrid w:val="0"/>
              <w:spacing w:line="240" w:lineRule="auto"/>
              <w:ind w:left="0" w:firstLine="0" w:firstLineChars="0"/>
              <w:jc w:val="left"/>
              <w:textAlignment w:val="auto"/>
              <w:rPr>
                <w:rFonts w:ascii="Times New Roman"/>
                <w:color w:val="auto"/>
                <w:sz w:val="21"/>
                <w:szCs w:val="24"/>
              </w:rPr>
            </w:pPr>
            <w:r>
              <w:rPr>
                <w:rFonts w:hint="eastAsia" w:ascii="Times New Roman"/>
                <w:color w:val="auto"/>
                <w:kern w:val="0"/>
                <w:sz w:val="21"/>
                <w:szCs w:val="21"/>
              </w:rPr>
              <w:t>其建设项目《</w:t>
            </w:r>
            <w:r>
              <w:rPr>
                <w:rFonts w:hint="default" w:ascii="Times New Roman" w:hAnsi="Times New Roman" w:eastAsia="宋体" w:cs="Times New Roman"/>
                <w:color w:val="auto"/>
                <w:kern w:val="2"/>
                <w:sz w:val="21"/>
                <w:szCs w:val="21"/>
                <w:highlight w:val="none"/>
              </w:rPr>
              <w:t>华能围场风光储氢热一体化项目(光伏200MW)</w:t>
            </w:r>
            <w:r>
              <w:rPr>
                <w:rFonts w:hint="eastAsia" w:ascii="Times New Roman"/>
                <w:color w:val="auto"/>
                <w:kern w:val="0"/>
                <w:sz w:val="21"/>
                <w:szCs w:val="21"/>
              </w:rPr>
              <w:t>220kV升压站工程环境影响报告表》</w:t>
            </w:r>
            <w:r>
              <w:rPr>
                <w:rFonts w:hint="eastAsia" w:ascii="Times New Roman" w:eastAsia="宋体"/>
                <w:color w:val="auto"/>
                <w:kern w:val="0"/>
                <w:sz w:val="21"/>
                <w:szCs w:val="21"/>
                <w:lang w:eastAsia="zh-CN"/>
              </w:rPr>
              <w:t>已委托编制</w:t>
            </w:r>
            <w:r>
              <w:rPr>
                <w:rFonts w:hint="eastAsia" w:ascii="Times New Roman"/>
                <w:color w:val="auto"/>
                <w:kern w:val="0"/>
                <w:sz w:val="21"/>
                <w:szCs w:val="21"/>
              </w:rPr>
              <w:t>。</w:t>
            </w:r>
          </w:p>
        </w:tc>
      </w:tr>
      <w:tr w14:paraId="17657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continue"/>
            <w:tcBorders>
              <w:tl2br w:val="nil"/>
              <w:tr2bl w:val="nil"/>
            </w:tcBorders>
            <w:vAlign w:val="center"/>
          </w:tcPr>
          <w:p w14:paraId="06FD5F3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4E4DD7C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snapToGrid w:val="0"/>
                <w:color w:val="auto"/>
                <w:kern w:val="0"/>
                <w:sz w:val="21"/>
                <w:szCs w:val="21"/>
              </w:rPr>
              <w:t>华能风电终点升压站</w:t>
            </w:r>
          </w:p>
        </w:tc>
        <w:tc>
          <w:tcPr>
            <w:tcW w:w="3975" w:type="pct"/>
            <w:tcBorders>
              <w:tl2br w:val="nil"/>
              <w:tr2bl w:val="nil"/>
            </w:tcBorders>
            <w:vAlign w:val="center"/>
          </w:tcPr>
          <w:p w14:paraId="1035FB6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1"/>
              </w:rPr>
            </w:pPr>
            <w:r>
              <w:rPr>
                <w:rFonts w:hint="eastAsia" w:ascii="Times New Roman"/>
                <w:color w:val="auto"/>
                <w:sz w:val="21"/>
                <w:szCs w:val="21"/>
              </w:rPr>
              <w:t>该站为建设单位建设，为220kV升压站。其设计：建设1台</w:t>
            </w:r>
            <w:r>
              <w:rPr>
                <w:rFonts w:ascii="Times New Roman"/>
                <w:color w:val="auto"/>
                <w:sz w:val="21"/>
                <w:szCs w:val="21"/>
              </w:rPr>
              <w:t>2</w:t>
            </w:r>
            <w:r>
              <w:rPr>
                <w:rFonts w:hint="eastAsia" w:ascii="Times New Roman"/>
                <w:color w:val="auto"/>
                <w:sz w:val="21"/>
                <w:szCs w:val="21"/>
              </w:rPr>
              <w:t>00MVA主变，电压等级为220/35kV。220kV出线</w:t>
            </w:r>
            <w:r>
              <w:rPr>
                <w:rFonts w:ascii="Times New Roman"/>
                <w:color w:val="auto"/>
                <w:sz w:val="21"/>
                <w:szCs w:val="21"/>
              </w:rPr>
              <w:t>4</w:t>
            </w:r>
            <w:r>
              <w:rPr>
                <w:rFonts w:hint="eastAsia" w:ascii="Times New Roman"/>
                <w:color w:val="auto"/>
                <w:sz w:val="21"/>
                <w:szCs w:val="21"/>
              </w:rPr>
              <w:t>回，为架空出线。本项目接入该变电站</w:t>
            </w:r>
            <w:r>
              <w:rPr>
                <w:rFonts w:hint="eastAsia" w:ascii="Times New Roman" w:eastAsia="宋体"/>
                <w:color w:val="auto"/>
                <w:sz w:val="21"/>
                <w:szCs w:val="21"/>
                <w:lang w:eastAsia="zh-CN"/>
              </w:rPr>
              <w:t>南</w:t>
            </w:r>
            <w:r>
              <w:rPr>
                <w:rFonts w:hint="eastAsia" w:ascii="Times New Roman"/>
                <w:color w:val="auto"/>
                <w:sz w:val="21"/>
                <w:szCs w:val="21"/>
              </w:rPr>
              <w:t>侧220kV架构自</w:t>
            </w:r>
            <w:r>
              <w:rPr>
                <w:rFonts w:hint="eastAsia" w:ascii="Times New Roman" w:eastAsia="宋体"/>
                <w:color w:val="auto"/>
                <w:sz w:val="21"/>
                <w:szCs w:val="21"/>
                <w:lang w:eastAsia="zh-CN"/>
              </w:rPr>
              <w:t>西</w:t>
            </w:r>
            <w:r>
              <w:rPr>
                <w:rFonts w:hint="eastAsia" w:ascii="Times New Roman"/>
                <w:color w:val="auto"/>
                <w:sz w:val="21"/>
                <w:szCs w:val="21"/>
              </w:rPr>
              <w:t>向</w:t>
            </w:r>
            <w:r>
              <w:rPr>
                <w:rFonts w:hint="eastAsia" w:ascii="Times New Roman" w:eastAsia="宋体"/>
                <w:color w:val="auto"/>
                <w:sz w:val="21"/>
                <w:szCs w:val="21"/>
                <w:lang w:eastAsia="zh-CN"/>
              </w:rPr>
              <w:t>东</w:t>
            </w:r>
            <w:r>
              <w:rPr>
                <w:rFonts w:hint="eastAsia" w:ascii="Times New Roman"/>
                <w:color w:val="auto"/>
                <w:sz w:val="21"/>
                <w:szCs w:val="21"/>
              </w:rPr>
              <w:t>第</w:t>
            </w:r>
            <w:r>
              <w:rPr>
                <w:rFonts w:hint="eastAsia" w:ascii="Times New Roman" w:eastAsia="宋体"/>
                <w:color w:val="auto"/>
                <w:sz w:val="21"/>
                <w:szCs w:val="21"/>
                <w:lang w:val="en-US" w:eastAsia="zh-CN"/>
              </w:rPr>
              <w:t>2</w:t>
            </w:r>
            <w:r>
              <w:rPr>
                <w:rFonts w:hint="eastAsia" w:ascii="Times New Roman"/>
                <w:color w:val="auto"/>
                <w:sz w:val="21"/>
                <w:szCs w:val="21"/>
              </w:rPr>
              <w:t>出线间隔。目前项目正在建设。该升压站辐射环境影响评价与本项目环评审批同期进行。</w:t>
            </w:r>
          </w:p>
        </w:tc>
      </w:tr>
      <w:tr w14:paraId="7CE77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1024" w:type="pct"/>
            <w:gridSpan w:val="2"/>
            <w:tcBorders>
              <w:tl2br w:val="nil"/>
              <w:tr2bl w:val="nil"/>
            </w:tcBorders>
            <w:vAlign w:val="center"/>
          </w:tcPr>
          <w:p w14:paraId="58B02DF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eastAsia="宋体"/>
                <w:snapToGrid w:val="0"/>
                <w:color w:val="auto"/>
                <w:kern w:val="0"/>
                <w:sz w:val="21"/>
                <w:szCs w:val="21"/>
                <w:lang w:eastAsia="zh-CN"/>
              </w:rPr>
            </w:pPr>
            <w:r>
              <w:rPr>
                <w:rFonts w:hint="eastAsia" w:ascii="Times New Roman" w:eastAsia="宋体"/>
                <w:snapToGrid w:val="0"/>
                <w:color w:val="auto"/>
                <w:kern w:val="0"/>
                <w:sz w:val="21"/>
                <w:szCs w:val="21"/>
                <w:lang w:eastAsia="zh-CN"/>
              </w:rPr>
              <w:t>施工进度</w:t>
            </w:r>
          </w:p>
        </w:tc>
        <w:tc>
          <w:tcPr>
            <w:tcW w:w="3975" w:type="pct"/>
            <w:tcBorders>
              <w:tl2br w:val="nil"/>
              <w:tr2bl w:val="nil"/>
            </w:tcBorders>
            <w:vAlign w:val="center"/>
          </w:tcPr>
          <w:p w14:paraId="5AC0168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hint="default" w:ascii="Times New Roman" w:eastAsia="宋体"/>
                <w:color w:val="auto"/>
                <w:sz w:val="21"/>
                <w:szCs w:val="21"/>
                <w:lang w:val="en-US" w:eastAsia="zh-CN"/>
              </w:rPr>
            </w:pPr>
            <w:r>
              <w:rPr>
                <w:rFonts w:hint="eastAsia" w:ascii="Times New Roman" w:eastAsia="宋体"/>
                <w:color w:val="auto"/>
                <w:sz w:val="21"/>
                <w:szCs w:val="21"/>
                <w:lang w:eastAsia="zh-CN"/>
              </w:rPr>
              <w:t>项目塔基塔身已施工完成，导线未架设完成，计划</w:t>
            </w:r>
            <w:r>
              <w:rPr>
                <w:rFonts w:hint="eastAsia" w:ascii="Times New Roman" w:eastAsia="宋体"/>
                <w:color w:val="auto"/>
                <w:sz w:val="21"/>
                <w:szCs w:val="21"/>
                <w:lang w:val="en-US" w:eastAsia="zh-CN"/>
              </w:rPr>
              <w:t>2024年12月导线架设完成，2025年6月之前完成生态恢复工作。</w:t>
            </w:r>
          </w:p>
        </w:tc>
      </w:tr>
    </w:tbl>
    <w:p w14:paraId="7E703888">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（5）沿线环境状况</w:t>
      </w:r>
    </w:p>
    <w:p w14:paraId="1F0C2FC8">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220kV线路工程全线位于</w:t>
      </w:r>
      <w:r>
        <w:rPr>
          <w:rFonts w:hint="eastAsia" w:ascii="Times New Roman" w:hAnsi="Times New Roman" w:eastAsia="宋体" w:cs="Times New Roman"/>
          <w:bCs/>
          <w:color w:val="auto"/>
          <w:sz w:val="24"/>
          <w:szCs w:val="24"/>
          <w:highlight w:val="none"/>
        </w:rPr>
        <w:t>承德市</w:t>
      </w:r>
      <w:r>
        <w:rPr>
          <w:rFonts w:ascii="Times New Roman" w:hAnsi="Times New Roman" w:eastAsia="宋体" w:cs="Times New Roman"/>
          <w:bCs/>
          <w:color w:val="auto"/>
          <w:sz w:val="24"/>
          <w:szCs w:val="24"/>
          <w:highlight w:val="none"/>
        </w:rPr>
        <w:t>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ascii="Times New Roman" w:hAnsi="Times New Roman" w:eastAsia="宋体" w:cs="Times New Roman"/>
          <w:bCs/>
          <w:color w:val="auto"/>
          <w:sz w:val="24"/>
          <w:szCs w:val="24"/>
          <w:highlight w:val="none"/>
        </w:rPr>
        <w:t>，线路沿线地势起伏及高差变化较大，多为山区林地，部分为耕地。本项目路径图见附图2，周边关系图见附图3。</w:t>
      </w:r>
    </w:p>
    <w:p w14:paraId="40D24071">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（6）线路路径</w:t>
      </w:r>
    </w:p>
    <w:p w14:paraId="4C881DA3">
      <w:pPr>
        <w:pStyle w:val="23"/>
        <w:spacing w:line="480" w:lineRule="exact"/>
        <w:ind w:firstLine="480" w:firstLineChars="200"/>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自华能围场光伏220kV升压站架构出线后，向东南方向走线到达J3（</w:t>
      </w:r>
      <w:r>
        <w:rPr>
          <w:rFonts w:hint="eastAsia" w:ascii="Times New Roman" w:hAnsi="Times New Roman" w:eastAsia="宋体" w:cs="Times New Roman"/>
          <w:bCs/>
          <w:color w:val="auto"/>
          <w:sz w:val="24"/>
          <w:szCs w:val="24"/>
          <w:highlight w:val="none"/>
          <w:lang w:val="en-US" w:eastAsia="zh-CN"/>
        </w:rPr>
        <w:t>4号塔</w:t>
      </w:r>
      <w:r>
        <w:rPr>
          <w:rFonts w:hint="default" w:ascii="Times New Roman" w:hAnsi="Times New Roman" w:eastAsia="宋体" w:cs="Times New Roman"/>
          <w:bCs/>
          <w:color w:val="auto"/>
          <w:sz w:val="24"/>
          <w:szCs w:val="24"/>
          <w:highlight w:val="none"/>
        </w:rPr>
        <w:t>进入河北滦河上游国家级自然保护区实验区），至二道岔北山附近后左转向东偏北方向到达J5，右转向东南方向到达大台子北侧J8，之后送出线路架空穿越220kV点祥线到达J10，右转后线路呈东南方向到达三号沟东侧J13（出河北滦河上游国家级自然保护区实验区</w:t>
      </w:r>
      <w:r>
        <w:rPr>
          <w:rFonts w:hint="eastAsia" w:ascii="Times New Roman" w:hAnsi="Times New Roman" w:eastAsia="宋体" w:cs="Times New Roman"/>
          <w:bCs/>
          <w:color w:val="auto"/>
          <w:sz w:val="24"/>
          <w:szCs w:val="24"/>
          <w:highlight w:val="none"/>
          <w:lang w:eastAsia="zh-CN"/>
        </w:rPr>
        <w:t>，保护区内最后一基塔为</w:t>
      </w:r>
      <w:r>
        <w:rPr>
          <w:rFonts w:hint="eastAsia" w:ascii="Times New Roman" w:hAnsi="Times New Roman" w:eastAsia="宋体" w:cs="Times New Roman"/>
          <w:bCs/>
          <w:color w:val="auto"/>
          <w:sz w:val="24"/>
          <w:szCs w:val="24"/>
          <w:highlight w:val="none"/>
          <w:lang w:val="en-US" w:eastAsia="zh-CN"/>
        </w:rPr>
        <w:t>26号塔</w:t>
      </w:r>
      <w:r>
        <w:rPr>
          <w:rFonts w:hint="default" w:ascii="Times New Roman" w:hAnsi="Times New Roman" w:eastAsia="宋体" w:cs="Times New Roman"/>
          <w:bCs/>
          <w:color w:val="auto"/>
          <w:sz w:val="24"/>
          <w:szCs w:val="24"/>
          <w:highlight w:val="none"/>
        </w:rPr>
        <w:t>），继续向东南</w:t>
      </w:r>
      <w:r>
        <w:rPr>
          <w:rFonts w:hint="eastAsia" w:ascii="Times New Roman" w:hAnsi="Times New Roman" w:eastAsia="宋体" w:cs="Times New Roman"/>
          <w:bCs/>
          <w:color w:val="auto"/>
          <w:sz w:val="24"/>
          <w:szCs w:val="24"/>
          <w:highlight w:val="none"/>
          <w:lang w:eastAsia="zh-CN"/>
        </w:rPr>
        <w:t>至</w:t>
      </w:r>
      <w:r>
        <w:rPr>
          <w:rFonts w:hint="default" w:ascii="Times New Roman" w:hAnsi="Times New Roman" w:eastAsia="宋体" w:cs="Times New Roman"/>
          <w:bCs/>
          <w:color w:val="auto"/>
          <w:sz w:val="24"/>
          <w:szCs w:val="24"/>
          <w:highlight w:val="none"/>
        </w:rPr>
        <w:t>哈啦吗嘎沟西侧J14，右转跨越35kV牌后线和35kV牌老线后到达J15，左转向东南方向至J16，再左转跨越35kV牌老线后向东北方向架设至华能200兆瓦风电升压站西侧，建设一座双回路终端塔，</w:t>
      </w:r>
      <w:r>
        <w:rPr>
          <w:rFonts w:hint="default" w:ascii="Times New Roman" w:hAnsi="Times New Roman" w:eastAsia="宋体" w:cs="Times New Roman"/>
          <w:bCs/>
          <w:color w:val="auto"/>
          <w:sz w:val="24"/>
          <w:szCs w:val="24"/>
          <w:highlight w:val="none"/>
          <w:lang w:eastAsia="zh-CN"/>
        </w:rPr>
        <w:t>单侧挂线</w:t>
      </w:r>
      <w:r>
        <w:rPr>
          <w:rFonts w:hint="default" w:ascii="Times New Roman" w:hAnsi="Times New Roman" w:eastAsia="宋体" w:cs="Times New Roman"/>
          <w:bCs/>
          <w:color w:val="auto"/>
          <w:sz w:val="24"/>
          <w:szCs w:val="24"/>
          <w:highlight w:val="none"/>
        </w:rPr>
        <w:t>至风电进线架构。</w:t>
      </w:r>
    </w:p>
    <w:p w14:paraId="1B212E62">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（7）线路交叉跨越情况及塔型选型</w:t>
      </w:r>
    </w:p>
    <w:p w14:paraId="06BF7AB7">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本项目线路整体走向为</w:t>
      </w:r>
      <w:r>
        <w:rPr>
          <w:rFonts w:hint="eastAsia" w:ascii="Times New Roman" w:hAnsi="Times New Roman" w:eastAsia="宋体" w:cs="Times New Roman"/>
          <w:bCs/>
          <w:color w:val="auto"/>
          <w:sz w:val="24"/>
          <w:szCs w:val="24"/>
          <w:highlight w:val="none"/>
        </w:rPr>
        <w:t>自西向东</w:t>
      </w:r>
      <w:r>
        <w:rPr>
          <w:rFonts w:ascii="Times New Roman" w:hAnsi="Times New Roman" w:eastAsia="宋体" w:cs="Times New Roman"/>
          <w:bCs/>
          <w:color w:val="auto"/>
          <w:sz w:val="24"/>
          <w:szCs w:val="24"/>
          <w:highlight w:val="none"/>
        </w:rPr>
        <w:t>。主要交叉钻跨越情况见表</w:t>
      </w:r>
      <w:r>
        <w:rPr>
          <w:rFonts w:hint="eastAsia" w:ascii="Times New Roman" w:hAnsi="Times New Roman" w:eastAsia="宋体" w:cs="Times New Roman"/>
          <w:bCs/>
          <w:color w:val="auto"/>
          <w:sz w:val="24"/>
          <w:szCs w:val="24"/>
          <w:highlight w:val="none"/>
        </w:rPr>
        <w:t>3</w:t>
      </w:r>
      <w:r>
        <w:rPr>
          <w:rFonts w:ascii="Times New Roman" w:hAnsi="Times New Roman" w:eastAsia="宋体" w:cs="Times New Roman"/>
          <w:bCs/>
          <w:color w:val="auto"/>
          <w:sz w:val="24"/>
          <w:szCs w:val="24"/>
          <w:highlight w:val="none"/>
        </w:rPr>
        <w:t>-2。</w:t>
      </w:r>
    </w:p>
    <w:p w14:paraId="1A73C1C0">
      <w:pPr>
        <w:autoSpaceDE w:val="0"/>
        <w:autoSpaceDN w:val="0"/>
        <w:spacing w:line="240" w:lineRule="auto"/>
        <w:ind w:firstLine="422"/>
        <w:jc w:val="center"/>
        <w:rPr>
          <w:rFonts w:eastAsia="宋体" w:cs="Times New Roman"/>
          <w:b/>
          <w:bCs/>
          <w:color w:val="auto"/>
          <w:sz w:val="21"/>
          <w:szCs w:val="21"/>
          <w:highlight w:val="none"/>
        </w:rPr>
      </w:pPr>
      <w:r>
        <w:rPr>
          <w:rFonts w:eastAsia="宋体" w:cs="Times New Roman"/>
          <w:b/>
          <w:bCs/>
          <w:color w:val="auto"/>
          <w:sz w:val="21"/>
          <w:szCs w:val="21"/>
          <w:highlight w:val="none"/>
        </w:rPr>
        <w:t>表</w:t>
      </w:r>
      <w:r>
        <w:rPr>
          <w:rFonts w:hint="eastAsia" w:eastAsia="宋体" w:cs="Times New Roman"/>
          <w:b/>
          <w:bCs/>
          <w:color w:val="auto"/>
          <w:sz w:val="21"/>
          <w:szCs w:val="21"/>
          <w:highlight w:val="none"/>
        </w:rPr>
        <w:t>3</w:t>
      </w:r>
      <w:r>
        <w:rPr>
          <w:rFonts w:eastAsia="宋体" w:cs="Times New Roman"/>
          <w:b/>
          <w:bCs/>
          <w:color w:val="auto"/>
          <w:sz w:val="21"/>
          <w:szCs w:val="21"/>
          <w:highlight w:val="none"/>
        </w:rPr>
        <w:t>-2　本项目主要交叉钻跨越情况一览表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974"/>
        <w:gridCol w:w="899"/>
        <w:gridCol w:w="4374"/>
      </w:tblGrid>
      <w:tr w14:paraId="31F7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2829930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线路名称</w:t>
            </w:r>
          </w:p>
        </w:tc>
        <w:tc>
          <w:tcPr>
            <w:tcW w:w="557" w:type="pct"/>
            <w:vAlign w:val="center"/>
          </w:tcPr>
          <w:p w14:paraId="43C6927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单位</w:t>
            </w:r>
          </w:p>
        </w:tc>
        <w:tc>
          <w:tcPr>
            <w:tcW w:w="514" w:type="pct"/>
            <w:vAlign w:val="center"/>
          </w:tcPr>
          <w:p w14:paraId="7D1F021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数量</w:t>
            </w:r>
          </w:p>
        </w:tc>
        <w:tc>
          <w:tcPr>
            <w:tcW w:w="2500" w:type="pct"/>
            <w:vAlign w:val="center"/>
          </w:tcPr>
          <w:p w14:paraId="6CC5FD9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措施</w:t>
            </w:r>
          </w:p>
        </w:tc>
      </w:tr>
      <w:tr w14:paraId="0982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0D8C9CB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220kV</w:t>
            </w:r>
            <w:r>
              <w:rPr>
                <w:rFonts w:hint="eastAsia" w:cs="Times New Roman"/>
                <w:color w:val="auto"/>
                <w:sz w:val="21"/>
                <w:szCs w:val="21"/>
                <w:highlight w:val="none"/>
              </w:rPr>
              <w:t>点祥</w:t>
            </w:r>
            <w:r>
              <w:rPr>
                <w:rFonts w:cs="Times New Roman"/>
                <w:color w:val="auto"/>
                <w:sz w:val="21"/>
                <w:szCs w:val="21"/>
                <w:highlight w:val="none"/>
              </w:rPr>
              <w:t>线路</w:t>
            </w:r>
          </w:p>
        </w:tc>
        <w:tc>
          <w:tcPr>
            <w:tcW w:w="557" w:type="pct"/>
            <w:vAlign w:val="center"/>
          </w:tcPr>
          <w:p w14:paraId="2E41DC1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次</w:t>
            </w:r>
          </w:p>
        </w:tc>
        <w:tc>
          <w:tcPr>
            <w:tcW w:w="514" w:type="pct"/>
            <w:vAlign w:val="center"/>
          </w:tcPr>
          <w:p w14:paraId="1143272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2500" w:type="pct"/>
            <w:vAlign w:val="center"/>
          </w:tcPr>
          <w:p w14:paraId="7CE4C55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钻</w:t>
            </w:r>
            <w:r>
              <w:rPr>
                <w:rFonts w:cs="Times New Roman"/>
                <w:color w:val="auto"/>
                <w:sz w:val="21"/>
                <w:szCs w:val="21"/>
                <w:highlight w:val="none"/>
              </w:rPr>
              <w:t>越</w:t>
            </w:r>
          </w:p>
        </w:tc>
      </w:tr>
      <w:tr w14:paraId="4814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2F37BA0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35kV线路</w:t>
            </w:r>
          </w:p>
        </w:tc>
        <w:tc>
          <w:tcPr>
            <w:tcW w:w="557" w:type="pct"/>
            <w:vAlign w:val="center"/>
          </w:tcPr>
          <w:p w14:paraId="5D42043F">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67ACB26D">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hint="eastAsia" w:cs="Times New Roman"/>
                <w:color w:val="auto"/>
                <w:sz w:val="21"/>
                <w:szCs w:val="21"/>
                <w:highlight w:val="none"/>
              </w:rPr>
              <w:t>3</w:t>
            </w:r>
          </w:p>
        </w:tc>
        <w:tc>
          <w:tcPr>
            <w:tcW w:w="2500" w:type="pct"/>
            <w:vAlign w:val="center"/>
          </w:tcPr>
          <w:p w14:paraId="795C478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架空跨越</w:t>
            </w:r>
            <w:r>
              <w:rPr>
                <w:rFonts w:hint="eastAsia" w:cs="Times New Roman"/>
                <w:color w:val="auto"/>
                <w:sz w:val="21"/>
                <w:szCs w:val="21"/>
                <w:highlight w:val="none"/>
              </w:rPr>
              <w:t>，35kV牌老线2次，35kV牌后线1次</w:t>
            </w:r>
          </w:p>
        </w:tc>
      </w:tr>
      <w:tr w14:paraId="1CE7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07F65F3B">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10kV线路</w:t>
            </w:r>
          </w:p>
        </w:tc>
        <w:tc>
          <w:tcPr>
            <w:tcW w:w="557" w:type="pct"/>
            <w:vAlign w:val="center"/>
          </w:tcPr>
          <w:p w14:paraId="6F12677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次</w:t>
            </w:r>
          </w:p>
        </w:tc>
        <w:tc>
          <w:tcPr>
            <w:tcW w:w="514" w:type="pct"/>
            <w:vAlign w:val="center"/>
          </w:tcPr>
          <w:p w14:paraId="14C5FF0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w:t>
            </w:r>
          </w:p>
        </w:tc>
        <w:tc>
          <w:tcPr>
            <w:tcW w:w="2500" w:type="pct"/>
            <w:vAlign w:val="center"/>
          </w:tcPr>
          <w:p w14:paraId="79ABB58D">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架空跨越</w:t>
            </w:r>
          </w:p>
        </w:tc>
      </w:tr>
      <w:tr w14:paraId="56C2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3BA5771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380V线路</w:t>
            </w:r>
          </w:p>
        </w:tc>
        <w:tc>
          <w:tcPr>
            <w:tcW w:w="557" w:type="pct"/>
            <w:vAlign w:val="center"/>
          </w:tcPr>
          <w:p w14:paraId="0E1F5B9E">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3593AF59">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10</w:t>
            </w:r>
          </w:p>
        </w:tc>
        <w:tc>
          <w:tcPr>
            <w:tcW w:w="2500" w:type="pct"/>
            <w:vAlign w:val="center"/>
          </w:tcPr>
          <w:p w14:paraId="3F8C4032">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296F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648ABE2F">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通讯线</w:t>
            </w:r>
          </w:p>
        </w:tc>
        <w:tc>
          <w:tcPr>
            <w:tcW w:w="557" w:type="pct"/>
            <w:vAlign w:val="center"/>
          </w:tcPr>
          <w:p w14:paraId="76DBCA4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次</w:t>
            </w:r>
          </w:p>
        </w:tc>
        <w:tc>
          <w:tcPr>
            <w:tcW w:w="514" w:type="pct"/>
            <w:vAlign w:val="center"/>
          </w:tcPr>
          <w:p w14:paraId="00B86E8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15</w:t>
            </w:r>
          </w:p>
        </w:tc>
        <w:tc>
          <w:tcPr>
            <w:tcW w:w="2500" w:type="pct"/>
            <w:vAlign w:val="center"/>
          </w:tcPr>
          <w:p w14:paraId="0C66A0B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w:t>
            </w:r>
            <w:r>
              <w:rPr>
                <w:rFonts w:hint="eastAsia" w:cs="Times New Roman"/>
                <w:color w:val="auto"/>
                <w:sz w:val="21"/>
                <w:szCs w:val="21"/>
                <w:highlight w:val="none"/>
              </w:rPr>
              <w:t>跨越</w:t>
            </w:r>
          </w:p>
        </w:tc>
      </w:tr>
      <w:tr w14:paraId="73CE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6F40AF3F">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土路</w:t>
            </w:r>
          </w:p>
        </w:tc>
        <w:tc>
          <w:tcPr>
            <w:tcW w:w="557" w:type="pct"/>
            <w:vAlign w:val="center"/>
          </w:tcPr>
          <w:p w14:paraId="2D5E0F5D">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6D6053E2">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10</w:t>
            </w:r>
          </w:p>
        </w:tc>
        <w:tc>
          <w:tcPr>
            <w:tcW w:w="2500" w:type="pct"/>
            <w:vAlign w:val="center"/>
          </w:tcPr>
          <w:p w14:paraId="3DD3885F">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5BA7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4A4389F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普通公路</w:t>
            </w:r>
          </w:p>
        </w:tc>
        <w:tc>
          <w:tcPr>
            <w:tcW w:w="557" w:type="pct"/>
            <w:vAlign w:val="center"/>
          </w:tcPr>
          <w:p w14:paraId="6FEA72C9">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446D0C5A">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hint="eastAsia" w:cs="Times New Roman"/>
                <w:color w:val="auto"/>
                <w:sz w:val="21"/>
                <w:szCs w:val="21"/>
                <w:highlight w:val="none"/>
              </w:rPr>
              <w:t>5</w:t>
            </w:r>
          </w:p>
        </w:tc>
        <w:tc>
          <w:tcPr>
            <w:tcW w:w="2500" w:type="pct"/>
            <w:vAlign w:val="center"/>
          </w:tcPr>
          <w:p w14:paraId="461B103A">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1843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0E5E42D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林中立塔</w:t>
            </w:r>
          </w:p>
        </w:tc>
        <w:tc>
          <w:tcPr>
            <w:tcW w:w="557" w:type="pct"/>
            <w:vAlign w:val="center"/>
          </w:tcPr>
          <w:p w14:paraId="322B59C2">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基</w:t>
            </w:r>
          </w:p>
        </w:tc>
        <w:tc>
          <w:tcPr>
            <w:tcW w:w="514" w:type="pct"/>
            <w:vAlign w:val="center"/>
          </w:tcPr>
          <w:p w14:paraId="442DA3EC">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45</w:t>
            </w:r>
          </w:p>
        </w:tc>
        <w:tc>
          <w:tcPr>
            <w:tcW w:w="2500" w:type="pct"/>
            <w:vAlign w:val="center"/>
          </w:tcPr>
          <w:p w14:paraId="6FEB4E7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砍伐</w:t>
            </w:r>
          </w:p>
        </w:tc>
      </w:tr>
    </w:tbl>
    <w:p w14:paraId="6B6054F4">
      <w:pPr>
        <w:adjustRightInd w:val="0"/>
        <w:snapToGrid w:val="0"/>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本工程</w:t>
      </w:r>
      <w:r>
        <w:rPr>
          <w:rFonts w:hint="eastAsia" w:ascii="Times New Roman" w:hAnsi="Times New Roman" w:eastAsia="宋体" w:cs="Times New Roman"/>
          <w:snapToGrid w:val="0"/>
          <w:color w:val="auto"/>
          <w:kern w:val="2"/>
          <w:sz w:val="24"/>
          <w:szCs w:val="24"/>
          <w:highlight w:val="none"/>
        </w:rPr>
        <w:t>全线为非居民</w:t>
      </w:r>
      <w:r>
        <w:rPr>
          <w:rFonts w:hint="eastAsia" w:eastAsia="宋体" w:cs="Times New Roman"/>
          <w:snapToGrid w:val="0"/>
          <w:color w:val="auto"/>
          <w:kern w:val="2"/>
          <w:sz w:val="24"/>
          <w:szCs w:val="24"/>
          <w:highlight w:val="none"/>
          <w:lang w:val="en-US" w:eastAsia="zh-CN"/>
        </w:rPr>
        <w:t>区</w:t>
      </w:r>
      <w:r>
        <w:rPr>
          <w:rFonts w:hint="eastAsia" w:ascii="Times New Roman" w:hAnsi="Times New Roman" w:eastAsia="宋体" w:cs="Times New Roman"/>
          <w:snapToGrid w:val="0"/>
          <w:color w:val="auto"/>
          <w:kern w:val="2"/>
          <w:sz w:val="24"/>
          <w:szCs w:val="24"/>
          <w:highlight w:val="none"/>
        </w:rPr>
        <w:t>，</w:t>
      </w:r>
      <w:r>
        <w:rPr>
          <w:rFonts w:ascii="Times New Roman" w:hAnsi="Times New Roman" w:eastAsia="宋体" w:cs="Times New Roman"/>
          <w:snapToGrid w:val="0"/>
          <w:color w:val="auto"/>
          <w:kern w:val="2"/>
          <w:sz w:val="24"/>
          <w:szCs w:val="24"/>
          <w:highlight w:val="none"/>
        </w:rPr>
        <w:t>依据《</w:t>
      </w:r>
      <w:r>
        <w:rPr>
          <w:rFonts w:hint="eastAsia" w:ascii="Times New Roman" w:hAnsi="Times New Roman" w:eastAsia="宋体" w:cs="Times New Roman"/>
          <w:snapToGrid w:val="0"/>
          <w:color w:val="auto"/>
          <w:kern w:val="2"/>
          <w:sz w:val="24"/>
          <w:szCs w:val="24"/>
          <w:highlight w:val="none"/>
        </w:rPr>
        <w:t>110kV～750kV架空输电线路设计规范</w:t>
      </w:r>
      <w:r>
        <w:rPr>
          <w:rFonts w:ascii="Times New Roman" w:hAnsi="Times New Roman" w:eastAsia="宋体" w:cs="Times New Roman"/>
          <w:snapToGrid w:val="0"/>
          <w:color w:val="auto"/>
          <w:kern w:val="2"/>
          <w:sz w:val="24"/>
          <w:szCs w:val="24"/>
          <w:highlight w:val="none"/>
        </w:rPr>
        <w:t>》</w:t>
      </w:r>
      <w:r>
        <w:rPr>
          <w:rFonts w:hint="eastAsia" w:ascii="Times New Roman" w:hAnsi="Times New Roman" w:eastAsia="宋体" w:cs="Times New Roman"/>
          <w:snapToGrid w:val="0"/>
          <w:color w:val="auto"/>
          <w:kern w:val="2"/>
          <w:sz w:val="24"/>
          <w:szCs w:val="24"/>
          <w:highlight w:val="none"/>
        </w:rPr>
        <w:t>（G</w:t>
      </w:r>
      <w:r>
        <w:rPr>
          <w:rFonts w:ascii="Times New Roman" w:hAnsi="Times New Roman" w:eastAsia="宋体" w:cs="Times New Roman"/>
          <w:snapToGrid w:val="0"/>
          <w:color w:val="auto"/>
          <w:kern w:val="2"/>
          <w:sz w:val="24"/>
          <w:szCs w:val="24"/>
          <w:highlight w:val="none"/>
        </w:rPr>
        <w:t>B50545-2010</w:t>
      </w:r>
      <w:r>
        <w:rPr>
          <w:rFonts w:hint="eastAsia" w:ascii="Times New Roman" w:hAnsi="Times New Roman" w:eastAsia="宋体" w:cs="Times New Roman"/>
          <w:snapToGrid w:val="0"/>
          <w:color w:val="auto"/>
          <w:kern w:val="2"/>
          <w:sz w:val="24"/>
          <w:szCs w:val="24"/>
          <w:highlight w:val="none"/>
        </w:rPr>
        <w:t>）要求</w:t>
      </w:r>
      <w:r>
        <w:rPr>
          <w:rFonts w:hint="eastAsia" w:ascii="Times New Roman" w:hAnsi="Times New Roman" w:eastAsia="宋体" w:cs="Times New Roman"/>
          <w:snapToGrid w:val="0"/>
          <w:color w:val="auto"/>
          <w:kern w:val="2"/>
          <w:sz w:val="24"/>
          <w:szCs w:val="24"/>
          <w:highlight w:val="none"/>
          <w:lang w:eastAsia="zh-CN"/>
        </w:rPr>
        <w:t>和本项目平断面定位图</w:t>
      </w:r>
      <w:r>
        <w:rPr>
          <w:rFonts w:hint="eastAsia" w:ascii="Times New Roman" w:hAnsi="Times New Roman" w:eastAsia="宋体" w:cs="Times New Roman"/>
          <w:snapToGrid w:val="0"/>
          <w:color w:val="auto"/>
          <w:kern w:val="2"/>
          <w:sz w:val="24"/>
          <w:szCs w:val="24"/>
          <w:highlight w:val="none"/>
        </w:rPr>
        <w:t>，导线对地距离</w:t>
      </w:r>
      <w:r>
        <w:rPr>
          <w:rFonts w:ascii="Times New Roman" w:hAnsi="Times New Roman" w:eastAsia="宋体" w:cs="Times New Roman"/>
          <w:snapToGrid w:val="0"/>
          <w:color w:val="auto"/>
          <w:kern w:val="2"/>
          <w:sz w:val="24"/>
          <w:szCs w:val="24"/>
          <w:highlight w:val="none"/>
        </w:rPr>
        <w:t>不小于</w:t>
      </w:r>
      <w:r>
        <w:rPr>
          <w:rFonts w:hint="eastAsia" w:ascii="Times New Roman" w:hAnsi="Times New Roman" w:eastAsia="宋体" w:cs="Times New Roman"/>
          <w:snapToGrid w:val="0"/>
          <w:color w:val="auto"/>
          <w:kern w:val="2"/>
          <w:sz w:val="24"/>
          <w:szCs w:val="24"/>
          <w:highlight w:val="none"/>
        </w:rPr>
        <w:t>下表所列数值。</w:t>
      </w:r>
    </w:p>
    <w:p w14:paraId="26A7E545">
      <w:pPr>
        <w:ind w:firstLine="422" w:firstLineChars="20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3-3</w:t>
      </w:r>
      <w:r>
        <w:rPr>
          <w:rFonts w:hint="eastAsia" w:ascii="Times New Roman" w:hAnsi="Times New Roman" w:eastAsia="宋体" w:cs="Times New Roman"/>
          <w:b/>
          <w:bCs/>
          <w:color w:val="auto"/>
          <w:sz w:val="21"/>
          <w:szCs w:val="21"/>
          <w:highlight w:val="none"/>
        </w:rPr>
        <w:t xml:space="preserve">  导线对地距离</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0"/>
        <w:gridCol w:w="4374"/>
      </w:tblGrid>
      <w:tr w14:paraId="0C67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30B9F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线路所经地区</w:t>
            </w:r>
          </w:p>
        </w:tc>
        <w:tc>
          <w:tcPr>
            <w:tcW w:w="2500" w:type="pct"/>
            <w:vAlign w:val="center"/>
          </w:tcPr>
          <w:p w14:paraId="60275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最小距离（m）</w:t>
            </w:r>
          </w:p>
        </w:tc>
      </w:tr>
      <w:tr w14:paraId="428F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778F6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非居民区</w:t>
            </w:r>
          </w:p>
        </w:tc>
        <w:tc>
          <w:tcPr>
            <w:tcW w:w="2500" w:type="pct"/>
            <w:vAlign w:val="center"/>
          </w:tcPr>
          <w:p w14:paraId="64257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11.35</w:t>
            </w:r>
          </w:p>
        </w:tc>
      </w:tr>
      <w:tr w14:paraId="4821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vAlign w:val="center"/>
          </w:tcPr>
          <w:p w14:paraId="1AAE4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根据平断面定位图可知，导线最小对地垂直距离为11.35m（N1~N2之间）</w:t>
            </w:r>
          </w:p>
        </w:tc>
      </w:tr>
    </w:tbl>
    <w:p w14:paraId="5FCF0A16">
      <w:pPr>
        <w:autoSpaceDE w:val="0"/>
        <w:autoSpaceDN w:val="0"/>
        <w:adjustRightInd w:val="0"/>
        <w:snapToGrid w:val="0"/>
        <w:spacing w:line="360" w:lineRule="auto"/>
        <w:ind w:firstLine="480"/>
        <w:rPr>
          <w:rFonts w:eastAsia="宋体" w:cs="Times New Roman"/>
          <w:snapToGrid w:val="0"/>
          <w:color w:val="auto"/>
          <w:szCs w:val="24"/>
          <w:highlight w:val="none"/>
        </w:rPr>
      </w:pPr>
      <w:r>
        <w:rPr>
          <w:rFonts w:eastAsia="宋体" w:cs="Times New Roman"/>
          <w:snapToGrid w:val="0"/>
          <w:color w:val="auto"/>
          <w:szCs w:val="24"/>
          <w:highlight w:val="none"/>
        </w:rPr>
        <w:t>本线路与被交叉跨越物的距离，按《</w:t>
      </w:r>
      <w:r>
        <w:rPr>
          <w:rFonts w:hint="eastAsia" w:eastAsia="宋体" w:cs="Times New Roman"/>
          <w:snapToGrid w:val="0"/>
          <w:color w:val="auto"/>
          <w:szCs w:val="24"/>
          <w:highlight w:val="none"/>
        </w:rPr>
        <w:t>110kV～750kV架空输电线路设计规范</w:t>
      </w:r>
      <w:r>
        <w:rPr>
          <w:rFonts w:eastAsia="宋体" w:cs="Times New Roman"/>
          <w:snapToGrid w:val="0"/>
          <w:color w:val="auto"/>
          <w:szCs w:val="24"/>
          <w:highlight w:val="none"/>
        </w:rPr>
        <w:t>》</w:t>
      </w:r>
      <w:r>
        <w:rPr>
          <w:rFonts w:hint="eastAsia" w:eastAsia="宋体" w:cs="Times New Roman"/>
          <w:snapToGrid w:val="0"/>
          <w:color w:val="auto"/>
          <w:szCs w:val="24"/>
          <w:highlight w:val="none"/>
        </w:rPr>
        <w:t>（G</w:t>
      </w:r>
      <w:r>
        <w:rPr>
          <w:rFonts w:eastAsia="宋体" w:cs="Times New Roman"/>
          <w:snapToGrid w:val="0"/>
          <w:color w:val="auto"/>
          <w:szCs w:val="24"/>
          <w:highlight w:val="none"/>
        </w:rPr>
        <w:t>B 50545-2010</w:t>
      </w:r>
      <w:r>
        <w:rPr>
          <w:rFonts w:hint="eastAsia" w:eastAsia="宋体" w:cs="Times New Roman"/>
          <w:snapToGrid w:val="0"/>
          <w:color w:val="auto"/>
          <w:szCs w:val="24"/>
          <w:highlight w:val="none"/>
        </w:rPr>
        <w:t>）</w:t>
      </w:r>
      <w:r>
        <w:rPr>
          <w:rFonts w:eastAsia="宋体" w:cs="Times New Roman"/>
          <w:snapToGrid w:val="0"/>
          <w:color w:val="auto"/>
          <w:szCs w:val="24"/>
          <w:highlight w:val="none"/>
        </w:rPr>
        <w:t>应符合下表要求</w:t>
      </w:r>
      <w:r>
        <w:rPr>
          <w:rFonts w:hint="eastAsia" w:eastAsia="宋体" w:cs="Times New Roman"/>
          <w:snapToGrid w:val="0"/>
          <w:color w:val="auto"/>
          <w:szCs w:val="24"/>
          <w:highlight w:val="none"/>
        </w:rPr>
        <w:t>：</w:t>
      </w:r>
    </w:p>
    <w:p w14:paraId="7A25E8AD">
      <w:pPr>
        <w:autoSpaceDE w:val="0"/>
        <w:autoSpaceDN w:val="0"/>
        <w:spacing w:line="240" w:lineRule="auto"/>
        <w:ind w:firstLine="422"/>
        <w:jc w:val="center"/>
        <w:rPr>
          <w:rFonts w:eastAsia="宋体" w:cs="Times New Roman"/>
          <w:b/>
          <w:bCs/>
          <w:color w:val="auto"/>
          <w:sz w:val="21"/>
          <w:szCs w:val="21"/>
          <w:highlight w:val="none"/>
        </w:rPr>
      </w:pPr>
      <w:r>
        <w:rPr>
          <w:rFonts w:hint="eastAsia" w:eastAsia="宋体" w:cs="Times New Roman"/>
          <w:b/>
          <w:bCs/>
          <w:color w:val="auto"/>
          <w:sz w:val="21"/>
          <w:szCs w:val="21"/>
          <w:highlight w:val="none"/>
        </w:rPr>
        <w:t>表3-4  线路与被交叉跨越物的最小垂直距离</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6"/>
        <w:gridCol w:w="4075"/>
      </w:tblGrid>
      <w:tr w14:paraId="61DC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4608F06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被交叉跨越物名称</w:t>
            </w:r>
          </w:p>
        </w:tc>
        <w:tc>
          <w:tcPr>
            <w:tcW w:w="2331" w:type="pct"/>
            <w:vAlign w:val="center"/>
          </w:tcPr>
          <w:p w14:paraId="215A7488">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最小垂直距离（m）</w:t>
            </w:r>
          </w:p>
        </w:tc>
      </w:tr>
      <w:tr w14:paraId="4592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67E7F190">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220kV线路</w:t>
            </w:r>
          </w:p>
        </w:tc>
        <w:tc>
          <w:tcPr>
            <w:tcW w:w="2331" w:type="pct"/>
            <w:vAlign w:val="center"/>
          </w:tcPr>
          <w:p w14:paraId="74CE6D92">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4.5</w:t>
            </w:r>
          </w:p>
        </w:tc>
      </w:tr>
      <w:tr w14:paraId="3B2C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74E8FF94">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其他公路</w:t>
            </w:r>
          </w:p>
        </w:tc>
        <w:tc>
          <w:tcPr>
            <w:tcW w:w="2331" w:type="pct"/>
            <w:vAlign w:val="center"/>
          </w:tcPr>
          <w:p w14:paraId="18571D18">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8.</w:t>
            </w:r>
            <w:r>
              <w:rPr>
                <w:rFonts w:cs="Times New Roman"/>
                <w:color w:val="auto"/>
                <w:sz w:val="21"/>
                <w:szCs w:val="21"/>
                <w:highlight w:val="none"/>
              </w:rPr>
              <w:t>0（至路面）</w:t>
            </w:r>
          </w:p>
        </w:tc>
      </w:tr>
      <w:tr w14:paraId="1DF2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706258B0">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弱电线路</w:t>
            </w:r>
          </w:p>
        </w:tc>
        <w:tc>
          <w:tcPr>
            <w:tcW w:w="2331" w:type="pct"/>
            <w:vAlign w:val="center"/>
          </w:tcPr>
          <w:p w14:paraId="6FC557ED">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4.0</w:t>
            </w:r>
          </w:p>
        </w:tc>
      </w:tr>
      <w:tr w14:paraId="1B01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3D1FA220">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110kV以下</w:t>
            </w:r>
            <w:r>
              <w:rPr>
                <w:rFonts w:cs="Times New Roman"/>
                <w:color w:val="auto"/>
                <w:sz w:val="21"/>
                <w:szCs w:val="21"/>
                <w:highlight w:val="none"/>
              </w:rPr>
              <w:t>电力线路</w:t>
            </w:r>
          </w:p>
        </w:tc>
        <w:tc>
          <w:tcPr>
            <w:tcW w:w="2331" w:type="pct"/>
            <w:vAlign w:val="center"/>
          </w:tcPr>
          <w:p w14:paraId="1EBDBB6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w:t>
            </w:r>
            <w:r>
              <w:rPr>
                <w:rFonts w:cs="Times New Roman"/>
                <w:color w:val="auto"/>
                <w:sz w:val="21"/>
                <w:szCs w:val="21"/>
                <w:highlight w:val="none"/>
              </w:rPr>
              <w:t>0</w:t>
            </w:r>
          </w:p>
        </w:tc>
      </w:tr>
      <w:tr w14:paraId="1BD4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6160245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树木</w:t>
            </w:r>
          </w:p>
        </w:tc>
        <w:tc>
          <w:tcPr>
            <w:tcW w:w="2331" w:type="pct"/>
            <w:vAlign w:val="center"/>
          </w:tcPr>
          <w:p w14:paraId="060BE5D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4.0</w:t>
            </w:r>
          </w:p>
        </w:tc>
      </w:tr>
    </w:tbl>
    <w:p w14:paraId="49FA435E">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新建铁塔总基数</w:t>
      </w:r>
      <w:r>
        <w:rPr>
          <w:rFonts w:hint="eastAsia" w:ascii="Times New Roman" w:hAnsi="Times New Roman" w:eastAsia="宋体" w:cs="Times New Roman"/>
          <w:snapToGrid w:val="0"/>
          <w:color w:val="auto"/>
          <w:kern w:val="2"/>
          <w:sz w:val="24"/>
          <w:szCs w:val="24"/>
          <w:highlight w:val="none"/>
          <w:lang w:val="en-US" w:eastAsia="zh-CN"/>
        </w:rPr>
        <w:t>5</w:t>
      </w:r>
      <w:r>
        <w:rPr>
          <w:rFonts w:ascii="Times New Roman" w:hAnsi="Times New Roman" w:eastAsia="宋体" w:cs="Times New Roman"/>
          <w:snapToGrid w:val="0"/>
          <w:color w:val="auto"/>
          <w:kern w:val="2"/>
          <w:sz w:val="24"/>
          <w:szCs w:val="24"/>
          <w:highlight w:val="none"/>
        </w:rPr>
        <w:t>7基，其中单回路直线塔3</w:t>
      </w:r>
      <w:r>
        <w:rPr>
          <w:rFonts w:hint="eastAsia" w:ascii="Times New Roman" w:hAnsi="Times New Roman" w:eastAsia="宋体" w:cs="Times New Roman"/>
          <w:snapToGrid w:val="0"/>
          <w:color w:val="auto"/>
          <w:kern w:val="2"/>
          <w:sz w:val="24"/>
          <w:szCs w:val="24"/>
          <w:highlight w:val="none"/>
          <w:lang w:val="en-US" w:eastAsia="zh-CN"/>
        </w:rPr>
        <w:t>1</w:t>
      </w:r>
      <w:r>
        <w:rPr>
          <w:rFonts w:ascii="Times New Roman" w:hAnsi="Times New Roman" w:eastAsia="宋体" w:cs="Times New Roman"/>
          <w:snapToGrid w:val="0"/>
          <w:color w:val="auto"/>
          <w:kern w:val="2"/>
          <w:sz w:val="24"/>
          <w:szCs w:val="24"/>
          <w:highlight w:val="none"/>
        </w:rPr>
        <w:t>基、单回路耐张塔</w:t>
      </w:r>
      <w:r>
        <w:rPr>
          <w:rFonts w:hint="eastAsia" w:ascii="Times New Roman" w:hAnsi="Times New Roman" w:eastAsia="宋体" w:cs="Times New Roman"/>
          <w:snapToGrid w:val="0"/>
          <w:color w:val="auto"/>
          <w:kern w:val="2"/>
          <w:sz w:val="24"/>
          <w:szCs w:val="24"/>
          <w:highlight w:val="none"/>
          <w:lang w:val="en-US" w:eastAsia="zh-CN"/>
        </w:rPr>
        <w:t>25</w:t>
      </w:r>
      <w:r>
        <w:rPr>
          <w:rFonts w:ascii="Times New Roman" w:hAnsi="Times New Roman" w:eastAsia="宋体" w:cs="Times New Roman"/>
          <w:snapToGrid w:val="0"/>
          <w:color w:val="auto"/>
          <w:kern w:val="2"/>
          <w:sz w:val="24"/>
          <w:szCs w:val="24"/>
          <w:highlight w:val="none"/>
        </w:rPr>
        <w:t>基</w:t>
      </w:r>
      <w:r>
        <w:rPr>
          <w:rStyle w:val="19"/>
          <w:rFonts w:hint="eastAsia" w:asciiTheme="minorHAnsi" w:hAnsiTheme="minorHAnsi" w:eastAsiaTheme="minorEastAsia" w:cstheme="minorBidi"/>
          <w:color w:val="auto"/>
          <w:kern w:val="2"/>
          <w:sz w:val="24"/>
          <w:szCs w:val="24"/>
          <w:highlight w:val="none"/>
          <w:lang w:val="en-US" w:eastAsia="zh-CN"/>
        </w:rPr>
        <w:t>、双回路耐张塔</w:t>
      </w:r>
      <w:r>
        <w:rPr>
          <w:rStyle w:val="19"/>
          <w:rFonts w:hint="default" w:ascii="Times New Roman" w:hAnsi="Times New Roman" w:cs="Times New Roman" w:eastAsiaTheme="minorEastAsia"/>
          <w:color w:val="auto"/>
          <w:kern w:val="2"/>
          <w:sz w:val="24"/>
          <w:szCs w:val="24"/>
          <w:highlight w:val="none"/>
          <w:lang w:val="en-US" w:eastAsia="zh-CN"/>
        </w:rPr>
        <w:t>1</w:t>
      </w:r>
      <w:r>
        <w:rPr>
          <w:rStyle w:val="19"/>
          <w:rFonts w:hint="eastAsia" w:asciiTheme="minorHAnsi" w:hAnsiTheme="minorHAnsi" w:eastAsiaTheme="minorEastAsia" w:cstheme="minorBidi"/>
          <w:color w:val="auto"/>
          <w:kern w:val="2"/>
          <w:sz w:val="24"/>
          <w:szCs w:val="24"/>
          <w:highlight w:val="none"/>
          <w:lang w:val="en-US" w:eastAsia="zh-CN"/>
        </w:rPr>
        <w:t>基（单侧挂线）</w:t>
      </w:r>
      <w:r>
        <w:rPr>
          <w:rFonts w:ascii="Times New Roman" w:hAnsi="Times New Roman" w:eastAsia="宋体" w:cs="Times New Roman"/>
          <w:snapToGrid w:val="0"/>
          <w:color w:val="auto"/>
          <w:kern w:val="2"/>
          <w:sz w:val="24"/>
          <w:szCs w:val="24"/>
          <w:highlight w:val="none"/>
        </w:rPr>
        <w:t>。</w:t>
      </w:r>
    </w:p>
    <w:p w14:paraId="549B1FEA">
      <w:pPr>
        <w:autoSpaceDE w:val="0"/>
        <w:autoSpaceDN w:val="0"/>
        <w:spacing w:line="240" w:lineRule="auto"/>
        <w:ind w:firstLine="422"/>
        <w:jc w:val="center"/>
        <w:rPr>
          <w:rFonts w:eastAsia="宋体" w:cs="Times New Roman"/>
          <w:b/>
          <w:bCs/>
          <w:color w:val="auto"/>
          <w:sz w:val="21"/>
          <w:szCs w:val="21"/>
          <w:highlight w:val="none"/>
        </w:rPr>
      </w:pPr>
      <w:r>
        <w:rPr>
          <w:rFonts w:eastAsia="宋体" w:cs="Times New Roman"/>
          <w:b/>
          <w:bCs/>
          <w:color w:val="auto"/>
          <w:sz w:val="21"/>
          <w:szCs w:val="21"/>
          <w:highlight w:val="none"/>
        </w:rPr>
        <w:t>表</w:t>
      </w:r>
      <w:r>
        <w:rPr>
          <w:rFonts w:hint="eastAsia" w:eastAsia="宋体" w:cs="Times New Roman"/>
          <w:b/>
          <w:bCs/>
          <w:color w:val="auto"/>
          <w:sz w:val="21"/>
          <w:szCs w:val="21"/>
          <w:highlight w:val="none"/>
        </w:rPr>
        <w:t>3</w:t>
      </w:r>
      <w:r>
        <w:rPr>
          <w:rFonts w:eastAsia="宋体" w:cs="Times New Roman"/>
          <w:b/>
          <w:bCs/>
          <w:color w:val="auto"/>
          <w:sz w:val="21"/>
          <w:szCs w:val="21"/>
          <w:highlight w:val="none"/>
        </w:rPr>
        <w:t>-</w:t>
      </w:r>
      <w:r>
        <w:rPr>
          <w:rFonts w:hint="eastAsia" w:eastAsia="宋体" w:cs="Times New Roman"/>
          <w:b/>
          <w:bCs/>
          <w:color w:val="auto"/>
          <w:sz w:val="21"/>
          <w:szCs w:val="21"/>
          <w:highlight w:val="none"/>
        </w:rPr>
        <w:t>5</w:t>
      </w:r>
      <w:r>
        <w:rPr>
          <w:rFonts w:eastAsia="宋体" w:cs="Times New Roman"/>
          <w:b/>
          <w:bCs/>
          <w:color w:val="auto"/>
          <w:sz w:val="21"/>
          <w:szCs w:val="21"/>
          <w:highlight w:val="none"/>
        </w:rPr>
        <w:t xml:space="preserve">    铁塔使用条件一览表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2603"/>
        <w:gridCol w:w="2512"/>
        <w:gridCol w:w="2283"/>
      </w:tblGrid>
      <w:tr w14:paraId="7A15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8DAF28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5"/>
                <w:highlight w:val="none"/>
              </w:rPr>
              <w:t>序号</w:t>
            </w:r>
          </w:p>
        </w:tc>
        <w:tc>
          <w:tcPr>
            <w:tcW w:w="2610" w:type="dxa"/>
            <w:vAlign w:val="center"/>
          </w:tcPr>
          <w:p w14:paraId="2B19F2B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塔型</w:t>
            </w:r>
          </w:p>
        </w:tc>
        <w:tc>
          <w:tcPr>
            <w:tcW w:w="2520" w:type="dxa"/>
            <w:vAlign w:val="center"/>
          </w:tcPr>
          <w:p w14:paraId="2605AF3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呼称高（m）</w:t>
            </w:r>
          </w:p>
        </w:tc>
        <w:tc>
          <w:tcPr>
            <w:tcW w:w="2292" w:type="dxa"/>
            <w:vAlign w:val="center"/>
          </w:tcPr>
          <w:p w14:paraId="4AAFE50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基数</w:t>
            </w:r>
          </w:p>
        </w:tc>
      </w:tr>
      <w:tr w14:paraId="6ECD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70FC4E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c>
          <w:tcPr>
            <w:tcW w:w="2610" w:type="dxa"/>
            <w:vAlign w:val="center"/>
          </w:tcPr>
          <w:p w14:paraId="212666E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2A2-DJC</w:t>
            </w:r>
          </w:p>
        </w:tc>
        <w:tc>
          <w:tcPr>
            <w:tcW w:w="2520" w:type="dxa"/>
            <w:vAlign w:val="center"/>
          </w:tcPr>
          <w:p w14:paraId="6B2C47D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2EDFADF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27D8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EE3F91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w:t>
            </w:r>
          </w:p>
        </w:tc>
        <w:tc>
          <w:tcPr>
            <w:tcW w:w="2610" w:type="dxa"/>
            <w:vMerge w:val="restart"/>
            <w:vAlign w:val="center"/>
          </w:tcPr>
          <w:p w14:paraId="07F9A31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2A2-JC1</w:t>
            </w:r>
          </w:p>
        </w:tc>
        <w:tc>
          <w:tcPr>
            <w:tcW w:w="2520" w:type="dxa"/>
            <w:vAlign w:val="center"/>
          </w:tcPr>
          <w:p w14:paraId="6BFA807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222F823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r>
      <w:tr w14:paraId="5BD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5B0B70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c>
          <w:tcPr>
            <w:tcW w:w="2610" w:type="dxa"/>
            <w:vMerge w:val="continue"/>
            <w:vAlign w:val="center"/>
          </w:tcPr>
          <w:p w14:paraId="3980540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549945F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50FE0C7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4</w:t>
            </w:r>
          </w:p>
        </w:tc>
      </w:tr>
      <w:tr w14:paraId="2517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B6C360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4</w:t>
            </w:r>
          </w:p>
        </w:tc>
        <w:tc>
          <w:tcPr>
            <w:tcW w:w="2610" w:type="dxa"/>
            <w:vMerge w:val="continue"/>
            <w:vAlign w:val="center"/>
          </w:tcPr>
          <w:p w14:paraId="53593DF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1ABAF6F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5854797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lang w:val="en-US" w:eastAsia="zh-CN"/>
              </w:rPr>
              <w:t>4</w:t>
            </w:r>
          </w:p>
        </w:tc>
      </w:tr>
      <w:tr w14:paraId="0A81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A2E3BB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w:t>
            </w:r>
          </w:p>
        </w:tc>
        <w:tc>
          <w:tcPr>
            <w:tcW w:w="2610" w:type="dxa"/>
            <w:vMerge w:val="restart"/>
            <w:vAlign w:val="center"/>
          </w:tcPr>
          <w:p w14:paraId="090EB97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2A2-JC2</w:t>
            </w:r>
          </w:p>
        </w:tc>
        <w:tc>
          <w:tcPr>
            <w:tcW w:w="2520" w:type="dxa"/>
            <w:vAlign w:val="center"/>
          </w:tcPr>
          <w:p w14:paraId="0191D9E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4A81FF5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6A62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514432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c>
          <w:tcPr>
            <w:tcW w:w="2610" w:type="dxa"/>
            <w:vMerge w:val="continue"/>
            <w:vAlign w:val="center"/>
          </w:tcPr>
          <w:p w14:paraId="68E579B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2D326DB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55A342D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4615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1D2593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c>
          <w:tcPr>
            <w:tcW w:w="2610" w:type="dxa"/>
            <w:vMerge w:val="continue"/>
            <w:vAlign w:val="center"/>
          </w:tcPr>
          <w:p w14:paraId="0751DA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p>
        </w:tc>
        <w:tc>
          <w:tcPr>
            <w:tcW w:w="2520" w:type="dxa"/>
            <w:vAlign w:val="center"/>
          </w:tcPr>
          <w:p w14:paraId="0322FFD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30</w:t>
            </w:r>
          </w:p>
        </w:tc>
        <w:tc>
          <w:tcPr>
            <w:tcW w:w="2292" w:type="dxa"/>
            <w:vAlign w:val="center"/>
          </w:tcPr>
          <w:p w14:paraId="610369D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p>
        </w:tc>
      </w:tr>
      <w:tr w14:paraId="2F6C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63326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8</w:t>
            </w:r>
          </w:p>
        </w:tc>
        <w:tc>
          <w:tcPr>
            <w:tcW w:w="2610" w:type="dxa"/>
            <w:vMerge w:val="restart"/>
            <w:vAlign w:val="center"/>
          </w:tcPr>
          <w:p w14:paraId="4C64956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2A2-JC3</w:t>
            </w:r>
          </w:p>
        </w:tc>
        <w:tc>
          <w:tcPr>
            <w:tcW w:w="2520" w:type="dxa"/>
            <w:vAlign w:val="center"/>
          </w:tcPr>
          <w:p w14:paraId="1599D9E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20AB0FB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5E56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B00468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9</w:t>
            </w:r>
          </w:p>
        </w:tc>
        <w:tc>
          <w:tcPr>
            <w:tcW w:w="2610" w:type="dxa"/>
            <w:vMerge w:val="continue"/>
            <w:vAlign w:val="center"/>
          </w:tcPr>
          <w:p w14:paraId="43E4A02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44C4E9D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42B954B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2E61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785F54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10</w:t>
            </w:r>
          </w:p>
        </w:tc>
        <w:tc>
          <w:tcPr>
            <w:tcW w:w="2610" w:type="dxa"/>
            <w:vMerge w:val="continue"/>
            <w:vAlign w:val="center"/>
          </w:tcPr>
          <w:p w14:paraId="5B6B55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p>
        </w:tc>
        <w:tc>
          <w:tcPr>
            <w:tcW w:w="2520" w:type="dxa"/>
            <w:vAlign w:val="center"/>
          </w:tcPr>
          <w:p w14:paraId="7C53E82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30</w:t>
            </w:r>
          </w:p>
        </w:tc>
        <w:tc>
          <w:tcPr>
            <w:tcW w:w="2292" w:type="dxa"/>
            <w:vAlign w:val="center"/>
          </w:tcPr>
          <w:p w14:paraId="45054D1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3</w:t>
            </w:r>
          </w:p>
        </w:tc>
      </w:tr>
      <w:tr w14:paraId="7127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DB9DA3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11</w:t>
            </w:r>
          </w:p>
        </w:tc>
        <w:tc>
          <w:tcPr>
            <w:tcW w:w="2610" w:type="dxa"/>
            <w:vAlign w:val="center"/>
          </w:tcPr>
          <w:p w14:paraId="60BDEF9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2A2-JC4</w:t>
            </w:r>
          </w:p>
        </w:tc>
        <w:tc>
          <w:tcPr>
            <w:tcW w:w="2520" w:type="dxa"/>
            <w:vAlign w:val="center"/>
          </w:tcPr>
          <w:p w14:paraId="4DA4A6E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5C067FA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5FA5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F19A65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12</w:t>
            </w:r>
          </w:p>
        </w:tc>
        <w:tc>
          <w:tcPr>
            <w:tcW w:w="2610" w:type="dxa"/>
            <w:vMerge w:val="restart"/>
            <w:vAlign w:val="center"/>
          </w:tcPr>
          <w:p w14:paraId="5A4AEB6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lang w:val="en-US"/>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ZMC1</w:t>
            </w:r>
          </w:p>
        </w:tc>
        <w:tc>
          <w:tcPr>
            <w:tcW w:w="2520" w:type="dxa"/>
            <w:vAlign w:val="center"/>
          </w:tcPr>
          <w:p w14:paraId="2543090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68CD817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r>
      <w:tr w14:paraId="1BCF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C89E78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13</w:t>
            </w:r>
          </w:p>
        </w:tc>
        <w:tc>
          <w:tcPr>
            <w:tcW w:w="2610" w:type="dxa"/>
            <w:vMerge w:val="continue"/>
            <w:vAlign w:val="center"/>
          </w:tcPr>
          <w:p w14:paraId="27233DD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35A2574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1942BCB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4CFE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FF517E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14</w:t>
            </w:r>
          </w:p>
        </w:tc>
        <w:tc>
          <w:tcPr>
            <w:tcW w:w="2610" w:type="dxa"/>
            <w:vMerge w:val="restart"/>
            <w:vAlign w:val="center"/>
          </w:tcPr>
          <w:p w14:paraId="12D133A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ZMC2</w:t>
            </w:r>
          </w:p>
        </w:tc>
        <w:tc>
          <w:tcPr>
            <w:tcW w:w="2520" w:type="dxa"/>
            <w:vAlign w:val="center"/>
          </w:tcPr>
          <w:p w14:paraId="186338E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6C7CB47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420C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139" w:type="dxa"/>
            <w:vAlign w:val="center"/>
          </w:tcPr>
          <w:p w14:paraId="17D6771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15</w:t>
            </w:r>
          </w:p>
        </w:tc>
        <w:tc>
          <w:tcPr>
            <w:tcW w:w="2610" w:type="dxa"/>
            <w:vMerge w:val="continue"/>
            <w:vAlign w:val="center"/>
          </w:tcPr>
          <w:p w14:paraId="18BB39A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68BD524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00A4BD5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6D18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6A7842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16</w:t>
            </w:r>
          </w:p>
        </w:tc>
        <w:tc>
          <w:tcPr>
            <w:tcW w:w="2610" w:type="dxa"/>
            <w:vMerge w:val="continue"/>
            <w:vAlign w:val="center"/>
          </w:tcPr>
          <w:p w14:paraId="1774F37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170E08B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08CC634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r>
      <w:tr w14:paraId="72D3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A68746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17</w:t>
            </w:r>
          </w:p>
        </w:tc>
        <w:tc>
          <w:tcPr>
            <w:tcW w:w="2610" w:type="dxa"/>
            <w:vMerge w:val="continue"/>
            <w:vAlign w:val="center"/>
          </w:tcPr>
          <w:p w14:paraId="1ADACA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58E7E94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30</w:t>
            </w:r>
          </w:p>
        </w:tc>
        <w:tc>
          <w:tcPr>
            <w:tcW w:w="2292" w:type="dxa"/>
            <w:vAlign w:val="center"/>
          </w:tcPr>
          <w:p w14:paraId="336D4AC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34EB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541FDC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18</w:t>
            </w:r>
          </w:p>
        </w:tc>
        <w:tc>
          <w:tcPr>
            <w:tcW w:w="2610" w:type="dxa"/>
            <w:vMerge w:val="continue"/>
            <w:vAlign w:val="center"/>
          </w:tcPr>
          <w:p w14:paraId="2E527A9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AD23CA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33</w:t>
            </w:r>
          </w:p>
        </w:tc>
        <w:tc>
          <w:tcPr>
            <w:tcW w:w="2292" w:type="dxa"/>
            <w:vAlign w:val="center"/>
          </w:tcPr>
          <w:p w14:paraId="568AD0E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1899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13B566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19</w:t>
            </w:r>
          </w:p>
        </w:tc>
        <w:tc>
          <w:tcPr>
            <w:tcW w:w="2610" w:type="dxa"/>
            <w:vMerge w:val="continue"/>
            <w:vAlign w:val="center"/>
          </w:tcPr>
          <w:p w14:paraId="1D24CB7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CEBE0E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36</w:t>
            </w:r>
          </w:p>
        </w:tc>
        <w:tc>
          <w:tcPr>
            <w:tcW w:w="2292" w:type="dxa"/>
            <w:vAlign w:val="center"/>
          </w:tcPr>
          <w:p w14:paraId="10E551B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6E50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691587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20</w:t>
            </w:r>
          </w:p>
        </w:tc>
        <w:tc>
          <w:tcPr>
            <w:tcW w:w="2610" w:type="dxa"/>
            <w:vMerge w:val="restart"/>
            <w:vAlign w:val="center"/>
          </w:tcPr>
          <w:p w14:paraId="79AA361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2A2-ZMC3</w:t>
            </w:r>
          </w:p>
        </w:tc>
        <w:tc>
          <w:tcPr>
            <w:tcW w:w="2520" w:type="dxa"/>
            <w:vAlign w:val="center"/>
          </w:tcPr>
          <w:p w14:paraId="4AC1EEB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7F1796E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1</w:t>
            </w:r>
          </w:p>
        </w:tc>
      </w:tr>
      <w:tr w14:paraId="0571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0B933A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21</w:t>
            </w:r>
          </w:p>
        </w:tc>
        <w:tc>
          <w:tcPr>
            <w:tcW w:w="2610" w:type="dxa"/>
            <w:vMerge w:val="continue"/>
            <w:vAlign w:val="center"/>
          </w:tcPr>
          <w:p w14:paraId="1416978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310BF73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30</w:t>
            </w:r>
          </w:p>
        </w:tc>
        <w:tc>
          <w:tcPr>
            <w:tcW w:w="2292" w:type="dxa"/>
            <w:vAlign w:val="center"/>
          </w:tcPr>
          <w:p w14:paraId="0429E14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4A40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433941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22</w:t>
            </w:r>
          </w:p>
        </w:tc>
        <w:tc>
          <w:tcPr>
            <w:tcW w:w="2610" w:type="dxa"/>
            <w:vMerge w:val="continue"/>
            <w:vAlign w:val="center"/>
          </w:tcPr>
          <w:p w14:paraId="71B2C42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069795B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spacing w:val="2"/>
                <w:highlight w:val="none"/>
                <w:lang w:val="en-US" w:eastAsia="zh-CN"/>
              </w:rPr>
              <w:t>41</w:t>
            </w:r>
          </w:p>
        </w:tc>
        <w:tc>
          <w:tcPr>
            <w:tcW w:w="2292" w:type="dxa"/>
            <w:vAlign w:val="center"/>
          </w:tcPr>
          <w:p w14:paraId="17AEFAA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4E3D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A14784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23</w:t>
            </w:r>
          </w:p>
        </w:tc>
        <w:tc>
          <w:tcPr>
            <w:tcW w:w="2610" w:type="dxa"/>
            <w:vAlign w:val="center"/>
          </w:tcPr>
          <w:p w14:paraId="28AAF4F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2A2-ZMC4</w:t>
            </w:r>
          </w:p>
        </w:tc>
        <w:tc>
          <w:tcPr>
            <w:tcW w:w="2520" w:type="dxa"/>
            <w:vAlign w:val="center"/>
          </w:tcPr>
          <w:p w14:paraId="79B1408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33</w:t>
            </w:r>
          </w:p>
        </w:tc>
        <w:tc>
          <w:tcPr>
            <w:tcW w:w="2292" w:type="dxa"/>
            <w:vAlign w:val="center"/>
          </w:tcPr>
          <w:p w14:paraId="1CA8374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09E9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0CCC7F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24</w:t>
            </w:r>
          </w:p>
        </w:tc>
        <w:tc>
          <w:tcPr>
            <w:tcW w:w="2610" w:type="dxa"/>
            <w:vMerge w:val="restart"/>
            <w:vAlign w:val="center"/>
          </w:tcPr>
          <w:p w14:paraId="37D48EC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2A2-ZMCK</w:t>
            </w:r>
          </w:p>
        </w:tc>
        <w:tc>
          <w:tcPr>
            <w:tcW w:w="2520" w:type="dxa"/>
            <w:vAlign w:val="center"/>
          </w:tcPr>
          <w:p w14:paraId="3F41B25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45</w:t>
            </w:r>
          </w:p>
        </w:tc>
        <w:tc>
          <w:tcPr>
            <w:tcW w:w="2292" w:type="dxa"/>
            <w:vAlign w:val="center"/>
          </w:tcPr>
          <w:p w14:paraId="7C60BA9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1B04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AFB21D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25</w:t>
            </w:r>
          </w:p>
        </w:tc>
        <w:tc>
          <w:tcPr>
            <w:tcW w:w="2610" w:type="dxa"/>
            <w:vMerge w:val="continue"/>
            <w:vAlign w:val="center"/>
          </w:tcPr>
          <w:p w14:paraId="0E79125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BC50BB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51</w:t>
            </w:r>
          </w:p>
        </w:tc>
        <w:tc>
          <w:tcPr>
            <w:tcW w:w="2292" w:type="dxa"/>
            <w:vAlign w:val="center"/>
          </w:tcPr>
          <w:p w14:paraId="0C71456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w:t>
            </w:r>
          </w:p>
        </w:tc>
      </w:tr>
      <w:tr w14:paraId="0BD7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C6A01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26</w:t>
            </w:r>
          </w:p>
        </w:tc>
        <w:tc>
          <w:tcPr>
            <w:tcW w:w="2610" w:type="dxa"/>
            <w:vAlign w:val="center"/>
          </w:tcPr>
          <w:p w14:paraId="45A6B67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2E6-SDJC</w:t>
            </w:r>
          </w:p>
        </w:tc>
        <w:tc>
          <w:tcPr>
            <w:tcW w:w="2520" w:type="dxa"/>
            <w:vAlign w:val="center"/>
          </w:tcPr>
          <w:p w14:paraId="20EA373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18</w:t>
            </w:r>
          </w:p>
        </w:tc>
        <w:tc>
          <w:tcPr>
            <w:tcW w:w="2292" w:type="dxa"/>
            <w:vAlign w:val="center"/>
          </w:tcPr>
          <w:p w14:paraId="16D937E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372F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749" w:type="dxa"/>
            <w:gridSpan w:val="2"/>
            <w:vAlign w:val="center"/>
          </w:tcPr>
          <w:p w14:paraId="635BA13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合计</w:t>
            </w:r>
          </w:p>
        </w:tc>
        <w:tc>
          <w:tcPr>
            <w:tcW w:w="2520" w:type="dxa"/>
            <w:vAlign w:val="center"/>
          </w:tcPr>
          <w:p w14:paraId="703EFF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292" w:type="dxa"/>
            <w:vAlign w:val="center"/>
          </w:tcPr>
          <w:p w14:paraId="2390CFB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3"/>
                <w:highlight w:val="none"/>
                <w:lang w:val="en-US" w:eastAsia="zh-CN"/>
              </w:rPr>
              <w:t>5</w:t>
            </w:r>
            <w:r>
              <w:rPr>
                <w:rFonts w:hint="default" w:ascii="Times New Roman" w:hAnsi="Times New Roman" w:eastAsia="宋体" w:cs="Times New Roman"/>
                <w:b w:val="0"/>
                <w:bCs/>
                <w:color w:val="auto"/>
                <w:spacing w:val="-3"/>
                <w:highlight w:val="none"/>
              </w:rPr>
              <w:t>7</w:t>
            </w:r>
          </w:p>
        </w:tc>
      </w:tr>
    </w:tbl>
    <w:p w14:paraId="3372DE27">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（8）工程占地</w:t>
      </w:r>
    </w:p>
    <w:p w14:paraId="2D1B8653">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根据设计资料</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、《华能围场“风光储氢热一体化”项目（光伏200MW）项目220kV送出线路工程水土保持方案报告表》及行政许可决定。</w:t>
      </w:r>
    </w:p>
    <w:p w14:paraId="49B28164">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施工人员租住周边村民用房，施工现场不单独设置施工营地。</w:t>
      </w:r>
    </w:p>
    <w:p w14:paraId="533F3B72">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7基，塔基永久占地约为</w:t>
      </w:r>
      <w:r>
        <w:rPr>
          <w:rFonts w:hint="eastAsia" w:ascii="Times New Roman" w:hAnsi="Times New Roman" w:eastAsia="宋体" w:cs="Times New Roman"/>
          <w:color w:val="auto"/>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7BFAEB3">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铁塔塔基施工区临时占地合计</w:t>
      </w:r>
      <w:r>
        <w:rPr>
          <w:rFonts w:hint="eastAsia" w:ascii="Times New Roman" w:hAnsi="Times New Roman" w:eastAsia="宋体" w:cs="Times New Roman"/>
          <w:snapToGrid w:val="0"/>
          <w:color w:val="auto"/>
          <w:kern w:val="2"/>
          <w:sz w:val="24"/>
          <w:szCs w:val="24"/>
          <w:highlight w:val="none"/>
          <w:lang w:val="en-US" w:eastAsia="zh-CN"/>
        </w:rPr>
        <w:t>0.74h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0141AD4D">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w:t>
      </w:r>
      <w:r>
        <w:rPr>
          <w:rFonts w:hint="eastAsia" w:ascii="Times New Roman" w:hAnsi="Times New Roman" w:eastAsia="宋体" w:cs="Times New Roman"/>
          <w:snapToGrid w:val="0"/>
          <w:color w:val="auto"/>
          <w:kern w:val="2"/>
          <w:sz w:val="24"/>
          <w:szCs w:val="24"/>
          <w:highlight w:val="none"/>
          <w:lang w:val="en-US" w:eastAsia="zh-CN"/>
        </w:rPr>
        <w:t>100</w:t>
      </w:r>
      <w:r>
        <w:rPr>
          <w:rFonts w:hint="default" w:ascii="Times New Roman" w:hAnsi="Times New Roman" w:eastAsia="宋体" w:cs="Times New Roman"/>
          <w:snapToGrid w:val="0"/>
          <w:color w:val="auto"/>
          <w:kern w:val="2"/>
          <w:sz w:val="24"/>
          <w:szCs w:val="24"/>
          <w:highlight w:val="none"/>
        </w:rPr>
        <w:t>00m，道路宽约3m，铁塔塔基临时占地合计</w:t>
      </w:r>
      <w:r>
        <w:rPr>
          <w:rFonts w:hint="eastAsia" w:ascii="Times New Roman" w:hAnsi="Times New Roman" w:eastAsia="宋体" w:cs="Times New Roman"/>
          <w:snapToGrid w:val="0"/>
          <w:color w:val="auto"/>
          <w:kern w:val="2"/>
          <w:sz w:val="24"/>
          <w:szCs w:val="24"/>
          <w:highlight w:val="none"/>
          <w:lang w:val="en-US" w:eastAsia="zh-CN"/>
        </w:rPr>
        <w:t>3.0h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013506EF">
      <w:pPr>
        <w:pStyle w:val="23"/>
        <w:spacing w:line="360" w:lineRule="auto"/>
        <w:ind w:firstLine="480" w:firstLineChars="200"/>
        <w:jc w:val="both"/>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牵张场全部位于</w:t>
      </w:r>
      <w:r>
        <w:rPr>
          <w:rFonts w:hint="default" w:ascii="Times New Roman" w:hAnsi="Times New Roman" w:eastAsia="宋体" w:cs="Times New Roman"/>
          <w:bCs/>
          <w:color w:val="auto"/>
          <w:sz w:val="24"/>
          <w:szCs w:val="24"/>
          <w:highlight w:val="none"/>
        </w:rPr>
        <w:t>河北滦河上游国家级自然保护区，</w:t>
      </w:r>
      <w:r>
        <w:rPr>
          <w:rFonts w:hint="default" w:ascii="Times New Roman" w:hAnsi="Times New Roman" w:eastAsia="宋体" w:cs="Times New Roman"/>
          <w:snapToGrid w:val="0"/>
          <w:color w:val="auto"/>
          <w:kern w:val="2"/>
          <w:sz w:val="24"/>
          <w:szCs w:val="24"/>
          <w:highlight w:val="none"/>
        </w:rPr>
        <w:t>每处占地面积1</w:t>
      </w:r>
      <w:r>
        <w:rPr>
          <w:rFonts w:hint="eastAsia" w:ascii="Times New Roman" w:hAnsi="Times New Roman" w:eastAsia="宋体" w:cs="Times New Roman"/>
          <w:snapToGrid w:val="0"/>
          <w:color w:val="auto"/>
          <w:kern w:val="2"/>
          <w:sz w:val="24"/>
          <w:szCs w:val="24"/>
          <w:highlight w:val="none"/>
          <w:lang w:val="en-US" w:eastAsia="zh-CN"/>
        </w:rPr>
        <w:t>2</w:t>
      </w:r>
      <w:r>
        <w:rPr>
          <w:rFonts w:hint="default" w:ascii="Times New Roman" w:hAnsi="Times New Roman" w:eastAsia="宋体" w:cs="Times New Roman"/>
          <w:snapToGrid w:val="0"/>
          <w:color w:val="auto"/>
          <w:kern w:val="2"/>
          <w:sz w:val="24"/>
          <w:szCs w:val="24"/>
          <w:highlight w:val="none"/>
        </w:rPr>
        <w:t>00m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，属临时占地。牵张场占地合计</w:t>
      </w:r>
      <w:r>
        <w:rPr>
          <w:rFonts w:hint="eastAsia" w:ascii="Times New Roman" w:hAnsi="Times New Roman" w:eastAsia="宋体" w:cs="Times New Roman"/>
          <w:snapToGrid w:val="0"/>
          <w:color w:val="auto"/>
          <w:kern w:val="2"/>
          <w:sz w:val="24"/>
          <w:szCs w:val="24"/>
          <w:highlight w:val="none"/>
          <w:lang w:val="en-US" w:eastAsia="zh-CN"/>
        </w:rPr>
        <w:t>0.6</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78E93869">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综上所述，本项目塔基永久占地合计</w:t>
      </w:r>
      <w:r>
        <w:rPr>
          <w:rFonts w:hint="eastAsia" w:ascii="Times New Roman" w:hAnsi="Times New Roman" w:eastAsia="宋体" w:cs="Times New Roman"/>
          <w:snapToGrid w:val="0"/>
          <w:color w:val="auto"/>
          <w:kern w:val="2"/>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，临时占地合计</w:t>
      </w:r>
      <w:r>
        <w:rPr>
          <w:rFonts w:hint="eastAsia" w:ascii="Times New Roman" w:hAnsi="Times New Roman" w:eastAsia="宋体" w:cs="Times New Roman"/>
          <w:snapToGrid w:val="0"/>
          <w:color w:val="auto"/>
          <w:kern w:val="2"/>
          <w:sz w:val="24"/>
          <w:szCs w:val="24"/>
          <w:highlight w:val="none"/>
          <w:lang w:val="en-US" w:eastAsia="zh-CN"/>
        </w:rPr>
        <w:t>4.34h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6651360A">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（9）本项目土方量情况</w:t>
      </w:r>
    </w:p>
    <w:p w14:paraId="08D67128">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项目建设期土石方挖填总量为3.14万m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，其中挖方总量</w:t>
      </w:r>
      <w:r>
        <w:rPr>
          <w:rFonts w:hint="eastAsia" w:ascii="Times New Roman" w:hAnsi="Times New Roman" w:eastAsia="宋体" w:cs="Times New Roman"/>
          <w:snapToGrid w:val="0"/>
          <w:color w:val="auto"/>
          <w:kern w:val="2"/>
          <w:sz w:val="24"/>
          <w:szCs w:val="24"/>
          <w:highlight w:val="none"/>
          <w:lang w:val="en-US" w:eastAsia="zh-CN"/>
        </w:rPr>
        <w:t>1.63</w:t>
      </w:r>
      <w:r>
        <w:rPr>
          <w:rFonts w:hint="default" w:ascii="Times New Roman" w:hAnsi="Times New Roman" w:eastAsia="宋体" w:cs="Times New Roman"/>
          <w:snapToGrid w:val="0"/>
          <w:color w:val="auto"/>
          <w:kern w:val="2"/>
          <w:sz w:val="24"/>
          <w:szCs w:val="24"/>
          <w:highlight w:val="none"/>
        </w:rPr>
        <w:t>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，填方总量1.51万m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，余方0.12万m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。塔基础开挖土石方用于回填后产生余</w:t>
      </w:r>
      <w:r>
        <w:rPr>
          <w:rFonts w:hint="eastAsia" w:ascii="Times New Roman" w:hAnsi="Times New Roman" w:eastAsia="宋体" w:cs="Times New Roman"/>
          <w:snapToGrid w:val="0"/>
          <w:color w:val="auto"/>
          <w:kern w:val="2"/>
          <w:sz w:val="24"/>
          <w:szCs w:val="24"/>
          <w:highlight w:val="none"/>
          <w:lang w:eastAsia="zh-CN"/>
        </w:rPr>
        <w:t>方</w:t>
      </w:r>
      <w:r>
        <w:rPr>
          <w:rFonts w:hint="default" w:ascii="Times New Roman" w:hAnsi="Times New Roman" w:eastAsia="宋体" w:cs="Times New Roman"/>
          <w:snapToGrid w:val="0"/>
          <w:color w:val="auto"/>
          <w:kern w:val="2"/>
          <w:sz w:val="24"/>
          <w:szCs w:val="24"/>
          <w:highlight w:val="none"/>
        </w:rPr>
        <w:t>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w:t>
      </w:r>
      <w:r>
        <w:rPr>
          <w:rFonts w:hint="eastAsia" w:ascii="Times New Roman" w:hAnsi="Times New Roman" w:eastAsia="宋体" w:cs="Times New Roman"/>
          <w:snapToGrid w:val="0"/>
          <w:color w:val="auto"/>
          <w:kern w:val="2"/>
          <w:sz w:val="24"/>
          <w:szCs w:val="24"/>
          <w:highlight w:val="none"/>
          <w:lang w:eastAsia="zh-CN"/>
        </w:rPr>
        <w:t>方全部平铺于塔基占地范围内合理利用</w:t>
      </w:r>
      <w:r>
        <w:rPr>
          <w:rFonts w:hint="default" w:ascii="Times New Roman" w:hAnsi="Times New Roman" w:eastAsia="宋体" w:cs="Times New Roman"/>
          <w:snapToGrid w:val="0"/>
          <w:color w:val="auto"/>
          <w:kern w:val="2"/>
          <w:sz w:val="24"/>
          <w:szCs w:val="24"/>
          <w:highlight w:val="none"/>
        </w:rPr>
        <w:t>。</w:t>
      </w:r>
    </w:p>
    <w:p w14:paraId="0465C9F9">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3-6    表土平衡一览表（单位：万m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56951936">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567680" cy="1081405"/>
            <wp:effectExtent l="0" t="0" r="13970" b="444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0"/>
                    <a:stretch>
                      <a:fillRect/>
                    </a:stretch>
                  </pic:blipFill>
                  <pic:spPr>
                    <a:xfrm>
                      <a:off x="0" y="0"/>
                      <a:ext cx="5567680" cy="1081405"/>
                    </a:xfrm>
                    <a:prstGeom prst="rect">
                      <a:avLst/>
                    </a:prstGeom>
                    <a:noFill/>
                    <a:ln>
                      <a:noFill/>
                    </a:ln>
                  </pic:spPr>
                </pic:pic>
              </a:graphicData>
            </a:graphic>
          </wp:inline>
        </w:drawing>
      </w:r>
    </w:p>
    <w:p w14:paraId="04909C04">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snapToGrid w:val="0"/>
          <w:color w:val="auto"/>
          <w:kern w:val="2"/>
          <w:sz w:val="24"/>
          <w:szCs w:val="24"/>
          <w:highlight w:val="none"/>
        </w:rPr>
        <w:t xml:space="preserve">备注：塔基施工区和牵张场区主要施工内容为铁塔安装施工及牵张架线施工，水土流失因素以人工、机械压占为主，为减少地表扰动，方案设计对塔基施工区和牵张场区扰动区域采取彩条布铺垫防护措施，不再进行剥表施工。 </w:t>
      </w:r>
      <w:r>
        <w:rPr>
          <w:color w:val="auto"/>
        </w:rPr>
        <w:drawing>
          <wp:inline distT="0" distB="0" distL="114300" distR="114300">
            <wp:extent cx="5637530" cy="2068195"/>
            <wp:effectExtent l="0" t="0" r="1270" b="825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5637530" cy="2068195"/>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图3-1  表土平衡一览图（单位：万m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1F2D2AD5">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3-7    一般土石方平衡一览表（单位：万m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783EB0C8">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85155" cy="1671955"/>
            <wp:effectExtent l="0" t="0" r="10795" b="444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2"/>
                    <a:stretch>
                      <a:fillRect/>
                    </a:stretch>
                  </pic:blipFill>
                  <pic:spPr>
                    <a:xfrm>
                      <a:off x="0" y="0"/>
                      <a:ext cx="5685155" cy="1671955"/>
                    </a:xfrm>
                    <a:prstGeom prst="rect">
                      <a:avLst/>
                    </a:prstGeom>
                    <a:noFill/>
                    <a:ln>
                      <a:noFill/>
                    </a:ln>
                  </pic:spPr>
                </pic:pic>
              </a:graphicData>
            </a:graphic>
          </wp:inline>
        </w:drawing>
      </w:r>
    </w:p>
    <w:p w14:paraId="6DB47AFE">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34990" cy="3568700"/>
            <wp:effectExtent l="0" t="0" r="3810" b="1270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3"/>
                    <a:stretch>
                      <a:fillRect/>
                    </a:stretch>
                  </pic:blipFill>
                  <pic:spPr>
                    <a:xfrm>
                      <a:off x="0" y="0"/>
                      <a:ext cx="5634990" cy="3568700"/>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图3-2  一般土石方平衡一览图（单位：万m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59816517">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（10）劳动定员</w:t>
      </w:r>
    </w:p>
    <w:p w14:paraId="5EA172F9">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本项目不需设置劳动定员。</w:t>
      </w:r>
    </w:p>
    <w:p w14:paraId="5D13B897">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（11）给排水</w:t>
      </w:r>
    </w:p>
    <w:p w14:paraId="75B075FB">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给水：施工期用水从附近村庄采用罐车拉取</w:t>
      </w:r>
      <w:r>
        <w:rPr>
          <w:rFonts w:hint="eastAsia" w:ascii="Times New Roman" w:hAnsi="Times New Roman" w:eastAsia="宋体" w:cs="Times New Roman"/>
          <w:snapToGrid w:val="0"/>
          <w:color w:val="auto"/>
          <w:kern w:val="2"/>
          <w:sz w:val="24"/>
          <w:szCs w:val="24"/>
          <w:highlight w:val="none"/>
        </w:rPr>
        <w:t>，无废水外排</w:t>
      </w:r>
      <w:r>
        <w:rPr>
          <w:rFonts w:ascii="Times New Roman" w:hAnsi="Times New Roman" w:eastAsia="宋体" w:cs="Times New Roman"/>
          <w:snapToGrid w:val="0"/>
          <w:color w:val="auto"/>
          <w:kern w:val="2"/>
          <w:sz w:val="24"/>
          <w:szCs w:val="24"/>
          <w:highlight w:val="none"/>
        </w:rPr>
        <w:t>。</w:t>
      </w:r>
    </w:p>
    <w:p w14:paraId="5A1D697C">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运行期不涉及用水。</w:t>
      </w:r>
    </w:p>
    <w:p w14:paraId="4D858779">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（12）主要经济技术指标</w:t>
      </w:r>
    </w:p>
    <w:p w14:paraId="373EC5BA">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本工程总投资约</w:t>
      </w:r>
      <w:r>
        <w:rPr>
          <w:rFonts w:hint="eastAsia" w:ascii="Times New Roman" w:hAnsi="Times New Roman" w:eastAsia="宋体" w:cs="Times New Roman"/>
          <w:color w:val="auto"/>
          <w:sz w:val="24"/>
          <w:szCs w:val="24"/>
          <w:highlight w:val="none"/>
        </w:rPr>
        <w:t>3829.44</w:t>
      </w:r>
      <w:r>
        <w:rPr>
          <w:rFonts w:ascii="Times New Roman" w:hAnsi="Times New Roman" w:eastAsia="宋体" w:cs="Times New Roman"/>
          <w:snapToGrid w:val="0"/>
          <w:color w:val="auto"/>
          <w:kern w:val="2"/>
          <w:sz w:val="24"/>
          <w:szCs w:val="24"/>
          <w:highlight w:val="none"/>
        </w:rPr>
        <w:t>万元，其中环保投资约</w:t>
      </w:r>
      <w:r>
        <w:rPr>
          <w:rFonts w:hint="eastAsia" w:ascii="Times New Roman" w:hAnsi="Times New Roman" w:eastAsia="宋体" w:cs="Times New Roman"/>
          <w:snapToGrid w:val="0"/>
          <w:color w:val="auto"/>
          <w:kern w:val="2"/>
          <w:sz w:val="24"/>
          <w:szCs w:val="24"/>
          <w:highlight w:val="none"/>
          <w:lang w:val="en-US" w:eastAsia="zh-CN"/>
        </w:rPr>
        <w:t>24</w:t>
      </w:r>
      <w:r>
        <w:rPr>
          <w:rFonts w:ascii="Times New Roman" w:hAnsi="Times New Roman" w:eastAsia="宋体" w:cs="Times New Roman"/>
          <w:snapToGrid w:val="0"/>
          <w:color w:val="auto"/>
          <w:kern w:val="2"/>
          <w:sz w:val="24"/>
          <w:szCs w:val="24"/>
          <w:highlight w:val="none"/>
        </w:rPr>
        <w:t>0万元，约占总投资的</w:t>
      </w:r>
      <w:r>
        <w:rPr>
          <w:rFonts w:hint="eastAsia" w:ascii="Times New Roman" w:hAnsi="Times New Roman" w:eastAsia="宋体" w:cs="Times New Roman"/>
          <w:snapToGrid w:val="0"/>
          <w:color w:val="auto"/>
          <w:kern w:val="2"/>
          <w:sz w:val="24"/>
          <w:szCs w:val="24"/>
          <w:highlight w:val="none"/>
          <w:lang w:val="en-US" w:eastAsia="zh-CN"/>
        </w:rPr>
        <w:t>6.27</w:t>
      </w:r>
      <w:r>
        <w:rPr>
          <w:rFonts w:ascii="Times New Roman" w:hAnsi="Times New Roman" w:eastAsia="宋体" w:cs="Times New Roman"/>
          <w:snapToGrid w:val="0"/>
          <w:color w:val="auto"/>
          <w:kern w:val="2"/>
          <w:sz w:val="24"/>
          <w:szCs w:val="24"/>
          <w:highlight w:val="none"/>
        </w:rPr>
        <w:t>%。</w:t>
      </w:r>
    </w:p>
    <w:p w14:paraId="5C480ED3">
      <w:pPr>
        <w:ind w:firstLine="480"/>
        <w:rPr>
          <w:rFonts w:cs="Times New Roman"/>
          <w:color w:val="auto"/>
          <w:kern w:val="0"/>
          <w:highlight w:val="none"/>
        </w:rPr>
      </w:pPr>
      <w:bookmarkStart w:id="29" w:name="_Toc28160"/>
      <w:r>
        <w:rPr>
          <w:rFonts w:cs="Times New Roman"/>
          <w:color w:val="auto"/>
          <w:kern w:val="0"/>
          <w:highlight w:val="none"/>
        </w:rPr>
        <w:br w:type="page"/>
      </w:r>
    </w:p>
    <w:p w14:paraId="6D516ACE">
      <w:pPr>
        <w:pStyle w:val="7"/>
        <w:rPr>
          <w:rFonts w:cs="Times New Roman"/>
          <w:color w:val="auto"/>
          <w:kern w:val="0"/>
          <w:highlight w:val="none"/>
        </w:rPr>
      </w:pPr>
      <w:r>
        <w:rPr>
          <w:rFonts w:cs="Times New Roman"/>
          <w:color w:val="auto"/>
          <w:kern w:val="0"/>
          <w:highlight w:val="none"/>
        </w:rPr>
        <w:t>4 电磁环境现状监测与评价</w:t>
      </w:r>
      <w:bookmarkEnd w:id="29"/>
    </w:p>
    <w:p w14:paraId="7D5ACB6B">
      <w:pPr>
        <w:pStyle w:val="2"/>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为了解项目拟建</w:t>
      </w:r>
      <w:r>
        <w:rPr>
          <w:rFonts w:hint="eastAsia" w:ascii="Times New Roman" w:hAnsi="Times New Roman" w:eastAsia="宋体" w:cs="Times New Roman"/>
          <w:color w:val="auto"/>
          <w:sz w:val="24"/>
          <w:szCs w:val="24"/>
          <w:highlight w:val="none"/>
        </w:rPr>
        <w:t>输电线路</w:t>
      </w:r>
      <w:r>
        <w:rPr>
          <w:rFonts w:ascii="Times New Roman" w:hAnsi="Times New Roman" w:eastAsia="宋体" w:cs="Times New Roman"/>
          <w:color w:val="auto"/>
          <w:sz w:val="24"/>
          <w:szCs w:val="24"/>
          <w:highlight w:val="none"/>
        </w:rPr>
        <w:t>周边电磁环境质量现状，委托</w:t>
      </w:r>
      <w:r>
        <w:rPr>
          <w:rFonts w:ascii="Times New Roman" w:hAnsi="Times New Roman" w:eastAsia="宋体" w:cs="Times New Roman"/>
          <w:bCs/>
          <w:color w:val="auto"/>
          <w:sz w:val="24"/>
          <w:szCs w:val="24"/>
          <w:highlight w:val="none"/>
        </w:rPr>
        <w:t>承德市东岭环境监测有限公司</w:t>
      </w:r>
      <w:r>
        <w:rPr>
          <w:rFonts w:ascii="Times New Roman" w:hAnsi="Times New Roman" w:eastAsia="宋体" w:cs="Times New Roman"/>
          <w:color w:val="auto"/>
          <w:sz w:val="24"/>
          <w:szCs w:val="24"/>
          <w:highlight w:val="none"/>
        </w:rPr>
        <w:t>对本项目电磁环境现状进行了监测，监测报告编号为：</w:t>
      </w:r>
      <w:r>
        <w:rPr>
          <w:rFonts w:ascii="Times New Roman" w:hAnsi="Times New Roman" w:eastAsia="宋体" w:cs="Times New Roman"/>
          <w:bCs/>
          <w:color w:val="auto"/>
          <w:sz w:val="24"/>
          <w:szCs w:val="24"/>
          <w:highlight w:val="none"/>
        </w:rPr>
        <w:t>DLHJ字（2024）第</w:t>
      </w:r>
      <w:r>
        <w:rPr>
          <w:rFonts w:hint="eastAsia" w:ascii="Times New Roman" w:hAnsi="Times New Roman" w:eastAsia="宋体" w:cs="Times New Roman"/>
          <w:bCs/>
          <w:color w:val="auto"/>
          <w:sz w:val="24"/>
          <w:szCs w:val="24"/>
          <w:highlight w:val="none"/>
        </w:rPr>
        <w:t>224</w:t>
      </w:r>
      <w:r>
        <w:rPr>
          <w:rFonts w:ascii="Times New Roman" w:hAnsi="Times New Roman" w:eastAsia="宋体" w:cs="Times New Roman"/>
          <w:bCs/>
          <w:color w:val="auto"/>
          <w:sz w:val="24"/>
          <w:szCs w:val="24"/>
          <w:highlight w:val="none"/>
        </w:rPr>
        <w:t>号（详见附件）。</w:t>
      </w:r>
    </w:p>
    <w:p w14:paraId="7E798777">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（1）监测仪器</w:t>
      </w:r>
    </w:p>
    <w:p w14:paraId="59C7CEE9">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所用仪器均经国家计量部门检验合格，并处于检验证书有效期内，仪器的频率性能覆盖监测对象的频率范围。</w:t>
      </w:r>
    </w:p>
    <w:p w14:paraId="6BCE7F98">
      <w:pPr>
        <w:pStyle w:val="2"/>
        <w:spacing w:line="480" w:lineRule="exact"/>
        <w:ind w:firstLine="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表4-1  本项目监测仪器一览表</w:t>
      </w:r>
    </w:p>
    <w:tbl>
      <w:tblPr>
        <w:tblStyle w:val="16"/>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75"/>
        <w:gridCol w:w="1191"/>
        <w:gridCol w:w="1993"/>
        <w:gridCol w:w="2028"/>
        <w:gridCol w:w="1728"/>
      </w:tblGrid>
      <w:tr w14:paraId="2C64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348A0129">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序号</w:t>
            </w:r>
          </w:p>
        </w:tc>
        <w:tc>
          <w:tcPr>
            <w:tcW w:w="1377" w:type="dxa"/>
            <w:vAlign w:val="center"/>
          </w:tcPr>
          <w:p w14:paraId="361FDB02">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仪器名称、编号</w:t>
            </w:r>
          </w:p>
        </w:tc>
        <w:tc>
          <w:tcPr>
            <w:tcW w:w="1191" w:type="dxa"/>
            <w:vAlign w:val="center"/>
          </w:tcPr>
          <w:p w14:paraId="7A107A45">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仪器</w:t>
            </w:r>
          </w:p>
          <w:p w14:paraId="7D088D20">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型号</w:t>
            </w:r>
          </w:p>
        </w:tc>
        <w:tc>
          <w:tcPr>
            <w:tcW w:w="1996" w:type="dxa"/>
            <w:vAlign w:val="center"/>
          </w:tcPr>
          <w:p w14:paraId="030170F3">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测量范围或量程</w:t>
            </w:r>
          </w:p>
        </w:tc>
        <w:tc>
          <w:tcPr>
            <w:tcW w:w="2033" w:type="dxa"/>
            <w:vAlign w:val="center"/>
          </w:tcPr>
          <w:p w14:paraId="0308D79A">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检定/校准</w:t>
            </w:r>
          </w:p>
          <w:p w14:paraId="327094C2">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有效期</w:t>
            </w:r>
          </w:p>
        </w:tc>
        <w:tc>
          <w:tcPr>
            <w:tcW w:w="1733" w:type="dxa"/>
            <w:vAlign w:val="center"/>
          </w:tcPr>
          <w:p w14:paraId="68A239D5">
            <w:pPr>
              <w:spacing w:line="300" w:lineRule="exact"/>
              <w:ind w:firstLine="0" w:firstLineChars="0"/>
              <w:jc w:val="center"/>
              <w:rPr>
                <w:rFonts w:eastAsia="宋体" w:cs="Times New Roman"/>
                <w:color w:val="auto"/>
                <w:sz w:val="21"/>
                <w:szCs w:val="21"/>
                <w:highlight w:val="none"/>
              </w:rPr>
            </w:pPr>
            <w:r>
              <w:rPr>
                <w:rFonts w:eastAsia="宋体" w:cs="Times New Roman"/>
                <w:color w:val="auto"/>
                <w:sz w:val="21"/>
                <w:szCs w:val="21"/>
                <w:highlight w:val="none"/>
              </w:rPr>
              <w:t>检定/校准机构</w:t>
            </w:r>
          </w:p>
        </w:tc>
      </w:tr>
      <w:tr w14:paraId="1062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5A725C97">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1</w:t>
            </w:r>
          </w:p>
        </w:tc>
        <w:tc>
          <w:tcPr>
            <w:tcW w:w="1377" w:type="dxa"/>
            <w:vAlign w:val="center"/>
          </w:tcPr>
          <w:p w14:paraId="180E0336">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电磁辐射分析仪DLYQ-65</w:t>
            </w:r>
          </w:p>
        </w:tc>
        <w:tc>
          <w:tcPr>
            <w:tcW w:w="1191" w:type="dxa"/>
            <w:vAlign w:val="center"/>
          </w:tcPr>
          <w:p w14:paraId="7A9881EB">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LF-01D/</w:t>
            </w:r>
          </w:p>
          <w:p w14:paraId="0B52677F">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SEM-600</w:t>
            </w:r>
          </w:p>
        </w:tc>
        <w:tc>
          <w:tcPr>
            <w:tcW w:w="1996" w:type="dxa"/>
            <w:vAlign w:val="center"/>
          </w:tcPr>
          <w:p w14:paraId="3261F06D">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0.01V/m～100kV/m</w:t>
            </w:r>
          </w:p>
          <w:p w14:paraId="1127E631">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1nT～10mT</w:t>
            </w:r>
          </w:p>
        </w:tc>
        <w:tc>
          <w:tcPr>
            <w:tcW w:w="2033" w:type="dxa"/>
            <w:vAlign w:val="center"/>
          </w:tcPr>
          <w:p w14:paraId="4FD07E9A">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2024年05月10日-2025年05月09日</w:t>
            </w:r>
          </w:p>
        </w:tc>
        <w:tc>
          <w:tcPr>
            <w:tcW w:w="1733" w:type="dxa"/>
            <w:vAlign w:val="center"/>
          </w:tcPr>
          <w:p w14:paraId="7F71B93E">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中国计量科学研究院</w:t>
            </w:r>
          </w:p>
        </w:tc>
      </w:tr>
      <w:tr w14:paraId="0C66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622BABC0">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2</w:t>
            </w:r>
          </w:p>
        </w:tc>
        <w:tc>
          <w:tcPr>
            <w:tcW w:w="1377" w:type="dxa"/>
            <w:vAlign w:val="center"/>
          </w:tcPr>
          <w:p w14:paraId="0F8C5B3B">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温湿度表DLYQ-37</w:t>
            </w:r>
          </w:p>
        </w:tc>
        <w:tc>
          <w:tcPr>
            <w:tcW w:w="1191" w:type="dxa"/>
            <w:vAlign w:val="center"/>
          </w:tcPr>
          <w:p w14:paraId="71003B5A">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WHM5型</w:t>
            </w:r>
          </w:p>
        </w:tc>
        <w:tc>
          <w:tcPr>
            <w:tcW w:w="1996" w:type="dxa"/>
            <w:vAlign w:val="center"/>
          </w:tcPr>
          <w:p w14:paraId="38B4B792">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-20℃～+40℃ （0～100%）RH</w:t>
            </w:r>
          </w:p>
        </w:tc>
        <w:tc>
          <w:tcPr>
            <w:tcW w:w="2033" w:type="dxa"/>
            <w:vAlign w:val="center"/>
          </w:tcPr>
          <w:p w14:paraId="4A8DD180">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2024年01月08日-2025年01月07日</w:t>
            </w:r>
          </w:p>
        </w:tc>
        <w:tc>
          <w:tcPr>
            <w:tcW w:w="1733" w:type="dxa"/>
            <w:vAlign w:val="center"/>
          </w:tcPr>
          <w:p w14:paraId="2B59159A">
            <w:pPr>
              <w:spacing w:line="300" w:lineRule="exact"/>
              <w:ind w:firstLine="0" w:firstLineChars="0"/>
              <w:jc w:val="center"/>
              <w:rPr>
                <w:rFonts w:eastAsia="宋体" w:cs="Times New Roman"/>
                <w:color w:val="auto"/>
                <w:sz w:val="21"/>
                <w:szCs w:val="21"/>
                <w:highlight w:val="none"/>
                <w:lang w:bidi="ar"/>
              </w:rPr>
            </w:pPr>
            <w:r>
              <w:rPr>
                <w:rFonts w:eastAsia="宋体" w:cs="Times New Roman"/>
                <w:color w:val="auto"/>
                <w:sz w:val="21"/>
                <w:szCs w:val="21"/>
                <w:highlight w:val="none"/>
                <w:lang w:bidi="ar"/>
              </w:rPr>
              <w:t>河北省计量监督检测研究院</w:t>
            </w:r>
          </w:p>
        </w:tc>
      </w:tr>
    </w:tbl>
    <w:p w14:paraId="2D34A147">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（2）监测方法</w:t>
      </w:r>
    </w:p>
    <w:p w14:paraId="17B4DA38">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按照《交流输变电工程电磁环境监测方法（试行）》（HJ681-2013）进行。</w:t>
      </w:r>
    </w:p>
    <w:p w14:paraId="77B21014">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（3）监测点位、监测频次及监测因子</w:t>
      </w:r>
    </w:p>
    <w:p w14:paraId="261BB638">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监测点位：</w:t>
      </w:r>
      <w:r>
        <w:rPr>
          <w:rFonts w:hint="eastAsia" w:ascii="Times New Roman" w:hAnsi="Times New Roman" w:eastAsia="宋体" w:cs="Times New Roman"/>
          <w:color w:val="auto"/>
          <w:sz w:val="24"/>
          <w:szCs w:val="24"/>
          <w:highlight w:val="none"/>
          <w:lang w:eastAsia="zh-CN"/>
        </w:rPr>
        <w:t>根据《环境影响评价技术导则</w:t>
      </w:r>
      <w:r>
        <w:rPr>
          <w:rFonts w:hint="eastAsia" w:ascii="Times New Roman" w:hAnsi="Times New Roman" w:eastAsia="宋体" w:cs="Times New Roman"/>
          <w:color w:val="auto"/>
          <w:sz w:val="24"/>
          <w:szCs w:val="24"/>
          <w:highlight w:val="none"/>
          <w:lang w:val="en-US" w:eastAsia="zh-CN"/>
        </w:rPr>
        <w:t xml:space="preserve"> 输变电</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HJ24-2020</w:t>
      </w:r>
      <w:r>
        <w:rPr>
          <w:rFonts w:hint="eastAsia" w:ascii="Times New Roman" w:hAnsi="Times New Roman" w:eastAsia="宋体" w:cs="Times New Roman"/>
          <w:color w:val="auto"/>
          <w:sz w:val="24"/>
          <w:szCs w:val="24"/>
          <w:highlight w:val="none"/>
          <w:lang w:eastAsia="zh-CN"/>
        </w:rPr>
        <w:t>），本项目电磁环境评价等级为三级，无电磁环境保护目标，单回路线路段对线路沿线电磁环境均匀布设</w:t>
      </w:r>
      <w:r>
        <w:rPr>
          <w:rFonts w:hint="eastAsia" w:ascii="Times New Roman" w:hAnsi="Times New Roman" w:eastAsia="宋体" w:cs="Times New Roman"/>
          <w:color w:val="auto"/>
          <w:sz w:val="24"/>
          <w:szCs w:val="24"/>
          <w:highlight w:val="none"/>
          <w:lang w:val="en-US" w:eastAsia="zh-CN"/>
        </w:rPr>
        <w:t>3个点位（其中保护区内布设2个，保护区外布设1个），双回线路处位于华能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w:t>
      </w:r>
      <w:r>
        <w:rPr>
          <w:rFonts w:hint="eastAsia" w:ascii="Times New Roman" w:hAnsi="Times New Roman" w:eastAsia="宋体" w:cs="Times New Roman"/>
          <w:color w:val="auto"/>
          <w:sz w:val="24"/>
          <w:szCs w:val="24"/>
          <w:highlight w:val="none"/>
          <w:lang w:val="en-US" w:eastAsia="zh-CN"/>
        </w:rPr>
        <w:t>220kV间隔</w:t>
      </w:r>
      <w:r>
        <w:rPr>
          <w:rFonts w:hint="eastAsia" w:ascii="Times New Roman" w:hAnsi="Times New Roman" w:eastAsia="宋体" w:cs="Times New Roman"/>
          <w:color w:val="auto"/>
          <w:sz w:val="24"/>
          <w:szCs w:val="24"/>
          <w:highlight w:val="none"/>
          <w:lang w:eastAsia="zh-CN"/>
        </w:rPr>
        <w:t>进线端，因此双回路段监测点位引用</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升压站工程南侧监测点（监测点位在本项目评价范围内），</w:t>
      </w:r>
      <w:r>
        <w:rPr>
          <w:rFonts w:hint="default" w:ascii="Times New Roman" w:hAnsi="Times New Roman" w:eastAsia="宋体" w:cs="Times New Roman"/>
          <w:color w:val="auto"/>
          <w:sz w:val="24"/>
          <w:szCs w:val="24"/>
          <w:highlight w:val="none"/>
        </w:rPr>
        <w:t>华能围场“风光储氢热一体化”项目（光伏200MW）项目220kV送出线路工程项目拟建220kV线路N15~N16塔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N13~N14塔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之间线下设1个监测点（1#），拟建220kV线路N25-N26塔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N22~N23塔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之间线下设1个监测点（2#），拟建220kV线路N57~N58塔</w:t>
      </w:r>
      <w:r>
        <w:rPr>
          <w:rFonts w:hint="default" w:ascii="Times New Roman" w:hAnsi="Times New Roman" w:eastAsia="宋体" w:cs="Times New Roman"/>
          <w:color w:val="auto"/>
          <w:sz w:val="24"/>
          <w:szCs w:val="24"/>
          <w:highlight w:val="none"/>
          <w:lang w:eastAsia="zh-CN"/>
        </w:rPr>
        <w:t>（优化塔基位置后</w:t>
      </w:r>
      <w:r>
        <w:rPr>
          <w:rFonts w:hint="default" w:ascii="Times New Roman" w:hAnsi="Times New Roman" w:eastAsia="宋体" w:cs="Times New Roman"/>
          <w:color w:val="auto"/>
          <w:sz w:val="24"/>
          <w:szCs w:val="24"/>
          <w:highlight w:val="none"/>
          <w:lang w:val="en-US" w:eastAsia="zh-CN"/>
        </w:rPr>
        <w:t>N49~N50塔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之间线下设1个监测点（3#）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华能</w:t>
      </w:r>
      <w:r>
        <w:rPr>
          <w:rFonts w:hint="default" w:ascii="Times New Roman" w:hAnsi="Times New Roman" w:eastAsia="宋体" w:cs="Times New Roman"/>
          <w:color w:val="auto"/>
          <w:sz w:val="24"/>
          <w:szCs w:val="24"/>
          <w:highlight w:val="none"/>
        </w:rPr>
        <w:t>围场“风光储氢热一体化”项目（</w:t>
      </w:r>
      <w:r>
        <w:rPr>
          <w:rFonts w:hint="eastAsia" w:ascii="Times New Roman" w:hAnsi="Times New Roman" w:eastAsia="宋体" w:cs="Times New Roman"/>
          <w:color w:val="auto"/>
          <w:sz w:val="24"/>
          <w:szCs w:val="24"/>
          <w:highlight w:val="none"/>
          <w:lang w:eastAsia="zh-CN"/>
        </w:rPr>
        <w:t>风电</w:t>
      </w:r>
      <w:r>
        <w:rPr>
          <w:rFonts w:hint="default" w:ascii="Times New Roman" w:hAnsi="Times New Roman" w:eastAsia="宋体" w:cs="Times New Roman"/>
          <w:color w:val="auto"/>
          <w:sz w:val="24"/>
          <w:szCs w:val="24"/>
          <w:highlight w:val="none"/>
        </w:rPr>
        <w:t>200MW）项目220kV</w:t>
      </w:r>
      <w:r>
        <w:rPr>
          <w:rFonts w:hint="eastAsia" w:ascii="Times New Roman" w:hAnsi="Times New Roman" w:eastAsia="宋体" w:cs="Times New Roman"/>
          <w:color w:val="auto"/>
          <w:sz w:val="24"/>
          <w:szCs w:val="24"/>
          <w:highlight w:val="none"/>
          <w:lang w:eastAsia="zh-CN"/>
        </w:rPr>
        <w:t>升压站南侧监测点（</w:t>
      </w:r>
      <w:r>
        <w:rPr>
          <w:rFonts w:hint="eastAsia" w:ascii="Times New Roman" w:hAnsi="Times New Roman" w:eastAsia="宋体" w:cs="Times New Roman"/>
          <w:color w:val="auto"/>
          <w:sz w:val="24"/>
          <w:szCs w:val="24"/>
          <w:highlight w:val="none"/>
          <w:lang w:val="en-US" w:eastAsia="zh-CN"/>
        </w:rPr>
        <w:t>4#，引用点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共设置</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个监测点位。监测布点示意图见附图3。</w:t>
      </w:r>
    </w:p>
    <w:p w14:paraId="3929FED2">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监测频次：监测1次。</w:t>
      </w:r>
    </w:p>
    <w:p w14:paraId="651EECFA">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监测因子：工频电场（V/m）、工频磁场（μT）。</w:t>
      </w:r>
    </w:p>
    <w:p w14:paraId="5EADABB1">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（4）监测单位、时间</w:t>
      </w:r>
    </w:p>
    <w:p w14:paraId="7B2D7432">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Cs/>
          <w:color w:val="auto"/>
          <w:sz w:val="24"/>
          <w:szCs w:val="24"/>
          <w:highlight w:val="none"/>
        </w:rPr>
        <w:t>承德市东岭环境监测有限公司</w:t>
      </w:r>
      <w:r>
        <w:rPr>
          <w:rFonts w:ascii="Times New Roman" w:hAnsi="Times New Roman" w:eastAsia="宋体" w:cs="Times New Roman"/>
          <w:color w:val="auto"/>
          <w:sz w:val="24"/>
          <w:szCs w:val="24"/>
          <w:highlight w:val="none"/>
        </w:rPr>
        <w:t>于2024年</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rPr>
        <w:t>15</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eastAsia="zh-CN"/>
        </w:rPr>
        <w:t>、河北辐翱检测技术有限公司</w:t>
      </w:r>
      <w:r>
        <w:rPr>
          <w:rFonts w:hint="eastAsia" w:ascii="Times New Roman" w:hAnsi="Times New Roman" w:eastAsia="宋体" w:cs="Times New Roman"/>
          <w:color w:val="auto"/>
          <w:sz w:val="24"/>
          <w:szCs w:val="24"/>
          <w:highlight w:val="none"/>
          <w:lang w:val="en-US" w:eastAsia="zh-CN"/>
        </w:rPr>
        <w:t>9月1日</w:t>
      </w:r>
      <w:r>
        <w:rPr>
          <w:rFonts w:ascii="Times New Roman" w:hAnsi="Times New Roman" w:eastAsia="宋体" w:cs="Times New Roman"/>
          <w:color w:val="auto"/>
          <w:sz w:val="24"/>
          <w:szCs w:val="24"/>
          <w:highlight w:val="none"/>
        </w:rPr>
        <w:t>进行监测。</w:t>
      </w:r>
    </w:p>
    <w:p w14:paraId="6A1613A5">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无雨无雪，昼间：环境温度：22-25℃；相对湿度：56-60%；风速为1.7-1.9m/s。</w:t>
      </w:r>
    </w:p>
    <w:p w14:paraId="1D2CB0A2">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（5）监测结果</w:t>
      </w:r>
    </w:p>
    <w:p w14:paraId="79709BFD">
      <w:pPr>
        <w:pStyle w:val="2"/>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拟建线路沿线工频电磁强度现状值监测结果见下表。</w:t>
      </w:r>
    </w:p>
    <w:p w14:paraId="6586F876">
      <w:pPr>
        <w:pStyle w:val="2"/>
        <w:spacing w:line="240" w:lineRule="atLeast"/>
        <w:ind w:firstLine="0"/>
        <w:jc w:val="center"/>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Cs w:val="21"/>
          <w:highlight w:val="none"/>
        </w:rPr>
        <w:t>表</w:t>
      </w:r>
      <w:r>
        <w:rPr>
          <w:rFonts w:hint="eastAsia" w:ascii="Times New Roman" w:hAnsi="Times New Roman" w:eastAsia="宋体" w:cs="Times New Roman"/>
          <w:b/>
          <w:color w:val="auto"/>
          <w:szCs w:val="21"/>
          <w:highlight w:val="none"/>
        </w:rPr>
        <w:t>4-2</w:t>
      </w:r>
      <w:r>
        <w:rPr>
          <w:rFonts w:ascii="Times New Roman" w:hAnsi="Times New Roman" w:eastAsia="宋体" w:cs="Times New Roman"/>
          <w:b/>
          <w:color w:val="auto"/>
          <w:szCs w:val="21"/>
          <w:highlight w:val="none"/>
        </w:rPr>
        <w:t xml:space="preserve">  本项目电磁环境现状值监测结果</w:t>
      </w:r>
    </w:p>
    <w:tbl>
      <w:tblPr>
        <w:tblStyle w:val="15"/>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3433"/>
        <w:gridCol w:w="1591"/>
        <w:gridCol w:w="1474"/>
        <w:gridCol w:w="1449"/>
      </w:tblGrid>
      <w:tr w14:paraId="781D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61B50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序号</w:t>
            </w:r>
          </w:p>
        </w:tc>
        <w:tc>
          <w:tcPr>
            <w:tcW w:w="1968" w:type="pct"/>
            <w:vAlign w:val="center"/>
          </w:tcPr>
          <w:p w14:paraId="7AA70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监测点位</w:t>
            </w:r>
          </w:p>
        </w:tc>
        <w:tc>
          <w:tcPr>
            <w:tcW w:w="912" w:type="pct"/>
            <w:vAlign w:val="center"/>
          </w:tcPr>
          <w:p w14:paraId="1AFEB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工频电场强度(V/m)</w:t>
            </w:r>
          </w:p>
        </w:tc>
        <w:tc>
          <w:tcPr>
            <w:tcW w:w="845" w:type="pct"/>
            <w:vAlign w:val="center"/>
          </w:tcPr>
          <w:p w14:paraId="286AC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工频磁感应强度(μT)</w:t>
            </w:r>
          </w:p>
        </w:tc>
        <w:tc>
          <w:tcPr>
            <w:tcW w:w="831" w:type="pct"/>
            <w:vAlign w:val="center"/>
          </w:tcPr>
          <w:p w14:paraId="73EE7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rPr>
              <w:t>备注</w:t>
            </w:r>
          </w:p>
        </w:tc>
      </w:tr>
      <w:tr w14:paraId="7A9B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3DBD5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1</w:t>
            </w:r>
          </w:p>
        </w:tc>
        <w:tc>
          <w:tcPr>
            <w:tcW w:w="1968" w:type="pct"/>
            <w:vAlign w:val="center"/>
          </w:tcPr>
          <w:p w14:paraId="7277E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拟建线路N</w:t>
            </w:r>
            <w:r>
              <w:rPr>
                <w:rFonts w:hint="eastAsia" w:eastAsia="宋体" w:cs="Times New Roman"/>
                <w:color w:val="auto"/>
                <w:sz w:val="21"/>
                <w:szCs w:val="21"/>
                <w:highlight w:val="none"/>
              </w:rPr>
              <w:t>1</w:t>
            </w:r>
            <w:r>
              <w:rPr>
                <w:rFonts w:eastAsia="宋体" w:cs="Times New Roman"/>
                <w:color w:val="auto"/>
                <w:sz w:val="21"/>
                <w:szCs w:val="21"/>
                <w:highlight w:val="none"/>
              </w:rPr>
              <w:t>5--N</w:t>
            </w:r>
            <w:r>
              <w:rPr>
                <w:rFonts w:hint="eastAsia" w:eastAsia="宋体" w:cs="Times New Roman"/>
                <w:color w:val="auto"/>
                <w:sz w:val="21"/>
                <w:szCs w:val="21"/>
                <w:highlight w:val="none"/>
              </w:rPr>
              <w:t>1</w:t>
            </w:r>
            <w:r>
              <w:rPr>
                <w:rFonts w:eastAsia="宋体" w:cs="Times New Roman"/>
                <w:color w:val="auto"/>
                <w:sz w:val="21"/>
                <w:szCs w:val="21"/>
                <w:highlight w:val="none"/>
              </w:rPr>
              <w:t>6</w:t>
            </w:r>
            <w:r>
              <w:rPr>
                <w:rFonts w:hint="eastAsia" w:eastAsia="宋体" w:cs="Times New Roman"/>
                <w:color w:val="auto"/>
                <w:sz w:val="21"/>
                <w:szCs w:val="21"/>
                <w:highlight w:val="none"/>
              </w:rPr>
              <w:t>（优化塔基位置后N13~N14塔）</w:t>
            </w:r>
            <w:r>
              <w:rPr>
                <w:rFonts w:eastAsia="宋体" w:cs="Times New Roman"/>
                <w:color w:val="auto"/>
                <w:sz w:val="21"/>
                <w:szCs w:val="21"/>
                <w:highlight w:val="none"/>
              </w:rPr>
              <w:t>之间线下（1#）</w:t>
            </w:r>
          </w:p>
        </w:tc>
        <w:tc>
          <w:tcPr>
            <w:tcW w:w="912" w:type="pct"/>
            <w:vAlign w:val="center"/>
          </w:tcPr>
          <w:p w14:paraId="4BF3E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1.23</w:t>
            </w:r>
          </w:p>
        </w:tc>
        <w:tc>
          <w:tcPr>
            <w:tcW w:w="845" w:type="pct"/>
            <w:vAlign w:val="center"/>
          </w:tcPr>
          <w:p w14:paraId="694C4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0.013</w:t>
            </w:r>
          </w:p>
        </w:tc>
        <w:tc>
          <w:tcPr>
            <w:tcW w:w="831" w:type="pct"/>
            <w:vMerge w:val="restart"/>
            <w:vAlign w:val="center"/>
          </w:tcPr>
          <w:p w14:paraId="10CE1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河北滦河上游国家级自然保护区</w:t>
            </w:r>
            <w:r>
              <w:rPr>
                <w:rFonts w:hint="eastAsia" w:eastAsia="宋体" w:cs="Times New Roman"/>
                <w:color w:val="auto"/>
                <w:sz w:val="21"/>
                <w:szCs w:val="21"/>
                <w:highlight w:val="none"/>
              </w:rPr>
              <w:t>实验区</w:t>
            </w:r>
          </w:p>
        </w:tc>
      </w:tr>
      <w:tr w14:paraId="245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74797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2</w:t>
            </w:r>
          </w:p>
        </w:tc>
        <w:tc>
          <w:tcPr>
            <w:tcW w:w="1968" w:type="pct"/>
            <w:vAlign w:val="center"/>
          </w:tcPr>
          <w:p w14:paraId="1F166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拟建线路N</w:t>
            </w:r>
            <w:r>
              <w:rPr>
                <w:rFonts w:hint="eastAsia" w:eastAsia="宋体" w:cs="Times New Roman"/>
                <w:color w:val="auto"/>
                <w:sz w:val="21"/>
                <w:szCs w:val="21"/>
                <w:highlight w:val="none"/>
              </w:rPr>
              <w:t>25</w:t>
            </w:r>
            <w:r>
              <w:rPr>
                <w:rFonts w:eastAsia="宋体" w:cs="Times New Roman"/>
                <w:color w:val="auto"/>
                <w:sz w:val="21"/>
                <w:szCs w:val="21"/>
                <w:highlight w:val="none"/>
              </w:rPr>
              <w:t>-N</w:t>
            </w:r>
            <w:r>
              <w:rPr>
                <w:rFonts w:hint="eastAsia" w:eastAsia="宋体" w:cs="Times New Roman"/>
                <w:color w:val="auto"/>
                <w:sz w:val="21"/>
                <w:szCs w:val="21"/>
                <w:highlight w:val="none"/>
              </w:rPr>
              <w:t>26（优化塔基位置后N22~N23塔）</w:t>
            </w:r>
            <w:r>
              <w:rPr>
                <w:rFonts w:eastAsia="宋体" w:cs="Times New Roman"/>
                <w:color w:val="auto"/>
                <w:sz w:val="21"/>
                <w:szCs w:val="21"/>
                <w:highlight w:val="none"/>
              </w:rPr>
              <w:t>之间</w:t>
            </w:r>
            <w:r>
              <w:rPr>
                <w:rFonts w:hint="eastAsia" w:eastAsia="宋体" w:cs="Times New Roman"/>
                <w:color w:val="auto"/>
                <w:sz w:val="21"/>
                <w:szCs w:val="21"/>
                <w:highlight w:val="none"/>
              </w:rPr>
              <w:t>线下</w:t>
            </w:r>
            <w:r>
              <w:rPr>
                <w:rFonts w:eastAsia="宋体" w:cs="Times New Roman"/>
                <w:color w:val="auto"/>
                <w:sz w:val="21"/>
                <w:szCs w:val="21"/>
                <w:highlight w:val="none"/>
              </w:rPr>
              <w:t>（2#）</w:t>
            </w:r>
          </w:p>
        </w:tc>
        <w:tc>
          <w:tcPr>
            <w:tcW w:w="912" w:type="pct"/>
            <w:vAlign w:val="center"/>
          </w:tcPr>
          <w:p w14:paraId="40EEE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1.39</w:t>
            </w:r>
          </w:p>
        </w:tc>
        <w:tc>
          <w:tcPr>
            <w:tcW w:w="845" w:type="pct"/>
            <w:vAlign w:val="center"/>
          </w:tcPr>
          <w:p w14:paraId="59915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0.019</w:t>
            </w:r>
          </w:p>
        </w:tc>
        <w:tc>
          <w:tcPr>
            <w:tcW w:w="831" w:type="pct"/>
            <w:vMerge w:val="continue"/>
            <w:vAlign w:val="center"/>
          </w:tcPr>
          <w:p w14:paraId="1B158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p>
        </w:tc>
      </w:tr>
      <w:tr w14:paraId="27DC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32502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3</w:t>
            </w:r>
          </w:p>
        </w:tc>
        <w:tc>
          <w:tcPr>
            <w:tcW w:w="1968" w:type="pct"/>
            <w:vAlign w:val="center"/>
          </w:tcPr>
          <w:p w14:paraId="439B22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拟建线路N</w:t>
            </w:r>
            <w:r>
              <w:rPr>
                <w:rFonts w:hint="eastAsia" w:eastAsia="宋体" w:cs="Times New Roman"/>
                <w:color w:val="auto"/>
                <w:sz w:val="21"/>
                <w:szCs w:val="21"/>
                <w:highlight w:val="none"/>
                <w:lang w:val="en-US" w:eastAsia="zh-CN"/>
              </w:rPr>
              <w:t>49</w:t>
            </w:r>
            <w:r>
              <w:rPr>
                <w:rFonts w:eastAsia="宋体" w:cs="Times New Roman"/>
                <w:color w:val="auto"/>
                <w:sz w:val="21"/>
                <w:szCs w:val="21"/>
                <w:highlight w:val="none"/>
              </w:rPr>
              <w:t>-N</w:t>
            </w:r>
            <w:r>
              <w:rPr>
                <w:rFonts w:hint="eastAsia" w:eastAsia="宋体" w:cs="Times New Roman"/>
                <w:color w:val="auto"/>
                <w:sz w:val="21"/>
                <w:szCs w:val="21"/>
                <w:highlight w:val="none"/>
              </w:rPr>
              <w:t>5</w:t>
            </w:r>
            <w:r>
              <w:rPr>
                <w:rFonts w:hint="eastAsia" w:eastAsia="宋体" w:cs="Times New Roman"/>
                <w:color w:val="auto"/>
                <w:sz w:val="21"/>
                <w:szCs w:val="21"/>
                <w:highlight w:val="none"/>
                <w:lang w:val="en-US" w:eastAsia="zh-CN"/>
              </w:rPr>
              <w:t>0（优化塔基位置后N49~N50塔）</w:t>
            </w:r>
            <w:r>
              <w:rPr>
                <w:rFonts w:eastAsia="宋体" w:cs="Times New Roman"/>
                <w:color w:val="auto"/>
                <w:sz w:val="21"/>
                <w:szCs w:val="21"/>
                <w:highlight w:val="none"/>
              </w:rPr>
              <w:t>之间</w:t>
            </w:r>
            <w:r>
              <w:rPr>
                <w:rFonts w:hint="eastAsia" w:eastAsia="宋体" w:cs="Times New Roman"/>
                <w:color w:val="auto"/>
                <w:sz w:val="21"/>
                <w:szCs w:val="21"/>
                <w:highlight w:val="none"/>
              </w:rPr>
              <w:t>线下</w:t>
            </w:r>
            <w:r>
              <w:rPr>
                <w:rFonts w:eastAsia="宋体" w:cs="Times New Roman"/>
                <w:color w:val="auto"/>
                <w:sz w:val="21"/>
                <w:szCs w:val="21"/>
                <w:highlight w:val="none"/>
              </w:rPr>
              <w:t>（3#）</w:t>
            </w:r>
          </w:p>
        </w:tc>
        <w:tc>
          <w:tcPr>
            <w:tcW w:w="912" w:type="pct"/>
            <w:vAlign w:val="center"/>
          </w:tcPr>
          <w:p w14:paraId="23EAC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1.04</w:t>
            </w:r>
          </w:p>
        </w:tc>
        <w:tc>
          <w:tcPr>
            <w:tcW w:w="845" w:type="pct"/>
            <w:vAlign w:val="center"/>
          </w:tcPr>
          <w:p w14:paraId="14C86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eastAsia="宋体" w:cs="Times New Roman"/>
                <w:color w:val="auto"/>
                <w:sz w:val="21"/>
                <w:szCs w:val="21"/>
                <w:highlight w:val="none"/>
              </w:rPr>
              <w:t>0.013</w:t>
            </w:r>
          </w:p>
        </w:tc>
        <w:tc>
          <w:tcPr>
            <w:tcW w:w="831" w:type="pct"/>
            <w:vAlign w:val="center"/>
          </w:tcPr>
          <w:p w14:paraId="51118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highlight w:val="none"/>
              </w:rPr>
            </w:pPr>
            <w:r>
              <w:rPr>
                <w:rFonts w:hint="eastAsia" w:eastAsia="宋体" w:cs="Times New Roman"/>
                <w:color w:val="auto"/>
                <w:sz w:val="21"/>
                <w:szCs w:val="21"/>
                <w:highlight w:val="none"/>
              </w:rPr>
              <w:t>/</w:t>
            </w:r>
          </w:p>
        </w:tc>
      </w:tr>
      <w:tr w14:paraId="61D4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Align w:val="center"/>
          </w:tcPr>
          <w:p w14:paraId="547AA05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968" w:type="pct"/>
            <w:vAlign w:val="center"/>
          </w:tcPr>
          <w:p w14:paraId="686357C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eastAsia="宋体"/>
                <w:color w:val="auto"/>
                <w:kern w:val="0"/>
                <w:sz w:val="20"/>
                <w:szCs w:val="20"/>
                <w:lang w:eastAsia="zh-CN"/>
              </w:rPr>
              <w:t>风电</w:t>
            </w:r>
            <w:r>
              <w:rPr>
                <w:rFonts w:ascii="Times New Roman" w:hAnsi="Times New Roman"/>
                <w:color w:val="auto"/>
                <w:kern w:val="0"/>
                <w:sz w:val="20"/>
                <w:szCs w:val="20"/>
              </w:rPr>
              <w:t>220kV升压站南侧</w:t>
            </w:r>
          </w:p>
        </w:tc>
        <w:tc>
          <w:tcPr>
            <w:tcW w:w="912" w:type="pct"/>
            <w:vAlign w:val="center"/>
          </w:tcPr>
          <w:p w14:paraId="53DD7F1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color w:val="auto"/>
                <w:kern w:val="0"/>
                <w:sz w:val="20"/>
                <w:szCs w:val="20"/>
              </w:rPr>
              <w:t>0</w:t>
            </w:r>
            <w:r>
              <w:rPr>
                <w:rFonts w:ascii="Times New Roman" w:hAnsi="Times New Roman"/>
                <w:color w:val="auto"/>
                <w:kern w:val="0"/>
                <w:sz w:val="20"/>
                <w:szCs w:val="20"/>
              </w:rPr>
              <w:t>.596</w:t>
            </w:r>
          </w:p>
        </w:tc>
        <w:tc>
          <w:tcPr>
            <w:tcW w:w="845" w:type="pct"/>
            <w:vAlign w:val="center"/>
          </w:tcPr>
          <w:p w14:paraId="446A121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Calibri" w:hAnsi="Calibri" w:eastAsia="Noto Sans Mono CJK JP Bold" w:cs="Noto Sans Mono CJK JP Bold"/>
                <w:color w:val="auto"/>
                <w:kern w:val="0"/>
                <w:sz w:val="20"/>
                <w:szCs w:val="20"/>
                <w:lang w:val="en-US" w:eastAsia="zh-CN" w:bidi="ar-SA"/>
              </w:rPr>
            </w:pPr>
            <w:r>
              <w:rPr>
                <w:rFonts w:hint="eastAsia" w:ascii="Times New Roman" w:hAnsi="Times New Roman"/>
                <w:color w:val="auto"/>
                <w:kern w:val="0"/>
                <w:sz w:val="20"/>
                <w:szCs w:val="20"/>
              </w:rPr>
              <w:t>0</w:t>
            </w:r>
            <w:r>
              <w:rPr>
                <w:rFonts w:ascii="Times New Roman" w:hAnsi="Times New Roman"/>
                <w:color w:val="auto"/>
                <w:kern w:val="0"/>
                <w:sz w:val="20"/>
                <w:szCs w:val="20"/>
              </w:rPr>
              <w:t>.0069</w:t>
            </w:r>
          </w:p>
        </w:tc>
        <w:tc>
          <w:tcPr>
            <w:tcW w:w="831" w:type="pct"/>
            <w:vAlign w:val="center"/>
          </w:tcPr>
          <w:p w14:paraId="134035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双回路段</w:t>
            </w:r>
          </w:p>
        </w:tc>
      </w:tr>
    </w:tbl>
    <w:p w14:paraId="1BDAD83E">
      <w:pPr>
        <w:pStyle w:val="2"/>
        <w:spacing w:line="480" w:lineRule="exact"/>
        <w:ind w:firstLine="480" w:firstLineChars="200"/>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由上表可知，拟建线路沿线工频电场强度为</w:t>
      </w:r>
      <w:r>
        <w:rPr>
          <w:rFonts w:hint="eastAsia" w:ascii="Times New Roman" w:hAnsi="Times New Roman" w:eastAsia="宋体" w:cs="Times New Roman"/>
          <w:color w:val="auto"/>
          <w:sz w:val="24"/>
          <w:szCs w:val="24"/>
          <w:highlight w:val="none"/>
          <w:lang w:val="en-US" w:eastAsia="zh-CN"/>
        </w:rPr>
        <w:t>0.596</w:t>
      </w:r>
      <w:r>
        <w:rPr>
          <w:rFonts w:hint="default" w:ascii="Times New Roman" w:hAnsi="Times New Roman" w:eastAsia="宋体" w:cs="Times New Roman"/>
          <w:color w:val="auto"/>
          <w:sz w:val="24"/>
          <w:szCs w:val="24"/>
          <w:highlight w:val="none"/>
        </w:rPr>
        <w:t>V/m~1.39V/m，工频磁感应强度为0.0</w:t>
      </w:r>
      <w:r>
        <w:rPr>
          <w:rFonts w:hint="eastAsia" w:ascii="Times New Roman" w:hAnsi="Times New Roman" w:eastAsia="宋体" w:cs="Times New Roman"/>
          <w:color w:val="auto"/>
          <w:sz w:val="24"/>
          <w:szCs w:val="24"/>
          <w:highlight w:val="none"/>
          <w:lang w:val="en-US" w:eastAsia="zh-CN"/>
        </w:rPr>
        <w:t>069</w:t>
      </w:r>
      <w:r>
        <w:rPr>
          <w:rFonts w:hint="default" w:ascii="Times New Roman" w:hAnsi="Times New Roman" w:eastAsia="宋体" w:cs="Times New Roman"/>
          <w:color w:val="auto"/>
          <w:sz w:val="24"/>
          <w:szCs w:val="24"/>
          <w:highlight w:val="none"/>
        </w:rPr>
        <w:t>μT~0.019μT，监测结果均符合《电磁环境控制限值》(GB8702-2014)中规定的4kV/m和100μT公众曝露控制限值要求</w:t>
      </w:r>
      <w:r>
        <w:rPr>
          <w:rFonts w:hint="eastAsia" w:ascii="Times New Roman" w:hAnsi="Times New Roman" w:eastAsia="宋体" w:cs="Times New Roman"/>
          <w:color w:val="auto"/>
          <w:sz w:val="24"/>
          <w:szCs w:val="24"/>
          <w:highlight w:val="none"/>
        </w:rPr>
        <w:t>。</w:t>
      </w:r>
    </w:p>
    <w:p w14:paraId="1343705F">
      <w:pPr>
        <w:adjustRightInd w:val="0"/>
        <w:ind w:firstLine="496"/>
        <w:rPr>
          <w:rFonts w:eastAsia="宋体" w:cs="Times New Roman"/>
          <w:color w:val="auto"/>
          <w:spacing w:val="4"/>
          <w:szCs w:val="24"/>
          <w:highlight w:val="none"/>
        </w:rPr>
      </w:pPr>
    </w:p>
    <w:p w14:paraId="458B148F">
      <w:pPr>
        <w:pStyle w:val="2"/>
        <w:tabs>
          <w:tab w:val="left" w:pos="2520"/>
        </w:tabs>
        <w:spacing w:line="360" w:lineRule="auto"/>
        <w:ind w:firstLine="480" w:firstLineChars="200"/>
        <w:rPr>
          <w:rFonts w:ascii="Times New Roman" w:hAnsi="Times New Roman" w:eastAsia="宋体" w:cs="Times New Roman"/>
          <w:color w:val="auto"/>
          <w:sz w:val="24"/>
          <w:szCs w:val="24"/>
          <w:highlight w:val="none"/>
        </w:rPr>
      </w:pPr>
    </w:p>
    <w:p w14:paraId="5B740404">
      <w:pPr>
        <w:pStyle w:val="2"/>
        <w:tabs>
          <w:tab w:val="left" w:pos="2520"/>
        </w:tabs>
        <w:spacing w:line="360" w:lineRule="auto"/>
        <w:ind w:firstLine="480" w:firstLineChars="200"/>
        <w:rPr>
          <w:rFonts w:ascii="Times New Roman" w:hAnsi="Times New Roman" w:eastAsia="宋体" w:cs="Times New Roman"/>
          <w:color w:val="auto"/>
          <w:sz w:val="24"/>
          <w:szCs w:val="24"/>
          <w:highlight w:val="none"/>
        </w:rPr>
      </w:pPr>
    </w:p>
    <w:p w14:paraId="386B6F5C">
      <w:pPr>
        <w:widowControl/>
        <w:spacing w:line="460" w:lineRule="exact"/>
        <w:ind w:firstLine="480"/>
        <w:rPr>
          <w:rFonts w:cs="Times New Roman"/>
          <w:color w:val="auto"/>
          <w:highlight w:val="none"/>
        </w:rPr>
        <w:sectPr>
          <w:pgSz w:w="11906" w:h="16838"/>
          <w:pgMar w:top="1440" w:right="1689" w:bottom="1440" w:left="1689" w:header="851" w:footer="992" w:gutter="0"/>
          <w:cols w:space="425" w:num="1"/>
          <w:docGrid w:type="lines" w:linePitch="312" w:charSpace="0"/>
        </w:sectPr>
      </w:pPr>
    </w:p>
    <w:p w14:paraId="6A949A0C">
      <w:pPr>
        <w:pStyle w:val="7"/>
        <w:rPr>
          <w:rFonts w:cs="Times New Roman"/>
          <w:color w:val="auto"/>
          <w:kern w:val="0"/>
          <w:highlight w:val="none"/>
        </w:rPr>
      </w:pPr>
      <w:bookmarkStart w:id="30" w:name="_Toc26975"/>
      <w:r>
        <w:rPr>
          <w:rFonts w:cs="Times New Roman"/>
          <w:color w:val="auto"/>
          <w:kern w:val="0"/>
          <w:highlight w:val="none"/>
        </w:rPr>
        <w:t>5 电磁环境影响评价</w:t>
      </w:r>
      <w:bookmarkEnd w:id="30"/>
    </w:p>
    <w:p w14:paraId="5FEC475A">
      <w:pPr>
        <w:pStyle w:val="8"/>
        <w:rPr>
          <w:rFonts w:cs="Times New Roman"/>
          <w:color w:val="auto"/>
          <w:highlight w:val="none"/>
        </w:rPr>
      </w:pPr>
      <w:bookmarkStart w:id="31" w:name="_Toc27226"/>
      <w:r>
        <w:rPr>
          <w:rFonts w:cs="Times New Roman"/>
          <w:color w:val="auto"/>
          <w:kern w:val="0"/>
          <w:szCs w:val="30"/>
          <w:highlight w:val="none"/>
        </w:rPr>
        <w:t>5.1. 评价因子</w:t>
      </w:r>
      <w:bookmarkEnd w:id="31"/>
    </w:p>
    <w:p w14:paraId="66D50CC6">
      <w:pPr>
        <w:ind w:firstLine="480"/>
        <w:rPr>
          <w:rFonts w:cs="Times New Roman"/>
          <w:color w:val="auto"/>
          <w:kern w:val="0"/>
          <w:highlight w:val="none"/>
        </w:rPr>
      </w:pPr>
      <w:r>
        <w:rPr>
          <w:rFonts w:cs="Times New Roman"/>
          <w:color w:val="auto"/>
          <w:kern w:val="0"/>
          <w:highlight w:val="none"/>
        </w:rPr>
        <w:t>本项目施工期没有电磁环境影响问题，运行期会产生电磁环境影响。电磁环境影响预测评价的因子为：工频电场、工频磁场。</w:t>
      </w:r>
    </w:p>
    <w:p w14:paraId="27A5555B">
      <w:pPr>
        <w:pStyle w:val="8"/>
        <w:rPr>
          <w:rFonts w:cs="Times New Roman"/>
          <w:color w:val="auto"/>
          <w:highlight w:val="none"/>
        </w:rPr>
      </w:pPr>
      <w:bookmarkStart w:id="32" w:name="_Toc12816"/>
      <w:r>
        <w:rPr>
          <w:rFonts w:cs="Times New Roman"/>
          <w:color w:val="auto"/>
          <w:highlight w:val="none"/>
        </w:rPr>
        <w:t>5.2 评价方法</w:t>
      </w:r>
      <w:bookmarkEnd w:id="32"/>
    </w:p>
    <w:p w14:paraId="371C9D97">
      <w:pPr>
        <w:ind w:firstLine="480"/>
        <w:rPr>
          <w:rFonts w:cs="Times New Roman"/>
          <w:color w:val="auto"/>
          <w:szCs w:val="21"/>
          <w:highlight w:val="none"/>
        </w:rPr>
      </w:pPr>
      <w:r>
        <w:rPr>
          <w:rFonts w:eastAsia="宋体" w:cs="Times New Roman"/>
          <w:bCs/>
          <w:color w:val="auto"/>
          <w:szCs w:val="24"/>
          <w:highlight w:val="none"/>
        </w:rPr>
        <w:t>架空线路</w:t>
      </w:r>
      <w:r>
        <w:rPr>
          <w:rFonts w:hint="eastAsia" w:eastAsia="宋体" w:cs="Times New Roman"/>
          <w:bCs/>
          <w:color w:val="auto"/>
          <w:szCs w:val="24"/>
          <w:highlight w:val="none"/>
        </w:rPr>
        <w:t>段</w:t>
      </w:r>
      <w:r>
        <w:rPr>
          <w:rFonts w:eastAsia="宋体" w:cs="Times New Roman"/>
          <w:bCs/>
          <w:color w:val="auto"/>
          <w:szCs w:val="24"/>
          <w:highlight w:val="none"/>
        </w:rPr>
        <w:t>工频电场、工频磁场采用模式预测进行评价。</w:t>
      </w:r>
    </w:p>
    <w:p w14:paraId="5815F984">
      <w:pPr>
        <w:pStyle w:val="8"/>
        <w:rPr>
          <w:rFonts w:cs="Times New Roman"/>
          <w:color w:val="auto"/>
          <w:highlight w:val="none"/>
        </w:rPr>
      </w:pPr>
      <w:bookmarkStart w:id="33" w:name="_Toc20264"/>
      <w:r>
        <w:rPr>
          <w:rFonts w:cs="Times New Roman"/>
          <w:color w:val="auto"/>
          <w:highlight w:val="none"/>
        </w:rPr>
        <w:t>5.3</w:t>
      </w:r>
      <w:bookmarkEnd w:id="33"/>
      <w:r>
        <w:rPr>
          <w:rFonts w:cs="Times New Roman"/>
          <w:color w:val="auto"/>
          <w:highlight w:val="none"/>
        </w:rPr>
        <w:t>架空线路电磁环境影响预测及评价</w:t>
      </w:r>
    </w:p>
    <w:p w14:paraId="24208099">
      <w:pPr>
        <w:tabs>
          <w:tab w:val="left" w:pos="700"/>
        </w:tabs>
        <w:spacing w:line="312" w:lineRule="auto"/>
        <w:ind w:firstLine="480"/>
        <w:rPr>
          <w:rFonts w:eastAsia="宋体" w:cs="Times New Roman"/>
          <w:color w:val="auto"/>
          <w:highlight w:val="none"/>
        </w:rPr>
      </w:pPr>
      <w:r>
        <w:rPr>
          <w:rFonts w:hint="eastAsia" w:eastAsia="宋体" w:cs="Times New Roman"/>
          <w:color w:val="auto"/>
          <w:highlight w:val="none"/>
        </w:rPr>
        <w:t>本评价</w:t>
      </w:r>
      <w:r>
        <w:rPr>
          <w:rFonts w:hint="eastAsia" w:ascii="Times New Roman"/>
          <w:color w:val="auto"/>
          <w:sz w:val="24"/>
          <w:szCs w:val="24"/>
        </w:rPr>
        <w:t>选取线路对地最低垂高采用该典型线位平断面图对地最低值</w:t>
      </w:r>
      <w:r>
        <w:rPr>
          <w:rFonts w:hint="eastAsia" w:ascii="Times New Roman"/>
          <w:color w:val="auto"/>
          <w:sz w:val="24"/>
          <w:szCs w:val="24"/>
          <w:lang w:eastAsia="zh-CN"/>
        </w:rPr>
        <w:t>（即</w:t>
      </w:r>
      <w:r>
        <w:rPr>
          <w:rFonts w:hint="eastAsia" w:ascii="Times New Roman"/>
          <w:color w:val="auto"/>
          <w:sz w:val="24"/>
          <w:szCs w:val="24"/>
          <w:lang w:val="en-US" w:eastAsia="zh-CN"/>
        </w:rPr>
        <w:t>11.35m</w:t>
      </w:r>
      <w:r>
        <w:rPr>
          <w:rFonts w:hint="eastAsia" w:ascii="Times New Roman"/>
          <w:color w:val="auto"/>
          <w:sz w:val="24"/>
          <w:szCs w:val="24"/>
          <w:lang w:eastAsia="zh-CN"/>
        </w:rPr>
        <w:t>）</w:t>
      </w:r>
      <w:r>
        <w:rPr>
          <w:rFonts w:hint="eastAsia" w:ascii="Times New Roman"/>
          <w:color w:val="auto"/>
          <w:sz w:val="24"/>
          <w:szCs w:val="24"/>
        </w:rPr>
        <w:t>及</w:t>
      </w:r>
      <w:r>
        <w:rPr>
          <w:rFonts w:hint="eastAsia" w:ascii="Times New Roman"/>
          <w:color w:val="auto"/>
          <w:sz w:val="24"/>
          <w:szCs w:val="24"/>
          <w:lang w:eastAsia="zh-CN"/>
        </w:rPr>
        <w:t>最低垂高</w:t>
      </w:r>
      <w:r>
        <w:rPr>
          <w:rFonts w:hint="eastAsia" w:ascii="Times New Roman"/>
          <w:color w:val="auto"/>
          <w:sz w:val="24"/>
          <w:szCs w:val="24"/>
        </w:rPr>
        <w:t>最大横担</w:t>
      </w:r>
      <w:r>
        <w:rPr>
          <w:rFonts w:hint="eastAsia" w:ascii="Times New Roman"/>
          <w:color w:val="auto"/>
          <w:sz w:val="24"/>
          <w:szCs w:val="24"/>
          <w:lang w:eastAsia="zh-CN"/>
        </w:rPr>
        <w:t>宽度</w:t>
      </w:r>
      <w:r>
        <w:rPr>
          <w:rFonts w:hint="eastAsia" w:ascii="Times New Roman"/>
          <w:color w:val="auto"/>
          <w:sz w:val="24"/>
          <w:szCs w:val="24"/>
        </w:rPr>
        <w:t>塔型为组合保守情景，</w:t>
      </w:r>
      <w:r>
        <w:rPr>
          <w:rFonts w:hint="eastAsia" w:eastAsia="宋体" w:cs="Times New Roman"/>
          <w:color w:val="auto"/>
          <w:highlight w:val="none"/>
        </w:rPr>
        <w:t>单回路挂线选取使用</w:t>
      </w:r>
      <w:r>
        <w:rPr>
          <w:rFonts w:hint="eastAsia" w:eastAsia="宋体" w:cs="Times New Roman"/>
          <w:color w:val="auto"/>
          <w:highlight w:val="none"/>
          <w:lang w:val="en-US" w:eastAsia="zh-CN"/>
        </w:rPr>
        <w:t>2A2-</w:t>
      </w:r>
      <w:r>
        <w:rPr>
          <w:rFonts w:hint="eastAsia" w:eastAsia="宋体" w:cs="Times New Roman"/>
          <w:color w:val="auto"/>
          <w:highlight w:val="none"/>
        </w:rPr>
        <w:t>DJC）和</w:t>
      </w:r>
      <w:r>
        <w:rPr>
          <w:rFonts w:hint="eastAsia" w:eastAsia="宋体" w:cs="Times New Roman"/>
          <w:color w:val="auto"/>
          <w:highlight w:val="none"/>
          <w:lang w:eastAsia="zh-CN"/>
        </w:rPr>
        <w:t>双回路</w:t>
      </w:r>
      <w:r>
        <w:rPr>
          <w:rFonts w:hint="eastAsia" w:eastAsia="宋体" w:cs="Times New Roman"/>
          <w:color w:val="auto"/>
          <w:highlight w:val="none"/>
        </w:rPr>
        <w:t>的塔型（2E6-SDJC型塔，使用</w:t>
      </w:r>
      <w:r>
        <w:rPr>
          <w:rFonts w:hint="eastAsia" w:eastAsia="宋体" w:cs="Times New Roman"/>
          <w:color w:val="auto"/>
          <w:highlight w:val="none"/>
          <w:lang w:val="en-US" w:eastAsia="zh-CN"/>
        </w:rPr>
        <w:t>1</w:t>
      </w:r>
      <w:r>
        <w:rPr>
          <w:rFonts w:hint="eastAsia" w:eastAsia="宋体" w:cs="Times New Roman"/>
          <w:color w:val="auto"/>
          <w:highlight w:val="none"/>
        </w:rPr>
        <w:t>基）进行预测，本项目</w:t>
      </w:r>
      <w:r>
        <w:rPr>
          <w:rFonts w:hint="eastAsia" w:eastAsia="宋体" w:cs="Times New Roman"/>
          <w:color w:val="auto"/>
          <w:szCs w:val="24"/>
          <w:highlight w:val="none"/>
        </w:rPr>
        <w:t>塔基单侧横担最宽8m，保守考虑，整条输出线路电磁评价范围宽度按照96m计算，本项目预测范围为线路边导线两</w:t>
      </w:r>
      <w:r>
        <w:rPr>
          <w:rFonts w:hint="eastAsia" w:eastAsia="宋体" w:cs="Times New Roman"/>
          <w:color w:val="auto"/>
          <w:szCs w:val="24"/>
          <w:highlight w:val="none"/>
          <w:lang w:val="en-US" w:eastAsia="zh-CN"/>
        </w:rPr>
        <w:t>侧</w:t>
      </w:r>
      <w:r>
        <w:rPr>
          <w:rFonts w:hint="eastAsia" w:eastAsia="宋体" w:cs="Times New Roman"/>
          <w:color w:val="auto"/>
          <w:szCs w:val="24"/>
          <w:highlight w:val="none"/>
        </w:rPr>
        <w:t>各50m范围，预测范围涵盖评价范围。</w:t>
      </w:r>
      <w:r>
        <w:rPr>
          <w:rFonts w:hint="eastAsia" w:eastAsia="宋体" w:cs="Times New Roman"/>
          <w:color w:val="auto"/>
          <w:highlight w:val="none"/>
        </w:rPr>
        <w:t>预测评价采用参数见表5-1，本项目线路计算预测所用塔型见附图8。</w:t>
      </w:r>
    </w:p>
    <w:p w14:paraId="086B7B92">
      <w:pPr>
        <w:spacing w:line="540" w:lineRule="exact"/>
        <w:ind w:firstLine="422"/>
        <w:jc w:val="center"/>
        <w:rPr>
          <w:b/>
          <w:color w:val="auto"/>
          <w:sz w:val="21"/>
          <w:szCs w:val="21"/>
          <w:highlight w:val="none"/>
        </w:rPr>
      </w:pPr>
      <w:r>
        <w:rPr>
          <w:b/>
          <w:color w:val="auto"/>
          <w:sz w:val="21"/>
          <w:szCs w:val="21"/>
          <w:highlight w:val="none"/>
        </w:rPr>
        <w:t>表</w:t>
      </w:r>
      <w:r>
        <w:rPr>
          <w:rFonts w:hint="eastAsia"/>
          <w:b/>
          <w:color w:val="auto"/>
          <w:sz w:val="21"/>
          <w:szCs w:val="21"/>
          <w:highlight w:val="none"/>
        </w:rPr>
        <w:t xml:space="preserve">5-1  </w:t>
      </w:r>
      <w:r>
        <w:rPr>
          <w:b/>
          <w:color w:val="auto"/>
          <w:sz w:val="21"/>
          <w:szCs w:val="21"/>
          <w:highlight w:val="none"/>
        </w:rPr>
        <w:t>理论计算所用参数表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4"/>
        <w:gridCol w:w="3190"/>
        <w:gridCol w:w="3295"/>
      </w:tblGrid>
      <w:tr w14:paraId="3BF3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2A361115">
            <w:pPr>
              <w:widowControl/>
              <w:spacing w:line="240" w:lineRule="auto"/>
              <w:ind w:firstLine="0" w:firstLineChars="0"/>
              <w:jc w:val="center"/>
              <w:rPr>
                <w:color w:val="auto"/>
                <w:kern w:val="0"/>
                <w:sz w:val="21"/>
                <w:szCs w:val="21"/>
                <w:highlight w:val="none"/>
              </w:rPr>
            </w:pPr>
            <w:r>
              <w:rPr>
                <w:color w:val="auto"/>
                <w:kern w:val="0"/>
                <w:sz w:val="21"/>
                <w:szCs w:val="21"/>
                <w:highlight w:val="none"/>
              </w:rPr>
              <w:t>回路数</w:t>
            </w:r>
          </w:p>
        </w:tc>
        <w:tc>
          <w:tcPr>
            <w:tcW w:w="1872" w:type="pct"/>
            <w:vAlign w:val="center"/>
          </w:tcPr>
          <w:p w14:paraId="6B73869A">
            <w:pPr>
              <w:tabs>
                <w:tab w:val="left" w:pos="700"/>
              </w:tabs>
              <w:spacing w:line="240" w:lineRule="auto"/>
              <w:ind w:firstLine="0" w:firstLineChars="0"/>
              <w:jc w:val="center"/>
              <w:rPr>
                <w:rFonts w:hint="eastAsia" w:eastAsiaTheme="minorEastAsia"/>
                <w:color w:val="auto"/>
                <w:sz w:val="21"/>
                <w:szCs w:val="21"/>
                <w:highlight w:val="none"/>
                <w:lang w:eastAsia="zh-CN"/>
              </w:rPr>
            </w:pPr>
            <w:r>
              <w:rPr>
                <w:rFonts w:hint="eastAsia"/>
                <w:color w:val="auto"/>
                <w:sz w:val="21"/>
                <w:szCs w:val="21"/>
                <w:highlight w:val="none"/>
              </w:rPr>
              <w:t>双回路</w:t>
            </w:r>
          </w:p>
        </w:tc>
        <w:tc>
          <w:tcPr>
            <w:tcW w:w="1932" w:type="pct"/>
            <w:vAlign w:val="center"/>
          </w:tcPr>
          <w:p w14:paraId="483F5809">
            <w:pPr>
              <w:tabs>
                <w:tab w:val="left" w:pos="700"/>
              </w:tabs>
              <w:spacing w:line="240" w:lineRule="auto"/>
              <w:ind w:firstLine="0" w:firstLineChars="0"/>
              <w:jc w:val="center"/>
              <w:rPr>
                <w:color w:val="auto"/>
                <w:sz w:val="21"/>
                <w:szCs w:val="21"/>
                <w:highlight w:val="none"/>
              </w:rPr>
            </w:pPr>
            <w:r>
              <w:rPr>
                <w:rFonts w:hint="eastAsia"/>
                <w:color w:val="auto"/>
                <w:sz w:val="21"/>
                <w:szCs w:val="21"/>
                <w:highlight w:val="none"/>
              </w:rPr>
              <w:t>单回路</w:t>
            </w:r>
          </w:p>
        </w:tc>
      </w:tr>
      <w:tr w14:paraId="067F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01E6CA70">
            <w:pPr>
              <w:widowControl/>
              <w:spacing w:line="240" w:lineRule="auto"/>
              <w:ind w:firstLine="0" w:firstLineChars="0"/>
              <w:jc w:val="center"/>
              <w:rPr>
                <w:color w:val="auto"/>
                <w:kern w:val="0"/>
                <w:sz w:val="21"/>
                <w:szCs w:val="21"/>
                <w:highlight w:val="none"/>
              </w:rPr>
            </w:pPr>
            <w:r>
              <w:rPr>
                <w:color w:val="auto"/>
                <w:kern w:val="0"/>
                <w:sz w:val="21"/>
                <w:szCs w:val="21"/>
                <w:highlight w:val="none"/>
              </w:rPr>
              <w:t>电压等级</w:t>
            </w:r>
          </w:p>
        </w:tc>
        <w:tc>
          <w:tcPr>
            <w:tcW w:w="1872" w:type="pct"/>
            <w:vAlign w:val="center"/>
          </w:tcPr>
          <w:p w14:paraId="428B629A">
            <w:pPr>
              <w:tabs>
                <w:tab w:val="left" w:pos="700"/>
              </w:tabs>
              <w:spacing w:line="240" w:lineRule="auto"/>
              <w:ind w:firstLine="0" w:firstLineChars="0"/>
              <w:jc w:val="center"/>
              <w:rPr>
                <w:b/>
                <w:color w:val="auto"/>
                <w:sz w:val="21"/>
                <w:szCs w:val="21"/>
                <w:highlight w:val="none"/>
              </w:rPr>
            </w:pPr>
            <w:r>
              <w:rPr>
                <w:rFonts w:hint="eastAsia"/>
                <w:color w:val="auto"/>
                <w:sz w:val="21"/>
                <w:szCs w:val="21"/>
                <w:highlight w:val="none"/>
              </w:rPr>
              <w:t>22</w:t>
            </w:r>
            <w:r>
              <w:rPr>
                <w:color w:val="auto"/>
                <w:sz w:val="21"/>
                <w:szCs w:val="21"/>
                <w:highlight w:val="none"/>
              </w:rPr>
              <w:t>0k</w:t>
            </w:r>
            <w:r>
              <w:rPr>
                <w:rFonts w:hint="eastAsia"/>
                <w:color w:val="auto"/>
                <w:sz w:val="21"/>
                <w:szCs w:val="21"/>
                <w:highlight w:val="none"/>
              </w:rPr>
              <w:t>V</w:t>
            </w:r>
          </w:p>
        </w:tc>
        <w:tc>
          <w:tcPr>
            <w:tcW w:w="1932" w:type="pct"/>
            <w:vAlign w:val="center"/>
          </w:tcPr>
          <w:p w14:paraId="379624B3">
            <w:pPr>
              <w:tabs>
                <w:tab w:val="left" w:pos="700"/>
              </w:tabs>
              <w:spacing w:line="240" w:lineRule="auto"/>
              <w:ind w:firstLine="0" w:firstLineChars="0"/>
              <w:jc w:val="center"/>
              <w:rPr>
                <w:b/>
                <w:color w:val="auto"/>
                <w:sz w:val="21"/>
                <w:szCs w:val="21"/>
                <w:highlight w:val="none"/>
              </w:rPr>
            </w:pPr>
            <w:r>
              <w:rPr>
                <w:rFonts w:hint="eastAsia"/>
                <w:color w:val="auto"/>
                <w:sz w:val="21"/>
                <w:szCs w:val="21"/>
                <w:highlight w:val="none"/>
              </w:rPr>
              <w:t>22</w:t>
            </w:r>
            <w:r>
              <w:rPr>
                <w:color w:val="auto"/>
                <w:sz w:val="21"/>
                <w:szCs w:val="21"/>
                <w:highlight w:val="none"/>
              </w:rPr>
              <w:t>0k</w:t>
            </w:r>
            <w:r>
              <w:rPr>
                <w:rFonts w:hint="eastAsia"/>
                <w:color w:val="auto"/>
                <w:sz w:val="21"/>
                <w:szCs w:val="21"/>
                <w:highlight w:val="none"/>
              </w:rPr>
              <w:t>V</w:t>
            </w:r>
          </w:p>
        </w:tc>
      </w:tr>
      <w:tr w14:paraId="495A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006874C9">
            <w:pPr>
              <w:widowControl/>
              <w:spacing w:line="240" w:lineRule="auto"/>
              <w:ind w:firstLine="0" w:firstLineChars="0"/>
              <w:jc w:val="center"/>
              <w:rPr>
                <w:color w:val="auto"/>
                <w:kern w:val="0"/>
                <w:sz w:val="21"/>
                <w:szCs w:val="21"/>
                <w:highlight w:val="none"/>
              </w:rPr>
            </w:pPr>
            <w:r>
              <w:rPr>
                <w:color w:val="auto"/>
                <w:kern w:val="0"/>
                <w:sz w:val="21"/>
                <w:szCs w:val="21"/>
                <w:highlight w:val="none"/>
              </w:rPr>
              <w:t>杆塔类型</w:t>
            </w:r>
          </w:p>
        </w:tc>
        <w:tc>
          <w:tcPr>
            <w:tcW w:w="1872" w:type="pct"/>
            <w:vAlign w:val="center"/>
          </w:tcPr>
          <w:p w14:paraId="1CD8936D">
            <w:pPr>
              <w:spacing w:line="240" w:lineRule="auto"/>
              <w:ind w:firstLine="0" w:firstLineChars="0"/>
              <w:jc w:val="center"/>
              <w:rPr>
                <w:rFonts w:eastAsia="宋体"/>
                <w:color w:val="auto"/>
                <w:sz w:val="21"/>
                <w:szCs w:val="21"/>
                <w:highlight w:val="none"/>
              </w:rPr>
            </w:pPr>
            <w:r>
              <w:rPr>
                <w:rFonts w:hint="eastAsia" w:eastAsia="宋体" w:cs="Times New Roman"/>
                <w:bCs/>
                <w:color w:val="auto"/>
                <w:spacing w:val="6"/>
                <w:sz w:val="21"/>
                <w:szCs w:val="21"/>
                <w:highlight w:val="none"/>
              </w:rPr>
              <w:t>2E6-SDJC</w:t>
            </w:r>
          </w:p>
        </w:tc>
        <w:tc>
          <w:tcPr>
            <w:tcW w:w="1932" w:type="pct"/>
            <w:vAlign w:val="center"/>
          </w:tcPr>
          <w:p w14:paraId="7735FDF3">
            <w:pPr>
              <w:spacing w:line="240" w:lineRule="auto"/>
              <w:ind w:firstLine="0" w:firstLineChars="0"/>
              <w:jc w:val="center"/>
              <w:rPr>
                <w:rFonts w:eastAsia="宋体"/>
                <w:color w:val="auto"/>
                <w:sz w:val="21"/>
                <w:szCs w:val="21"/>
                <w:highlight w:val="none"/>
              </w:rPr>
            </w:pPr>
            <w:r>
              <w:rPr>
                <w:rFonts w:hint="eastAsia" w:eastAsia="宋体"/>
                <w:color w:val="auto"/>
                <w:sz w:val="21"/>
                <w:szCs w:val="21"/>
                <w:highlight w:val="none"/>
              </w:rPr>
              <w:t>2A2-DJC</w:t>
            </w:r>
          </w:p>
        </w:tc>
      </w:tr>
      <w:tr w14:paraId="7575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3B0F5DB1">
            <w:pPr>
              <w:widowControl/>
              <w:spacing w:line="240" w:lineRule="auto"/>
              <w:ind w:firstLine="0" w:firstLineChars="0"/>
              <w:jc w:val="center"/>
              <w:rPr>
                <w:color w:val="auto"/>
                <w:kern w:val="0"/>
                <w:sz w:val="21"/>
                <w:szCs w:val="21"/>
                <w:highlight w:val="none"/>
              </w:rPr>
            </w:pPr>
            <w:r>
              <w:rPr>
                <w:color w:val="auto"/>
                <w:kern w:val="0"/>
                <w:sz w:val="21"/>
                <w:szCs w:val="21"/>
                <w:highlight w:val="none"/>
              </w:rPr>
              <w:t>导线型号</w:t>
            </w:r>
          </w:p>
        </w:tc>
        <w:tc>
          <w:tcPr>
            <w:tcW w:w="1872" w:type="pct"/>
            <w:vAlign w:val="center"/>
          </w:tcPr>
          <w:p w14:paraId="5A5E349E">
            <w:pPr>
              <w:spacing w:line="240" w:lineRule="auto"/>
              <w:ind w:firstLine="0" w:firstLineChars="0"/>
              <w:jc w:val="center"/>
              <w:rPr>
                <w:color w:val="auto"/>
                <w:sz w:val="21"/>
                <w:szCs w:val="21"/>
                <w:highlight w:val="none"/>
              </w:rPr>
            </w:pPr>
            <w:r>
              <w:rPr>
                <w:rFonts w:eastAsia="宋体" w:cs="Times New Roman"/>
                <w:snapToGrid w:val="0"/>
                <w:color w:val="auto"/>
                <w:sz w:val="21"/>
                <w:szCs w:val="21"/>
                <w:highlight w:val="none"/>
              </w:rPr>
              <w:t>JL/G1A-</w:t>
            </w:r>
            <w:r>
              <w:rPr>
                <w:rFonts w:hint="eastAsia" w:eastAsia="宋体" w:cs="Times New Roman"/>
                <w:snapToGrid w:val="0"/>
                <w:color w:val="auto"/>
                <w:sz w:val="21"/>
                <w:szCs w:val="21"/>
                <w:highlight w:val="none"/>
              </w:rPr>
              <w:t>30</w:t>
            </w:r>
            <w:r>
              <w:rPr>
                <w:rFonts w:eastAsia="宋体" w:cs="Times New Roman"/>
                <w:snapToGrid w:val="0"/>
                <w:color w:val="auto"/>
                <w:sz w:val="21"/>
                <w:szCs w:val="21"/>
                <w:highlight w:val="none"/>
              </w:rPr>
              <w:t>0/</w:t>
            </w:r>
            <w:r>
              <w:rPr>
                <w:rFonts w:hint="eastAsia" w:eastAsia="宋体" w:cs="Times New Roman"/>
                <w:snapToGrid w:val="0"/>
                <w:color w:val="auto"/>
                <w:sz w:val="21"/>
                <w:szCs w:val="21"/>
                <w:highlight w:val="none"/>
              </w:rPr>
              <w:t>40</w:t>
            </w:r>
          </w:p>
        </w:tc>
        <w:tc>
          <w:tcPr>
            <w:tcW w:w="1932" w:type="pct"/>
            <w:vAlign w:val="center"/>
          </w:tcPr>
          <w:p w14:paraId="686F8DFE">
            <w:pPr>
              <w:spacing w:line="240" w:lineRule="auto"/>
              <w:ind w:firstLine="0" w:firstLineChars="0"/>
              <w:jc w:val="center"/>
              <w:rPr>
                <w:color w:val="auto"/>
                <w:sz w:val="21"/>
                <w:szCs w:val="21"/>
                <w:highlight w:val="none"/>
              </w:rPr>
            </w:pPr>
            <w:r>
              <w:rPr>
                <w:rFonts w:eastAsia="宋体" w:cs="Times New Roman"/>
                <w:snapToGrid w:val="0"/>
                <w:color w:val="auto"/>
                <w:sz w:val="21"/>
                <w:szCs w:val="21"/>
                <w:highlight w:val="none"/>
              </w:rPr>
              <w:t>JL/G1A-</w:t>
            </w:r>
            <w:r>
              <w:rPr>
                <w:rFonts w:hint="eastAsia" w:eastAsia="宋体" w:cs="Times New Roman"/>
                <w:snapToGrid w:val="0"/>
                <w:color w:val="auto"/>
                <w:sz w:val="21"/>
                <w:szCs w:val="21"/>
                <w:highlight w:val="none"/>
              </w:rPr>
              <w:t>30</w:t>
            </w:r>
            <w:r>
              <w:rPr>
                <w:rFonts w:eastAsia="宋体" w:cs="Times New Roman"/>
                <w:snapToGrid w:val="0"/>
                <w:color w:val="auto"/>
                <w:sz w:val="21"/>
                <w:szCs w:val="21"/>
                <w:highlight w:val="none"/>
              </w:rPr>
              <w:t>0/</w:t>
            </w:r>
            <w:r>
              <w:rPr>
                <w:rFonts w:hint="eastAsia" w:eastAsia="宋体" w:cs="Times New Roman"/>
                <w:snapToGrid w:val="0"/>
                <w:color w:val="auto"/>
                <w:sz w:val="21"/>
                <w:szCs w:val="21"/>
                <w:highlight w:val="none"/>
              </w:rPr>
              <w:t>40</w:t>
            </w:r>
          </w:p>
        </w:tc>
      </w:tr>
      <w:tr w14:paraId="5AD9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0AF00847">
            <w:pPr>
              <w:widowControl/>
              <w:spacing w:line="240" w:lineRule="auto"/>
              <w:ind w:firstLine="0" w:firstLineChars="0"/>
              <w:jc w:val="center"/>
              <w:rPr>
                <w:color w:val="auto"/>
                <w:kern w:val="0"/>
                <w:sz w:val="21"/>
                <w:szCs w:val="21"/>
                <w:highlight w:val="none"/>
              </w:rPr>
            </w:pPr>
            <w:r>
              <w:rPr>
                <w:color w:val="auto"/>
                <w:kern w:val="0"/>
                <w:sz w:val="21"/>
                <w:szCs w:val="21"/>
                <w:highlight w:val="none"/>
              </w:rPr>
              <w:t>导线排列方式</w:t>
            </w:r>
          </w:p>
        </w:tc>
        <w:tc>
          <w:tcPr>
            <w:tcW w:w="1872" w:type="pct"/>
            <w:vAlign w:val="center"/>
          </w:tcPr>
          <w:p w14:paraId="448CEC27">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垂直排列</w:t>
            </w:r>
          </w:p>
        </w:tc>
        <w:tc>
          <w:tcPr>
            <w:tcW w:w="1932" w:type="pct"/>
            <w:vAlign w:val="center"/>
          </w:tcPr>
          <w:p w14:paraId="44FBA9A5">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三角排列</w:t>
            </w:r>
          </w:p>
        </w:tc>
      </w:tr>
      <w:tr w14:paraId="3172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4F16CAA2">
            <w:pPr>
              <w:widowControl/>
              <w:spacing w:line="240" w:lineRule="auto"/>
              <w:ind w:firstLine="0" w:firstLineChars="0"/>
              <w:jc w:val="center"/>
              <w:rPr>
                <w:color w:val="auto"/>
                <w:kern w:val="0"/>
                <w:sz w:val="21"/>
                <w:szCs w:val="21"/>
                <w:highlight w:val="none"/>
              </w:rPr>
            </w:pPr>
            <w:r>
              <w:rPr>
                <w:color w:val="auto"/>
                <w:kern w:val="0"/>
                <w:sz w:val="21"/>
                <w:szCs w:val="21"/>
                <w:highlight w:val="none"/>
              </w:rPr>
              <w:t>导线半径(mm)</w:t>
            </w:r>
          </w:p>
        </w:tc>
        <w:tc>
          <w:tcPr>
            <w:tcW w:w="1872" w:type="pct"/>
            <w:vAlign w:val="center"/>
          </w:tcPr>
          <w:p w14:paraId="64AC918E">
            <w:pPr>
              <w:spacing w:line="240" w:lineRule="auto"/>
              <w:ind w:firstLine="0" w:firstLineChars="0"/>
              <w:jc w:val="center"/>
              <w:rPr>
                <w:color w:val="auto"/>
                <w:sz w:val="21"/>
                <w:szCs w:val="21"/>
                <w:highlight w:val="none"/>
              </w:rPr>
            </w:pPr>
            <w:r>
              <w:rPr>
                <w:rFonts w:hint="eastAsia"/>
                <w:color w:val="auto"/>
                <w:sz w:val="21"/>
                <w:szCs w:val="21"/>
                <w:highlight w:val="none"/>
              </w:rPr>
              <w:t>10.85</w:t>
            </w:r>
          </w:p>
        </w:tc>
        <w:tc>
          <w:tcPr>
            <w:tcW w:w="1932" w:type="pct"/>
            <w:vAlign w:val="center"/>
          </w:tcPr>
          <w:p w14:paraId="7A631DA1">
            <w:pPr>
              <w:spacing w:line="240" w:lineRule="auto"/>
              <w:ind w:firstLine="0" w:firstLineChars="0"/>
              <w:jc w:val="center"/>
              <w:rPr>
                <w:color w:val="auto"/>
                <w:sz w:val="21"/>
                <w:szCs w:val="21"/>
                <w:highlight w:val="none"/>
              </w:rPr>
            </w:pPr>
            <w:r>
              <w:rPr>
                <w:rFonts w:hint="eastAsia"/>
                <w:color w:val="auto"/>
                <w:sz w:val="21"/>
                <w:szCs w:val="21"/>
                <w:highlight w:val="none"/>
              </w:rPr>
              <w:t>10.85</w:t>
            </w:r>
          </w:p>
        </w:tc>
      </w:tr>
      <w:tr w14:paraId="5617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1B057953">
            <w:pPr>
              <w:widowControl/>
              <w:spacing w:line="240" w:lineRule="auto"/>
              <w:ind w:firstLine="0" w:firstLineChars="0"/>
              <w:jc w:val="center"/>
              <w:rPr>
                <w:color w:val="auto"/>
                <w:kern w:val="0"/>
                <w:sz w:val="21"/>
                <w:szCs w:val="21"/>
                <w:highlight w:val="none"/>
              </w:rPr>
            </w:pPr>
            <w:r>
              <w:rPr>
                <w:color w:val="auto"/>
                <w:kern w:val="0"/>
                <w:sz w:val="21"/>
                <w:szCs w:val="21"/>
                <w:highlight w:val="none"/>
              </w:rPr>
              <w:t>相序</w:t>
            </w:r>
          </w:p>
        </w:tc>
        <w:tc>
          <w:tcPr>
            <w:tcW w:w="1872" w:type="pct"/>
            <w:vAlign w:val="center"/>
          </w:tcPr>
          <w:p w14:paraId="2D1494C4">
            <w:pPr>
              <w:spacing w:line="240" w:lineRule="auto"/>
              <w:ind w:firstLine="0" w:firstLineChars="0"/>
              <w:jc w:val="center"/>
              <w:rPr>
                <w:rFonts w:hint="default" w:eastAsiaTheme="minorEastAsia"/>
                <w:color w:val="auto"/>
                <w:kern w:val="0"/>
                <w:sz w:val="21"/>
                <w:szCs w:val="21"/>
                <w:highlight w:val="none"/>
                <w:lang w:val="en-US" w:eastAsia="zh-CN"/>
              </w:rPr>
            </w:pPr>
            <w:r>
              <w:rPr>
                <w:rFonts w:hint="eastAsia"/>
                <w:color w:val="auto"/>
                <w:kern w:val="0"/>
                <w:sz w:val="21"/>
                <w:szCs w:val="21"/>
                <w:highlight w:val="none"/>
                <w:lang w:val="en-US" w:eastAsia="zh-CN"/>
              </w:rPr>
              <w:t>同相序</w:t>
            </w:r>
          </w:p>
        </w:tc>
        <w:tc>
          <w:tcPr>
            <w:tcW w:w="1932" w:type="pct"/>
            <w:vAlign w:val="center"/>
          </w:tcPr>
          <w:p w14:paraId="32DB66B1">
            <w:pPr>
              <w:spacing w:line="240" w:lineRule="auto"/>
              <w:ind w:firstLine="0" w:firstLineChars="0"/>
              <w:jc w:val="center"/>
              <w:rPr>
                <w:rFonts w:hint="eastAsia" w:eastAsiaTheme="minorEastAsia"/>
                <w:color w:val="auto"/>
                <w:kern w:val="0"/>
                <w:sz w:val="21"/>
                <w:szCs w:val="21"/>
                <w:highlight w:val="none"/>
                <w:lang w:eastAsia="zh-CN"/>
              </w:rPr>
            </w:pPr>
            <w:r>
              <w:rPr>
                <w:rFonts w:hint="eastAsia"/>
                <w:color w:val="auto"/>
                <w:kern w:val="0"/>
                <w:sz w:val="21"/>
                <w:szCs w:val="21"/>
                <w:highlight w:val="none"/>
                <w:lang w:val="en-US" w:eastAsia="zh-CN"/>
              </w:rPr>
              <w:t>/</w:t>
            </w:r>
          </w:p>
        </w:tc>
      </w:tr>
      <w:tr w14:paraId="1F9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27E8520B">
            <w:pPr>
              <w:widowControl/>
              <w:spacing w:line="240" w:lineRule="auto"/>
              <w:ind w:firstLine="0" w:firstLineChars="0"/>
              <w:jc w:val="center"/>
              <w:rPr>
                <w:color w:val="auto"/>
                <w:kern w:val="0"/>
                <w:sz w:val="21"/>
                <w:szCs w:val="21"/>
                <w:highlight w:val="none"/>
              </w:rPr>
            </w:pPr>
            <w:r>
              <w:rPr>
                <w:color w:val="auto"/>
                <w:kern w:val="0"/>
                <w:sz w:val="21"/>
                <w:szCs w:val="21"/>
                <w:highlight w:val="none"/>
              </w:rPr>
              <w:t>分裂</w:t>
            </w:r>
          </w:p>
        </w:tc>
        <w:tc>
          <w:tcPr>
            <w:tcW w:w="1872" w:type="pct"/>
            <w:vAlign w:val="center"/>
          </w:tcPr>
          <w:p w14:paraId="18F06564">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不分裂</w:t>
            </w:r>
          </w:p>
        </w:tc>
        <w:tc>
          <w:tcPr>
            <w:tcW w:w="1932" w:type="pct"/>
            <w:vAlign w:val="center"/>
          </w:tcPr>
          <w:p w14:paraId="68C54EA9">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不分裂</w:t>
            </w:r>
          </w:p>
        </w:tc>
      </w:tr>
      <w:tr w14:paraId="2DD6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36CC733B">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线路</w:t>
            </w:r>
            <w:r>
              <w:rPr>
                <w:color w:val="auto"/>
                <w:kern w:val="0"/>
                <w:sz w:val="21"/>
                <w:szCs w:val="21"/>
                <w:highlight w:val="none"/>
              </w:rPr>
              <w:t>电流（A）</w:t>
            </w:r>
          </w:p>
        </w:tc>
        <w:tc>
          <w:tcPr>
            <w:tcW w:w="1872" w:type="pct"/>
            <w:vAlign w:val="center"/>
          </w:tcPr>
          <w:p w14:paraId="67C77AE5">
            <w:pPr>
              <w:spacing w:line="240" w:lineRule="auto"/>
              <w:ind w:firstLine="0" w:firstLineChars="0"/>
              <w:jc w:val="center"/>
              <w:rPr>
                <w:rFonts w:hint="eastAsia" w:eastAsiaTheme="minorEastAsia"/>
                <w:color w:val="auto"/>
                <w:sz w:val="21"/>
                <w:szCs w:val="21"/>
                <w:highlight w:val="none"/>
                <w:lang w:eastAsia="zh-CN"/>
              </w:rPr>
            </w:pPr>
            <w:r>
              <w:rPr>
                <w:rFonts w:hint="eastAsia"/>
                <w:color w:val="auto"/>
                <w:sz w:val="21"/>
                <w:szCs w:val="21"/>
                <w:highlight w:val="none"/>
              </w:rPr>
              <w:t>53</w:t>
            </w:r>
            <w:r>
              <w:rPr>
                <w:rFonts w:hint="eastAsia"/>
                <w:color w:val="auto"/>
                <w:sz w:val="21"/>
                <w:szCs w:val="21"/>
                <w:highlight w:val="none"/>
                <w:lang w:val="en-US" w:eastAsia="zh-CN"/>
              </w:rPr>
              <w:t>7</w:t>
            </w:r>
          </w:p>
        </w:tc>
        <w:tc>
          <w:tcPr>
            <w:tcW w:w="1932" w:type="pct"/>
            <w:vAlign w:val="center"/>
          </w:tcPr>
          <w:p w14:paraId="729E8865">
            <w:pPr>
              <w:spacing w:line="240" w:lineRule="auto"/>
              <w:ind w:firstLine="0" w:firstLineChars="0"/>
              <w:jc w:val="center"/>
              <w:rPr>
                <w:color w:val="auto"/>
                <w:sz w:val="21"/>
                <w:szCs w:val="21"/>
                <w:highlight w:val="none"/>
              </w:rPr>
            </w:pPr>
            <w:r>
              <w:rPr>
                <w:rFonts w:hint="eastAsia"/>
                <w:color w:val="auto"/>
                <w:sz w:val="21"/>
                <w:szCs w:val="21"/>
                <w:highlight w:val="none"/>
              </w:rPr>
              <w:t>53</w:t>
            </w:r>
            <w:r>
              <w:rPr>
                <w:rFonts w:hint="eastAsia"/>
                <w:color w:val="auto"/>
                <w:sz w:val="21"/>
                <w:szCs w:val="21"/>
                <w:highlight w:val="none"/>
                <w:lang w:val="en-US" w:eastAsia="zh-CN"/>
              </w:rPr>
              <w:t>7</w:t>
            </w:r>
          </w:p>
        </w:tc>
      </w:tr>
      <w:tr w14:paraId="7947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4" w:type="pct"/>
            <w:vAlign w:val="center"/>
          </w:tcPr>
          <w:p w14:paraId="2AA5B5DB">
            <w:pPr>
              <w:widowControl/>
              <w:spacing w:line="240" w:lineRule="auto"/>
              <w:ind w:firstLine="0" w:firstLineChars="0"/>
              <w:jc w:val="center"/>
              <w:rPr>
                <w:color w:val="auto"/>
                <w:kern w:val="0"/>
                <w:sz w:val="21"/>
                <w:szCs w:val="21"/>
                <w:highlight w:val="none"/>
              </w:rPr>
            </w:pPr>
            <w:r>
              <w:rPr>
                <w:color w:val="auto"/>
                <w:kern w:val="0"/>
                <w:sz w:val="21"/>
                <w:szCs w:val="21"/>
                <w:highlight w:val="none"/>
              </w:rPr>
              <w:t>水平相距(距塔中心m)</w:t>
            </w:r>
            <w:r>
              <w:rPr>
                <w:rFonts w:hint="eastAsia"/>
                <w:color w:val="auto"/>
                <w:kern w:val="0"/>
                <w:sz w:val="21"/>
                <w:szCs w:val="21"/>
                <w:highlight w:val="none"/>
              </w:rPr>
              <w:t>及导线离地距离</w:t>
            </w:r>
            <w:r>
              <w:rPr>
                <w:color w:val="auto"/>
                <w:sz w:val="21"/>
                <w:szCs w:val="21"/>
                <w:highlight w:val="none"/>
              </w:rPr>
              <w:t>（A、B、C）m</w:t>
            </w:r>
          </w:p>
        </w:tc>
        <w:tc>
          <w:tcPr>
            <w:tcW w:w="1872" w:type="pct"/>
            <w:vAlign w:val="center"/>
          </w:tcPr>
          <w:p w14:paraId="28DA717B">
            <w:pPr>
              <w:spacing w:line="240" w:lineRule="auto"/>
              <w:ind w:firstLine="0" w:firstLineChars="0"/>
              <w:jc w:val="center"/>
              <w:rPr>
                <w:rFonts w:hint="eastAsia"/>
                <w:bCs/>
                <w:color w:val="auto"/>
                <w:sz w:val="21"/>
                <w:szCs w:val="21"/>
                <w:highlight w:val="none"/>
              </w:rPr>
            </w:pPr>
            <w:r>
              <w:rPr>
                <w:rFonts w:hint="eastAsia"/>
                <w:bCs/>
                <w:color w:val="auto"/>
                <w:sz w:val="21"/>
                <w:szCs w:val="21"/>
                <w:highlight w:val="none"/>
              </w:rPr>
              <w:t>（-6.5，2</w:t>
            </w:r>
            <w:r>
              <w:rPr>
                <w:rFonts w:hint="eastAsia"/>
                <w:bCs/>
                <w:color w:val="auto"/>
                <w:sz w:val="21"/>
                <w:szCs w:val="21"/>
                <w:highlight w:val="none"/>
                <w:lang w:val="en-US" w:eastAsia="zh-CN"/>
              </w:rPr>
              <w:t>6.75</w:t>
            </w:r>
            <w:r>
              <w:rPr>
                <w:rFonts w:hint="eastAsia"/>
                <w:bCs/>
                <w:color w:val="auto"/>
                <w:sz w:val="21"/>
                <w:szCs w:val="21"/>
                <w:highlight w:val="none"/>
              </w:rPr>
              <w:t>）</w:t>
            </w:r>
            <w:r>
              <w:rPr>
                <w:bCs/>
                <w:color w:val="auto"/>
                <w:sz w:val="21"/>
                <w:szCs w:val="21"/>
                <w:highlight w:val="none"/>
              </w:rPr>
              <w:t>/</w:t>
            </w:r>
            <w:r>
              <w:rPr>
                <w:rFonts w:hint="eastAsia"/>
                <w:color w:val="auto"/>
                <w:sz w:val="21"/>
                <w:szCs w:val="21"/>
                <w:highlight w:val="none"/>
              </w:rPr>
              <w:t>（-8，</w:t>
            </w:r>
            <w:r>
              <w:rPr>
                <w:rFonts w:hint="eastAsia"/>
                <w:color w:val="auto"/>
                <w:sz w:val="21"/>
                <w:szCs w:val="21"/>
                <w:highlight w:val="none"/>
                <w:lang w:val="en-US" w:eastAsia="zh-CN"/>
              </w:rPr>
              <w:t>17.85</w:t>
            </w:r>
            <w:r>
              <w:rPr>
                <w:rFonts w:hint="eastAsia"/>
                <w:color w:val="auto"/>
                <w:sz w:val="21"/>
                <w:szCs w:val="21"/>
                <w:highlight w:val="none"/>
              </w:rPr>
              <w:t>）</w:t>
            </w:r>
            <w:r>
              <w:rPr>
                <w:bCs/>
                <w:color w:val="auto"/>
                <w:sz w:val="21"/>
                <w:szCs w:val="21"/>
                <w:highlight w:val="none"/>
              </w:rPr>
              <w:t>/</w:t>
            </w:r>
            <w:r>
              <w:rPr>
                <w:rFonts w:hint="eastAsia"/>
                <w:bCs/>
                <w:color w:val="auto"/>
                <w:sz w:val="21"/>
                <w:szCs w:val="21"/>
                <w:highlight w:val="none"/>
              </w:rPr>
              <w:t>（-7，</w:t>
            </w:r>
            <w:r>
              <w:rPr>
                <w:rFonts w:hint="eastAsia"/>
                <w:bCs/>
                <w:color w:val="auto"/>
                <w:sz w:val="21"/>
                <w:szCs w:val="21"/>
                <w:highlight w:val="none"/>
                <w:lang w:val="en-US" w:eastAsia="zh-CN"/>
              </w:rPr>
              <w:t>11.3</w:t>
            </w:r>
            <w:r>
              <w:rPr>
                <w:rFonts w:hint="eastAsia"/>
                <w:bCs/>
                <w:color w:val="auto"/>
                <w:sz w:val="21"/>
                <w:szCs w:val="21"/>
                <w:highlight w:val="none"/>
              </w:rPr>
              <w:t>5）</w:t>
            </w:r>
          </w:p>
          <w:p w14:paraId="76705FBE">
            <w:pPr>
              <w:spacing w:line="240" w:lineRule="auto"/>
              <w:ind w:firstLine="0" w:firstLineChars="0"/>
              <w:jc w:val="center"/>
              <w:rPr>
                <w:color w:val="auto"/>
              </w:rPr>
            </w:pPr>
            <w:r>
              <w:rPr>
                <w:rFonts w:hint="eastAsia"/>
                <w:bCs/>
                <w:color w:val="auto"/>
                <w:sz w:val="21"/>
                <w:szCs w:val="21"/>
                <w:highlight w:val="none"/>
              </w:rPr>
              <w:t>（</w:t>
            </w:r>
            <w:r>
              <w:rPr>
                <w:rFonts w:hint="eastAsia"/>
                <w:bCs/>
                <w:color w:val="auto"/>
                <w:sz w:val="21"/>
                <w:szCs w:val="21"/>
                <w:highlight w:val="none"/>
                <w:lang w:val="en-US" w:eastAsia="zh-CN"/>
              </w:rPr>
              <w:t>5.2</w:t>
            </w:r>
            <w:r>
              <w:rPr>
                <w:rFonts w:hint="eastAsia"/>
                <w:bCs/>
                <w:color w:val="auto"/>
                <w:sz w:val="21"/>
                <w:szCs w:val="21"/>
                <w:highlight w:val="none"/>
              </w:rPr>
              <w:t>，2</w:t>
            </w:r>
            <w:r>
              <w:rPr>
                <w:rFonts w:hint="eastAsia"/>
                <w:bCs/>
                <w:color w:val="auto"/>
                <w:sz w:val="21"/>
                <w:szCs w:val="21"/>
                <w:highlight w:val="none"/>
                <w:lang w:val="en-US" w:eastAsia="zh-CN"/>
              </w:rPr>
              <w:t>6.75</w:t>
            </w:r>
            <w:r>
              <w:rPr>
                <w:rFonts w:hint="eastAsia"/>
                <w:bCs/>
                <w:color w:val="auto"/>
                <w:sz w:val="21"/>
                <w:szCs w:val="21"/>
                <w:highlight w:val="none"/>
              </w:rPr>
              <w:t>）</w:t>
            </w:r>
            <w:r>
              <w:rPr>
                <w:bCs/>
                <w:color w:val="auto"/>
                <w:sz w:val="21"/>
                <w:szCs w:val="21"/>
                <w:highlight w:val="none"/>
              </w:rPr>
              <w:t>/</w:t>
            </w:r>
            <w:r>
              <w:rPr>
                <w:rFonts w:hint="eastAsia"/>
                <w:color w:val="auto"/>
                <w:sz w:val="21"/>
                <w:szCs w:val="21"/>
                <w:highlight w:val="none"/>
              </w:rPr>
              <w:t>（</w:t>
            </w:r>
            <w:r>
              <w:rPr>
                <w:rFonts w:hint="eastAsia"/>
                <w:color w:val="auto"/>
                <w:sz w:val="21"/>
                <w:szCs w:val="21"/>
                <w:highlight w:val="none"/>
                <w:lang w:val="en-US" w:eastAsia="zh-CN"/>
              </w:rPr>
              <w:t>6.7</w:t>
            </w:r>
            <w:r>
              <w:rPr>
                <w:rFonts w:hint="eastAsia"/>
                <w:color w:val="auto"/>
                <w:sz w:val="21"/>
                <w:szCs w:val="21"/>
                <w:highlight w:val="none"/>
              </w:rPr>
              <w:t>，</w:t>
            </w:r>
            <w:r>
              <w:rPr>
                <w:rFonts w:hint="eastAsia"/>
                <w:color w:val="auto"/>
                <w:sz w:val="21"/>
                <w:szCs w:val="21"/>
                <w:highlight w:val="none"/>
                <w:lang w:val="en-US" w:eastAsia="zh-CN"/>
              </w:rPr>
              <w:t>17.85</w:t>
            </w:r>
            <w:r>
              <w:rPr>
                <w:rFonts w:hint="eastAsia"/>
                <w:color w:val="auto"/>
                <w:sz w:val="21"/>
                <w:szCs w:val="21"/>
                <w:highlight w:val="none"/>
              </w:rPr>
              <w:t>）</w:t>
            </w:r>
            <w:r>
              <w:rPr>
                <w:bCs/>
                <w:color w:val="auto"/>
                <w:sz w:val="21"/>
                <w:szCs w:val="21"/>
                <w:highlight w:val="none"/>
              </w:rPr>
              <w:t>/</w:t>
            </w:r>
            <w:r>
              <w:rPr>
                <w:rFonts w:hint="eastAsia"/>
                <w:bCs/>
                <w:color w:val="auto"/>
                <w:sz w:val="21"/>
                <w:szCs w:val="21"/>
                <w:highlight w:val="none"/>
              </w:rPr>
              <w:t>（</w:t>
            </w:r>
            <w:r>
              <w:rPr>
                <w:rFonts w:hint="eastAsia"/>
                <w:bCs/>
                <w:color w:val="auto"/>
                <w:sz w:val="21"/>
                <w:szCs w:val="21"/>
                <w:highlight w:val="none"/>
                <w:lang w:val="en-US" w:eastAsia="zh-CN"/>
              </w:rPr>
              <w:t>5.</w:t>
            </w:r>
            <w:r>
              <w:rPr>
                <w:rFonts w:hint="eastAsia"/>
                <w:bCs/>
                <w:color w:val="auto"/>
                <w:sz w:val="21"/>
                <w:szCs w:val="21"/>
                <w:highlight w:val="none"/>
              </w:rPr>
              <w:t>7，</w:t>
            </w:r>
            <w:r>
              <w:rPr>
                <w:rFonts w:hint="eastAsia"/>
                <w:bCs/>
                <w:color w:val="auto"/>
                <w:sz w:val="21"/>
                <w:szCs w:val="21"/>
                <w:highlight w:val="none"/>
                <w:lang w:val="en-US" w:eastAsia="zh-CN"/>
              </w:rPr>
              <w:t>11.3</w:t>
            </w:r>
            <w:r>
              <w:rPr>
                <w:rFonts w:hint="eastAsia"/>
                <w:bCs/>
                <w:color w:val="auto"/>
                <w:sz w:val="21"/>
                <w:szCs w:val="21"/>
                <w:highlight w:val="none"/>
              </w:rPr>
              <w:t>5）</w:t>
            </w:r>
          </w:p>
        </w:tc>
        <w:tc>
          <w:tcPr>
            <w:tcW w:w="1932" w:type="pct"/>
            <w:vAlign w:val="center"/>
          </w:tcPr>
          <w:p w14:paraId="5E274825">
            <w:pPr>
              <w:spacing w:line="240" w:lineRule="auto"/>
              <w:ind w:firstLine="0" w:firstLineChars="0"/>
              <w:jc w:val="center"/>
              <w:rPr>
                <w:color w:val="auto"/>
                <w:highlight w:val="none"/>
              </w:rPr>
            </w:pPr>
            <w:r>
              <w:rPr>
                <w:rFonts w:hint="eastAsia"/>
                <w:bCs/>
                <w:color w:val="auto"/>
                <w:sz w:val="21"/>
                <w:szCs w:val="21"/>
                <w:highlight w:val="none"/>
              </w:rPr>
              <w:t>（-</w:t>
            </w:r>
            <w:r>
              <w:rPr>
                <w:rFonts w:hint="eastAsia"/>
                <w:bCs/>
                <w:color w:val="auto"/>
                <w:sz w:val="21"/>
                <w:szCs w:val="21"/>
                <w:highlight w:val="none"/>
                <w:lang w:val="en-US" w:eastAsia="zh-CN"/>
              </w:rPr>
              <w:t>7.0</w:t>
            </w:r>
            <w:r>
              <w:rPr>
                <w:rFonts w:hint="eastAsia"/>
                <w:bCs/>
                <w:color w:val="auto"/>
                <w:sz w:val="21"/>
                <w:szCs w:val="21"/>
                <w:highlight w:val="none"/>
              </w:rPr>
              <w:t>，</w:t>
            </w:r>
            <w:r>
              <w:rPr>
                <w:rFonts w:hint="eastAsia"/>
                <w:bCs/>
                <w:color w:val="auto"/>
                <w:sz w:val="21"/>
                <w:szCs w:val="21"/>
                <w:highlight w:val="none"/>
                <w:lang w:val="en-US" w:eastAsia="zh-CN"/>
              </w:rPr>
              <w:t>11.3</w:t>
            </w:r>
            <w:r>
              <w:rPr>
                <w:rFonts w:hint="eastAsia"/>
                <w:bCs/>
                <w:color w:val="auto"/>
                <w:sz w:val="21"/>
                <w:szCs w:val="21"/>
                <w:highlight w:val="none"/>
              </w:rPr>
              <w:t>5）</w:t>
            </w:r>
            <w:r>
              <w:rPr>
                <w:bCs/>
                <w:color w:val="auto"/>
                <w:sz w:val="21"/>
                <w:szCs w:val="21"/>
                <w:highlight w:val="none"/>
              </w:rPr>
              <w:t>/</w:t>
            </w:r>
            <w:r>
              <w:rPr>
                <w:rFonts w:hint="eastAsia"/>
                <w:color w:val="auto"/>
                <w:sz w:val="21"/>
                <w:szCs w:val="21"/>
                <w:highlight w:val="none"/>
              </w:rPr>
              <w:t>（0，1</w:t>
            </w:r>
            <w:r>
              <w:rPr>
                <w:rFonts w:hint="eastAsia"/>
                <w:color w:val="auto"/>
                <w:sz w:val="21"/>
                <w:szCs w:val="21"/>
                <w:highlight w:val="none"/>
                <w:lang w:val="en-US" w:eastAsia="zh-CN"/>
              </w:rPr>
              <w:t>6.35</w:t>
            </w:r>
            <w:r>
              <w:rPr>
                <w:rFonts w:hint="eastAsia"/>
                <w:color w:val="auto"/>
                <w:sz w:val="21"/>
                <w:szCs w:val="21"/>
                <w:highlight w:val="none"/>
              </w:rPr>
              <w:t>）</w:t>
            </w:r>
            <w:r>
              <w:rPr>
                <w:bCs/>
                <w:color w:val="auto"/>
                <w:sz w:val="21"/>
                <w:szCs w:val="21"/>
                <w:highlight w:val="none"/>
              </w:rPr>
              <w:t>/</w:t>
            </w:r>
            <w:r>
              <w:rPr>
                <w:rFonts w:hint="eastAsia"/>
                <w:bCs/>
                <w:color w:val="auto"/>
                <w:sz w:val="21"/>
                <w:szCs w:val="21"/>
                <w:highlight w:val="none"/>
              </w:rPr>
              <w:t>（</w:t>
            </w:r>
            <w:r>
              <w:rPr>
                <w:rFonts w:hint="eastAsia"/>
                <w:bCs/>
                <w:color w:val="auto"/>
                <w:sz w:val="21"/>
                <w:szCs w:val="21"/>
                <w:highlight w:val="none"/>
                <w:lang w:val="en-US" w:eastAsia="zh-CN"/>
              </w:rPr>
              <w:t>7.0</w:t>
            </w:r>
            <w:r>
              <w:rPr>
                <w:rFonts w:hint="eastAsia"/>
                <w:bCs/>
                <w:color w:val="auto"/>
                <w:sz w:val="21"/>
                <w:szCs w:val="21"/>
                <w:highlight w:val="none"/>
              </w:rPr>
              <w:t>，</w:t>
            </w:r>
            <w:r>
              <w:rPr>
                <w:rFonts w:hint="eastAsia"/>
                <w:bCs/>
                <w:color w:val="auto"/>
                <w:sz w:val="21"/>
                <w:szCs w:val="21"/>
                <w:highlight w:val="none"/>
                <w:lang w:val="en-US" w:eastAsia="zh-CN"/>
              </w:rPr>
              <w:t>11.35</w:t>
            </w:r>
            <w:r>
              <w:rPr>
                <w:rFonts w:hint="eastAsia"/>
                <w:bCs/>
                <w:color w:val="auto"/>
                <w:sz w:val="21"/>
                <w:szCs w:val="21"/>
                <w:highlight w:val="none"/>
              </w:rPr>
              <w:t>）</w:t>
            </w:r>
          </w:p>
        </w:tc>
      </w:tr>
      <w:tr w14:paraId="2F60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194" w:type="pct"/>
            <w:vAlign w:val="center"/>
          </w:tcPr>
          <w:p w14:paraId="44B59530">
            <w:pPr>
              <w:widowControl/>
              <w:spacing w:line="240" w:lineRule="auto"/>
              <w:ind w:firstLine="0" w:firstLineChars="0"/>
              <w:jc w:val="center"/>
              <w:rPr>
                <w:color w:val="auto"/>
                <w:kern w:val="0"/>
                <w:sz w:val="21"/>
                <w:szCs w:val="21"/>
                <w:highlight w:val="none"/>
              </w:rPr>
            </w:pPr>
            <w:r>
              <w:rPr>
                <w:color w:val="auto"/>
                <w:kern w:val="0"/>
                <w:sz w:val="21"/>
                <w:szCs w:val="21"/>
                <w:highlight w:val="none"/>
              </w:rPr>
              <w:t>导线距地最小距离(m)</w:t>
            </w:r>
          </w:p>
        </w:tc>
        <w:tc>
          <w:tcPr>
            <w:tcW w:w="1872" w:type="pct"/>
            <w:vAlign w:val="center"/>
          </w:tcPr>
          <w:p w14:paraId="573ECA9F">
            <w:pPr>
              <w:spacing w:line="240" w:lineRule="auto"/>
              <w:ind w:firstLine="0" w:firstLineChars="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11.35</w:t>
            </w:r>
          </w:p>
        </w:tc>
        <w:tc>
          <w:tcPr>
            <w:tcW w:w="1932" w:type="pct"/>
            <w:vAlign w:val="center"/>
          </w:tcPr>
          <w:p w14:paraId="347D11C8">
            <w:pPr>
              <w:spacing w:line="240" w:lineRule="auto"/>
              <w:ind w:firstLine="0" w:firstLineChars="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11.35</w:t>
            </w:r>
          </w:p>
        </w:tc>
      </w:tr>
      <w:tr w14:paraId="239D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00" w:type="pct"/>
            <w:gridSpan w:val="3"/>
            <w:vAlign w:val="center"/>
          </w:tcPr>
          <w:p w14:paraId="74DAD5C0">
            <w:pPr>
              <w:spacing w:line="240" w:lineRule="auto"/>
              <w:ind w:firstLine="0" w:firstLineChars="0"/>
              <w:jc w:val="left"/>
              <w:rPr>
                <w:rFonts w:hint="default" w:eastAsia="宋体"/>
                <w:color w:val="auto"/>
                <w:sz w:val="21"/>
                <w:szCs w:val="21"/>
                <w:highlight w:val="none"/>
                <w:lang w:val="en-US" w:eastAsia="zh-CN"/>
              </w:rPr>
            </w:pPr>
            <w:r>
              <w:rPr>
                <w:rFonts w:eastAsia="宋体" w:cs="Times New Roman"/>
                <w:color w:val="auto"/>
                <w:sz w:val="21"/>
                <w:szCs w:val="21"/>
                <w:highlight w:val="none"/>
              </w:rPr>
              <w:t>备注：电流=</w:t>
            </w:r>
            <w:r>
              <w:rPr>
                <w:rFonts w:hint="eastAsia" w:eastAsia="宋体" w:cs="Times New Roman"/>
                <w:color w:val="auto"/>
                <w:sz w:val="21"/>
                <w:szCs w:val="21"/>
                <w:highlight w:val="none"/>
                <w:lang w:val="en-US" w:eastAsia="zh-CN"/>
              </w:rPr>
              <w:t>2</w:t>
            </w:r>
            <w:r>
              <w:rPr>
                <w:rFonts w:eastAsia="宋体" w:cs="Times New Roman"/>
                <w:color w:val="auto"/>
                <w:sz w:val="21"/>
                <w:szCs w:val="21"/>
                <w:highlight w:val="none"/>
              </w:rPr>
              <w:t>00000</w:t>
            </w:r>
            <w:r>
              <w:rPr>
                <w:rFonts w:hint="eastAsia" w:eastAsia="宋体" w:cs="Times New Roman"/>
                <w:color w:val="auto"/>
                <w:sz w:val="21"/>
                <w:szCs w:val="21"/>
                <w:highlight w:val="none"/>
                <w:lang w:val="en-US" w:eastAsia="zh-CN"/>
              </w:rPr>
              <w:t>kW</w:t>
            </w:r>
            <w:r>
              <w:rPr>
                <w:rFonts w:eastAsia="宋体" w:cs="Times New Roman"/>
                <w:color w:val="auto"/>
                <w:sz w:val="21"/>
                <w:szCs w:val="21"/>
                <w:highlight w:val="none"/>
              </w:rPr>
              <w:t>÷220</w:t>
            </w:r>
            <w:r>
              <w:rPr>
                <w:rFonts w:hint="eastAsia" w:eastAsia="宋体" w:cs="Times New Roman"/>
                <w:color w:val="auto"/>
                <w:sz w:val="21"/>
                <w:szCs w:val="21"/>
                <w:highlight w:val="none"/>
                <w:lang w:val="en-US" w:eastAsia="zh-CN"/>
              </w:rPr>
              <w:t>kV</w:t>
            </w:r>
            <w:r>
              <w:rPr>
                <w:rFonts w:eastAsia="宋体" w:cs="Times New Roman"/>
                <w:color w:val="auto"/>
                <w:sz w:val="21"/>
                <w:szCs w:val="21"/>
                <w:highlight w:val="none"/>
              </w:rPr>
              <w:t>÷1.732÷0.98=</w:t>
            </w:r>
            <w:r>
              <w:rPr>
                <w:rFonts w:hint="eastAsia" w:eastAsia="宋体" w:cs="Times New Roman"/>
                <w:color w:val="auto"/>
                <w:sz w:val="21"/>
                <w:szCs w:val="21"/>
                <w:highlight w:val="none"/>
                <w:lang w:val="en-US" w:eastAsia="zh-CN"/>
              </w:rPr>
              <w:t>536.21</w:t>
            </w:r>
            <w:r>
              <w:rPr>
                <w:rFonts w:eastAsia="宋体" w:cs="Times New Roman"/>
                <w:color w:val="auto"/>
                <w:sz w:val="21"/>
                <w:szCs w:val="21"/>
                <w:highlight w:val="none"/>
              </w:rPr>
              <w:t>A，本项目保守考虑，按照</w:t>
            </w:r>
            <w:r>
              <w:rPr>
                <w:rFonts w:hint="eastAsia" w:eastAsia="宋体" w:cs="Times New Roman"/>
                <w:color w:val="auto"/>
                <w:sz w:val="21"/>
                <w:szCs w:val="21"/>
                <w:highlight w:val="none"/>
                <w:lang w:val="en-US" w:eastAsia="zh-CN"/>
              </w:rPr>
              <w:t>537</w:t>
            </w:r>
            <w:r>
              <w:rPr>
                <w:rFonts w:eastAsia="宋体" w:cs="Times New Roman"/>
                <w:color w:val="auto"/>
                <w:sz w:val="21"/>
                <w:szCs w:val="21"/>
                <w:highlight w:val="none"/>
              </w:rPr>
              <w:t>A计算</w:t>
            </w:r>
            <w:r>
              <w:rPr>
                <w:rFonts w:hint="eastAsia" w:eastAsia="宋体" w:cs="Times New Roman"/>
                <w:color w:val="auto"/>
                <w:sz w:val="21"/>
                <w:szCs w:val="21"/>
                <w:highlight w:val="none"/>
                <w:lang w:eastAsia="zh-CN"/>
              </w:rPr>
              <w:t>，双回路另一侧由围场县清洁能源基地项目（一期三峡电能100MW风电项目）接入，电流保守同本项目取</w:t>
            </w:r>
            <w:r>
              <w:rPr>
                <w:rFonts w:hint="eastAsia" w:eastAsia="宋体" w:cs="Times New Roman"/>
                <w:color w:val="auto"/>
                <w:sz w:val="21"/>
                <w:szCs w:val="21"/>
                <w:highlight w:val="none"/>
                <w:lang w:val="en-US" w:eastAsia="zh-CN"/>
              </w:rPr>
              <w:t>537A计算</w:t>
            </w:r>
          </w:p>
        </w:tc>
      </w:tr>
    </w:tbl>
    <w:p w14:paraId="2D556689">
      <w:pPr>
        <w:spacing w:line="500" w:lineRule="exact"/>
        <w:ind w:firstLine="482"/>
        <w:rPr>
          <w:rFonts w:eastAsia="宋体" w:cs="Times New Roman"/>
          <w:b/>
          <w:color w:val="auto"/>
          <w:highlight w:val="none"/>
        </w:rPr>
      </w:pPr>
      <w:r>
        <w:rPr>
          <w:rFonts w:eastAsia="宋体" w:cs="Times New Roman"/>
          <w:b/>
          <w:color w:val="auto"/>
          <w:highlight w:val="none"/>
        </w:rPr>
        <w:t>（1）</w:t>
      </w:r>
      <w:r>
        <w:rPr>
          <w:rFonts w:hint="eastAsia" w:eastAsia="宋体" w:cs="Times New Roman"/>
          <w:b/>
          <w:color w:val="auto"/>
          <w:highlight w:val="none"/>
        </w:rPr>
        <w:t>22</w:t>
      </w:r>
      <w:r>
        <w:rPr>
          <w:rFonts w:eastAsia="宋体" w:cs="Times New Roman"/>
          <w:b/>
          <w:color w:val="auto"/>
          <w:highlight w:val="none"/>
        </w:rPr>
        <w:t>0kV线路电场预测</w:t>
      </w:r>
    </w:p>
    <w:p w14:paraId="2028C275">
      <w:pPr>
        <w:spacing w:line="500" w:lineRule="exact"/>
        <w:ind w:firstLine="480"/>
        <w:rPr>
          <w:rFonts w:eastAsia="宋体" w:cs="Times New Roman"/>
          <w:color w:val="auto"/>
          <w:highlight w:val="none"/>
        </w:rPr>
      </w:pPr>
      <w:r>
        <w:rPr>
          <w:rFonts w:eastAsia="宋体" w:cs="Times New Roman"/>
          <w:color w:val="auto"/>
          <w:highlight w:val="none"/>
        </w:rPr>
        <w:t>根据《环境影响评价技术导则 输变电》（HJ24-2020）附录C推荐的计算模式进行。</w:t>
      </w:r>
    </w:p>
    <w:p w14:paraId="0CB97697">
      <w:pPr>
        <w:spacing w:line="500" w:lineRule="exact"/>
        <w:ind w:firstLine="480"/>
        <w:rPr>
          <w:rFonts w:eastAsia="宋体" w:cs="Times New Roman"/>
          <w:color w:val="auto"/>
          <w:highlight w:val="none"/>
        </w:rPr>
      </w:pPr>
      <w:r>
        <w:rPr>
          <w:rFonts w:eastAsia="宋体" w:cs="Times New Roman"/>
          <w:color w:val="auto"/>
          <w:highlight w:val="none"/>
        </w:rPr>
        <w:fldChar w:fldCharType="begin"/>
      </w:r>
      <w:r>
        <w:rPr>
          <w:rFonts w:eastAsia="宋体" w:cs="Times New Roman"/>
          <w:color w:val="auto"/>
          <w:highlight w:val="none"/>
        </w:rPr>
        <w:instrText xml:space="preserve"> = 1 \* GB3 </w:instrText>
      </w:r>
      <w:r>
        <w:rPr>
          <w:rFonts w:eastAsia="宋体" w:cs="Times New Roman"/>
          <w:color w:val="auto"/>
          <w:highlight w:val="none"/>
        </w:rPr>
        <w:fldChar w:fldCharType="separate"/>
      </w:r>
      <w:r>
        <w:rPr>
          <w:rFonts w:eastAsia="宋体" w:cs="Times New Roman"/>
          <w:color w:val="auto"/>
          <w:highlight w:val="none"/>
        </w:rPr>
        <w:t>①</w:t>
      </w:r>
      <w:r>
        <w:rPr>
          <w:rFonts w:eastAsia="宋体" w:cs="Times New Roman"/>
          <w:color w:val="auto"/>
          <w:highlight w:val="none"/>
        </w:rPr>
        <w:fldChar w:fldCharType="end"/>
      </w:r>
      <w:r>
        <w:rPr>
          <w:rFonts w:eastAsia="宋体" w:cs="Times New Roman"/>
          <w:color w:val="auto"/>
          <w:highlight w:val="none"/>
        </w:rPr>
        <w:t>单位长度导线下等效电荷的计算</w:t>
      </w:r>
    </w:p>
    <w:p w14:paraId="4A6BBF93">
      <w:pPr>
        <w:spacing w:line="500" w:lineRule="exact"/>
        <w:ind w:firstLine="480"/>
        <w:rPr>
          <w:rFonts w:eastAsia="宋体" w:cs="Times New Roman"/>
          <w:color w:val="auto"/>
          <w:highlight w:val="none"/>
        </w:rPr>
      </w:pPr>
      <w:r>
        <w:rPr>
          <w:rFonts w:eastAsia="宋体" w:cs="Times New Roman"/>
          <w:color w:val="auto"/>
          <w:highlight w:val="none"/>
        </w:rPr>
        <w:t>高压送电线上的等效电荷是线电荷，由于高压送电线半径r远小于架设高度h，因此等效电荷的位置可以认为是在送电导线的几何中心。</w:t>
      </w:r>
    </w:p>
    <w:p w14:paraId="7EB50B91">
      <w:pPr>
        <w:spacing w:line="500" w:lineRule="exact"/>
        <w:ind w:firstLine="480"/>
        <w:rPr>
          <w:rFonts w:eastAsia="宋体" w:cs="Times New Roman"/>
          <w:color w:val="auto"/>
          <w:highlight w:val="none"/>
        </w:rPr>
      </w:pPr>
      <w:r>
        <w:rPr>
          <w:rFonts w:eastAsia="宋体" w:cs="Times New Roman"/>
          <w:color w:val="auto"/>
          <w:highlight w:val="none"/>
        </w:rPr>
        <w:t>设送电线路为无限长并且平行于地面，地面可视为良导体，利用镜像法计算送电线上的等效电荷。</w:t>
      </w:r>
    </w:p>
    <w:p w14:paraId="57E5A941">
      <w:pPr>
        <w:spacing w:line="500" w:lineRule="exact"/>
        <w:ind w:firstLine="480"/>
        <w:rPr>
          <w:rFonts w:eastAsia="宋体" w:cs="Times New Roman"/>
          <w:color w:val="auto"/>
          <w:highlight w:val="none"/>
        </w:rPr>
      </w:pPr>
      <w:r>
        <w:rPr>
          <w:rFonts w:eastAsia="宋体" w:cs="Times New Roman"/>
          <w:color w:val="auto"/>
          <w:highlight w:val="none"/>
        </w:rPr>
        <w:t>多导线线路中导线上的等效电荷由下列矩阵方程计算：</w:t>
      </w:r>
    </w:p>
    <w:p w14:paraId="7471EE31">
      <w:pPr>
        <w:spacing w:before="120" w:after="120" w:line="540" w:lineRule="atLeast"/>
        <w:ind w:firstLine="990" w:firstLineChars="450"/>
        <w:rPr>
          <w:rFonts w:eastAsia="宋体" w:cs="Times New Roman"/>
          <w:color w:val="auto"/>
          <w:highlight w:val="none"/>
        </w:rPr>
      </w:pPr>
      <w:r>
        <w:rPr>
          <w:rFonts w:eastAsia="宋体" w:cs="Times New Roman"/>
          <w:color w:val="auto"/>
          <w:position w:val="-66"/>
          <w:highlight w:val="none"/>
        </w:rPr>
        <w:object>
          <v:shape id="_x0000_i1044" o:spt="75" type="#_x0000_t75" style="height:77.2pt;width:204.8pt;" o:ole="t" filled="f" o:preferrelative="t" stroked="f" coordsize="21600,21600">
            <v:path/>
            <v:fill on="f" focussize="0,0"/>
            <v:stroke on="f" joinstyle="miter"/>
            <v:imagedata r:id="rId48" o:title=""/>
            <o:lock v:ext="edit" aspectratio="t"/>
            <w10:wrap type="none"/>
            <w10:anchorlock/>
          </v:shape>
          <o:OLEObject Type="Embed" ProgID="Equation.2" ShapeID="_x0000_i1044" DrawAspect="Content" ObjectID="_1468075725" r:id="rId47">
            <o:LockedField>false</o:LockedField>
          </o:OLEObject>
        </w:object>
      </w:r>
      <w:r>
        <w:rPr>
          <w:rFonts w:eastAsia="宋体" w:cs="Times New Roman"/>
          <w:color w:val="auto"/>
          <w:highlight w:val="none"/>
        </w:rPr>
        <w:t xml:space="preserve">  ..........（1）</w:t>
      </w:r>
    </w:p>
    <w:p w14:paraId="6968838D">
      <w:pPr>
        <w:spacing w:line="460" w:lineRule="exact"/>
        <w:ind w:firstLine="480"/>
        <w:rPr>
          <w:rFonts w:eastAsia="宋体" w:cs="Times New Roman"/>
          <w:color w:val="auto"/>
          <w:highlight w:val="none"/>
        </w:rPr>
      </w:pPr>
      <w:r>
        <w:rPr>
          <w:rFonts w:eastAsia="宋体" w:cs="Times New Roman"/>
          <w:color w:val="auto"/>
          <w:highlight w:val="none"/>
        </w:rPr>
        <w:t>式中：[u]--</w:t>
      </w:r>
      <w:r>
        <w:rPr>
          <w:rFonts w:hint="eastAsia" w:eastAsia="宋体" w:cs="Times New Roman"/>
          <w:color w:val="auto"/>
          <w:highlight w:val="none"/>
        </w:rPr>
        <w:t>-</w:t>
      </w:r>
      <w:r>
        <w:rPr>
          <w:rFonts w:eastAsia="宋体" w:cs="Times New Roman"/>
          <w:color w:val="auto"/>
          <w:highlight w:val="none"/>
        </w:rPr>
        <w:t>各导线对地电压的单列矩阵；</w:t>
      </w:r>
    </w:p>
    <w:p w14:paraId="2ADB13C1">
      <w:pPr>
        <w:spacing w:line="500" w:lineRule="exact"/>
        <w:ind w:firstLine="480"/>
        <w:rPr>
          <w:rFonts w:eastAsia="宋体" w:cs="Times New Roman"/>
          <w:color w:val="auto"/>
          <w:highlight w:val="none"/>
        </w:rPr>
      </w:pPr>
      <w:r>
        <w:rPr>
          <w:rFonts w:eastAsia="宋体" w:cs="Times New Roman"/>
          <w:color w:val="auto"/>
          <w:highlight w:val="none"/>
        </w:rPr>
        <w:t xml:space="preserve">      [Q]--</w:t>
      </w:r>
      <w:r>
        <w:rPr>
          <w:rFonts w:hint="eastAsia" w:eastAsia="宋体" w:cs="Times New Roman"/>
          <w:color w:val="auto"/>
          <w:highlight w:val="none"/>
        </w:rPr>
        <w:t>-</w:t>
      </w:r>
      <w:r>
        <w:rPr>
          <w:rFonts w:eastAsia="宋体" w:cs="Times New Roman"/>
          <w:color w:val="auto"/>
          <w:highlight w:val="none"/>
        </w:rPr>
        <w:t>各导线上等效电荷的单列矩阵；</w:t>
      </w:r>
    </w:p>
    <w:p w14:paraId="4924D8AA">
      <w:pPr>
        <w:spacing w:line="500" w:lineRule="exact"/>
        <w:ind w:firstLine="480"/>
        <w:rPr>
          <w:rFonts w:eastAsia="宋体" w:cs="Times New Roman"/>
          <w:color w:val="auto"/>
          <w:highlight w:val="none"/>
        </w:rPr>
      </w:pPr>
      <w:r>
        <w:rPr>
          <w:rFonts w:eastAsia="宋体" w:cs="Times New Roman"/>
          <w:color w:val="auto"/>
          <w:highlight w:val="none"/>
        </w:rPr>
        <w:t xml:space="preserve">      [λ]--</w:t>
      </w:r>
      <w:r>
        <w:rPr>
          <w:rFonts w:hint="eastAsia" w:eastAsia="宋体" w:cs="Times New Roman"/>
          <w:color w:val="auto"/>
          <w:highlight w:val="none"/>
        </w:rPr>
        <w:t>-</w:t>
      </w:r>
      <w:r>
        <w:rPr>
          <w:rFonts w:eastAsia="宋体" w:cs="Times New Roman"/>
          <w:color w:val="auto"/>
          <w:highlight w:val="none"/>
        </w:rPr>
        <w:t>各导线的电位系数组成的n阶方阵</w:t>
      </w:r>
      <w:r>
        <w:rPr>
          <w:rFonts w:hint="eastAsia" w:eastAsia="宋体" w:cs="Times New Roman"/>
          <w:color w:val="auto"/>
          <w:highlight w:val="none"/>
        </w:rPr>
        <w:t>（</w:t>
      </w:r>
      <w:r>
        <w:rPr>
          <w:rFonts w:eastAsia="宋体" w:cs="Times New Roman"/>
          <w:color w:val="auto"/>
          <w:highlight w:val="none"/>
        </w:rPr>
        <w:t>n为导线数目</w:t>
      </w:r>
      <w:r>
        <w:rPr>
          <w:rFonts w:hint="eastAsia" w:eastAsia="宋体" w:cs="Times New Roman"/>
          <w:color w:val="auto"/>
          <w:highlight w:val="none"/>
        </w:rPr>
        <w:t>）</w:t>
      </w:r>
      <w:r>
        <w:rPr>
          <w:rFonts w:eastAsia="宋体" w:cs="Times New Roman"/>
          <w:color w:val="auto"/>
          <w:highlight w:val="none"/>
        </w:rPr>
        <w:t>。</w:t>
      </w:r>
    </w:p>
    <w:p w14:paraId="64679D00">
      <w:pPr>
        <w:spacing w:line="500" w:lineRule="exact"/>
        <w:ind w:firstLine="480"/>
        <w:rPr>
          <w:rFonts w:eastAsia="宋体" w:cs="Times New Roman"/>
          <w:color w:val="auto"/>
          <w:highlight w:val="none"/>
        </w:rPr>
      </w:pPr>
      <w:r>
        <w:rPr>
          <w:rFonts w:eastAsia="宋体" w:cs="Times New Roman"/>
          <w:color w:val="auto"/>
          <w:highlight w:val="none"/>
        </w:rPr>
        <w:t>式1中，[u]矩阵由送电线的电压和相位确定，并以额定电压的1.05倍作为计算电压。并由三相</w:t>
      </w:r>
      <w:r>
        <w:rPr>
          <w:rFonts w:hint="eastAsia" w:eastAsia="宋体" w:cs="Times New Roman"/>
          <w:color w:val="auto"/>
          <w:highlight w:val="none"/>
          <w:lang w:val="en-US" w:eastAsia="zh-CN"/>
        </w:rPr>
        <w:t>22</w:t>
      </w:r>
      <w:r>
        <w:rPr>
          <w:rFonts w:eastAsia="宋体" w:cs="Times New Roman"/>
          <w:color w:val="auto"/>
          <w:highlight w:val="none"/>
        </w:rPr>
        <w:t>0kV（线间电压）回路各相的相位和分量，计算各导线对地电压为：</w:t>
      </w:r>
    </w:p>
    <w:p w14:paraId="05A603F3">
      <w:pPr>
        <w:spacing w:line="480" w:lineRule="atLeast"/>
        <w:ind w:firstLine="0" w:firstLineChars="0"/>
        <w:jc w:val="center"/>
        <w:rPr>
          <w:rFonts w:eastAsia="宋体" w:cs="Times New Roman"/>
          <w:color w:val="auto"/>
          <w:highlight w:val="none"/>
        </w:rPr>
      </w:pPr>
      <w:r>
        <w:rPr>
          <w:rFonts w:eastAsia="宋体" w:cs="Times New Roman"/>
          <w:color w:val="auto"/>
          <w:position w:val="-64"/>
          <w:highlight w:val="none"/>
        </w:rPr>
        <w:object>
          <v:shape id="_x0000_i1045" o:spt="75" type="#_x0000_t75" style="height:72pt;width:80.8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26" r:id="rId49">
            <o:LockedField>false</o:LockedField>
          </o:OLEObject>
        </w:object>
      </w:r>
    </w:p>
    <w:p w14:paraId="3A6C779C">
      <w:pPr>
        <w:spacing w:line="500" w:lineRule="exact"/>
        <w:ind w:firstLine="480"/>
        <w:rPr>
          <w:rFonts w:eastAsia="宋体" w:cs="Times New Roman"/>
          <w:color w:val="auto"/>
          <w:highlight w:val="none"/>
        </w:rPr>
      </w:pPr>
      <w:r>
        <w:rPr>
          <w:rFonts w:eastAsia="宋体" w:cs="Times New Roman"/>
          <w:color w:val="auto"/>
          <w:highlight w:val="none"/>
        </w:rPr>
        <w:t>各导线对地电压分量为：</w:t>
      </w:r>
    </w:p>
    <w:p w14:paraId="28F4A1E3">
      <w:pPr>
        <w:spacing w:line="480" w:lineRule="atLeast"/>
        <w:ind w:firstLine="480"/>
        <w:jc w:val="center"/>
        <w:rPr>
          <w:rFonts w:eastAsia="宋体" w:cs="Times New Roman"/>
          <w:color w:val="auto"/>
          <w:highlight w:val="none"/>
        </w:rPr>
      </w:pPr>
      <w:r>
        <w:rPr>
          <w:rFonts w:eastAsia="宋体" w:cs="Times New Roman"/>
          <w:color w:val="auto"/>
          <w:highlight w:val="none"/>
        </w:rPr>
        <w:drawing>
          <wp:inline distT="0" distB="0" distL="114300" distR="114300">
            <wp:extent cx="1701800" cy="685800"/>
            <wp:effectExtent l="0" t="0" r="1270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51"/>
                    <a:stretch>
                      <a:fillRect/>
                    </a:stretch>
                  </pic:blipFill>
                  <pic:spPr>
                    <a:xfrm>
                      <a:off x="0" y="0"/>
                      <a:ext cx="1701800" cy="685800"/>
                    </a:xfrm>
                    <a:prstGeom prst="rect">
                      <a:avLst/>
                    </a:prstGeom>
                    <a:noFill/>
                    <a:ln>
                      <a:noFill/>
                    </a:ln>
                  </pic:spPr>
                </pic:pic>
              </a:graphicData>
            </a:graphic>
          </wp:inline>
        </w:drawing>
      </w:r>
    </w:p>
    <w:p w14:paraId="64F057BE">
      <w:pPr>
        <w:spacing w:line="480" w:lineRule="atLeast"/>
        <w:ind w:firstLine="480"/>
        <w:jc w:val="center"/>
        <w:rPr>
          <w:rFonts w:eastAsia="宋体" w:cs="Times New Roman"/>
          <w:color w:val="auto"/>
          <w:highlight w:val="none"/>
        </w:rPr>
      </w:pPr>
      <w:r>
        <w:rPr>
          <w:rFonts w:eastAsia="宋体" w:cs="Times New Roman"/>
          <w:color w:val="auto"/>
          <w:highlight w:val="none"/>
        </w:rPr>
        <w:drawing>
          <wp:inline distT="0" distB="0" distL="114300" distR="114300">
            <wp:extent cx="2983230" cy="2310130"/>
            <wp:effectExtent l="0" t="0" r="7620" b="13970"/>
            <wp:docPr id="37" name="图片 4" descr="QQ截图2015111719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QQ截图20151117193418"/>
                    <pic:cNvPicPr>
                      <a:picLocks noChangeAspect="1"/>
                    </pic:cNvPicPr>
                  </pic:nvPicPr>
                  <pic:blipFill>
                    <a:blip r:embed="rId52"/>
                    <a:srcRect l="11142" t="4754" r="6836" b="1244"/>
                    <a:stretch>
                      <a:fillRect/>
                    </a:stretch>
                  </pic:blipFill>
                  <pic:spPr>
                    <a:xfrm>
                      <a:off x="0" y="0"/>
                      <a:ext cx="2983230" cy="2310130"/>
                    </a:xfrm>
                    <a:prstGeom prst="rect">
                      <a:avLst/>
                    </a:prstGeom>
                    <a:noFill/>
                    <a:ln>
                      <a:noFill/>
                    </a:ln>
                  </pic:spPr>
                </pic:pic>
              </a:graphicData>
            </a:graphic>
          </wp:inline>
        </w:drawing>
      </w:r>
    </w:p>
    <w:p w14:paraId="45F9FC03">
      <w:pPr>
        <w:tabs>
          <w:tab w:val="left" w:pos="700"/>
        </w:tabs>
        <w:ind w:firstLine="0" w:firstLineChars="0"/>
        <w:jc w:val="center"/>
        <w:rPr>
          <w:rFonts w:eastAsia="宋体" w:cs="Times New Roman"/>
          <w:b/>
          <w:color w:val="auto"/>
          <w:sz w:val="21"/>
          <w:szCs w:val="21"/>
          <w:highlight w:val="none"/>
        </w:rPr>
      </w:pPr>
      <w:r>
        <w:rPr>
          <w:rFonts w:eastAsia="宋体" w:cs="Times New Roman"/>
          <w:b/>
          <w:color w:val="auto"/>
          <w:sz w:val="21"/>
          <w:szCs w:val="21"/>
          <w:highlight w:val="none"/>
        </w:rPr>
        <w:t>图5-1  对地电压计算图</w:t>
      </w:r>
    </w:p>
    <w:p w14:paraId="38BF36F3">
      <w:pPr>
        <w:spacing w:line="500" w:lineRule="exact"/>
        <w:ind w:firstLine="480"/>
        <w:rPr>
          <w:rFonts w:eastAsia="宋体" w:cs="Times New Roman"/>
          <w:color w:val="auto"/>
          <w:highlight w:val="none"/>
        </w:rPr>
      </w:pPr>
      <w:r>
        <w:rPr>
          <w:rFonts w:eastAsia="宋体" w:cs="Times New Roman"/>
          <w:color w:val="auto"/>
          <w:highlight w:val="none"/>
        </w:rPr>
        <w:t>式1中，[λ]矩阵由镜像原理求得。地面为电位等于零的平面，地面的感应电荷可由对应地面导线的镜像电荷代替，用i，j……表示相互平行的实际导线，用i＇，j＇……表示它们的镜像，则电位系数为：</w:t>
      </w:r>
    </w:p>
    <w:p w14:paraId="4FC27B6C">
      <w:pPr>
        <w:spacing w:before="120" w:line="540" w:lineRule="atLeast"/>
        <w:ind w:firstLine="480"/>
        <w:rPr>
          <w:rFonts w:eastAsia="宋体" w:cs="Times New Roman"/>
          <w:color w:val="auto"/>
          <w:highlight w:val="none"/>
        </w:rPr>
      </w:pPr>
      <w:r>
        <w:rPr>
          <w:rFonts w:eastAsia="宋体" w:cs="Times New Roman"/>
          <w:color w:val="auto"/>
          <w:position w:val="-28"/>
          <w:highlight w:val="none"/>
        </w:rPr>
        <w:object>
          <v:shape id="_x0000_i1046" o:spt="75" type="#_x0000_t75" style="height:35.2pt;width:88.4pt;" o:ole="t" filled="f" o:preferrelative="t" stroked="f" coordsize="21600,21600">
            <v:path/>
            <v:fill on="f" focussize="0,0"/>
            <v:stroke on="f" joinstyle="miter"/>
            <v:imagedata r:id="rId54" o:title=""/>
            <o:lock v:ext="edit" aspectratio="t"/>
            <w10:wrap type="none"/>
            <w10:anchorlock/>
          </v:shape>
          <o:OLEObject Type="Embed" ProgID="Equation.2" ShapeID="_x0000_i1046" DrawAspect="Content" ObjectID="_1468075727" r:id="rId53">
            <o:LockedField>false</o:LockedField>
          </o:OLEObject>
        </w:object>
      </w:r>
      <w:r>
        <w:rPr>
          <w:rFonts w:eastAsia="宋体" w:cs="Times New Roman"/>
          <w:color w:val="auto"/>
          <w:highlight w:val="none"/>
        </w:rPr>
        <w:t>........(2)</w:t>
      </w:r>
    </w:p>
    <w:p w14:paraId="1C9E0AEC">
      <w:pPr>
        <w:spacing w:before="120" w:after="120" w:line="540" w:lineRule="atLeast"/>
        <w:ind w:firstLine="480"/>
        <w:rPr>
          <w:rFonts w:eastAsia="宋体" w:cs="Times New Roman"/>
          <w:color w:val="auto"/>
          <w:highlight w:val="none"/>
        </w:rPr>
      </w:pPr>
      <w:r>
        <w:rPr>
          <w:rFonts w:eastAsia="宋体" w:cs="Times New Roman"/>
          <w:color w:val="auto"/>
          <w:position w:val="-30"/>
          <w:highlight w:val="none"/>
        </w:rPr>
        <w:object>
          <v:shape id="_x0000_i1047" o:spt="75" type="#_x0000_t75" style="height:42pt;width:84.8pt;" o:ole="t" filled="f" o:preferrelative="t" stroked="f" coordsize="21600,21600">
            <v:path/>
            <v:fill on="f" focussize="0,0"/>
            <v:stroke on="f" joinstyle="miter"/>
            <v:imagedata r:id="rId56" o:title=""/>
            <o:lock v:ext="edit" aspectratio="t"/>
            <w10:wrap type="none"/>
            <w10:anchorlock/>
          </v:shape>
          <o:OLEObject Type="Embed" ProgID="Equation.2" ShapeID="_x0000_i1047" DrawAspect="Content" ObjectID="_1468075728" r:id="rId55">
            <o:LockedField>false</o:LockedField>
          </o:OLEObject>
        </w:object>
      </w:r>
      <w:r>
        <w:rPr>
          <w:rFonts w:eastAsia="宋体" w:cs="Times New Roman"/>
          <w:color w:val="auto"/>
          <w:highlight w:val="none"/>
        </w:rPr>
        <w:t>.........(3)</w:t>
      </w:r>
    </w:p>
    <w:p w14:paraId="167AEE7A">
      <w:pPr>
        <w:spacing w:after="120" w:line="540" w:lineRule="atLeast"/>
        <w:ind w:firstLine="480"/>
        <w:rPr>
          <w:rFonts w:eastAsia="宋体" w:cs="Times New Roman"/>
          <w:color w:val="auto"/>
          <w:highlight w:val="none"/>
        </w:rPr>
      </w:pPr>
      <w:r>
        <w:rPr>
          <w:rFonts w:eastAsia="宋体" w:cs="Times New Roman"/>
          <w:color w:val="auto"/>
          <w:position w:val="-14"/>
          <w:highlight w:val="none"/>
        </w:rPr>
        <w:object>
          <v:shape id="_x0000_i1048" o:spt="75" type="#_x0000_t75" style="height:20.4pt;width:51.6pt;" o:ole="t" filled="f" o:preferrelative="t" stroked="f" coordsize="21600,21600">
            <v:path/>
            <v:fill on="f" focussize="0,0"/>
            <v:stroke on="f" joinstyle="miter"/>
            <v:imagedata r:id="rId58" o:title=""/>
            <o:lock v:ext="edit" aspectratio="t"/>
            <w10:wrap type="none"/>
            <w10:anchorlock/>
          </v:shape>
          <o:OLEObject Type="Embed" ProgID="Equation.2" ShapeID="_x0000_i1048" DrawAspect="Content" ObjectID="_1468075729" r:id="rId57">
            <o:LockedField>false</o:LockedField>
          </o:OLEObject>
        </w:object>
      </w:r>
      <w:r>
        <w:rPr>
          <w:rFonts w:eastAsia="宋体" w:cs="Times New Roman"/>
          <w:color w:val="auto"/>
          <w:highlight w:val="none"/>
        </w:rPr>
        <w:t xml:space="preserve">     .........(4)</w:t>
      </w:r>
    </w:p>
    <w:p w14:paraId="604CFCA7">
      <w:pPr>
        <w:spacing w:line="500" w:lineRule="atLeast"/>
        <w:ind w:firstLine="480"/>
        <w:rPr>
          <w:rFonts w:eastAsia="宋体" w:cs="Times New Roman"/>
          <w:color w:val="auto"/>
          <w:highlight w:val="none"/>
        </w:rPr>
      </w:pPr>
      <w:r>
        <w:rPr>
          <w:rFonts w:eastAsia="宋体" w:cs="Times New Roman"/>
          <w:color w:val="auto"/>
          <w:highlight w:val="none"/>
        </w:rPr>
        <w:t>上式中：</w:t>
      </w:r>
      <w:r>
        <w:rPr>
          <w:rFonts w:eastAsia="宋体" w:cs="Times New Roman"/>
          <w:color w:val="auto"/>
          <w:spacing w:val="-54"/>
          <w:highlight w:val="none"/>
        </w:rPr>
        <w:t>ε</w:t>
      </w:r>
      <w:r>
        <w:rPr>
          <w:rFonts w:eastAsia="宋体" w:cs="Times New Roman"/>
          <w:color w:val="auto"/>
          <w:spacing w:val="-40"/>
          <w:highlight w:val="none"/>
          <w:vertAlign w:val="subscript"/>
        </w:rPr>
        <w:t xml:space="preserve">o  </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真空介电常数（</w:t>
      </w:r>
      <w:r>
        <w:rPr>
          <w:rFonts w:eastAsia="宋体" w:cs="Times New Roman"/>
          <w:color w:val="auto"/>
          <w:position w:val="-22"/>
          <w:highlight w:val="none"/>
        </w:rPr>
        <w:object>
          <v:shape id="_x0000_i1049" o:spt="75" type="#_x0000_t75" style="height:33.6pt;width:114pt;" o:ole="t" filled="f" o:preferrelative="t" stroked="f" coordsize="21600,21600">
            <v:path/>
            <v:fill on="f" focussize="0,0"/>
            <v:stroke on="f" joinstyle="miter"/>
            <v:imagedata r:id="rId60" o:title=""/>
            <o:lock v:ext="edit" aspectratio="t"/>
            <w10:wrap type="none"/>
            <w10:anchorlock/>
          </v:shape>
          <o:OLEObject Type="Embed" ProgID="Equation.2" ShapeID="_x0000_i1049" DrawAspect="Content" ObjectID="_1468075730" r:id="rId59">
            <o:LockedField>false</o:LockedField>
          </o:OLEObject>
        </w:object>
      </w:r>
      <w:r>
        <w:rPr>
          <w:rFonts w:eastAsia="宋体" w:cs="Times New Roman"/>
          <w:color w:val="auto"/>
          <w:highlight w:val="none"/>
        </w:rPr>
        <w:t>）；</w:t>
      </w:r>
    </w:p>
    <w:p w14:paraId="3571FCA6">
      <w:pPr>
        <w:spacing w:line="500" w:lineRule="atLeast"/>
        <w:ind w:firstLine="480"/>
        <w:rPr>
          <w:rFonts w:eastAsia="宋体" w:cs="Times New Roman"/>
          <w:color w:val="auto"/>
          <w:highlight w:val="none"/>
        </w:rPr>
      </w:pPr>
      <w:r>
        <w:rPr>
          <w:rFonts w:eastAsia="宋体" w:cs="Times New Roman"/>
          <w:color w:val="auto"/>
          <w:highlight w:val="none"/>
        </w:rPr>
        <w:t xml:space="preserve">            R</w:t>
      </w:r>
      <w:r>
        <w:rPr>
          <w:rFonts w:eastAsia="宋体" w:cs="Times New Roman"/>
          <w:color w:val="auto"/>
          <w:highlight w:val="none"/>
          <w:vertAlign w:val="subscript"/>
        </w:rPr>
        <w:t>i</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导线半径，对于分裂导线用等效单根导线半径代入。</w:t>
      </w:r>
    </w:p>
    <w:p w14:paraId="58161106">
      <w:pPr>
        <w:spacing w:before="120" w:after="120" w:line="540" w:lineRule="atLeast"/>
        <w:ind w:firstLine="550" w:firstLineChars="250"/>
        <w:rPr>
          <w:rFonts w:eastAsia="宋体" w:cs="Times New Roman"/>
          <w:color w:val="auto"/>
          <w:highlight w:val="none"/>
        </w:rPr>
      </w:pPr>
      <w:r>
        <w:rPr>
          <w:rFonts w:eastAsia="宋体" w:cs="Times New Roman"/>
          <w:color w:val="auto"/>
          <w:position w:val="-24"/>
          <w:highlight w:val="none"/>
        </w:rPr>
        <w:object>
          <v:shape id="_x0000_i1050" o:spt="75" type="#_x0000_t75" style="height:40.4pt;width:84.8pt;" o:ole="t" filled="f" o:preferrelative="t" stroked="f" coordsize="21600,21600">
            <v:path/>
            <v:fill on="f" focussize="0,0"/>
            <v:stroke on="f" joinstyle="miter"/>
            <v:imagedata r:id="rId62" o:title=""/>
            <o:lock v:ext="edit" aspectratio="t"/>
            <w10:wrap type="none"/>
            <w10:anchorlock/>
          </v:shape>
          <o:OLEObject Type="Embed" ProgID="Equation.2" ShapeID="_x0000_i1050" DrawAspect="Content" ObjectID="_1468075731" r:id="rId61">
            <o:LockedField>false</o:LockedField>
          </o:OLEObject>
        </w:object>
      </w:r>
      <w:r>
        <w:rPr>
          <w:rFonts w:eastAsia="宋体" w:cs="Times New Roman"/>
          <w:color w:val="auto"/>
          <w:highlight w:val="none"/>
        </w:rPr>
        <w:t xml:space="preserve"> ..........(5)</w:t>
      </w:r>
    </w:p>
    <w:p w14:paraId="2062F1F2">
      <w:pPr>
        <w:spacing w:line="540" w:lineRule="atLeast"/>
        <w:ind w:firstLine="550" w:firstLineChars="250"/>
        <w:rPr>
          <w:rFonts w:eastAsia="宋体" w:cs="Times New Roman"/>
          <w:color w:val="auto"/>
          <w:highlight w:val="none"/>
        </w:rPr>
      </w:pPr>
      <w:r>
        <w:rPr>
          <w:rFonts w:eastAsia="宋体" w:cs="Times New Roman"/>
          <w:color w:val="auto"/>
          <w:highlight w:val="none"/>
        </w:rPr>
        <w:t>式5中，R--</w:t>
      </w:r>
      <w:r>
        <w:rPr>
          <w:rFonts w:hint="eastAsia" w:eastAsia="宋体" w:cs="Times New Roman"/>
          <w:color w:val="auto"/>
          <w:highlight w:val="none"/>
        </w:rPr>
        <w:t>-</w:t>
      </w:r>
      <w:r>
        <w:rPr>
          <w:rFonts w:eastAsia="宋体" w:cs="Times New Roman"/>
          <w:color w:val="auto"/>
          <w:highlight w:val="none"/>
        </w:rPr>
        <w:t>分裂导线半径；</w:t>
      </w:r>
    </w:p>
    <w:p w14:paraId="4B0F4A25">
      <w:pPr>
        <w:spacing w:line="540" w:lineRule="atLeast"/>
        <w:ind w:firstLine="1430" w:firstLineChars="650"/>
        <w:rPr>
          <w:rFonts w:eastAsia="宋体" w:cs="Times New Roman"/>
          <w:color w:val="auto"/>
          <w:highlight w:val="none"/>
        </w:rPr>
      </w:pPr>
      <w:r>
        <w:rPr>
          <w:rFonts w:eastAsia="宋体" w:cs="Times New Roman"/>
          <w:color w:val="auto"/>
          <w:highlight w:val="none"/>
        </w:rPr>
        <w:t>η---次导线根数；</w:t>
      </w:r>
    </w:p>
    <w:p w14:paraId="061D6709">
      <w:pPr>
        <w:spacing w:line="540" w:lineRule="atLeast"/>
        <w:ind w:firstLine="1430" w:firstLineChars="650"/>
        <w:rPr>
          <w:rFonts w:eastAsia="宋体" w:cs="Times New Roman"/>
          <w:color w:val="auto"/>
          <w:highlight w:val="none"/>
        </w:rPr>
      </w:pPr>
      <w:r>
        <w:rPr>
          <w:rFonts w:eastAsia="宋体" w:cs="Times New Roman"/>
          <w:color w:val="auto"/>
          <w:highlight w:val="none"/>
        </w:rPr>
        <w:t>r---次导线半径。</w:t>
      </w:r>
    </w:p>
    <w:p w14:paraId="269048E8">
      <w:pPr>
        <w:tabs>
          <w:tab w:val="left" w:pos="700"/>
        </w:tabs>
        <w:spacing w:line="240" w:lineRule="auto"/>
        <w:ind w:firstLine="0" w:firstLineChars="0"/>
        <w:jc w:val="center"/>
        <w:rPr>
          <w:rFonts w:eastAsia="宋体" w:cs="Times New Roman"/>
          <w:b/>
          <w:color w:val="auto"/>
          <w:szCs w:val="21"/>
          <w:highlight w:val="none"/>
        </w:rPr>
      </w:pPr>
      <w:r>
        <w:rPr>
          <w:rFonts w:eastAsia="宋体" w:cs="Times New Roman"/>
          <w:b/>
          <w:color w:val="auto"/>
          <w:szCs w:val="21"/>
          <w:highlight w:val="none"/>
        </w:rPr>
        <w:drawing>
          <wp:inline distT="0" distB="0" distL="114300" distR="114300">
            <wp:extent cx="2284730" cy="2446655"/>
            <wp:effectExtent l="0" t="0" r="1270" b="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63"/>
                    <a:stretch>
                      <a:fillRect/>
                    </a:stretch>
                  </pic:blipFill>
                  <pic:spPr>
                    <a:xfrm>
                      <a:off x="0" y="0"/>
                      <a:ext cx="2284730" cy="2446655"/>
                    </a:xfrm>
                    <a:prstGeom prst="rect">
                      <a:avLst/>
                    </a:prstGeom>
                  </pic:spPr>
                </pic:pic>
              </a:graphicData>
            </a:graphic>
          </wp:inline>
        </w:drawing>
      </w:r>
    </w:p>
    <w:p w14:paraId="4C598B9C">
      <w:pPr>
        <w:tabs>
          <w:tab w:val="left" w:pos="700"/>
        </w:tabs>
        <w:ind w:firstLine="0" w:firstLineChars="0"/>
        <w:jc w:val="center"/>
        <w:rPr>
          <w:rFonts w:eastAsia="宋体" w:cs="Times New Roman"/>
          <w:color w:val="auto"/>
          <w:sz w:val="21"/>
          <w:szCs w:val="21"/>
          <w:highlight w:val="none"/>
        </w:rPr>
      </w:pPr>
      <w:r>
        <w:rPr>
          <w:rFonts w:eastAsia="宋体" w:cs="Times New Roman"/>
          <w:b/>
          <w:color w:val="auto"/>
          <w:sz w:val="21"/>
          <w:szCs w:val="21"/>
          <w:highlight w:val="none"/>
        </w:rPr>
        <w:t>图5-2  电位系数计算图</w:t>
      </w:r>
    </w:p>
    <w:p w14:paraId="36B8A2EF">
      <w:pPr>
        <w:spacing w:line="312" w:lineRule="auto"/>
        <w:ind w:firstLine="480"/>
        <w:rPr>
          <w:rFonts w:eastAsia="宋体" w:cs="Times New Roman"/>
          <w:color w:val="auto"/>
          <w:highlight w:val="none"/>
        </w:rPr>
      </w:pPr>
      <w:r>
        <w:rPr>
          <w:rFonts w:eastAsia="宋体" w:cs="Times New Roman"/>
          <w:color w:val="auto"/>
          <w:highlight w:val="none"/>
        </w:rPr>
        <w:t>对于三相交流线路，由于电压为时间向量，计算各相导线的电压时用复数表示为：</w:t>
      </w:r>
    </w:p>
    <w:p w14:paraId="2E3F1E51">
      <w:pPr>
        <w:spacing w:before="120" w:after="120" w:line="312" w:lineRule="auto"/>
        <w:ind w:firstLine="480"/>
        <w:rPr>
          <w:rFonts w:eastAsia="宋体" w:cs="Times New Roman"/>
          <w:color w:val="auto"/>
          <w:highlight w:val="none"/>
        </w:rPr>
      </w:pPr>
      <w:r>
        <w:rPr>
          <w:rFonts w:eastAsia="宋体" w:cs="Times New Roman"/>
          <w:color w:val="auto"/>
          <w:position w:val="-10"/>
          <w:highlight w:val="none"/>
        </w:rPr>
        <w:object>
          <v:shape id="_x0000_i1051" o:spt="75" type="#_x0000_t75" style="height:20.4pt;width:87.2pt;" o:ole="t" filled="f" o:preferrelative="t" stroked="f" coordsize="21600,21600">
            <v:path/>
            <v:fill on="f" focussize="0,0"/>
            <v:stroke on="f" joinstyle="miter"/>
            <v:imagedata r:id="rId65" o:title=""/>
            <o:lock v:ext="edit" aspectratio="t"/>
            <w10:wrap type="none"/>
            <w10:anchorlock/>
          </v:shape>
          <o:OLEObject Type="Embed" ProgID="Equation.2" ShapeID="_x0000_i1051" DrawAspect="Content" ObjectID="_1468075732" r:id="rId64">
            <o:LockedField>false</o:LockedField>
          </o:OLEObject>
        </w:object>
      </w:r>
      <w:r>
        <w:rPr>
          <w:rFonts w:eastAsia="宋体" w:cs="Times New Roman"/>
          <w:color w:val="auto"/>
          <w:highlight w:val="none"/>
        </w:rPr>
        <w:t>...........(6)</w:t>
      </w:r>
    </w:p>
    <w:p w14:paraId="6F068BAE">
      <w:pPr>
        <w:spacing w:line="312" w:lineRule="auto"/>
        <w:ind w:firstLine="480"/>
        <w:rPr>
          <w:rFonts w:eastAsia="宋体" w:cs="Times New Roman"/>
          <w:color w:val="auto"/>
          <w:highlight w:val="none"/>
        </w:rPr>
      </w:pPr>
      <w:r>
        <w:rPr>
          <w:rFonts w:eastAsia="宋体" w:cs="Times New Roman"/>
          <w:color w:val="auto"/>
          <w:highlight w:val="none"/>
        </w:rPr>
        <w:t>相应地电荷也是复数量：</w:t>
      </w:r>
    </w:p>
    <w:p w14:paraId="09BF20AF">
      <w:pPr>
        <w:spacing w:before="120" w:after="120" w:line="312" w:lineRule="auto"/>
        <w:ind w:firstLine="480"/>
        <w:rPr>
          <w:rFonts w:eastAsia="宋体" w:cs="Times New Roman"/>
          <w:color w:val="auto"/>
          <w:highlight w:val="none"/>
        </w:rPr>
      </w:pPr>
      <w:r>
        <w:rPr>
          <w:rFonts w:eastAsia="宋体" w:cs="Times New Roman"/>
          <w:color w:val="auto"/>
          <w:position w:val="-10"/>
          <w:highlight w:val="none"/>
        </w:rPr>
        <w:object>
          <v:shape id="_x0000_i1052" o:spt="75" type="#_x0000_t75" style="height:20.4pt;width:81.2pt;" o:ole="t" filled="f" o:preferrelative="t" stroked="f" coordsize="21600,21600">
            <v:path/>
            <v:fill on="f" focussize="0,0"/>
            <v:stroke on="f" joinstyle="miter"/>
            <v:imagedata r:id="rId67" o:title=""/>
            <o:lock v:ext="edit" aspectratio="t"/>
            <w10:wrap type="none"/>
            <w10:anchorlock/>
          </v:shape>
          <o:OLEObject Type="Embed" ProgID="Equation.2" ShapeID="_x0000_i1052" DrawAspect="Content" ObjectID="_1468075733" r:id="rId66">
            <o:LockedField>false</o:LockedField>
          </o:OLEObject>
        </w:objec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7)</w:t>
      </w:r>
    </w:p>
    <w:p w14:paraId="4FD26AE4">
      <w:pPr>
        <w:spacing w:line="312" w:lineRule="auto"/>
        <w:ind w:firstLine="480"/>
        <w:rPr>
          <w:rFonts w:eastAsia="宋体" w:cs="Times New Roman"/>
          <w:color w:val="auto"/>
          <w:highlight w:val="none"/>
        </w:rPr>
      </w:pPr>
      <w:r>
        <w:rPr>
          <w:rFonts w:eastAsia="宋体" w:cs="Times New Roman"/>
          <w:color w:val="auto"/>
          <w:highlight w:val="none"/>
        </w:rPr>
        <w:t>式1矩阵关系即分别表示了复数量的实数和虚数两部分：</w:t>
      </w:r>
    </w:p>
    <w:p w14:paraId="2B8DAC48">
      <w:pPr>
        <w:spacing w:before="120" w:after="120" w:line="312" w:lineRule="auto"/>
        <w:ind w:firstLine="480"/>
        <w:rPr>
          <w:rFonts w:eastAsia="宋体" w:cs="Times New Roman"/>
          <w:color w:val="auto"/>
          <w:highlight w:val="none"/>
        </w:rPr>
      </w:pPr>
      <w:r>
        <w:rPr>
          <w:rFonts w:eastAsia="宋体" w:cs="Times New Roman"/>
          <w:color w:val="auto"/>
          <w:position w:val="-10"/>
          <w:highlight w:val="none"/>
        </w:rPr>
        <w:object>
          <v:shape id="_x0000_i1053" o:spt="75" type="#_x0000_t75" style="height:16.4pt;width:87.2pt;" o:ole="t" filled="f" o:preferrelative="t" stroked="f" coordsize="21600,21600">
            <v:path/>
            <v:fill on="f" focussize="0,0"/>
            <v:stroke on="f" joinstyle="miter"/>
            <v:imagedata r:id="rId69" o:title=""/>
            <o:lock v:ext="edit" aspectratio="t"/>
            <w10:wrap type="none"/>
            <w10:anchorlock/>
          </v:shape>
          <o:OLEObject Type="Embed" ProgID="Equation.2" ShapeID="_x0000_i1053" DrawAspect="Content" ObjectID="_1468075734" r:id="rId68">
            <o:LockedField>false</o:LockedField>
          </o:OLEObject>
        </w:object>
      </w:r>
      <w:r>
        <w:rPr>
          <w:rFonts w:eastAsia="宋体" w:cs="Times New Roman"/>
          <w:color w:val="auto"/>
          <w:highlight w:val="none"/>
        </w:rPr>
        <w:t>...........(8)</w:t>
      </w:r>
    </w:p>
    <w:p w14:paraId="2DECC8EA">
      <w:pPr>
        <w:spacing w:before="120" w:after="120" w:line="312" w:lineRule="auto"/>
        <w:ind w:firstLine="480"/>
        <w:rPr>
          <w:rFonts w:eastAsia="宋体" w:cs="Times New Roman"/>
          <w:color w:val="auto"/>
          <w:highlight w:val="none"/>
        </w:rPr>
      </w:pPr>
      <w:r>
        <w:rPr>
          <w:rFonts w:eastAsia="宋体" w:cs="Times New Roman"/>
          <w:color w:val="auto"/>
          <w:position w:val="-10"/>
          <w:highlight w:val="none"/>
        </w:rPr>
        <w:object>
          <v:shape id="_x0000_i1054" o:spt="75" type="#_x0000_t75" style="height:16.4pt;width:88.4pt;" o:ole="t" filled="f" o:preferrelative="t" stroked="f" coordsize="21600,21600">
            <v:path/>
            <v:fill on="f" focussize="0,0"/>
            <v:stroke on="f" joinstyle="miter"/>
            <v:imagedata r:id="rId71" o:title=""/>
            <o:lock v:ext="edit" aspectratio="t"/>
            <w10:wrap type="none"/>
            <w10:anchorlock/>
          </v:shape>
          <o:OLEObject Type="Embed" ProgID="Equation.2" ShapeID="_x0000_i1054" DrawAspect="Content" ObjectID="_1468075735" r:id="rId70">
            <o:LockedField>false</o:LockedField>
          </o:OLEObject>
        </w:object>
      </w:r>
      <w:r>
        <w:rPr>
          <w:rFonts w:eastAsia="宋体" w:cs="Times New Roman"/>
          <w:color w:val="auto"/>
          <w:highlight w:val="none"/>
        </w:rPr>
        <w:t>...........(9)</w:t>
      </w:r>
    </w:p>
    <w:p w14:paraId="79700BC9">
      <w:pPr>
        <w:spacing w:line="312" w:lineRule="auto"/>
        <w:ind w:firstLine="480"/>
        <w:rPr>
          <w:rFonts w:eastAsia="宋体" w:cs="Times New Roman"/>
          <w:color w:val="auto"/>
          <w:highlight w:val="none"/>
        </w:rPr>
      </w:pPr>
      <w:r>
        <w:rPr>
          <w:rFonts w:eastAsia="宋体" w:cs="Times New Roman"/>
          <w:color w:val="auto"/>
          <w:highlight w:val="none"/>
        </w:rPr>
        <w:fldChar w:fldCharType="begin"/>
      </w:r>
      <w:r>
        <w:rPr>
          <w:rFonts w:eastAsia="宋体" w:cs="Times New Roman"/>
          <w:color w:val="auto"/>
          <w:highlight w:val="none"/>
        </w:rPr>
        <w:instrText xml:space="preserve"> = 2 \* GB3 </w:instrText>
      </w:r>
      <w:r>
        <w:rPr>
          <w:rFonts w:eastAsia="宋体" w:cs="Times New Roman"/>
          <w:color w:val="auto"/>
          <w:highlight w:val="none"/>
        </w:rPr>
        <w:fldChar w:fldCharType="separate"/>
      </w:r>
      <w:r>
        <w:rPr>
          <w:rFonts w:eastAsia="宋体" w:cs="Times New Roman"/>
          <w:color w:val="auto"/>
          <w:highlight w:val="none"/>
        </w:rPr>
        <w:t>②</w:t>
      </w:r>
      <w:r>
        <w:rPr>
          <w:rFonts w:eastAsia="宋体" w:cs="Times New Roman"/>
          <w:color w:val="auto"/>
          <w:highlight w:val="none"/>
        </w:rPr>
        <w:fldChar w:fldCharType="end"/>
      </w:r>
      <w:r>
        <w:rPr>
          <w:rFonts w:eastAsia="宋体" w:cs="Times New Roman"/>
          <w:color w:val="auto"/>
          <w:highlight w:val="none"/>
        </w:rPr>
        <w:t>等效电荷产生的电场计算</w:t>
      </w:r>
    </w:p>
    <w:p w14:paraId="4151FF07">
      <w:pPr>
        <w:spacing w:line="312" w:lineRule="auto"/>
        <w:ind w:firstLine="480"/>
        <w:rPr>
          <w:rFonts w:eastAsia="宋体" w:cs="Times New Roman"/>
          <w:color w:val="auto"/>
          <w:highlight w:val="none"/>
        </w:rPr>
      </w:pPr>
      <w:r>
        <w:rPr>
          <w:rFonts w:eastAsia="宋体" w:cs="Times New Roman"/>
          <w:color w:val="auto"/>
          <w:highlight w:val="none"/>
        </w:rPr>
        <w:t>空间任意一点（档距中央）的电场强度根据叠加原理求得，在（x,y）点的电场强度Ex和Ey分别为：</w:t>
      </w:r>
    </w:p>
    <w:p w14:paraId="20661C39">
      <w:pPr>
        <w:spacing w:before="120" w:after="120" w:line="312" w:lineRule="auto"/>
        <w:ind w:firstLine="480"/>
        <w:rPr>
          <w:rFonts w:eastAsia="宋体" w:cs="Times New Roman"/>
          <w:color w:val="auto"/>
          <w:highlight w:val="none"/>
        </w:rPr>
      </w:pPr>
      <w:r>
        <w:rPr>
          <w:rFonts w:eastAsia="宋体" w:cs="Times New Roman"/>
          <w:color w:val="auto"/>
          <w:position w:val="-28"/>
          <w:highlight w:val="none"/>
        </w:rPr>
        <w:object>
          <v:shape id="_x0000_i1055" o:spt="75" type="#_x0000_t75" style="height:44.4pt;width:194.4pt;" o:ole="t" filled="f" o:preferrelative="t" stroked="f" coordsize="21600,21600">
            <v:path/>
            <v:fill on="f" focussize="0,0"/>
            <v:stroke on="f" joinstyle="miter"/>
            <v:imagedata r:id="rId73" o:title=""/>
            <o:lock v:ext="edit" aspectratio="t"/>
            <w10:wrap type="none"/>
            <w10:anchorlock/>
          </v:shape>
          <o:OLEObject Type="Embed" ProgID="Equation.2" ShapeID="_x0000_i1055" DrawAspect="Content" ObjectID="_1468075736" r:id="rId72">
            <o:LockedField>false</o:LockedField>
          </o:OLEObject>
        </w:object>
      </w:r>
      <w:r>
        <w:rPr>
          <w:rFonts w:eastAsia="宋体" w:cs="Times New Roman"/>
          <w:color w:val="auto"/>
          <w:highlight w:val="none"/>
        </w:rPr>
        <w:t>...........(10)</w:t>
      </w:r>
    </w:p>
    <w:p w14:paraId="2CD11E7A">
      <w:pPr>
        <w:spacing w:before="120" w:after="120" w:line="312" w:lineRule="auto"/>
        <w:ind w:firstLine="480"/>
        <w:rPr>
          <w:rFonts w:eastAsia="宋体" w:cs="Times New Roman"/>
          <w:color w:val="auto"/>
          <w:highlight w:val="none"/>
        </w:rPr>
      </w:pPr>
      <w:r>
        <w:rPr>
          <w:rFonts w:eastAsia="宋体" w:cs="Times New Roman"/>
          <w:color w:val="auto"/>
          <w:position w:val="-30"/>
          <w:highlight w:val="none"/>
        </w:rPr>
        <w:object>
          <v:shape id="_x0000_i1056" o:spt="75" type="#_x0000_t75" style="height:44.4pt;width:200.8pt;" o:ole="t" filled="f" o:preferrelative="t" stroked="f" coordsize="21600,21600">
            <v:path/>
            <v:fill on="f" focussize="0,0"/>
            <v:stroke on="f" joinstyle="miter"/>
            <v:imagedata r:id="rId75" o:title=""/>
            <o:lock v:ext="edit" aspectratio="t"/>
            <w10:wrap type="none"/>
            <w10:anchorlock/>
          </v:shape>
          <o:OLEObject Type="Embed" ProgID="Equation.2" ShapeID="_x0000_i1056" DrawAspect="Content" ObjectID="_1468075737" r:id="rId74">
            <o:LockedField>false</o:LockedField>
          </o:OLEObject>
        </w:object>
      </w:r>
      <w:r>
        <w:rPr>
          <w:rFonts w:eastAsia="宋体" w:cs="Times New Roman"/>
          <w:color w:val="auto"/>
          <w:highlight w:val="none"/>
        </w:rPr>
        <w:t>...........(11)</w:t>
      </w:r>
    </w:p>
    <w:p w14:paraId="45046DDC">
      <w:pPr>
        <w:spacing w:line="312" w:lineRule="auto"/>
        <w:ind w:firstLine="480"/>
        <w:rPr>
          <w:rFonts w:eastAsia="宋体" w:cs="Times New Roman"/>
          <w:color w:val="auto"/>
          <w:highlight w:val="none"/>
        </w:rPr>
      </w:pPr>
      <w:r>
        <w:rPr>
          <w:rFonts w:eastAsia="宋体" w:cs="Times New Roman"/>
          <w:color w:val="auto"/>
          <w:highlight w:val="none"/>
        </w:rPr>
        <w:t>式中：x</w:t>
      </w:r>
      <w:r>
        <w:rPr>
          <w:rFonts w:eastAsia="宋体" w:cs="Times New Roman"/>
          <w:color w:val="auto"/>
          <w:highlight w:val="none"/>
          <w:vertAlign w:val="subscript"/>
        </w:rPr>
        <w:t>i</w:t>
      </w:r>
      <w:r>
        <w:rPr>
          <w:rFonts w:eastAsia="宋体" w:cs="Times New Roman"/>
          <w:color w:val="auto"/>
          <w:highlight w:val="none"/>
        </w:rPr>
        <w:t>、y</w:t>
      </w:r>
      <w:r>
        <w:rPr>
          <w:rFonts w:eastAsia="宋体" w:cs="Times New Roman"/>
          <w:color w:val="auto"/>
          <w:highlight w:val="none"/>
          <w:vertAlign w:val="subscript"/>
        </w:rPr>
        <w:t>j</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导线i的坐标（i=1,2,......m）；</w:t>
      </w:r>
    </w:p>
    <w:p w14:paraId="471DC491">
      <w:pPr>
        <w:spacing w:line="312" w:lineRule="auto"/>
        <w:ind w:firstLine="1100" w:firstLineChars="500"/>
        <w:rPr>
          <w:rFonts w:eastAsia="宋体" w:cs="Times New Roman"/>
          <w:color w:val="auto"/>
          <w:highlight w:val="none"/>
        </w:rPr>
      </w:pPr>
      <w:r>
        <w:rPr>
          <w:rFonts w:eastAsia="宋体" w:cs="Times New Roman"/>
          <w:color w:val="auto"/>
          <w:highlight w:val="none"/>
        </w:rPr>
        <w:t>m--</w:t>
      </w:r>
      <w:r>
        <w:rPr>
          <w:rFonts w:hint="eastAsia" w:eastAsia="宋体" w:cs="Times New Roman"/>
          <w:color w:val="auto"/>
          <w:highlight w:val="none"/>
        </w:rPr>
        <w:t>-</w:t>
      </w:r>
      <w:r>
        <w:rPr>
          <w:rFonts w:eastAsia="宋体" w:cs="Times New Roman"/>
          <w:color w:val="auto"/>
          <w:highlight w:val="none"/>
        </w:rPr>
        <w:t>导线数目；</w:t>
      </w:r>
    </w:p>
    <w:p w14:paraId="07D3C2EE">
      <w:pPr>
        <w:spacing w:line="312" w:lineRule="auto"/>
        <w:ind w:firstLine="1100" w:firstLineChars="500"/>
        <w:rPr>
          <w:rFonts w:eastAsia="宋体" w:cs="Times New Roman"/>
          <w:color w:val="auto"/>
          <w:highlight w:val="none"/>
        </w:rPr>
      </w:pPr>
      <w:r>
        <w:rPr>
          <w:rFonts w:eastAsia="宋体" w:cs="Times New Roman"/>
          <w:color w:val="auto"/>
          <w:highlight w:val="none"/>
        </w:rPr>
        <w:t>L</w:t>
      </w:r>
      <w:r>
        <w:rPr>
          <w:rFonts w:eastAsia="宋体" w:cs="Times New Roman"/>
          <w:color w:val="auto"/>
          <w:highlight w:val="none"/>
          <w:vertAlign w:val="subscript"/>
        </w:rPr>
        <w:t>i</w:t>
      </w:r>
      <w:r>
        <w:rPr>
          <w:rFonts w:eastAsia="宋体" w:cs="Times New Roman"/>
          <w:color w:val="auto"/>
          <w:highlight w:val="none"/>
        </w:rPr>
        <w:t>，L</w:t>
      </w:r>
      <w:r>
        <w:rPr>
          <w:rFonts w:eastAsia="宋体" w:cs="Times New Roman"/>
          <w:color w:val="auto"/>
          <w:spacing w:val="-144"/>
          <w:highlight w:val="none"/>
        </w:rPr>
        <w:t>＇</w:t>
      </w:r>
      <w:r>
        <w:rPr>
          <w:rFonts w:eastAsia="宋体" w:cs="Times New Roman"/>
          <w:color w:val="auto"/>
          <w:highlight w:val="none"/>
          <w:vertAlign w:val="subscript"/>
        </w:rPr>
        <w:t>ij</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分别为导线i及其镜像至计算点的距离。</w:t>
      </w:r>
    </w:p>
    <w:p w14:paraId="66901266">
      <w:pPr>
        <w:spacing w:line="312" w:lineRule="auto"/>
        <w:ind w:firstLine="550" w:firstLineChars="250"/>
        <w:rPr>
          <w:rFonts w:eastAsia="宋体" w:cs="Times New Roman"/>
          <w:color w:val="auto"/>
          <w:highlight w:val="none"/>
        </w:rPr>
      </w:pPr>
      <w:r>
        <w:rPr>
          <w:rFonts w:eastAsia="宋体" w:cs="Times New Roman"/>
          <w:color w:val="auto"/>
          <w:highlight w:val="none"/>
        </w:rPr>
        <w:t>对于本项目220kV三相交流线路，根据式8和9求得的电荷计算空间任一点电场强度的水平和垂直分量为：</w:t>
      </w:r>
    </w:p>
    <w:p w14:paraId="74C099B1">
      <w:pPr>
        <w:spacing w:line="312" w:lineRule="auto"/>
        <w:ind w:firstLine="480"/>
        <w:rPr>
          <w:rFonts w:eastAsia="宋体" w:cs="Times New Roman"/>
          <w:color w:val="auto"/>
          <w:highlight w:val="none"/>
        </w:rPr>
      </w:pPr>
      <w:r>
        <w:rPr>
          <w:rFonts w:eastAsia="宋体" w:cs="Times New Roman"/>
          <w:color w:val="auto"/>
          <w:position w:val="-44"/>
          <w:highlight w:val="none"/>
        </w:rPr>
        <w:object>
          <v:shape id="_x0000_i1057" o:spt="75" type="#_x0000_t75" style="height:64.4pt;width:145.6pt;" o:ole="t" filled="f" o:preferrelative="t" stroked="f" coordsize="21600,21600">
            <v:path/>
            <v:fill on="f" focussize="0,0"/>
            <v:stroke on="f" joinstyle="miter"/>
            <v:imagedata r:id="rId77" o:title=""/>
            <o:lock v:ext="edit" aspectratio="t"/>
            <w10:wrap type="none"/>
            <w10:anchorlock/>
          </v:shape>
          <o:OLEObject Type="Embed" ProgID="Equation.2" ShapeID="_x0000_i1057" DrawAspect="Content" ObjectID="_1468075738" r:id="rId76">
            <o:LockedField>false</o:LockedField>
          </o:OLEObject>
        </w:object>
      </w:r>
      <w:r>
        <w:rPr>
          <w:rFonts w:eastAsia="宋体" w:cs="Times New Roman"/>
          <w:color w:val="auto"/>
          <w:highlight w:val="none"/>
        </w:rPr>
        <w:t xml:space="preserve">    ...........(12)</w:t>
      </w:r>
    </w:p>
    <w:p w14:paraId="0AB95FE9">
      <w:pPr>
        <w:spacing w:before="240" w:line="312" w:lineRule="auto"/>
        <w:ind w:firstLine="480"/>
        <w:rPr>
          <w:rFonts w:eastAsia="宋体" w:cs="Times New Roman"/>
          <w:color w:val="auto"/>
          <w:highlight w:val="none"/>
        </w:rPr>
      </w:pPr>
      <w:r>
        <w:rPr>
          <w:rFonts w:eastAsia="宋体" w:cs="Times New Roman"/>
          <w:color w:val="auto"/>
          <w:position w:val="-48"/>
          <w:highlight w:val="none"/>
        </w:rPr>
        <w:object>
          <v:shape id="_x0000_i1058" o:spt="75" type="#_x0000_t75" style="height:70.4pt;width:142.4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39" r:id="rId78">
            <o:LockedField>false</o:LockedField>
          </o:OLEObject>
        </w:object>
      </w:r>
      <w:r>
        <w:rPr>
          <w:rFonts w:eastAsia="宋体" w:cs="Times New Roman"/>
          <w:color w:val="auto"/>
          <w:highlight w:val="none"/>
        </w:rPr>
        <w:t xml:space="preserve">    ...........(13)</w:t>
      </w:r>
    </w:p>
    <w:p w14:paraId="3A6C0ADE">
      <w:pPr>
        <w:spacing w:line="312" w:lineRule="auto"/>
        <w:ind w:firstLine="550" w:firstLineChars="250"/>
        <w:rPr>
          <w:rFonts w:eastAsia="宋体" w:cs="Times New Roman"/>
          <w:color w:val="auto"/>
          <w:highlight w:val="none"/>
        </w:rPr>
      </w:pPr>
      <w:r>
        <w:rPr>
          <w:rFonts w:eastAsia="宋体" w:cs="Times New Roman"/>
          <w:color w:val="auto"/>
          <w:highlight w:val="none"/>
        </w:rPr>
        <w:t>式中：E</w:t>
      </w:r>
      <w:r>
        <w:rPr>
          <w:rFonts w:eastAsia="宋体" w:cs="Times New Roman"/>
          <w:color w:val="auto"/>
          <w:highlight w:val="none"/>
          <w:vertAlign w:val="subscript"/>
        </w:rPr>
        <w:t>XR</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由各导线的实部电荷在该点产生的场强的水平分量；</w:t>
      </w:r>
    </w:p>
    <w:p w14:paraId="63758043">
      <w:pPr>
        <w:spacing w:line="312" w:lineRule="auto"/>
        <w:ind w:firstLine="1210" w:firstLineChars="550"/>
        <w:rPr>
          <w:rFonts w:eastAsia="宋体" w:cs="Times New Roman"/>
          <w:color w:val="auto"/>
          <w:highlight w:val="none"/>
        </w:rPr>
      </w:pPr>
      <w:r>
        <w:rPr>
          <w:rFonts w:eastAsia="宋体" w:cs="Times New Roman"/>
          <w:color w:val="auto"/>
          <w:highlight w:val="none"/>
        </w:rPr>
        <w:t>E</w:t>
      </w:r>
      <w:r>
        <w:rPr>
          <w:rFonts w:eastAsia="宋体" w:cs="Times New Roman"/>
          <w:color w:val="auto"/>
          <w:highlight w:val="none"/>
          <w:vertAlign w:val="subscript"/>
        </w:rPr>
        <w:t>XI</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由各导线的虚部电荷在该点产生的场强的水平分量；</w:t>
      </w:r>
    </w:p>
    <w:p w14:paraId="77CA33C1">
      <w:pPr>
        <w:spacing w:line="312" w:lineRule="auto"/>
        <w:ind w:firstLine="1210" w:firstLineChars="550"/>
        <w:rPr>
          <w:rFonts w:eastAsia="宋体" w:cs="Times New Roman"/>
          <w:color w:val="auto"/>
          <w:highlight w:val="none"/>
        </w:rPr>
      </w:pPr>
      <w:r>
        <w:rPr>
          <w:rFonts w:eastAsia="宋体" w:cs="Times New Roman"/>
          <w:color w:val="auto"/>
          <w:highlight w:val="none"/>
        </w:rPr>
        <w:t>E</w:t>
      </w:r>
      <w:r>
        <w:rPr>
          <w:rFonts w:eastAsia="宋体" w:cs="Times New Roman"/>
          <w:color w:val="auto"/>
          <w:highlight w:val="none"/>
          <w:vertAlign w:val="subscript"/>
        </w:rPr>
        <w:t>YR</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由各导线的实部电荷在该点产生场强的垂直分量；</w:t>
      </w:r>
    </w:p>
    <w:p w14:paraId="683D41BD">
      <w:pPr>
        <w:spacing w:line="312" w:lineRule="auto"/>
        <w:ind w:firstLine="1210" w:firstLineChars="550"/>
        <w:rPr>
          <w:rFonts w:eastAsia="宋体" w:cs="Times New Roman"/>
          <w:color w:val="auto"/>
          <w:highlight w:val="none"/>
        </w:rPr>
      </w:pPr>
      <w:r>
        <w:rPr>
          <w:rFonts w:eastAsia="宋体" w:cs="Times New Roman"/>
          <w:color w:val="auto"/>
          <w:highlight w:val="none"/>
        </w:rPr>
        <w:t>E</w:t>
      </w:r>
      <w:r>
        <w:rPr>
          <w:rFonts w:eastAsia="宋体" w:cs="Times New Roman"/>
          <w:color w:val="auto"/>
          <w:highlight w:val="none"/>
          <w:vertAlign w:val="subscript"/>
        </w:rPr>
        <w:t>YI</w:t>
      </w:r>
      <w:r>
        <w:rPr>
          <w:rFonts w:eastAsia="宋体" w:cs="Times New Roman"/>
          <w:color w:val="auto"/>
          <w:highlight w:val="none"/>
        </w:rPr>
        <w:t>--</w:t>
      </w:r>
      <w:r>
        <w:rPr>
          <w:rFonts w:hint="eastAsia" w:eastAsia="宋体" w:cs="Times New Roman"/>
          <w:color w:val="auto"/>
          <w:highlight w:val="none"/>
        </w:rPr>
        <w:t>-</w:t>
      </w:r>
      <w:r>
        <w:rPr>
          <w:rFonts w:eastAsia="宋体" w:cs="Times New Roman"/>
          <w:color w:val="auto"/>
          <w:highlight w:val="none"/>
        </w:rPr>
        <w:t>由各导线的虚部电荷在该点产生场强的垂直分量。</w:t>
      </w:r>
    </w:p>
    <w:p w14:paraId="11B4C3B9">
      <w:pPr>
        <w:spacing w:line="312" w:lineRule="auto"/>
        <w:ind w:firstLine="480"/>
        <w:rPr>
          <w:rFonts w:eastAsia="宋体" w:cs="Times New Roman"/>
          <w:color w:val="auto"/>
          <w:highlight w:val="none"/>
        </w:rPr>
      </w:pPr>
      <w:r>
        <w:rPr>
          <w:rFonts w:eastAsia="宋体" w:cs="Times New Roman"/>
          <w:color w:val="auto"/>
          <w:highlight w:val="none"/>
        </w:rPr>
        <w:t>（x,y）点的合成场强为：</w:t>
      </w:r>
    </w:p>
    <w:p w14:paraId="498A8F5E">
      <w:pPr>
        <w:spacing w:before="120" w:after="120" w:line="312" w:lineRule="auto"/>
        <w:ind w:firstLine="480"/>
        <w:rPr>
          <w:rFonts w:eastAsia="宋体" w:cs="Times New Roman"/>
          <w:color w:val="auto"/>
          <w:highlight w:val="none"/>
        </w:rPr>
      </w:pPr>
      <w:r>
        <w:rPr>
          <w:rFonts w:eastAsia="宋体" w:cs="Times New Roman"/>
          <w:color w:val="auto"/>
          <w:position w:val="-10"/>
          <w:highlight w:val="none"/>
        </w:rPr>
        <w:object>
          <v:shape id="_x0000_i1059" o:spt="75" type="#_x0000_t75" style="height:22.4pt;width:270pt;" o:ole="t" filled="f" o:preferrelative="t" stroked="f" coordsize="21600,21600">
            <v:path/>
            <v:fill on="f" focussize="0,0"/>
            <v:stroke on="f" joinstyle="miter"/>
            <v:imagedata r:id="rId81" o:title=""/>
            <o:lock v:ext="edit" aspectratio="t"/>
            <w10:wrap type="none"/>
            <w10:anchorlock/>
          </v:shape>
          <o:OLEObject Type="Embed" ProgID="Equation.3" ShapeID="_x0000_i1059" DrawAspect="Content" ObjectID="_1468075740" r:id="rId80">
            <o:LockedField>false</o:LockedField>
          </o:OLEObject>
        </w:object>
      </w:r>
      <w:r>
        <w:rPr>
          <w:rFonts w:eastAsia="宋体" w:cs="Times New Roman"/>
          <w:color w:val="auto"/>
          <w:highlight w:val="none"/>
        </w:rPr>
        <w:t>.........(14)</w:t>
      </w:r>
    </w:p>
    <w:p w14:paraId="39D0B407">
      <w:pPr>
        <w:spacing w:before="120" w:after="120" w:line="312" w:lineRule="auto"/>
        <w:ind w:firstLine="550" w:firstLineChars="250"/>
        <w:rPr>
          <w:rFonts w:eastAsia="宋体" w:cs="Times New Roman"/>
          <w:color w:val="auto"/>
          <w:highlight w:val="none"/>
        </w:rPr>
      </w:pPr>
      <w:r>
        <w:rPr>
          <w:rFonts w:eastAsia="宋体" w:cs="Times New Roman"/>
          <w:color w:val="auto"/>
          <w:highlight w:val="none"/>
        </w:rPr>
        <w:t>式中：</w:t>
      </w:r>
      <w:r>
        <w:rPr>
          <w:rFonts w:eastAsia="宋体" w:cs="Times New Roman"/>
          <w:color w:val="auto"/>
          <w:position w:val="-12"/>
          <w:highlight w:val="none"/>
        </w:rPr>
        <w:object>
          <v:shape id="_x0000_i1060" o:spt="75" type="#_x0000_t75" style="height:26.4pt;width:108.8pt;" o:ole="t" filled="f" o:preferrelative="t" stroked="f" coordsize="21600,21600">
            <v:path/>
            <v:fill on="f" focussize="0,0"/>
            <v:stroke on="f" joinstyle="miter"/>
            <v:imagedata r:id="rId83" o:title=""/>
            <o:lock v:ext="edit" aspectratio="t"/>
            <w10:wrap type="none"/>
            <w10:anchorlock/>
          </v:shape>
          <o:OLEObject Type="Embed" ProgID="Equation.3" ShapeID="_x0000_i1060" DrawAspect="Content" ObjectID="_1468075741" r:id="rId82">
            <o:LockedField>false</o:LockedField>
          </o:OLEObject>
        </w:object>
      </w:r>
      <w:r>
        <w:rPr>
          <w:rFonts w:eastAsia="宋体" w:cs="Times New Roman"/>
          <w:color w:val="auto"/>
          <w:highlight w:val="none"/>
        </w:rPr>
        <w:t xml:space="preserve">                ..........(15)</w:t>
      </w:r>
    </w:p>
    <w:p w14:paraId="642A463F">
      <w:pPr>
        <w:spacing w:line="312" w:lineRule="auto"/>
        <w:ind w:firstLine="480"/>
        <w:rPr>
          <w:rFonts w:eastAsia="宋体" w:cs="Times New Roman"/>
          <w:color w:val="auto"/>
          <w:highlight w:val="none"/>
        </w:rPr>
      </w:pPr>
      <w:r>
        <w:rPr>
          <w:rFonts w:eastAsia="宋体" w:cs="Times New Roman"/>
          <w:color w:val="auto"/>
          <w:position w:val="-12"/>
          <w:highlight w:val="none"/>
        </w:rPr>
        <w:object>
          <v:shape id="_x0000_i1061" o:spt="75" type="#_x0000_t75" style="height:26.4pt;width:99.6pt;" o:ole="t" filled="f" o:preferrelative="t" stroked="f" coordsize="21600,21600">
            <v:path/>
            <v:fill on="f" focussize="0,0"/>
            <v:stroke on="f" joinstyle="miter"/>
            <v:imagedata r:id="rId85" o:title=""/>
            <o:lock v:ext="edit" aspectratio="t"/>
            <w10:wrap type="none"/>
            <w10:anchorlock/>
          </v:shape>
          <o:OLEObject Type="Embed" ProgID="Equation.3" ShapeID="_x0000_i1061" DrawAspect="Content" ObjectID="_1468075742" r:id="rId84">
            <o:LockedField>false</o:LockedField>
          </o:OLEObject>
        </w:object>
      </w:r>
      <w:r>
        <w:rPr>
          <w:rFonts w:eastAsia="宋体" w:cs="Times New Roman"/>
          <w:color w:val="auto"/>
          <w:highlight w:val="none"/>
        </w:rPr>
        <w:t xml:space="preserve">                 ..........(16)</w:t>
      </w:r>
    </w:p>
    <w:p w14:paraId="3B124CCE">
      <w:pPr>
        <w:spacing w:line="312" w:lineRule="auto"/>
        <w:ind w:firstLine="480"/>
        <w:rPr>
          <w:rFonts w:eastAsia="宋体" w:cs="Times New Roman"/>
          <w:color w:val="auto"/>
          <w:highlight w:val="none"/>
        </w:rPr>
      </w:pPr>
      <w:r>
        <w:rPr>
          <w:rFonts w:eastAsia="宋体" w:cs="Times New Roman"/>
          <w:color w:val="auto"/>
          <w:highlight w:val="none"/>
        </w:rPr>
        <w:t>在地面处（y=0时）电场强度的水平分量取E</w:t>
      </w:r>
      <w:r>
        <w:rPr>
          <w:rFonts w:eastAsia="宋体" w:cs="Times New Roman"/>
          <w:color w:val="auto"/>
          <w:highlight w:val="none"/>
          <w:vertAlign w:val="subscript"/>
        </w:rPr>
        <w:t>X</w:t>
      </w:r>
      <w:r>
        <w:rPr>
          <w:rFonts w:eastAsia="宋体" w:cs="Times New Roman"/>
          <w:color w:val="auto"/>
          <w:highlight w:val="none"/>
        </w:rPr>
        <w:t>=0。</w:t>
      </w:r>
    </w:p>
    <w:p w14:paraId="5FDCB0A5">
      <w:pPr>
        <w:tabs>
          <w:tab w:val="left" w:pos="700"/>
        </w:tabs>
        <w:ind w:firstLine="480"/>
        <w:jc w:val="left"/>
        <w:rPr>
          <w:rFonts w:eastAsia="宋体" w:cs="Times New Roman"/>
          <w:color w:val="auto"/>
          <w:highlight w:val="none"/>
        </w:rPr>
      </w:pPr>
      <w:r>
        <w:rPr>
          <w:rFonts w:eastAsia="宋体" w:cs="Times New Roman"/>
          <w:color w:val="auto"/>
          <w:highlight w:val="none"/>
        </w:rPr>
        <w:t>工频电场强度计算结果见表5-</w:t>
      </w:r>
      <w:r>
        <w:rPr>
          <w:rFonts w:hint="eastAsia" w:eastAsia="宋体" w:cs="Times New Roman"/>
          <w:color w:val="auto"/>
          <w:highlight w:val="none"/>
        </w:rPr>
        <w:t>2~表5-3</w:t>
      </w:r>
      <w:r>
        <w:rPr>
          <w:rFonts w:eastAsia="宋体" w:cs="Times New Roman"/>
          <w:color w:val="auto"/>
          <w:highlight w:val="none"/>
        </w:rPr>
        <w:t>及图5-3</w:t>
      </w:r>
      <w:r>
        <w:rPr>
          <w:rFonts w:hint="eastAsia" w:eastAsia="宋体" w:cs="Times New Roman"/>
          <w:color w:val="auto"/>
          <w:highlight w:val="none"/>
        </w:rPr>
        <w:t>~图5-4</w:t>
      </w:r>
      <w:r>
        <w:rPr>
          <w:rFonts w:eastAsia="宋体" w:cs="Times New Roman"/>
          <w:color w:val="auto"/>
          <w:highlight w:val="none"/>
        </w:rPr>
        <w:t>。</w:t>
      </w:r>
    </w:p>
    <w:p w14:paraId="3826C92C">
      <w:pPr>
        <w:tabs>
          <w:tab w:val="left" w:pos="700"/>
        </w:tabs>
        <w:spacing w:line="540" w:lineRule="exact"/>
        <w:ind w:firstLine="422"/>
        <w:jc w:val="center"/>
        <w:rPr>
          <w:rFonts w:eastAsia="宋体" w:cs="Times New Roman"/>
          <w:b/>
          <w:color w:val="auto"/>
          <w:sz w:val="21"/>
          <w:szCs w:val="21"/>
          <w:highlight w:val="none"/>
        </w:rPr>
      </w:pPr>
      <w:r>
        <w:rPr>
          <w:rFonts w:eastAsia="宋体" w:cs="Times New Roman"/>
          <w:b/>
          <w:color w:val="auto"/>
          <w:sz w:val="21"/>
          <w:szCs w:val="21"/>
          <w:highlight w:val="none"/>
        </w:rPr>
        <w:t>表5-</w:t>
      </w:r>
      <w:r>
        <w:rPr>
          <w:rFonts w:hint="eastAsia" w:eastAsia="宋体" w:cs="Times New Roman"/>
          <w:b/>
          <w:color w:val="auto"/>
          <w:sz w:val="21"/>
          <w:szCs w:val="21"/>
          <w:highlight w:val="none"/>
        </w:rPr>
        <w:t>2</w:t>
      </w:r>
      <w:r>
        <w:rPr>
          <w:rFonts w:eastAsia="宋体" w:cs="Times New Roman"/>
          <w:b/>
          <w:color w:val="auto"/>
          <w:sz w:val="21"/>
          <w:szCs w:val="21"/>
          <w:highlight w:val="none"/>
        </w:rPr>
        <w:t xml:space="preserve">  单回路</w:t>
      </w:r>
      <w:r>
        <w:rPr>
          <w:rFonts w:hint="eastAsia" w:eastAsia="宋体" w:cs="Times New Roman"/>
          <w:b/>
          <w:color w:val="auto"/>
          <w:sz w:val="21"/>
          <w:szCs w:val="21"/>
          <w:highlight w:val="none"/>
        </w:rPr>
        <w:t>横担</w:t>
      </w:r>
      <w:r>
        <w:rPr>
          <w:rFonts w:hint="eastAsia" w:eastAsia="宋体" w:cs="Times New Roman"/>
          <w:b/>
          <w:color w:val="auto"/>
          <w:sz w:val="21"/>
          <w:szCs w:val="21"/>
          <w:highlight w:val="none"/>
          <w:lang w:val="en-US" w:eastAsia="zh-CN"/>
        </w:rPr>
        <w:t>最宽</w:t>
      </w:r>
      <w:r>
        <w:rPr>
          <w:rFonts w:hint="eastAsia" w:eastAsia="宋体" w:cs="Times New Roman"/>
          <w:b/>
          <w:color w:val="auto"/>
          <w:sz w:val="21"/>
          <w:szCs w:val="21"/>
          <w:highlight w:val="none"/>
        </w:rPr>
        <w:t>塔型</w:t>
      </w:r>
      <w:r>
        <w:rPr>
          <w:rFonts w:eastAsia="宋体" w:cs="Times New Roman"/>
          <w:b/>
          <w:color w:val="auto"/>
          <w:sz w:val="21"/>
          <w:szCs w:val="21"/>
          <w:highlight w:val="none"/>
        </w:rPr>
        <w:t>工频电场强度计算结果</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064"/>
        <w:gridCol w:w="1066"/>
        <w:gridCol w:w="1066"/>
        <w:gridCol w:w="1066"/>
        <w:gridCol w:w="1066"/>
        <w:gridCol w:w="1066"/>
        <w:gridCol w:w="1068"/>
      </w:tblGrid>
      <w:tr w14:paraId="0941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FE888F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4" w:type="pct"/>
          </w:tcPr>
          <w:p w14:paraId="7AFC188B">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tcPr>
          <w:p w14:paraId="6741A9A4">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5" w:type="pct"/>
          </w:tcPr>
          <w:p w14:paraId="218D1CF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1.5米高处电场的综合量(kV/m)</w:t>
            </w:r>
          </w:p>
        </w:tc>
        <w:tc>
          <w:tcPr>
            <w:tcW w:w="625" w:type="pct"/>
            <w:vAlign w:val="center"/>
          </w:tcPr>
          <w:p w14:paraId="03D1DDA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5" w:type="pct"/>
            <w:shd w:val="clear" w:color="auto" w:fill="auto"/>
            <w:vAlign w:val="top"/>
          </w:tcPr>
          <w:p w14:paraId="5D98A977">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shd w:val="clear" w:color="auto" w:fill="auto"/>
            <w:vAlign w:val="top"/>
          </w:tcPr>
          <w:p w14:paraId="7BC10D93">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6" w:type="pct"/>
            <w:shd w:val="clear" w:color="auto" w:fill="auto"/>
            <w:vAlign w:val="top"/>
          </w:tcPr>
          <w:p w14:paraId="20362A2D">
            <w:pPr>
              <w:widowControl/>
              <w:snapToGrid w:val="0"/>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1.5米高处电场的综合量(kV/m)</w:t>
            </w:r>
          </w:p>
        </w:tc>
      </w:tr>
      <w:tr w14:paraId="4907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5FEC62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4" w:type="pct"/>
            <w:shd w:val="clear" w:color="auto" w:fill="auto"/>
            <w:vAlign w:val="top"/>
          </w:tcPr>
          <w:p w14:paraId="53E1A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0.007</w:t>
            </w:r>
          </w:p>
        </w:tc>
        <w:tc>
          <w:tcPr>
            <w:tcW w:w="625" w:type="pct"/>
            <w:shd w:val="clear" w:color="auto" w:fill="auto"/>
            <w:vAlign w:val="top"/>
          </w:tcPr>
          <w:p w14:paraId="03497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0.092</w:t>
            </w:r>
          </w:p>
        </w:tc>
        <w:tc>
          <w:tcPr>
            <w:tcW w:w="625" w:type="pct"/>
            <w:shd w:val="clear" w:color="auto" w:fill="auto"/>
            <w:vAlign w:val="top"/>
          </w:tcPr>
          <w:p w14:paraId="17E3D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0.092</w:t>
            </w:r>
          </w:p>
        </w:tc>
        <w:tc>
          <w:tcPr>
            <w:tcW w:w="625" w:type="pct"/>
            <w:vAlign w:val="center"/>
          </w:tcPr>
          <w:p w14:paraId="2701AE3A">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5" w:type="pct"/>
            <w:shd w:val="clear" w:color="auto" w:fill="auto"/>
            <w:vAlign w:val="top"/>
          </w:tcPr>
          <w:p w14:paraId="3700E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0.007</w:t>
            </w:r>
          </w:p>
        </w:tc>
        <w:tc>
          <w:tcPr>
            <w:tcW w:w="625" w:type="pct"/>
            <w:shd w:val="clear" w:color="auto" w:fill="auto"/>
            <w:vAlign w:val="top"/>
          </w:tcPr>
          <w:p w14:paraId="26DC7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0.092</w:t>
            </w:r>
          </w:p>
        </w:tc>
        <w:tc>
          <w:tcPr>
            <w:tcW w:w="626" w:type="pct"/>
            <w:shd w:val="clear" w:color="auto" w:fill="auto"/>
            <w:vAlign w:val="top"/>
          </w:tcPr>
          <w:p w14:paraId="7B63F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0.092</w:t>
            </w:r>
          </w:p>
        </w:tc>
      </w:tr>
      <w:tr w14:paraId="2A1C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064179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4" w:type="pct"/>
            <w:shd w:val="clear" w:color="auto" w:fill="auto"/>
            <w:vAlign w:val="top"/>
          </w:tcPr>
          <w:p w14:paraId="0AB5CE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0.007</w:t>
            </w:r>
          </w:p>
        </w:tc>
        <w:tc>
          <w:tcPr>
            <w:tcW w:w="625" w:type="pct"/>
            <w:shd w:val="clear" w:color="auto" w:fill="auto"/>
            <w:vAlign w:val="top"/>
          </w:tcPr>
          <w:p w14:paraId="3928F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0.096</w:t>
            </w:r>
          </w:p>
        </w:tc>
        <w:tc>
          <w:tcPr>
            <w:tcW w:w="625" w:type="pct"/>
            <w:shd w:val="clear" w:color="auto" w:fill="auto"/>
            <w:vAlign w:val="top"/>
          </w:tcPr>
          <w:p w14:paraId="7143F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0.097</w:t>
            </w:r>
          </w:p>
        </w:tc>
        <w:tc>
          <w:tcPr>
            <w:tcW w:w="625" w:type="pct"/>
            <w:vAlign w:val="center"/>
          </w:tcPr>
          <w:p w14:paraId="3890E5A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5" w:type="pct"/>
            <w:shd w:val="clear" w:color="auto" w:fill="auto"/>
            <w:vAlign w:val="top"/>
          </w:tcPr>
          <w:p w14:paraId="1A128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0.007</w:t>
            </w:r>
          </w:p>
        </w:tc>
        <w:tc>
          <w:tcPr>
            <w:tcW w:w="625" w:type="pct"/>
            <w:shd w:val="clear" w:color="auto" w:fill="auto"/>
            <w:vAlign w:val="top"/>
          </w:tcPr>
          <w:p w14:paraId="571D1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0.096</w:t>
            </w:r>
          </w:p>
        </w:tc>
        <w:tc>
          <w:tcPr>
            <w:tcW w:w="626" w:type="pct"/>
            <w:shd w:val="clear" w:color="auto" w:fill="auto"/>
            <w:vAlign w:val="top"/>
          </w:tcPr>
          <w:p w14:paraId="4FB1EC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0.097</w:t>
            </w:r>
          </w:p>
        </w:tc>
      </w:tr>
      <w:tr w14:paraId="113A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08AC852">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4" w:type="pct"/>
            <w:shd w:val="clear" w:color="auto" w:fill="auto"/>
            <w:vAlign w:val="top"/>
          </w:tcPr>
          <w:p w14:paraId="2C131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0.008</w:t>
            </w:r>
          </w:p>
        </w:tc>
        <w:tc>
          <w:tcPr>
            <w:tcW w:w="625" w:type="pct"/>
            <w:shd w:val="clear" w:color="auto" w:fill="auto"/>
            <w:vAlign w:val="top"/>
          </w:tcPr>
          <w:p w14:paraId="496A6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0.101</w:t>
            </w:r>
          </w:p>
        </w:tc>
        <w:tc>
          <w:tcPr>
            <w:tcW w:w="625" w:type="pct"/>
            <w:shd w:val="clear" w:color="auto" w:fill="auto"/>
            <w:vAlign w:val="top"/>
          </w:tcPr>
          <w:p w14:paraId="33F716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0.102</w:t>
            </w:r>
          </w:p>
        </w:tc>
        <w:tc>
          <w:tcPr>
            <w:tcW w:w="625" w:type="pct"/>
            <w:vAlign w:val="center"/>
          </w:tcPr>
          <w:p w14:paraId="2C592BC7">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5" w:type="pct"/>
            <w:shd w:val="clear" w:color="auto" w:fill="auto"/>
            <w:vAlign w:val="top"/>
          </w:tcPr>
          <w:p w14:paraId="71D751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0.008</w:t>
            </w:r>
          </w:p>
        </w:tc>
        <w:tc>
          <w:tcPr>
            <w:tcW w:w="625" w:type="pct"/>
            <w:shd w:val="clear" w:color="auto" w:fill="auto"/>
            <w:vAlign w:val="top"/>
          </w:tcPr>
          <w:p w14:paraId="345E81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0.101</w:t>
            </w:r>
          </w:p>
        </w:tc>
        <w:tc>
          <w:tcPr>
            <w:tcW w:w="626" w:type="pct"/>
            <w:shd w:val="clear" w:color="auto" w:fill="auto"/>
            <w:vAlign w:val="top"/>
          </w:tcPr>
          <w:p w14:paraId="75CB0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0.102</w:t>
            </w:r>
          </w:p>
        </w:tc>
      </w:tr>
      <w:tr w14:paraId="5D25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5CB5B0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4" w:type="pct"/>
            <w:shd w:val="clear" w:color="auto" w:fill="auto"/>
            <w:vAlign w:val="top"/>
          </w:tcPr>
          <w:p w14:paraId="3CAC8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0.009</w:t>
            </w:r>
          </w:p>
        </w:tc>
        <w:tc>
          <w:tcPr>
            <w:tcW w:w="625" w:type="pct"/>
            <w:shd w:val="clear" w:color="auto" w:fill="auto"/>
            <w:vAlign w:val="top"/>
          </w:tcPr>
          <w:p w14:paraId="42341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0.106</w:t>
            </w:r>
          </w:p>
        </w:tc>
        <w:tc>
          <w:tcPr>
            <w:tcW w:w="625" w:type="pct"/>
            <w:shd w:val="clear" w:color="auto" w:fill="auto"/>
            <w:vAlign w:val="top"/>
          </w:tcPr>
          <w:p w14:paraId="50792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0.107</w:t>
            </w:r>
          </w:p>
        </w:tc>
        <w:tc>
          <w:tcPr>
            <w:tcW w:w="625" w:type="pct"/>
            <w:vAlign w:val="center"/>
          </w:tcPr>
          <w:p w14:paraId="27FEBEE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5" w:type="pct"/>
            <w:shd w:val="clear" w:color="auto" w:fill="auto"/>
            <w:vAlign w:val="top"/>
          </w:tcPr>
          <w:p w14:paraId="7B4D7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0.009</w:t>
            </w:r>
          </w:p>
        </w:tc>
        <w:tc>
          <w:tcPr>
            <w:tcW w:w="625" w:type="pct"/>
            <w:shd w:val="clear" w:color="auto" w:fill="auto"/>
            <w:vAlign w:val="top"/>
          </w:tcPr>
          <w:p w14:paraId="29E81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0.106</w:t>
            </w:r>
          </w:p>
        </w:tc>
        <w:tc>
          <w:tcPr>
            <w:tcW w:w="626" w:type="pct"/>
            <w:shd w:val="clear" w:color="auto" w:fill="auto"/>
            <w:vAlign w:val="top"/>
          </w:tcPr>
          <w:p w14:paraId="53E3B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0.107</w:t>
            </w:r>
          </w:p>
        </w:tc>
      </w:tr>
      <w:tr w14:paraId="22E1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12B5567">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4" w:type="pct"/>
            <w:shd w:val="clear" w:color="auto" w:fill="auto"/>
            <w:vAlign w:val="top"/>
          </w:tcPr>
          <w:p w14:paraId="47F26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0.009</w:t>
            </w:r>
          </w:p>
        </w:tc>
        <w:tc>
          <w:tcPr>
            <w:tcW w:w="625" w:type="pct"/>
            <w:shd w:val="clear" w:color="auto" w:fill="auto"/>
            <w:vAlign w:val="top"/>
          </w:tcPr>
          <w:p w14:paraId="5161E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0.112</w:t>
            </w:r>
          </w:p>
        </w:tc>
        <w:tc>
          <w:tcPr>
            <w:tcW w:w="625" w:type="pct"/>
            <w:shd w:val="clear" w:color="auto" w:fill="auto"/>
            <w:vAlign w:val="top"/>
          </w:tcPr>
          <w:p w14:paraId="2B92F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0.112</w:t>
            </w:r>
          </w:p>
        </w:tc>
        <w:tc>
          <w:tcPr>
            <w:tcW w:w="625" w:type="pct"/>
            <w:vAlign w:val="center"/>
          </w:tcPr>
          <w:p w14:paraId="78A5E09B">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5" w:type="pct"/>
            <w:shd w:val="clear" w:color="auto" w:fill="auto"/>
            <w:vAlign w:val="top"/>
          </w:tcPr>
          <w:p w14:paraId="6ABE6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0.009</w:t>
            </w:r>
          </w:p>
        </w:tc>
        <w:tc>
          <w:tcPr>
            <w:tcW w:w="625" w:type="pct"/>
            <w:shd w:val="clear" w:color="auto" w:fill="auto"/>
            <w:vAlign w:val="top"/>
          </w:tcPr>
          <w:p w14:paraId="3271E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0.112</w:t>
            </w:r>
          </w:p>
        </w:tc>
        <w:tc>
          <w:tcPr>
            <w:tcW w:w="626" w:type="pct"/>
            <w:shd w:val="clear" w:color="auto" w:fill="auto"/>
            <w:vAlign w:val="top"/>
          </w:tcPr>
          <w:p w14:paraId="13139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0.112</w:t>
            </w:r>
          </w:p>
        </w:tc>
      </w:tr>
      <w:tr w14:paraId="5B11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CFCAE7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4" w:type="pct"/>
            <w:shd w:val="clear" w:color="auto" w:fill="auto"/>
            <w:vAlign w:val="top"/>
          </w:tcPr>
          <w:p w14:paraId="799D2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0.010</w:t>
            </w:r>
          </w:p>
        </w:tc>
        <w:tc>
          <w:tcPr>
            <w:tcW w:w="625" w:type="pct"/>
            <w:shd w:val="clear" w:color="auto" w:fill="auto"/>
            <w:vAlign w:val="top"/>
          </w:tcPr>
          <w:p w14:paraId="72E6F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0.118</w:t>
            </w:r>
          </w:p>
        </w:tc>
        <w:tc>
          <w:tcPr>
            <w:tcW w:w="625" w:type="pct"/>
            <w:shd w:val="clear" w:color="auto" w:fill="auto"/>
            <w:vAlign w:val="top"/>
          </w:tcPr>
          <w:p w14:paraId="6326F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0.118</w:t>
            </w:r>
          </w:p>
        </w:tc>
        <w:tc>
          <w:tcPr>
            <w:tcW w:w="625" w:type="pct"/>
            <w:vAlign w:val="center"/>
          </w:tcPr>
          <w:p w14:paraId="11B6F9A7">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5" w:type="pct"/>
            <w:shd w:val="clear" w:color="auto" w:fill="auto"/>
            <w:vAlign w:val="top"/>
          </w:tcPr>
          <w:p w14:paraId="6F0DBA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0.010</w:t>
            </w:r>
          </w:p>
        </w:tc>
        <w:tc>
          <w:tcPr>
            <w:tcW w:w="625" w:type="pct"/>
            <w:shd w:val="clear" w:color="auto" w:fill="auto"/>
            <w:vAlign w:val="top"/>
          </w:tcPr>
          <w:p w14:paraId="67C8B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0.118</w:t>
            </w:r>
          </w:p>
        </w:tc>
        <w:tc>
          <w:tcPr>
            <w:tcW w:w="626" w:type="pct"/>
            <w:shd w:val="clear" w:color="auto" w:fill="auto"/>
            <w:vAlign w:val="top"/>
          </w:tcPr>
          <w:p w14:paraId="5DFDD7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0.118</w:t>
            </w:r>
          </w:p>
        </w:tc>
      </w:tr>
      <w:tr w14:paraId="79F5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AC7170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4" w:type="pct"/>
            <w:shd w:val="clear" w:color="auto" w:fill="auto"/>
            <w:vAlign w:val="top"/>
          </w:tcPr>
          <w:p w14:paraId="6518AE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0.011</w:t>
            </w:r>
          </w:p>
        </w:tc>
        <w:tc>
          <w:tcPr>
            <w:tcW w:w="625" w:type="pct"/>
            <w:shd w:val="clear" w:color="auto" w:fill="auto"/>
            <w:vAlign w:val="top"/>
          </w:tcPr>
          <w:p w14:paraId="4ED5C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0.124</w:t>
            </w:r>
          </w:p>
        </w:tc>
        <w:tc>
          <w:tcPr>
            <w:tcW w:w="625" w:type="pct"/>
            <w:shd w:val="clear" w:color="auto" w:fill="auto"/>
            <w:vAlign w:val="top"/>
          </w:tcPr>
          <w:p w14:paraId="7D4F6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0.125</w:t>
            </w:r>
          </w:p>
        </w:tc>
        <w:tc>
          <w:tcPr>
            <w:tcW w:w="625" w:type="pct"/>
            <w:vAlign w:val="center"/>
          </w:tcPr>
          <w:p w14:paraId="7339DB5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5" w:type="pct"/>
            <w:shd w:val="clear" w:color="auto" w:fill="auto"/>
            <w:vAlign w:val="top"/>
          </w:tcPr>
          <w:p w14:paraId="00A6D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0.011</w:t>
            </w:r>
          </w:p>
        </w:tc>
        <w:tc>
          <w:tcPr>
            <w:tcW w:w="625" w:type="pct"/>
            <w:shd w:val="clear" w:color="auto" w:fill="auto"/>
            <w:vAlign w:val="top"/>
          </w:tcPr>
          <w:p w14:paraId="1BE2DB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0.124</w:t>
            </w:r>
          </w:p>
        </w:tc>
        <w:tc>
          <w:tcPr>
            <w:tcW w:w="626" w:type="pct"/>
            <w:shd w:val="clear" w:color="auto" w:fill="auto"/>
            <w:vAlign w:val="top"/>
          </w:tcPr>
          <w:p w14:paraId="2D649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0.125</w:t>
            </w:r>
          </w:p>
        </w:tc>
      </w:tr>
      <w:tr w14:paraId="222F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DAE209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4" w:type="pct"/>
            <w:shd w:val="clear" w:color="auto" w:fill="auto"/>
            <w:vAlign w:val="top"/>
          </w:tcPr>
          <w:p w14:paraId="102CE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0.012</w:t>
            </w:r>
          </w:p>
        </w:tc>
        <w:tc>
          <w:tcPr>
            <w:tcW w:w="625" w:type="pct"/>
            <w:shd w:val="clear" w:color="auto" w:fill="auto"/>
            <w:vAlign w:val="top"/>
          </w:tcPr>
          <w:p w14:paraId="5E74D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0.131</w:t>
            </w:r>
          </w:p>
        </w:tc>
        <w:tc>
          <w:tcPr>
            <w:tcW w:w="625" w:type="pct"/>
            <w:shd w:val="clear" w:color="auto" w:fill="auto"/>
            <w:vAlign w:val="top"/>
          </w:tcPr>
          <w:p w14:paraId="6B5F6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0.132</w:t>
            </w:r>
          </w:p>
        </w:tc>
        <w:tc>
          <w:tcPr>
            <w:tcW w:w="625" w:type="pct"/>
            <w:vAlign w:val="center"/>
          </w:tcPr>
          <w:p w14:paraId="60A4EF5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5" w:type="pct"/>
            <w:shd w:val="clear" w:color="auto" w:fill="auto"/>
            <w:vAlign w:val="top"/>
          </w:tcPr>
          <w:p w14:paraId="0B2A9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0.012</w:t>
            </w:r>
          </w:p>
        </w:tc>
        <w:tc>
          <w:tcPr>
            <w:tcW w:w="625" w:type="pct"/>
            <w:shd w:val="clear" w:color="auto" w:fill="auto"/>
            <w:vAlign w:val="top"/>
          </w:tcPr>
          <w:p w14:paraId="3B017C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0.131</w:t>
            </w:r>
          </w:p>
        </w:tc>
        <w:tc>
          <w:tcPr>
            <w:tcW w:w="626" w:type="pct"/>
            <w:shd w:val="clear" w:color="auto" w:fill="auto"/>
            <w:vAlign w:val="top"/>
          </w:tcPr>
          <w:p w14:paraId="6FE7B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0.132</w:t>
            </w:r>
          </w:p>
        </w:tc>
      </w:tr>
      <w:tr w14:paraId="58F4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DD7B70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4" w:type="pct"/>
            <w:shd w:val="clear" w:color="auto" w:fill="auto"/>
            <w:vAlign w:val="top"/>
          </w:tcPr>
          <w:p w14:paraId="5F24A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0.013</w:t>
            </w:r>
          </w:p>
        </w:tc>
        <w:tc>
          <w:tcPr>
            <w:tcW w:w="625" w:type="pct"/>
            <w:shd w:val="clear" w:color="auto" w:fill="auto"/>
            <w:vAlign w:val="top"/>
          </w:tcPr>
          <w:p w14:paraId="1CFD9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0.139</w:t>
            </w:r>
          </w:p>
        </w:tc>
        <w:tc>
          <w:tcPr>
            <w:tcW w:w="625" w:type="pct"/>
            <w:shd w:val="clear" w:color="auto" w:fill="auto"/>
            <w:vAlign w:val="top"/>
          </w:tcPr>
          <w:p w14:paraId="10AC0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0.140</w:t>
            </w:r>
          </w:p>
        </w:tc>
        <w:tc>
          <w:tcPr>
            <w:tcW w:w="625" w:type="pct"/>
            <w:vAlign w:val="center"/>
          </w:tcPr>
          <w:p w14:paraId="255E57A4">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5" w:type="pct"/>
            <w:shd w:val="clear" w:color="auto" w:fill="auto"/>
            <w:vAlign w:val="top"/>
          </w:tcPr>
          <w:p w14:paraId="71AD5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0.013</w:t>
            </w:r>
          </w:p>
        </w:tc>
        <w:tc>
          <w:tcPr>
            <w:tcW w:w="625" w:type="pct"/>
            <w:shd w:val="clear" w:color="auto" w:fill="auto"/>
            <w:vAlign w:val="top"/>
          </w:tcPr>
          <w:p w14:paraId="2A471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0.139</w:t>
            </w:r>
          </w:p>
        </w:tc>
        <w:tc>
          <w:tcPr>
            <w:tcW w:w="626" w:type="pct"/>
            <w:shd w:val="clear" w:color="auto" w:fill="auto"/>
            <w:vAlign w:val="top"/>
          </w:tcPr>
          <w:p w14:paraId="5D5EC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0.140</w:t>
            </w:r>
          </w:p>
        </w:tc>
      </w:tr>
      <w:tr w14:paraId="5365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CCFEDC0">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4" w:type="pct"/>
            <w:shd w:val="clear" w:color="auto" w:fill="auto"/>
            <w:vAlign w:val="top"/>
          </w:tcPr>
          <w:p w14:paraId="76312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0.014</w:t>
            </w:r>
          </w:p>
        </w:tc>
        <w:tc>
          <w:tcPr>
            <w:tcW w:w="625" w:type="pct"/>
            <w:shd w:val="clear" w:color="auto" w:fill="auto"/>
            <w:vAlign w:val="top"/>
          </w:tcPr>
          <w:p w14:paraId="01131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0.147</w:t>
            </w:r>
          </w:p>
        </w:tc>
        <w:tc>
          <w:tcPr>
            <w:tcW w:w="625" w:type="pct"/>
            <w:shd w:val="clear" w:color="auto" w:fill="auto"/>
            <w:vAlign w:val="top"/>
          </w:tcPr>
          <w:p w14:paraId="198C5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0.148</w:t>
            </w:r>
          </w:p>
        </w:tc>
        <w:tc>
          <w:tcPr>
            <w:tcW w:w="625" w:type="pct"/>
            <w:vAlign w:val="center"/>
          </w:tcPr>
          <w:p w14:paraId="55B8EBE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5" w:type="pct"/>
            <w:shd w:val="clear" w:color="auto" w:fill="auto"/>
            <w:vAlign w:val="top"/>
          </w:tcPr>
          <w:p w14:paraId="7E0BF4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0.014</w:t>
            </w:r>
          </w:p>
        </w:tc>
        <w:tc>
          <w:tcPr>
            <w:tcW w:w="625" w:type="pct"/>
            <w:shd w:val="clear" w:color="auto" w:fill="auto"/>
            <w:vAlign w:val="top"/>
          </w:tcPr>
          <w:p w14:paraId="4DA1E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0.147</w:t>
            </w:r>
          </w:p>
        </w:tc>
        <w:tc>
          <w:tcPr>
            <w:tcW w:w="626" w:type="pct"/>
            <w:shd w:val="clear" w:color="auto" w:fill="auto"/>
            <w:vAlign w:val="top"/>
          </w:tcPr>
          <w:p w14:paraId="049D0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0.148</w:t>
            </w:r>
          </w:p>
        </w:tc>
      </w:tr>
      <w:tr w14:paraId="178B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A65A8F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4" w:type="pct"/>
            <w:shd w:val="clear" w:color="auto" w:fill="auto"/>
            <w:vAlign w:val="top"/>
          </w:tcPr>
          <w:p w14:paraId="75D7D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0.015</w:t>
            </w:r>
          </w:p>
        </w:tc>
        <w:tc>
          <w:tcPr>
            <w:tcW w:w="625" w:type="pct"/>
            <w:shd w:val="clear" w:color="auto" w:fill="auto"/>
            <w:vAlign w:val="top"/>
          </w:tcPr>
          <w:p w14:paraId="2110C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0.156</w:t>
            </w:r>
          </w:p>
        </w:tc>
        <w:tc>
          <w:tcPr>
            <w:tcW w:w="625" w:type="pct"/>
            <w:shd w:val="clear" w:color="auto" w:fill="auto"/>
            <w:vAlign w:val="top"/>
          </w:tcPr>
          <w:p w14:paraId="7493F4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0.157</w:t>
            </w:r>
          </w:p>
        </w:tc>
        <w:tc>
          <w:tcPr>
            <w:tcW w:w="625" w:type="pct"/>
            <w:vAlign w:val="center"/>
          </w:tcPr>
          <w:p w14:paraId="00FAB3D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5" w:type="pct"/>
            <w:shd w:val="clear" w:color="auto" w:fill="auto"/>
            <w:vAlign w:val="top"/>
          </w:tcPr>
          <w:p w14:paraId="54F00C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0.015</w:t>
            </w:r>
          </w:p>
        </w:tc>
        <w:tc>
          <w:tcPr>
            <w:tcW w:w="625" w:type="pct"/>
            <w:shd w:val="clear" w:color="auto" w:fill="auto"/>
            <w:vAlign w:val="top"/>
          </w:tcPr>
          <w:p w14:paraId="61186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0.156</w:t>
            </w:r>
          </w:p>
        </w:tc>
        <w:tc>
          <w:tcPr>
            <w:tcW w:w="626" w:type="pct"/>
            <w:shd w:val="clear" w:color="auto" w:fill="auto"/>
            <w:vAlign w:val="top"/>
          </w:tcPr>
          <w:p w14:paraId="76653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0.157</w:t>
            </w:r>
          </w:p>
        </w:tc>
      </w:tr>
      <w:tr w14:paraId="57D7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12533E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4" w:type="pct"/>
            <w:shd w:val="clear" w:color="auto" w:fill="auto"/>
            <w:vAlign w:val="top"/>
          </w:tcPr>
          <w:p w14:paraId="00A8B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0.017</w:t>
            </w:r>
          </w:p>
        </w:tc>
        <w:tc>
          <w:tcPr>
            <w:tcW w:w="625" w:type="pct"/>
            <w:shd w:val="clear" w:color="auto" w:fill="auto"/>
            <w:vAlign w:val="top"/>
          </w:tcPr>
          <w:p w14:paraId="0A0C7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0.166</w:t>
            </w:r>
          </w:p>
        </w:tc>
        <w:tc>
          <w:tcPr>
            <w:tcW w:w="625" w:type="pct"/>
            <w:shd w:val="clear" w:color="auto" w:fill="auto"/>
            <w:vAlign w:val="top"/>
          </w:tcPr>
          <w:p w14:paraId="43ADE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0.167</w:t>
            </w:r>
          </w:p>
        </w:tc>
        <w:tc>
          <w:tcPr>
            <w:tcW w:w="625" w:type="pct"/>
            <w:vAlign w:val="center"/>
          </w:tcPr>
          <w:p w14:paraId="5AFF2A9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5" w:type="pct"/>
            <w:shd w:val="clear" w:color="auto" w:fill="auto"/>
            <w:vAlign w:val="top"/>
          </w:tcPr>
          <w:p w14:paraId="48972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0.017</w:t>
            </w:r>
          </w:p>
        </w:tc>
        <w:tc>
          <w:tcPr>
            <w:tcW w:w="625" w:type="pct"/>
            <w:shd w:val="clear" w:color="auto" w:fill="auto"/>
            <w:vAlign w:val="top"/>
          </w:tcPr>
          <w:p w14:paraId="3B915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0.166</w:t>
            </w:r>
          </w:p>
        </w:tc>
        <w:tc>
          <w:tcPr>
            <w:tcW w:w="626" w:type="pct"/>
            <w:shd w:val="clear" w:color="auto" w:fill="auto"/>
            <w:vAlign w:val="top"/>
          </w:tcPr>
          <w:p w14:paraId="2F4A1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0.167</w:t>
            </w:r>
          </w:p>
        </w:tc>
      </w:tr>
      <w:tr w14:paraId="3949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C559BF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4" w:type="pct"/>
            <w:shd w:val="clear" w:color="auto" w:fill="auto"/>
            <w:vAlign w:val="top"/>
          </w:tcPr>
          <w:p w14:paraId="648F06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0.018</w:t>
            </w:r>
          </w:p>
        </w:tc>
        <w:tc>
          <w:tcPr>
            <w:tcW w:w="625" w:type="pct"/>
            <w:shd w:val="clear" w:color="auto" w:fill="auto"/>
            <w:vAlign w:val="top"/>
          </w:tcPr>
          <w:p w14:paraId="4C2053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0.177</w:t>
            </w:r>
          </w:p>
        </w:tc>
        <w:tc>
          <w:tcPr>
            <w:tcW w:w="625" w:type="pct"/>
            <w:shd w:val="clear" w:color="auto" w:fill="auto"/>
            <w:vAlign w:val="top"/>
          </w:tcPr>
          <w:p w14:paraId="1E5BA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0.178</w:t>
            </w:r>
          </w:p>
        </w:tc>
        <w:tc>
          <w:tcPr>
            <w:tcW w:w="625" w:type="pct"/>
            <w:vAlign w:val="center"/>
          </w:tcPr>
          <w:p w14:paraId="0A48666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5" w:type="pct"/>
            <w:shd w:val="clear" w:color="auto" w:fill="auto"/>
            <w:vAlign w:val="top"/>
          </w:tcPr>
          <w:p w14:paraId="21C0D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0.018</w:t>
            </w:r>
          </w:p>
        </w:tc>
        <w:tc>
          <w:tcPr>
            <w:tcW w:w="625" w:type="pct"/>
            <w:shd w:val="clear" w:color="auto" w:fill="auto"/>
            <w:vAlign w:val="top"/>
          </w:tcPr>
          <w:p w14:paraId="68DCA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0.177</w:t>
            </w:r>
          </w:p>
        </w:tc>
        <w:tc>
          <w:tcPr>
            <w:tcW w:w="626" w:type="pct"/>
            <w:shd w:val="clear" w:color="auto" w:fill="auto"/>
            <w:vAlign w:val="top"/>
          </w:tcPr>
          <w:p w14:paraId="2C2C35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0.178</w:t>
            </w:r>
          </w:p>
        </w:tc>
      </w:tr>
      <w:tr w14:paraId="2E3E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698D32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4" w:type="pct"/>
            <w:shd w:val="clear" w:color="auto" w:fill="auto"/>
            <w:vAlign w:val="top"/>
          </w:tcPr>
          <w:p w14:paraId="4ADDE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0.020</w:t>
            </w:r>
          </w:p>
        </w:tc>
        <w:tc>
          <w:tcPr>
            <w:tcW w:w="625" w:type="pct"/>
            <w:shd w:val="clear" w:color="auto" w:fill="auto"/>
            <w:vAlign w:val="top"/>
          </w:tcPr>
          <w:p w14:paraId="56D001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0.189</w:t>
            </w:r>
          </w:p>
        </w:tc>
        <w:tc>
          <w:tcPr>
            <w:tcW w:w="625" w:type="pct"/>
            <w:shd w:val="clear" w:color="auto" w:fill="auto"/>
            <w:vAlign w:val="top"/>
          </w:tcPr>
          <w:p w14:paraId="50C81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0.190</w:t>
            </w:r>
          </w:p>
        </w:tc>
        <w:tc>
          <w:tcPr>
            <w:tcW w:w="625" w:type="pct"/>
            <w:vAlign w:val="center"/>
          </w:tcPr>
          <w:p w14:paraId="52F9CAB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5" w:type="pct"/>
            <w:shd w:val="clear" w:color="auto" w:fill="auto"/>
            <w:vAlign w:val="top"/>
          </w:tcPr>
          <w:p w14:paraId="7A5FD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0.020</w:t>
            </w:r>
          </w:p>
        </w:tc>
        <w:tc>
          <w:tcPr>
            <w:tcW w:w="625" w:type="pct"/>
            <w:shd w:val="clear" w:color="auto" w:fill="auto"/>
            <w:vAlign w:val="top"/>
          </w:tcPr>
          <w:p w14:paraId="58C1E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0.189</w:t>
            </w:r>
          </w:p>
        </w:tc>
        <w:tc>
          <w:tcPr>
            <w:tcW w:w="626" w:type="pct"/>
            <w:shd w:val="clear" w:color="auto" w:fill="auto"/>
            <w:vAlign w:val="top"/>
          </w:tcPr>
          <w:p w14:paraId="1F3D0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0.190</w:t>
            </w:r>
          </w:p>
        </w:tc>
      </w:tr>
      <w:tr w14:paraId="75D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0EB302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4" w:type="pct"/>
            <w:shd w:val="clear" w:color="auto" w:fill="auto"/>
            <w:vAlign w:val="top"/>
          </w:tcPr>
          <w:p w14:paraId="34B0A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0.022</w:t>
            </w:r>
          </w:p>
        </w:tc>
        <w:tc>
          <w:tcPr>
            <w:tcW w:w="625" w:type="pct"/>
            <w:shd w:val="clear" w:color="auto" w:fill="auto"/>
            <w:vAlign w:val="top"/>
          </w:tcPr>
          <w:p w14:paraId="23DBE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0.202</w:t>
            </w:r>
          </w:p>
        </w:tc>
        <w:tc>
          <w:tcPr>
            <w:tcW w:w="625" w:type="pct"/>
            <w:shd w:val="clear" w:color="auto" w:fill="auto"/>
            <w:vAlign w:val="top"/>
          </w:tcPr>
          <w:p w14:paraId="5FE91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0.204</w:t>
            </w:r>
          </w:p>
        </w:tc>
        <w:tc>
          <w:tcPr>
            <w:tcW w:w="625" w:type="pct"/>
            <w:vAlign w:val="center"/>
          </w:tcPr>
          <w:p w14:paraId="1B05B9E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5" w:type="pct"/>
            <w:shd w:val="clear" w:color="auto" w:fill="auto"/>
            <w:vAlign w:val="top"/>
          </w:tcPr>
          <w:p w14:paraId="7A464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0.022</w:t>
            </w:r>
          </w:p>
        </w:tc>
        <w:tc>
          <w:tcPr>
            <w:tcW w:w="625" w:type="pct"/>
            <w:shd w:val="clear" w:color="auto" w:fill="auto"/>
            <w:vAlign w:val="top"/>
          </w:tcPr>
          <w:p w14:paraId="0C3EA1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0.202</w:t>
            </w:r>
          </w:p>
        </w:tc>
        <w:tc>
          <w:tcPr>
            <w:tcW w:w="626" w:type="pct"/>
            <w:shd w:val="clear" w:color="auto" w:fill="auto"/>
            <w:vAlign w:val="top"/>
          </w:tcPr>
          <w:p w14:paraId="03BAD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0.204</w:t>
            </w:r>
          </w:p>
        </w:tc>
      </w:tr>
      <w:tr w14:paraId="27CF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8EA9A6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4" w:type="pct"/>
            <w:shd w:val="clear" w:color="auto" w:fill="auto"/>
            <w:vAlign w:val="top"/>
          </w:tcPr>
          <w:p w14:paraId="1C2185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0.025</w:t>
            </w:r>
          </w:p>
        </w:tc>
        <w:tc>
          <w:tcPr>
            <w:tcW w:w="625" w:type="pct"/>
            <w:shd w:val="clear" w:color="auto" w:fill="auto"/>
            <w:vAlign w:val="top"/>
          </w:tcPr>
          <w:p w14:paraId="4D0B3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0.217</w:t>
            </w:r>
          </w:p>
        </w:tc>
        <w:tc>
          <w:tcPr>
            <w:tcW w:w="625" w:type="pct"/>
            <w:shd w:val="clear" w:color="auto" w:fill="auto"/>
            <w:vAlign w:val="top"/>
          </w:tcPr>
          <w:p w14:paraId="1D990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0.218</w:t>
            </w:r>
          </w:p>
        </w:tc>
        <w:tc>
          <w:tcPr>
            <w:tcW w:w="625" w:type="pct"/>
            <w:vAlign w:val="center"/>
          </w:tcPr>
          <w:p w14:paraId="71CAF1B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5" w:type="pct"/>
            <w:shd w:val="clear" w:color="auto" w:fill="auto"/>
            <w:vAlign w:val="top"/>
          </w:tcPr>
          <w:p w14:paraId="6433EC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0.025</w:t>
            </w:r>
          </w:p>
        </w:tc>
        <w:tc>
          <w:tcPr>
            <w:tcW w:w="625" w:type="pct"/>
            <w:shd w:val="clear" w:color="auto" w:fill="auto"/>
            <w:vAlign w:val="top"/>
          </w:tcPr>
          <w:p w14:paraId="09C23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0.217</w:t>
            </w:r>
          </w:p>
        </w:tc>
        <w:tc>
          <w:tcPr>
            <w:tcW w:w="626" w:type="pct"/>
            <w:shd w:val="clear" w:color="auto" w:fill="auto"/>
            <w:vAlign w:val="top"/>
          </w:tcPr>
          <w:p w14:paraId="33365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0.218</w:t>
            </w:r>
          </w:p>
        </w:tc>
      </w:tr>
      <w:tr w14:paraId="7897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A9F9DA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4" w:type="pct"/>
            <w:shd w:val="clear" w:color="auto" w:fill="auto"/>
            <w:vAlign w:val="top"/>
          </w:tcPr>
          <w:p w14:paraId="5D37D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0.027</w:t>
            </w:r>
          </w:p>
        </w:tc>
        <w:tc>
          <w:tcPr>
            <w:tcW w:w="625" w:type="pct"/>
            <w:shd w:val="clear" w:color="auto" w:fill="auto"/>
            <w:vAlign w:val="top"/>
          </w:tcPr>
          <w:p w14:paraId="584157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0.233</w:t>
            </w:r>
          </w:p>
        </w:tc>
        <w:tc>
          <w:tcPr>
            <w:tcW w:w="625" w:type="pct"/>
            <w:shd w:val="clear" w:color="auto" w:fill="auto"/>
            <w:vAlign w:val="top"/>
          </w:tcPr>
          <w:p w14:paraId="6B86E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0.235</w:t>
            </w:r>
          </w:p>
        </w:tc>
        <w:tc>
          <w:tcPr>
            <w:tcW w:w="625" w:type="pct"/>
            <w:vAlign w:val="center"/>
          </w:tcPr>
          <w:p w14:paraId="2576BB0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5" w:type="pct"/>
            <w:shd w:val="clear" w:color="auto" w:fill="auto"/>
            <w:vAlign w:val="top"/>
          </w:tcPr>
          <w:p w14:paraId="1E999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0.027</w:t>
            </w:r>
          </w:p>
        </w:tc>
        <w:tc>
          <w:tcPr>
            <w:tcW w:w="625" w:type="pct"/>
            <w:shd w:val="clear" w:color="auto" w:fill="auto"/>
            <w:vAlign w:val="top"/>
          </w:tcPr>
          <w:p w14:paraId="564BB2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0.233</w:t>
            </w:r>
          </w:p>
        </w:tc>
        <w:tc>
          <w:tcPr>
            <w:tcW w:w="626" w:type="pct"/>
            <w:shd w:val="clear" w:color="auto" w:fill="auto"/>
            <w:vAlign w:val="top"/>
          </w:tcPr>
          <w:p w14:paraId="01B10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0.235</w:t>
            </w:r>
          </w:p>
        </w:tc>
      </w:tr>
      <w:tr w14:paraId="2861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A60FD2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4" w:type="pct"/>
            <w:shd w:val="clear" w:color="auto" w:fill="auto"/>
            <w:vAlign w:val="top"/>
          </w:tcPr>
          <w:p w14:paraId="05E30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0.030</w:t>
            </w:r>
          </w:p>
        </w:tc>
        <w:tc>
          <w:tcPr>
            <w:tcW w:w="625" w:type="pct"/>
            <w:shd w:val="clear" w:color="auto" w:fill="auto"/>
            <w:vAlign w:val="top"/>
          </w:tcPr>
          <w:p w14:paraId="5ED9A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0.251</w:t>
            </w:r>
          </w:p>
        </w:tc>
        <w:tc>
          <w:tcPr>
            <w:tcW w:w="625" w:type="pct"/>
            <w:shd w:val="clear" w:color="auto" w:fill="auto"/>
            <w:vAlign w:val="top"/>
          </w:tcPr>
          <w:p w14:paraId="33559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0.253</w:t>
            </w:r>
          </w:p>
        </w:tc>
        <w:tc>
          <w:tcPr>
            <w:tcW w:w="625" w:type="pct"/>
            <w:vAlign w:val="center"/>
          </w:tcPr>
          <w:p w14:paraId="10256EF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5" w:type="pct"/>
            <w:shd w:val="clear" w:color="auto" w:fill="auto"/>
            <w:vAlign w:val="top"/>
          </w:tcPr>
          <w:p w14:paraId="3E929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0.030</w:t>
            </w:r>
          </w:p>
        </w:tc>
        <w:tc>
          <w:tcPr>
            <w:tcW w:w="625" w:type="pct"/>
            <w:shd w:val="clear" w:color="auto" w:fill="auto"/>
            <w:vAlign w:val="top"/>
          </w:tcPr>
          <w:p w14:paraId="79D93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0.251</w:t>
            </w:r>
          </w:p>
        </w:tc>
        <w:tc>
          <w:tcPr>
            <w:tcW w:w="626" w:type="pct"/>
            <w:shd w:val="clear" w:color="auto" w:fill="auto"/>
            <w:vAlign w:val="top"/>
          </w:tcPr>
          <w:p w14:paraId="3C944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0.253</w:t>
            </w:r>
          </w:p>
        </w:tc>
      </w:tr>
      <w:tr w14:paraId="3855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038D8E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4" w:type="pct"/>
            <w:shd w:val="clear" w:color="auto" w:fill="auto"/>
            <w:vAlign w:val="top"/>
          </w:tcPr>
          <w:p w14:paraId="4D9E8D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0.034</w:t>
            </w:r>
          </w:p>
        </w:tc>
        <w:tc>
          <w:tcPr>
            <w:tcW w:w="625" w:type="pct"/>
            <w:shd w:val="clear" w:color="auto" w:fill="auto"/>
            <w:vAlign w:val="top"/>
          </w:tcPr>
          <w:p w14:paraId="3E178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0.271</w:t>
            </w:r>
          </w:p>
        </w:tc>
        <w:tc>
          <w:tcPr>
            <w:tcW w:w="625" w:type="pct"/>
            <w:shd w:val="clear" w:color="auto" w:fill="auto"/>
            <w:vAlign w:val="top"/>
          </w:tcPr>
          <w:p w14:paraId="11726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0.273</w:t>
            </w:r>
          </w:p>
        </w:tc>
        <w:tc>
          <w:tcPr>
            <w:tcW w:w="625" w:type="pct"/>
            <w:vAlign w:val="center"/>
          </w:tcPr>
          <w:p w14:paraId="4C8F8F2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5" w:type="pct"/>
            <w:shd w:val="clear" w:color="auto" w:fill="auto"/>
            <w:vAlign w:val="top"/>
          </w:tcPr>
          <w:p w14:paraId="198D6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0.034</w:t>
            </w:r>
          </w:p>
        </w:tc>
        <w:tc>
          <w:tcPr>
            <w:tcW w:w="625" w:type="pct"/>
            <w:shd w:val="clear" w:color="auto" w:fill="auto"/>
            <w:vAlign w:val="top"/>
          </w:tcPr>
          <w:p w14:paraId="45B68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0.271</w:t>
            </w:r>
          </w:p>
        </w:tc>
        <w:tc>
          <w:tcPr>
            <w:tcW w:w="626" w:type="pct"/>
            <w:shd w:val="clear" w:color="auto" w:fill="auto"/>
            <w:vAlign w:val="top"/>
          </w:tcPr>
          <w:p w14:paraId="688AA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0.273</w:t>
            </w:r>
          </w:p>
        </w:tc>
      </w:tr>
      <w:tr w14:paraId="1EFD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E67B3B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4" w:type="pct"/>
            <w:shd w:val="clear" w:color="auto" w:fill="auto"/>
            <w:vAlign w:val="top"/>
          </w:tcPr>
          <w:p w14:paraId="17788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0.037</w:t>
            </w:r>
          </w:p>
        </w:tc>
        <w:tc>
          <w:tcPr>
            <w:tcW w:w="625" w:type="pct"/>
            <w:shd w:val="clear" w:color="auto" w:fill="auto"/>
            <w:vAlign w:val="top"/>
          </w:tcPr>
          <w:p w14:paraId="7A269E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0.293</w:t>
            </w:r>
          </w:p>
        </w:tc>
        <w:tc>
          <w:tcPr>
            <w:tcW w:w="625" w:type="pct"/>
            <w:shd w:val="clear" w:color="auto" w:fill="auto"/>
            <w:vAlign w:val="top"/>
          </w:tcPr>
          <w:p w14:paraId="367F7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0.295</w:t>
            </w:r>
          </w:p>
        </w:tc>
        <w:tc>
          <w:tcPr>
            <w:tcW w:w="625" w:type="pct"/>
            <w:vAlign w:val="center"/>
          </w:tcPr>
          <w:p w14:paraId="074DC39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5" w:type="pct"/>
            <w:shd w:val="clear" w:color="auto" w:fill="auto"/>
            <w:vAlign w:val="top"/>
          </w:tcPr>
          <w:p w14:paraId="73862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0.037</w:t>
            </w:r>
          </w:p>
        </w:tc>
        <w:tc>
          <w:tcPr>
            <w:tcW w:w="625" w:type="pct"/>
            <w:shd w:val="clear" w:color="auto" w:fill="auto"/>
            <w:vAlign w:val="top"/>
          </w:tcPr>
          <w:p w14:paraId="2B1A7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0.293</w:t>
            </w:r>
          </w:p>
        </w:tc>
        <w:tc>
          <w:tcPr>
            <w:tcW w:w="626" w:type="pct"/>
            <w:shd w:val="clear" w:color="auto" w:fill="auto"/>
            <w:vAlign w:val="top"/>
          </w:tcPr>
          <w:p w14:paraId="5B09A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0.295</w:t>
            </w:r>
          </w:p>
        </w:tc>
      </w:tr>
      <w:tr w14:paraId="6AF7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5470C4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4" w:type="pct"/>
            <w:shd w:val="clear" w:color="auto" w:fill="auto"/>
            <w:vAlign w:val="top"/>
          </w:tcPr>
          <w:p w14:paraId="1E68B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0.042</w:t>
            </w:r>
          </w:p>
        </w:tc>
        <w:tc>
          <w:tcPr>
            <w:tcW w:w="625" w:type="pct"/>
            <w:shd w:val="clear" w:color="auto" w:fill="auto"/>
            <w:vAlign w:val="top"/>
          </w:tcPr>
          <w:p w14:paraId="17E25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0.318</w:t>
            </w:r>
          </w:p>
        </w:tc>
        <w:tc>
          <w:tcPr>
            <w:tcW w:w="625" w:type="pct"/>
            <w:shd w:val="clear" w:color="auto" w:fill="auto"/>
            <w:vAlign w:val="top"/>
          </w:tcPr>
          <w:p w14:paraId="7549C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0.321</w:t>
            </w:r>
          </w:p>
        </w:tc>
        <w:tc>
          <w:tcPr>
            <w:tcW w:w="625" w:type="pct"/>
            <w:vAlign w:val="center"/>
          </w:tcPr>
          <w:p w14:paraId="0DB565D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5" w:type="pct"/>
            <w:shd w:val="clear" w:color="auto" w:fill="auto"/>
            <w:vAlign w:val="top"/>
          </w:tcPr>
          <w:p w14:paraId="44819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0.042</w:t>
            </w:r>
          </w:p>
        </w:tc>
        <w:tc>
          <w:tcPr>
            <w:tcW w:w="625" w:type="pct"/>
            <w:shd w:val="clear" w:color="auto" w:fill="auto"/>
            <w:vAlign w:val="top"/>
          </w:tcPr>
          <w:p w14:paraId="7EB0D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0.318</w:t>
            </w:r>
          </w:p>
        </w:tc>
        <w:tc>
          <w:tcPr>
            <w:tcW w:w="626" w:type="pct"/>
            <w:shd w:val="clear" w:color="auto" w:fill="auto"/>
            <w:vAlign w:val="top"/>
          </w:tcPr>
          <w:p w14:paraId="0F945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0.321</w:t>
            </w:r>
          </w:p>
        </w:tc>
      </w:tr>
      <w:tr w14:paraId="2EED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DB2437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4" w:type="pct"/>
            <w:shd w:val="clear" w:color="auto" w:fill="auto"/>
            <w:vAlign w:val="top"/>
          </w:tcPr>
          <w:p w14:paraId="24D60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0.047</w:t>
            </w:r>
          </w:p>
        </w:tc>
        <w:tc>
          <w:tcPr>
            <w:tcW w:w="625" w:type="pct"/>
            <w:shd w:val="clear" w:color="auto" w:fill="auto"/>
            <w:vAlign w:val="top"/>
          </w:tcPr>
          <w:p w14:paraId="34BDFE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0.346</w:t>
            </w:r>
          </w:p>
        </w:tc>
        <w:tc>
          <w:tcPr>
            <w:tcW w:w="625" w:type="pct"/>
            <w:shd w:val="clear" w:color="auto" w:fill="auto"/>
            <w:vAlign w:val="top"/>
          </w:tcPr>
          <w:p w14:paraId="15F0F0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0.349</w:t>
            </w:r>
          </w:p>
        </w:tc>
        <w:tc>
          <w:tcPr>
            <w:tcW w:w="625" w:type="pct"/>
            <w:vAlign w:val="center"/>
          </w:tcPr>
          <w:p w14:paraId="74E25D5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5" w:type="pct"/>
            <w:shd w:val="clear" w:color="auto" w:fill="auto"/>
            <w:vAlign w:val="top"/>
          </w:tcPr>
          <w:p w14:paraId="4AE116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0.047</w:t>
            </w:r>
          </w:p>
        </w:tc>
        <w:tc>
          <w:tcPr>
            <w:tcW w:w="625" w:type="pct"/>
            <w:shd w:val="clear" w:color="auto" w:fill="auto"/>
            <w:vAlign w:val="top"/>
          </w:tcPr>
          <w:p w14:paraId="72728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0.346</w:t>
            </w:r>
          </w:p>
        </w:tc>
        <w:tc>
          <w:tcPr>
            <w:tcW w:w="626" w:type="pct"/>
            <w:shd w:val="clear" w:color="auto" w:fill="auto"/>
            <w:vAlign w:val="top"/>
          </w:tcPr>
          <w:p w14:paraId="1756D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0.349</w:t>
            </w:r>
          </w:p>
        </w:tc>
      </w:tr>
      <w:tr w14:paraId="2FDC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A2F849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4" w:type="pct"/>
            <w:shd w:val="clear" w:color="auto" w:fill="auto"/>
            <w:vAlign w:val="top"/>
          </w:tcPr>
          <w:p w14:paraId="7880E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0.053</w:t>
            </w:r>
          </w:p>
        </w:tc>
        <w:tc>
          <w:tcPr>
            <w:tcW w:w="625" w:type="pct"/>
            <w:shd w:val="clear" w:color="auto" w:fill="auto"/>
            <w:vAlign w:val="top"/>
          </w:tcPr>
          <w:p w14:paraId="0FA9D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0.377</w:t>
            </w:r>
          </w:p>
        </w:tc>
        <w:tc>
          <w:tcPr>
            <w:tcW w:w="625" w:type="pct"/>
            <w:shd w:val="clear" w:color="auto" w:fill="auto"/>
            <w:vAlign w:val="top"/>
          </w:tcPr>
          <w:p w14:paraId="426BB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0.381</w:t>
            </w:r>
          </w:p>
        </w:tc>
        <w:tc>
          <w:tcPr>
            <w:tcW w:w="625" w:type="pct"/>
            <w:vAlign w:val="center"/>
          </w:tcPr>
          <w:p w14:paraId="4259784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5" w:type="pct"/>
            <w:shd w:val="clear" w:color="auto" w:fill="auto"/>
            <w:vAlign w:val="top"/>
          </w:tcPr>
          <w:p w14:paraId="6015C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0.053</w:t>
            </w:r>
          </w:p>
        </w:tc>
        <w:tc>
          <w:tcPr>
            <w:tcW w:w="625" w:type="pct"/>
            <w:shd w:val="clear" w:color="auto" w:fill="auto"/>
            <w:vAlign w:val="top"/>
          </w:tcPr>
          <w:p w14:paraId="2C83E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0.377</w:t>
            </w:r>
          </w:p>
        </w:tc>
        <w:tc>
          <w:tcPr>
            <w:tcW w:w="626" w:type="pct"/>
            <w:shd w:val="clear" w:color="auto" w:fill="auto"/>
            <w:vAlign w:val="top"/>
          </w:tcPr>
          <w:p w14:paraId="04473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0.381</w:t>
            </w:r>
          </w:p>
        </w:tc>
      </w:tr>
      <w:tr w14:paraId="2402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C9A07C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4" w:type="pct"/>
            <w:shd w:val="clear" w:color="auto" w:fill="auto"/>
            <w:vAlign w:val="top"/>
          </w:tcPr>
          <w:p w14:paraId="2FAEA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0.059</w:t>
            </w:r>
          </w:p>
        </w:tc>
        <w:tc>
          <w:tcPr>
            <w:tcW w:w="625" w:type="pct"/>
            <w:shd w:val="clear" w:color="auto" w:fill="auto"/>
            <w:vAlign w:val="top"/>
          </w:tcPr>
          <w:p w14:paraId="71F93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0.412</w:t>
            </w:r>
          </w:p>
        </w:tc>
        <w:tc>
          <w:tcPr>
            <w:tcW w:w="625" w:type="pct"/>
            <w:shd w:val="clear" w:color="auto" w:fill="auto"/>
            <w:vAlign w:val="top"/>
          </w:tcPr>
          <w:p w14:paraId="62F86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0.416</w:t>
            </w:r>
          </w:p>
        </w:tc>
        <w:tc>
          <w:tcPr>
            <w:tcW w:w="625" w:type="pct"/>
            <w:vAlign w:val="center"/>
          </w:tcPr>
          <w:p w14:paraId="07209A8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5" w:type="pct"/>
            <w:shd w:val="clear" w:color="auto" w:fill="auto"/>
            <w:vAlign w:val="top"/>
          </w:tcPr>
          <w:p w14:paraId="2B07C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0.059</w:t>
            </w:r>
          </w:p>
        </w:tc>
        <w:tc>
          <w:tcPr>
            <w:tcW w:w="625" w:type="pct"/>
            <w:shd w:val="clear" w:color="auto" w:fill="auto"/>
            <w:vAlign w:val="top"/>
          </w:tcPr>
          <w:p w14:paraId="04DD2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0.412</w:t>
            </w:r>
          </w:p>
        </w:tc>
        <w:tc>
          <w:tcPr>
            <w:tcW w:w="626" w:type="pct"/>
            <w:shd w:val="clear" w:color="auto" w:fill="auto"/>
            <w:vAlign w:val="top"/>
          </w:tcPr>
          <w:p w14:paraId="3C637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0.416</w:t>
            </w:r>
          </w:p>
        </w:tc>
      </w:tr>
      <w:tr w14:paraId="6774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C30D51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4" w:type="pct"/>
            <w:shd w:val="clear" w:color="auto" w:fill="auto"/>
            <w:vAlign w:val="top"/>
          </w:tcPr>
          <w:p w14:paraId="4CA019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0.066</w:t>
            </w:r>
          </w:p>
        </w:tc>
        <w:tc>
          <w:tcPr>
            <w:tcW w:w="625" w:type="pct"/>
            <w:shd w:val="clear" w:color="auto" w:fill="auto"/>
            <w:vAlign w:val="top"/>
          </w:tcPr>
          <w:p w14:paraId="46685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0.452</w:t>
            </w:r>
          </w:p>
        </w:tc>
        <w:tc>
          <w:tcPr>
            <w:tcW w:w="625" w:type="pct"/>
            <w:shd w:val="clear" w:color="auto" w:fill="auto"/>
            <w:vAlign w:val="top"/>
          </w:tcPr>
          <w:p w14:paraId="42639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0.456</w:t>
            </w:r>
          </w:p>
        </w:tc>
        <w:tc>
          <w:tcPr>
            <w:tcW w:w="625" w:type="pct"/>
            <w:vAlign w:val="center"/>
          </w:tcPr>
          <w:p w14:paraId="62B8ADE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5" w:type="pct"/>
            <w:shd w:val="clear" w:color="auto" w:fill="auto"/>
            <w:vAlign w:val="top"/>
          </w:tcPr>
          <w:p w14:paraId="18CC1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0.066</w:t>
            </w:r>
          </w:p>
        </w:tc>
        <w:tc>
          <w:tcPr>
            <w:tcW w:w="625" w:type="pct"/>
            <w:shd w:val="clear" w:color="auto" w:fill="auto"/>
            <w:vAlign w:val="top"/>
          </w:tcPr>
          <w:p w14:paraId="5B89C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0.452</w:t>
            </w:r>
          </w:p>
        </w:tc>
        <w:tc>
          <w:tcPr>
            <w:tcW w:w="626" w:type="pct"/>
            <w:shd w:val="clear" w:color="auto" w:fill="auto"/>
            <w:vAlign w:val="top"/>
          </w:tcPr>
          <w:p w14:paraId="211CE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0.456</w:t>
            </w:r>
          </w:p>
        </w:tc>
      </w:tr>
      <w:tr w14:paraId="5C21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C662B1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4" w:type="pct"/>
            <w:shd w:val="clear" w:color="auto" w:fill="auto"/>
            <w:vAlign w:val="top"/>
          </w:tcPr>
          <w:p w14:paraId="3C435A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0.075</w:t>
            </w:r>
          </w:p>
        </w:tc>
        <w:tc>
          <w:tcPr>
            <w:tcW w:w="625" w:type="pct"/>
            <w:shd w:val="clear" w:color="auto" w:fill="auto"/>
            <w:vAlign w:val="top"/>
          </w:tcPr>
          <w:p w14:paraId="0425D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0.496</w:t>
            </w:r>
          </w:p>
        </w:tc>
        <w:tc>
          <w:tcPr>
            <w:tcW w:w="625" w:type="pct"/>
            <w:shd w:val="clear" w:color="auto" w:fill="auto"/>
            <w:vAlign w:val="top"/>
          </w:tcPr>
          <w:p w14:paraId="7BC98B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0.502</w:t>
            </w:r>
          </w:p>
        </w:tc>
        <w:tc>
          <w:tcPr>
            <w:tcW w:w="625" w:type="pct"/>
            <w:vAlign w:val="center"/>
          </w:tcPr>
          <w:p w14:paraId="10F2A64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5" w:type="pct"/>
            <w:shd w:val="clear" w:color="auto" w:fill="auto"/>
            <w:vAlign w:val="top"/>
          </w:tcPr>
          <w:p w14:paraId="40D60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0.075</w:t>
            </w:r>
          </w:p>
        </w:tc>
        <w:tc>
          <w:tcPr>
            <w:tcW w:w="625" w:type="pct"/>
            <w:shd w:val="clear" w:color="auto" w:fill="auto"/>
            <w:vAlign w:val="top"/>
          </w:tcPr>
          <w:p w14:paraId="38131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0.496</w:t>
            </w:r>
          </w:p>
        </w:tc>
        <w:tc>
          <w:tcPr>
            <w:tcW w:w="626" w:type="pct"/>
            <w:shd w:val="clear" w:color="auto" w:fill="auto"/>
            <w:vAlign w:val="top"/>
          </w:tcPr>
          <w:p w14:paraId="2903E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0.502</w:t>
            </w:r>
          </w:p>
        </w:tc>
      </w:tr>
      <w:tr w14:paraId="4F6E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1D5DC5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4" w:type="pct"/>
            <w:shd w:val="clear" w:color="auto" w:fill="auto"/>
            <w:vAlign w:val="top"/>
          </w:tcPr>
          <w:p w14:paraId="79414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0.084</w:t>
            </w:r>
          </w:p>
        </w:tc>
        <w:tc>
          <w:tcPr>
            <w:tcW w:w="625" w:type="pct"/>
            <w:shd w:val="clear" w:color="auto" w:fill="auto"/>
            <w:vAlign w:val="top"/>
          </w:tcPr>
          <w:p w14:paraId="4FC7A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0.547</w:t>
            </w:r>
          </w:p>
        </w:tc>
        <w:tc>
          <w:tcPr>
            <w:tcW w:w="625" w:type="pct"/>
            <w:shd w:val="clear" w:color="auto" w:fill="auto"/>
            <w:vAlign w:val="top"/>
          </w:tcPr>
          <w:p w14:paraId="2F234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0.553</w:t>
            </w:r>
          </w:p>
        </w:tc>
        <w:tc>
          <w:tcPr>
            <w:tcW w:w="625" w:type="pct"/>
            <w:vAlign w:val="center"/>
          </w:tcPr>
          <w:p w14:paraId="0D54AC0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5" w:type="pct"/>
            <w:shd w:val="clear" w:color="auto" w:fill="auto"/>
            <w:vAlign w:val="top"/>
          </w:tcPr>
          <w:p w14:paraId="088B8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0.084</w:t>
            </w:r>
          </w:p>
        </w:tc>
        <w:tc>
          <w:tcPr>
            <w:tcW w:w="625" w:type="pct"/>
            <w:shd w:val="clear" w:color="auto" w:fill="auto"/>
            <w:vAlign w:val="top"/>
          </w:tcPr>
          <w:p w14:paraId="2B336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0.547</w:t>
            </w:r>
          </w:p>
        </w:tc>
        <w:tc>
          <w:tcPr>
            <w:tcW w:w="626" w:type="pct"/>
            <w:shd w:val="clear" w:color="auto" w:fill="auto"/>
            <w:vAlign w:val="top"/>
          </w:tcPr>
          <w:p w14:paraId="0666D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0.553</w:t>
            </w:r>
          </w:p>
        </w:tc>
      </w:tr>
      <w:tr w14:paraId="74D9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5C8A05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4" w:type="pct"/>
            <w:shd w:val="clear" w:color="auto" w:fill="auto"/>
            <w:vAlign w:val="top"/>
          </w:tcPr>
          <w:p w14:paraId="11B96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0.095</w:t>
            </w:r>
          </w:p>
        </w:tc>
        <w:tc>
          <w:tcPr>
            <w:tcW w:w="625" w:type="pct"/>
            <w:shd w:val="clear" w:color="auto" w:fill="auto"/>
            <w:vAlign w:val="top"/>
          </w:tcPr>
          <w:p w14:paraId="37759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0.604</w:t>
            </w:r>
          </w:p>
        </w:tc>
        <w:tc>
          <w:tcPr>
            <w:tcW w:w="625" w:type="pct"/>
            <w:shd w:val="clear" w:color="auto" w:fill="auto"/>
            <w:vAlign w:val="top"/>
          </w:tcPr>
          <w:p w14:paraId="6626F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0.611</w:t>
            </w:r>
          </w:p>
        </w:tc>
        <w:tc>
          <w:tcPr>
            <w:tcW w:w="625" w:type="pct"/>
            <w:vAlign w:val="center"/>
          </w:tcPr>
          <w:p w14:paraId="3791145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5" w:type="pct"/>
            <w:shd w:val="clear" w:color="auto" w:fill="auto"/>
            <w:vAlign w:val="top"/>
          </w:tcPr>
          <w:p w14:paraId="2D50B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0.095</w:t>
            </w:r>
          </w:p>
        </w:tc>
        <w:tc>
          <w:tcPr>
            <w:tcW w:w="625" w:type="pct"/>
            <w:shd w:val="clear" w:color="auto" w:fill="auto"/>
            <w:vAlign w:val="top"/>
          </w:tcPr>
          <w:p w14:paraId="7BA4D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0.604</w:t>
            </w:r>
          </w:p>
        </w:tc>
        <w:tc>
          <w:tcPr>
            <w:tcW w:w="626" w:type="pct"/>
            <w:shd w:val="clear" w:color="auto" w:fill="auto"/>
            <w:vAlign w:val="top"/>
          </w:tcPr>
          <w:p w14:paraId="6DAFC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0.611</w:t>
            </w:r>
          </w:p>
        </w:tc>
      </w:tr>
      <w:tr w14:paraId="3D50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2E95CA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4" w:type="pct"/>
            <w:shd w:val="clear" w:color="auto" w:fill="auto"/>
            <w:vAlign w:val="top"/>
          </w:tcPr>
          <w:p w14:paraId="4D5CA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0.107</w:t>
            </w:r>
          </w:p>
        </w:tc>
        <w:tc>
          <w:tcPr>
            <w:tcW w:w="625" w:type="pct"/>
            <w:shd w:val="clear" w:color="auto" w:fill="auto"/>
            <w:vAlign w:val="top"/>
          </w:tcPr>
          <w:p w14:paraId="68C68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0.668</w:t>
            </w:r>
          </w:p>
        </w:tc>
        <w:tc>
          <w:tcPr>
            <w:tcW w:w="625" w:type="pct"/>
            <w:shd w:val="clear" w:color="auto" w:fill="auto"/>
            <w:vAlign w:val="top"/>
          </w:tcPr>
          <w:p w14:paraId="7ABAC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0.676</w:t>
            </w:r>
          </w:p>
        </w:tc>
        <w:tc>
          <w:tcPr>
            <w:tcW w:w="625" w:type="pct"/>
            <w:vAlign w:val="center"/>
          </w:tcPr>
          <w:p w14:paraId="261A3E5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5" w:type="pct"/>
            <w:shd w:val="clear" w:color="auto" w:fill="auto"/>
            <w:vAlign w:val="top"/>
          </w:tcPr>
          <w:p w14:paraId="5D83D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0.107</w:t>
            </w:r>
          </w:p>
        </w:tc>
        <w:tc>
          <w:tcPr>
            <w:tcW w:w="625" w:type="pct"/>
            <w:shd w:val="clear" w:color="auto" w:fill="auto"/>
            <w:vAlign w:val="top"/>
          </w:tcPr>
          <w:p w14:paraId="4429A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0.668</w:t>
            </w:r>
          </w:p>
        </w:tc>
        <w:tc>
          <w:tcPr>
            <w:tcW w:w="626" w:type="pct"/>
            <w:shd w:val="clear" w:color="auto" w:fill="auto"/>
            <w:vAlign w:val="top"/>
          </w:tcPr>
          <w:p w14:paraId="0E58D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0.676</w:t>
            </w:r>
          </w:p>
        </w:tc>
      </w:tr>
      <w:tr w14:paraId="4A24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1B91D8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4" w:type="pct"/>
            <w:shd w:val="clear" w:color="auto" w:fill="auto"/>
            <w:vAlign w:val="top"/>
          </w:tcPr>
          <w:p w14:paraId="404AC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0.120</w:t>
            </w:r>
          </w:p>
        </w:tc>
        <w:tc>
          <w:tcPr>
            <w:tcW w:w="625" w:type="pct"/>
            <w:shd w:val="clear" w:color="auto" w:fill="auto"/>
            <w:vAlign w:val="top"/>
          </w:tcPr>
          <w:p w14:paraId="10069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0.740</w:t>
            </w:r>
          </w:p>
        </w:tc>
        <w:tc>
          <w:tcPr>
            <w:tcW w:w="625" w:type="pct"/>
            <w:shd w:val="clear" w:color="auto" w:fill="auto"/>
            <w:vAlign w:val="top"/>
          </w:tcPr>
          <w:p w14:paraId="74FE9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0.750</w:t>
            </w:r>
          </w:p>
        </w:tc>
        <w:tc>
          <w:tcPr>
            <w:tcW w:w="625" w:type="pct"/>
            <w:vAlign w:val="center"/>
          </w:tcPr>
          <w:p w14:paraId="3370EA7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5" w:type="pct"/>
            <w:shd w:val="clear" w:color="auto" w:fill="auto"/>
            <w:vAlign w:val="top"/>
          </w:tcPr>
          <w:p w14:paraId="7B181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0.120</w:t>
            </w:r>
          </w:p>
        </w:tc>
        <w:tc>
          <w:tcPr>
            <w:tcW w:w="625" w:type="pct"/>
            <w:shd w:val="clear" w:color="auto" w:fill="auto"/>
            <w:vAlign w:val="top"/>
          </w:tcPr>
          <w:p w14:paraId="72BB64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0.740</w:t>
            </w:r>
          </w:p>
        </w:tc>
        <w:tc>
          <w:tcPr>
            <w:tcW w:w="626" w:type="pct"/>
            <w:shd w:val="clear" w:color="auto" w:fill="auto"/>
            <w:vAlign w:val="top"/>
          </w:tcPr>
          <w:p w14:paraId="046DD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0.750</w:t>
            </w:r>
          </w:p>
        </w:tc>
      </w:tr>
      <w:tr w14:paraId="1E1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E050BC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4" w:type="pct"/>
            <w:shd w:val="clear" w:color="auto" w:fill="auto"/>
            <w:vAlign w:val="top"/>
          </w:tcPr>
          <w:p w14:paraId="22706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0.134</w:t>
            </w:r>
          </w:p>
        </w:tc>
        <w:tc>
          <w:tcPr>
            <w:tcW w:w="625" w:type="pct"/>
            <w:shd w:val="clear" w:color="auto" w:fill="auto"/>
            <w:vAlign w:val="top"/>
          </w:tcPr>
          <w:p w14:paraId="2C312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0.822</w:t>
            </w:r>
          </w:p>
        </w:tc>
        <w:tc>
          <w:tcPr>
            <w:tcW w:w="625" w:type="pct"/>
            <w:shd w:val="clear" w:color="auto" w:fill="auto"/>
            <w:vAlign w:val="top"/>
          </w:tcPr>
          <w:p w14:paraId="0DDE5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0.833</w:t>
            </w:r>
          </w:p>
        </w:tc>
        <w:tc>
          <w:tcPr>
            <w:tcW w:w="625" w:type="pct"/>
            <w:vAlign w:val="center"/>
          </w:tcPr>
          <w:p w14:paraId="45F21AD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5" w:type="pct"/>
            <w:shd w:val="clear" w:color="auto" w:fill="auto"/>
            <w:vAlign w:val="top"/>
          </w:tcPr>
          <w:p w14:paraId="3C20D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0.134</w:t>
            </w:r>
          </w:p>
        </w:tc>
        <w:tc>
          <w:tcPr>
            <w:tcW w:w="625" w:type="pct"/>
            <w:shd w:val="clear" w:color="auto" w:fill="auto"/>
            <w:vAlign w:val="top"/>
          </w:tcPr>
          <w:p w14:paraId="7026F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0.822</w:t>
            </w:r>
          </w:p>
        </w:tc>
        <w:tc>
          <w:tcPr>
            <w:tcW w:w="626" w:type="pct"/>
            <w:shd w:val="clear" w:color="auto" w:fill="auto"/>
            <w:vAlign w:val="top"/>
          </w:tcPr>
          <w:p w14:paraId="2CCF9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0.833</w:t>
            </w:r>
          </w:p>
        </w:tc>
      </w:tr>
      <w:tr w14:paraId="6256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5E733F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4" w:type="pct"/>
            <w:shd w:val="clear" w:color="auto" w:fill="auto"/>
            <w:vAlign w:val="top"/>
          </w:tcPr>
          <w:p w14:paraId="7EC88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0.149</w:t>
            </w:r>
          </w:p>
        </w:tc>
        <w:tc>
          <w:tcPr>
            <w:tcW w:w="625" w:type="pct"/>
            <w:shd w:val="clear" w:color="auto" w:fill="auto"/>
            <w:vAlign w:val="top"/>
          </w:tcPr>
          <w:p w14:paraId="3C3EC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0.913</w:t>
            </w:r>
          </w:p>
        </w:tc>
        <w:tc>
          <w:tcPr>
            <w:tcW w:w="625" w:type="pct"/>
            <w:shd w:val="clear" w:color="auto" w:fill="auto"/>
            <w:vAlign w:val="top"/>
          </w:tcPr>
          <w:p w14:paraId="29F52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0.925</w:t>
            </w:r>
          </w:p>
        </w:tc>
        <w:tc>
          <w:tcPr>
            <w:tcW w:w="625" w:type="pct"/>
            <w:vAlign w:val="center"/>
          </w:tcPr>
          <w:p w14:paraId="65BCCF5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5" w:type="pct"/>
            <w:shd w:val="clear" w:color="auto" w:fill="auto"/>
            <w:vAlign w:val="top"/>
          </w:tcPr>
          <w:p w14:paraId="6AD144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0.149</w:t>
            </w:r>
          </w:p>
        </w:tc>
        <w:tc>
          <w:tcPr>
            <w:tcW w:w="625" w:type="pct"/>
            <w:shd w:val="clear" w:color="auto" w:fill="auto"/>
            <w:vAlign w:val="top"/>
          </w:tcPr>
          <w:p w14:paraId="78BB4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0.913</w:t>
            </w:r>
          </w:p>
        </w:tc>
        <w:tc>
          <w:tcPr>
            <w:tcW w:w="626" w:type="pct"/>
            <w:shd w:val="clear" w:color="auto" w:fill="auto"/>
            <w:vAlign w:val="top"/>
          </w:tcPr>
          <w:p w14:paraId="480CF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0.925</w:t>
            </w:r>
          </w:p>
        </w:tc>
      </w:tr>
      <w:tr w14:paraId="7DD9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669FDA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4" w:type="pct"/>
            <w:shd w:val="clear" w:color="auto" w:fill="auto"/>
            <w:vAlign w:val="top"/>
          </w:tcPr>
          <w:p w14:paraId="1ECCB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0.164</w:t>
            </w:r>
          </w:p>
        </w:tc>
        <w:tc>
          <w:tcPr>
            <w:tcW w:w="625" w:type="pct"/>
            <w:shd w:val="clear" w:color="auto" w:fill="auto"/>
            <w:vAlign w:val="top"/>
          </w:tcPr>
          <w:p w14:paraId="1DC5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1.015</w:t>
            </w:r>
          </w:p>
        </w:tc>
        <w:tc>
          <w:tcPr>
            <w:tcW w:w="625" w:type="pct"/>
            <w:shd w:val="clear" w:color="auto" w:fill="auto"/>
            <w:vAlign w:val="top"/>
          </w:tcPr>
          <w:p w14:paraId="6A591F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1.028</w:t>
            </w:r>
          </w:p>
        </w:tc>
        <w:tc>
          <w:tcPr>
            <w:tcW w:w="625" w:type="pct"/>
            <w:vAlign w:val="center"/>
          </w:tcPr>
          <w:p w14:paraId="4B3D292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5" w:type="pct"/>
            <w:shd w:val="clear" w:color="auto" w:fill="auto"/>
            <w:vAlign w:val="top"/>
          </w:tcPr>
          <w:p w14:paraId="44DA9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0.164</w:t>
            </w:r>
          </w:p>
        </w:tc>
        <w:tc>
          <w:tcPr>
            <w:tcW w:w="625" w:type="pct"/>
            <w:shd w:val="clear" w:color="auto" w:fill="auto"/>
            <w:vAlign w:val="top"/>
          </w:tcPr>
          <w:p w14:paraId="729C3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1.015</w:t>
            </w:r>
          </w:p>
        </w:tc>
        <w:tc>
          <w:tcPr>
            <w:tcW w:w="626" w:type="pct"/>
            <w:shd w:val="clear" w:color="auto" w:fill="auto"/>
            <w:vAlign w:val="top"/>
          </w:tcPr>
          <w:p w14:paraId="52EF8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1.028</w:t>
            </w:r>
          </w:p>
        </w:tc>
      </w:tr>
      <w:tr w14:paraId="6CA1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381248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4" w:type="pct"/>
            <w:shd w:val="clear" w:color="auto" w:fill="auto"/>
            <w:vAlign w:val="top"/>
          </w:tcPr>
          <w:p w14:paraId="47B12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0.179</w:t>
            </w:r>
          </w:p>
        </w:tc>
        <w:tc>
          <w:tcPr>
            <w:tcW w:w="625" w:type="pct"/>
            <w:shd w:val="clear" w:color="auto" w:fill="auto"/>
            <w:vAlign w:val="top"/>
          </w:tcPr>
          <w:p w14:paraId="08DB8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1.127</w:t>
            </w:r>
          </w:p>
        </w:tc>
        <w:tc>
          <w:tcPr>
            <w:tcW w:w="625" w:type="pct"/>
            <w:shd w:val="clear" w:color="auto" w:fill="auto"/>
            <w:vAlign w:val="top"/>
          </w:tcPr>
          <w:p w14:paraId="2C7B8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1.141</w:t>
            </w:r>
          </w:p>
        </w:tc>
        <w:tc>
          <w:tcPr>
            <w:tcW w:w="625" w:type="pct"/>
            <w:vAlign w:val="center"/>
          </w:tcPr>
          <w:p w14:paraId="7977619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5" w:type="pct"/>
            <w:shd w:val="clear" w:color="auto" w:fill="auto"/>
            <w:vAlign w:val="top"/>
          </w:tcPr>
          <w:p w14:paraId="2BC94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0.179</w:t>
            </w:r>
          </w:p>
        </w:tc>
        <w:tc>
          <w:tcPr>
            <w:tcW w:w="625" w:type="pct"/>
            <w:shd w:val="clear" w:color="auto" w:fill="auto"/>
            <w:vAlign w:val="top"/>
          </w:tcPr>
          <w:p w14:paraId="55FCF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1.127</w:t>
            </w:r>
          </w:p>
        </w:tc>
        <w:tc>
          <w:tcPr>
            <w:tcW w:w="626" w:type="pct"/>
            <w:shd w:val="clear" w:color="auto" w:fill="auto"/>
            <w:vAlign w:val="top"/>
          </w:tcPr>
          <w:p w14:paraId="7FD2A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1.141</w:t>
            </w:r>
          </w:p>
        </w:tc>
      </w:tr>
      <w:tr w14:paraId="609E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DA6A37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4" w:type="pct"/>
            <w:shd w:val="clear" w:color="auto" w:fill="auto"/>
            <w:vAlign w:val="top"/>
          </w:tcPr>
          <w:p w14:paraId="2D86C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0.192</w:t>
            </w:r>
          </w:p>
        </w:tc>
        <w:tc>
          <w:tcPr>
            <w:tcW w:w="625" w:type="pct"/>
            <w:shd w:val="clear" w:color="auto" w:fill="auto"/>
            <w:vAlign w:val="top"/>
          </w:tcPr>
          <w:p w14:paraId="52531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1.249</w:t>
            </w:r>
          </w:p>
        </w:tc>
        <w:tc>
          <w:tcPr>
            <w:tcW w:w="625" w:type="pct"/>
            <w:shd w:val="clear" w:color="auto" w:fill="auto"/>
            <w:vAlign w:val="top"/>
          </w:tcPr>
          <w:p w14:paraId="0D455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1.264</w:t>
            </w:r>
          </w:p>
        </w:tc>
        <w:tc>
          <w:tcPr>
            <w:tcW w:w="625" w:type="pct"/>
            <w:vAlign w:val="center"/>
          </w:tcPr>
          <w:p w14:paraId="57E9992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5" w:type="pct"/>
            <w:shd w:val="clear" w:color="auto" w:fill="auto"/>
            <w:vAlign w:val="top"/>
          </w:tcPr>
          <w:p w14:paraId="664C8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0.192</w:t>
            </w:r>
          </w:p>
        </w:tc>
        <w:tc>
          <w:tcPr>
            <w:tcW w:w="625" w:type="pct"/>
            <w:shd w:val="clear" w:color="auto" w:fill="auto"/>
            <w:vAlign w:val="top"/>
          </w:tcPr>
          <w:p w14:paraId="53DE6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1.249</w:t>
            </w:r>
          </w:p>
        </w:tc>
        <w:tc>
          <w:tcPr>
            <w:tcW w:w="626" w:type="pct"/>
            <w:shd w:val="clear" w:color="auto" w:fill="auto"/>
            <w:vAlign w:val="top"/>
          </w:tcPr>
          <w:p w14:paraId="561FE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1.264</w:t>
            </w:r>
          </w:p>
        </w:tc>
      </w:tr>
      <w:tr w14:paraId="6C0C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22BCD0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4" w:type="pct"/>
            <w:shd w:val="clear" w:color="auto" w:fill="auto"/>
            <w:vAlign w:val="top"/>
          </w:tcPr>
          <w:p w14:paraId="7C1DC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0.201</w:t>
            </w:r>
          </w:p>
        </w:tc>
        <w:tc>
          <w:tcPr>
            <w:tcW w:w="625" w:type="pct"/>
            <w:shd w:val="clear" w:color="auto" w:fill="auto"/>
            <w:vAlign w:val="top"/>
          </w:tcPr>
          <w:p w14:paraId="2DFA3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1.380</w:t>
            </w:r>
          </w:p>
        </w:tc>
        <w:tc>
          <w:tcPr>
            <w:tcW w:w="625" w:type="pct"/>
            <w:shd w:val="clear" w:color="auto" w:fill="auto"/>
            <w:vAlign w:val="top"/>
          </w:tcPr>
          <w:p w14:paraId="2F64F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1.394</w:t>
            </w:r>
          </w:p>
        </w:tc>
        <w:tc>
          <w:tcPr>
            <w:tcW w:w="625" w:type="pct"/>
            <w:vAlign w:val="center"/>
          </w:tcPr>
          <w:p w14:paraId="1DD9297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5" w:type="pct"/>
            <w:shd w:val="clear" w:color="auto" w:fill="auto"/>
            <w:vAlign w:val="top"/>
          </w:tcPr>
          <w:p w14:paraId="30913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0.201</w:t>
            </w:r>
          </w:p>
        </w:tc>
        <w:tc>
          <w:tcPr>
            <w:tcW w:w="625" w:type="pct"/>
            <w:shd w:val="clear" w:color="auto" w:fill="auto"/>
            <w:vAlign w:val="top"/>
          </w:tcPr>
          <w:p w14:paraId="46646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1.380</w:t>
            </w:r>
          </w:p>
        </w:tc>
        <w:tc>
          <w:tcPr>
            <w:tcW w:w="626" w:type="pct"/>
            <w:shd w:val="clear" w:color="auto" w:fill="auto"/>
            <w:vAlign w:val="top"/>
          </w:tcPr>
          <w:p w14:paraId="48EB25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1.394</w:t>
            </w:r>
          </w:p>
        </w:tc>
      </w:tr>
      <w:tr w14:paraId="64C4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A920C5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4" w:type="pct"/>
            <w:shd w:val="clear" w:color="auto" w:fill="auto"/>
            <w:vAlign w:val="top"/>
          </w:tcPr>
          <w:p w14:paraId="13647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0.204</w:t>
            </w:r>
          </w:p>
        </w:tc>
        <w:tc>
          <w:tcPr>
            <w:tcW w:w="625" w:type="pct"/>
            <w:shd w:val="clear" w:color="auto" w:fill="auto"/>
            <w:vAlign w:val="top"/>
          </w:tcPr>
          <w:p w14:paraId="077E4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1.516</w:t>
            </w:r>
          </w:p>
        </w:tc>
        <w:tc>
          <w:tcPr>
            <w:tcW w:w="625" w:type="pct"/>
            <w:shd w:val="clear" w:color="auto" w:fill="auto"/>
            <w:vAlign w:val="top"/>
          </w:tcPr>
          <w:p w14:paraId="78A7A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1.530</w:t>
            </w:r>
          </w:p>
        </w:tc>
        <w:tc>
          <w:tcPr>
            <w:tcW w:w="625" w:type="pct"/>
            <w:vAlign w:val="center"/>
          </w:tcPr>
          <w:p w14:paraId="1A4610A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5" w:type="pct"/>
            <w:shd w:val="clear" w:color="auto" w:fill="auto"/>
            <w:vAlign w:val="top"/>
          </w:tcPr>
          <w:p w14:paraId="6F080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0.204</w:t>
            </w:r>
          </w:p>
        </w:tc>
        <w:tc>
          <w:tcPr>
            <w:tcW w:w="625" w:type="pct"/>
            <w:shd w:val="clear" w:color="auto" w:fill="auto"/>
            <w:vAlign w:val="top"/>
          </w:tcPr>
          <w:p w14:paraId="567740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1.516</w:t>
            </w:r>
          </w:p>
        </w:tc>
        <w:tc>
          <w:tcPr>
            <w:tcW w:w="626" w:type="pct"/>
            <w:shd w:val="clear" w:color="auto" w:fill="auto"/>
            <w:vAlign w:val="top"/>
          </w:tcPr>
          <w:p w14:paraId="5E55C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1.530</w:t>
            </w:r>
          </w:p>
        </w:tc>
      </w:tr>
      <w:tr w14:paraId="5B10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88F415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4" w:type="pct"/>
            <w:shd w:val="clear" w:color="auto" w:fill="auto"/>
            <w:vAlign w:val="top"/>
          </w:tcPr>
          <w:p w14:paraId="19B2C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0.198</w:t>
            </w:r>
          </w:p>
        </w:tc>
        <w:tc>
          <w:tcPr>
            <w:tcW w:w="625" w:type="pct"/>
            <w:shd w:val="clear" w:color="auto" w:fill="auto"/>
            <w:vAlign w:val="top"/>
          </w:tcPr>
          <w:p w14:paraId="2ABBC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1.653</w:t>
            </w:r>
          </w:p>
        </w:tc>
        <w:tc>
          <w:tcPr>
            <w:tcW w:w="625" w:type="pct"/>
            <w:shd w:val="clear" w:color="auto" w:fill="auto"/>
            <w:vAlign w:val="top"/>
          </w:tcPr>
          <w:p w14:paraId="539A4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1.665</w:t>
            </w:r>
          </w:p>
        </w:tc>
        <w:tc>
          <w:tcPr>
            <w:tcW w:w="625" w:type="pct"/>
            <w:vAlign w:val="center"/>
          </w:tcPr>
          <w:p w14:paraId="1511FA6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5" w:type="pct"/>
            <w:shd w:val="clear" w:color="auto" w:fill="auto"/>
            <w:vAlign w:val="top"/>
          </w:tcPr>
          <w:p w14:paraId="7FA55F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0.198</w:t>
            </w:r>
          </w:p>
        </w:tc>
        <w:tc>
          <w:tcPr>
            <w:tcW w:w="625" w:type="pct"/>
            <w:shd w:val="clear" w:color="auto" w:fill="auto"/>
            <w:vAlign w:val="top"/>
          </w:tcPr>
          <w:p w14:paraId="2A3D1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1.653</w:t>
            </w:r>
          </w:p>
        </w:tc>
        <w:tc>
          <w:tcPr>
            <w:tcW w:w="626" w:type="pct"/>
            <w:shd w:val="clear" w:color="auto" w:fill="auto"/>
            <w:vAlign w:val="top"/>
          </w:tcPr>
          <w:p w14:paraId="411EA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1.665</w:t>
            </w:r>
          </w:p>
        </w:tc>
      </w:tr>
      <w:tr w14:paraId="0437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540D62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4" w:type="pct"/>
            <w:shd w:val="clear" w:color="auto" w:fill="auto"/>
            <w:vAlign w:val="top"/>
          </w:tcPr>
          <w:p w14:paraId="6F83C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0.180</w:t>
            </w:r>
          </w:p>
        </w:tc>
        <w:tc>
          <w:tcPr>
            <w:tcW w:w="625" w:type="pct"/>
            <w:shd w:val="clear" w:color="auto" w:fill="auto"/>
            <w:vAlign w:val="top"/>
          </w:tcPr>
          <w:p w14:paraId="7F279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1.784</w:t>
            </w:r>
          </w:p>
        </w:tc>
        <w:tc>
          <w:tcPr>
            <w:tcW w:w="625" w:type="pct"/>
            <w:shd w:val="clear" w:color="auto" w:fill="auto"/>
            <w:vAlign w:val="top"/>
          </w:tcPr>
          <w:p w14:paraId="4FB44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1.793</w:t>
            </w:r>
          </w:p>
        </w:tc>
        <w:tc>
          <w:tcPr>
            <w:tcW w:w="625" w:type="pct"/>
            <w:vAlign w:val="center"/>
          </w:tcPr>
          <w:p w14:paraId="3F16C73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5" w:type="pct"/>
            <w:shd w:val="clear" w:color="auto" w:fill="auto"/>
            <w:vAlign w:val="top"/>
          </w:tcPr>
          <w:p w14:paraId="102F8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0.180</w:t>
            </w:r>
          </w:p>
        </w:tc>
        <w:tc>
          <w:tcPr>
            <w:tcW w:w="625" w:type="pct"/>
            <w:shd w:val="clear" w:color="auto" w:fill="auto"/>
            <w:vAlign w:val="top"/>
          </w:tcPr>
          <w:p w14:paraId="15086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1.784</w:t>
            </w:r>
          </w:p>
        </w:tc>
        <w:tc>
          <w:tcPr>
            <w:tcW w:w="626" w:type="pct"/>
            <w:shd w:val="clear" w:color="auto" w:fill="auto"/>
            <w:vAlign w:val="top"/>
          </w:tcPr>
          <w:p w14:paraId="66612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1.793</w:t>
            </w:r>
          </w:p>
        </w:tc>
      </w:tr>
      <w:tr w14:paraId="01FA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17C93B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4" w:type="pct"/>
            <w:shd w:val="clear" w:color="auto" w:fill="auto"/>
            <w:vAlign w:val="top"/>
          </w:tcPr>
          <w:p w14:paraId="3FE0C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0.147</w:t>
            </w:r>
          </w:p>
        </w:tc>
        <w:tc>
          <w:tcPr>
            <w:tcW w:w="625" w:type="pct"/>
            <w:shd w:val="clear" w:color="auto" w:fill="auto"/>
            <w:vAlign w:val="top"/>
          </w:tcPr>
          <w:p w14:paraId="5F8F4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1.899</w:t>
            </w:r>
          </w:p>
        </w:tc>
        <w:tc>
          <w:tcPr>
            <w:tcW w:w="625" w:type="pct"/>
            <w:shd w:val="clear" w:color="auto" w:fill="auto"/>
            <w:vAlign w:val="top"/>
          </w:tcPr>
          <w:p w14:paraId="26C33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1.905</w:t>
            </w:r>
          </w:p>
        </w:tc>
        <w:tc>
          <w:tcPr>
            <w:tcW w:w="625" w:type="pct"/>
            <w:vAlign w:val="center"/>
          </w:tcPr>
          <w:p w14:paraId="5632706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5" w:type="pct"/>
            <w:shd w:val="clear" w:color="auto" w:fill="auto"/>
            <w:vAlign w:val="top"/>
          </w:tcPr>
          <w:p w14:paraId="681E5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0.147</w:t>
            </w:r>
          </w:p>
        </w:tc>
        <w:tc>
          <w:tcPr>
            <w:tcW w:w="625" w:type="pct"/>
            <w:shd w:val="clear" w:color="auto" w:fill="auto"/>
            <w:vAlign w:val="top"/>
          </w:tcPr>
          <w:p w14:paraId="11213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1.899</w:t>
            </w:r>
          </w:p>
        </w:tc>
        <w:tc>
          <w:tcPr>
            <w:tcW w:w="626" w:type="pct"/>
            <w:shd w:val="clear" w:color="auto" w:fill="auto"/>
            <w:vAlign w:val="top"/>
          </w:tcPr>
          <w:p w14:paraId="796B53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1.905</w:t>
            </w:r>
          </w:p>
        </w:tc>
      </w:tr>
      <w:tr w14:paraId="78C5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A187C5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4" w:type="pct"/>
            <w:shd w:val="clear" w:color="auto" w:fill="auto"/>
            <w:vAlign w:val="top"/>
          </w:tcPr>
          <w:p w14:paraId="03428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0.099</w:t>
            </w:r>
          </w:p>
        </w:tc>
        <w:tc>
          <w:tcPr>
            <w:tcW w:w="625" w:type="pct"/>
            <w:shd w:val="clear" w:color="auto" w:fill="auto"/>
            <w:vAlign w:val="top"/>
          </w:tcPr>
          <w:p w14:paraId="0C4F2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1.986</w:t>
            </w:r>
          </w:p>
        </w:tc>
        <w:tc>
          <w:tcPr>
            <w:tcW w:w="625" w:type="pct"/>
            <w:shd w:val="clear" w:color="auto" w:fill="auto"/>
            <w:vAlign w:val="top"/>
          </w:tcPr>
          <w:p w14:paraId="1EB8E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1.989</w:t>
            </w:r>
          </w:p>
        </w:tc>
        <w:tc>
          <w:tcPr>
            <w:tcW w:w="625" w:type="pct"/>
            <w:vAlign w:val="center"/>
          </w:tcPr>
          <w:p w14:paraId="3635102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5" w:type="pct"/>
            <w:shd w:val="clear" w:color="auto" w:fill="auto"/>
            <w:vAlign w:val="top"/>
          </w:tcPr>
          <w:p w14:paraId="73252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0.099</w:t>
            </w:r>
          </w:p>
        </w:tc>
        <w:tc>
          <w:tcPr>
            <w:tcW w:w="625" w:type="pct"/>
            <w:shd w:val="clear" w:color="auto" w:fill="auto"/>
            <w:vAlign w:val="top"/>
          </w:tcPr>
          <w:p w14:paraId="13429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1.986</w:t>
            </w:r>
          </w:p>
        </w:tc>
        <w:tc>
          <w:tcPr>
            <w:tcW w:w="626" w:type="pct"/>
            <w:shd w:val="clear" w:color="auto" w:fill="auto"/>
            <w:vAlign w:val="top"/>
          </w:tcPr>
          <w:p w14:paraId="2D3ED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1.989</w:t>
            </w:r>
          </w:p>
        </w:tc>
      </w:tr>
      <w:tr w14:paraId="1AEC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99F69F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4" w:type="pct"/>
            <w:shd w:val="clear" w:color="auto" w:fill="auto"/>
            <w:vAlign w:val="top"/>
          </w:tcPr>
          <w:p w14:paraId="10C8A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0.043</w:t>
            </w:r>
          </w:p>
        </w:tc>
        <w:tc>
          <w:tcPr>
            <w:tcW w:w="625" w:type="pct"/>
            <w:shd w:val="clear" w:color="auto" w:fill="auto"/>
            <w:vAlign w:val="top"/>
          </w:tcPr>
          <w:p w14:paraId="06642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2.034</w:t>
            </w:r>
          </w:p>
        </w:tc>
        <w:tc>
          <w:tcPr>
            <w:tcW w:w="625" w:type="pct"/>
            <w:shd w:val="clear" w:color="auto" w:fill="auto"/>
            <w:vAlign w:val="top"/>
          </w:tcPr>
          <w:p w14:paraId="28FC9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2.034</w:t>
            </w:r>
          </w:p>
        </w:tc>
        <w:tc>
          <w:tcPr>
            <w:tcW w:w="625" w:type="pct"/>
            <w:vAlign w:val="center"/>
          </w:tcPr>
          <w:p w14:paraId="7A9EF34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5" w:type="pct"/>
            <w:shd w:val="clear" w:color="auto" w:fill="auto"/>
            <w:vAlign w:val="top"/>
          </w:tcPr>
          <w:p w14:paraId="3582F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0.043</w:t>
            </w:r>
          </w:p>
        </w:tc>
        <w:tc>
          <w:tcPr>
            <w:tcW w:w="625" w:type="pct"/>
            <w:shd w:val="clear" w:color="auto" w:fill="auto"/>
            <w:vAlign w:val="top"/>
          </w:tcPr>
          <w:p w14:paraId="07EEA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2.034</w:t>
            </w:r>
          </w:p>
        </w:tc>
        <w:tc>
          <w:tcPr>
            <w:tcW w:w="626" w:type="pct"/>
            <w:shd w:val="clear" w:color="auto" w:fill="auto"/>
            <w:vAlign w:val="top"/>
          </w:tcPr>
          <w:p w14:paraId="541AE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2.034</w:t>
            </w:r>
          </w:p>
        </w:tc>
      </w:tr>
      <w:tr w14:paraId="695A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91BA2D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4" w:type="pct"/>
            <w:shd w:val="clear" w:color="auto" w:fill="auto"/>
            <w:vAlign w:val="top"/>
          </w:tcPr>
          <w:p w14:paraId="56E6E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0.066</w:t>
            </w:r>
          </w:p>
        </w:tc>
        <w:tc>
          <w:tcPr>
            <w:tcW w:w="625" w:type="pct"/>
            <w:shd w:val="clear" w:color="auto" w:fill="auto"/>
            <w:vAlign w:val="top"/>
          </w:tcPr>
          <w:p w14:paraId="4AD9F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2.029</w:t>
            </w:r>
          </w:p>
        </w:tc>
        <w:tc>
          <w:tcPr>
            <w:tcW w:w="625" w:type="pct"/>
            <w:shd w:val="clear" w:color="auto" w:fill="auto"/>
            <w:vAlign w:val="top"/>
          </w:tcPr>
          <w:p w14:paraId="20A3E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2.030</w:t>
            </w:r>
          </w:p>
        </w:tc>
        <w:tc>
          <w:tcPr>
            <w:tcW w:w="625" w:type="pct"/>
            <w:vAlign w:val="center"/>
          </w:tcPr>
          <w:p w14:paraId="7F3AC61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5" w:type="pct"/>
            <w:shd w:val="clear" w:color="auto" w:fill="auto"/>
            <w:vAlign w:val="top"/>
          </w:tcPr>
          <w:p w14:paraId="66AF9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0.066</w:t>
            </w:r>
          </w:p>
        </w:tc>
        <w:tc>
          <w:tcPr>
            <w:tcW w:w="625" w:type="pct"/>
            <w:shd w:val="clear" w:color="auto" w:fill="auto"/>
            <w:vAlign w:val="top"/>
          </w:tcPr>
          <w:p w14:paraId="0EC8C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2.029</w:t>
            </w:r>
          </w:p>
        </w:tc>
        <w:tc>
          <w:tcPr>
            <w:tcW w:w="626" w:type="pct"/>
            <w:shd w:val="clear" w:color="auto" w:fill="auto"/>
            <w:vAlign w:val="top"/>
          </w:tcPr>
          <w:p w14:paraId="621E0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2.030</w:t>
            </w:r>
          </w:p>
        </w:tc>
      </w:tr>
      <w:tr w14:paraId="5029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6D2D1C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4" w:type="pct"/>
            <w:shd w:val="clear" w:color="auto" w:fill="auto"/>
            <w:vAlign w:val="top"/>
          </w:tcPr>
          <w:p w14:paraId="078E4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0.150</w:t>
            </w:r>
          </w:p>
        </w:tc>
        <w:tc>
          <w:tcPr>
            <w:tcW w:w="625" w:type="pct"/>
            <w:shd w:val="clear" w:color="auto" w:fill="auto"/>
            <w:vAlign w:val="top"/>
          </w:tcPr>
          <w:p w14:paraId="670D6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1.965</w:t>
            </w:r>
          </w:p>
        </w:tc>
        <w:tc>
          <w:tcPr>
            <w:tcW w:w="625" w:type="pct"/>
            <w:shd w:val="clear" w:color="auto" w:fill="auto"/>
            <w:vAlign w:val="top"/>
          </w:tcPr>
          <w:p w14:paraId="45778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1.970</w:t>
            </w:r>
          </w:p>
        </w:tc>
        <w:tc>
          <w:tcPr>
            <w:tcW w:w="625" w:type="pct"/>
            <w:vAlign w:val="center"/>
          </w:tcPr>
          <w:p w14:paraId="41A0D62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5" w:type="pct"/>
            <w:shd w:val="clear" w:color="auto" w:fill="auto"/>
            <w:vAlign w:val="top"/>
          </w:tcPr>
          <w:p w14:paraId="5A6499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0.150</w:t>
            </w:r>
          </w:p>
        </w:tc>
        <w:tc>
          <w:tcPr>
            <w:tcW w:w="625" w:type="pct"/>
            <w:shd w:val="clear" w:color="auto" w:fill="auto"/>
            <w:vAlign w:val="top"/>
          </w:tcPr>
          <w:p w14:paraId="21B83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1.965</w:t>
            </w:r>
          </w:p>
        </w:tc>
        <w:tc>
          <w:tcPr>
            <w:tcW w:w="626" w:type="pct"/>
            <w:shd w:val="clear" w:color="auto" w:fill="auto"/>
            <w:vAlign w:val="top"/>
          </w:tcPr>
          <w:p w14:paraId="68542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1.970</w:t>
            </w:r>
          </w:p>
        </w:tc>
      </w:tr>
      <w:tr w14:paraId="7B4D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DD9B3B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4" w:type="pct"/>
            <w:shd w:val="clear" w:color="auto" w:fill="auto"/>
            <w:vAlign w:val="top"/>
          </w:tcPr>
          <w:p w14:paraId="26B77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0.237</w:t>
            </w:r>
          </w:p>
        </w:tc>
        <w:tc>
          <w:tcPr>
            <w:tcW w:w="625" w:type="pct"/>
            <w:shd w:val="clear" w:color="auto" w:fill="auto"/>
            <w:vAlign w:val="top"/>
          </w:tcPr>
          <w:p w14:paraId="3E01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1.837</w:t>
            </w:r>
          </w:p>
        </w:tc>
        <w:tc>
          <w:tcPr>
            <w:tcW w:w="625" w:type="pct"/>
            <w:shd w:val="clear" w:color="auto" w:fill="auto"/>
            <w:vAlign w:val="top"/>
          </w:tcPr>
          <w:p w14:paraId="55D6E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1.852</w:t>
            </w:r>
          </w:p>
        </w:tc>
        <w:tc>
          <w:tcPr>
            <w:tcW w:w="625" w:type="pct"/>
            <w:vAlign w:val="center"/>
          </w:tcPr>
          <w:p w14:paraId="31EB8D2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5" w:type="pct"/>
            <w:shd w:val="clear" w:color="auto" w:fill="auto"/>
            <w:vAlign w:val="top"/>
          </w:tcPr>
          <w:p w14:paraId="0C8A6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0.237</w:t>
            </w:r>
          </w:p>
        </w:tc>
        <w:tc>
          <w:tcPr>
            <w:tcW w:w="625" w:type="pct"/>
            <w:shd w:val="clear" w:color="auto" w:fill="auto"/>
            <w:vAlign w:val="top"/>
          </w:tcPr>
          <w:p w14:paraId="21431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1.837</w:t>
            </w:r>
          </w:p>
        </w:tc>
        <w:tc>
          <w:tcPr>
            <w:tcW w:w="626" w:type="pct"/>
            <w:shd w:val="clear" w:color="auto" w:fill="auto"/>
            <w:vAlign w:val="top"/>
          </w:tcPr>
          <w:p w14:paraId="49A1F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1.852</w:t>
            </w:r>
          </w:p>
        </w:tc>
      </w:tr>
      <w:tr w14:paraId="7E1B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10F960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4" w:type="pct"/>
            <w:shd w:val="clear" w:color="auto" w:fill="auto"/>
            <w:vAlign w:val="top"/>
          </w:tcPr>
          <w:p w14:paraId="59D00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0.318</w:t>
            </w:r>
          </w:p>
        </w:tc>
        <w:tc>
          <w:tcPr>
            <w:tcW w:w="625" w:type="pct"/>
            <w:shd w:val="clear" w:color="auto" w:fill="auto"/>
            <w:vAlign w:val="top"/>
          </w:tcPr>
          <w:p w14:paraId="3EBE9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1.650</w:t>
            </w:r>
          </w:p>
        </w:tc>
        <w:tc>
          <w:tcPr>
            <w:tcW w:w="625" w:type="pct"/>
            <w:shd w:val="clear" w:color="auto" w:fill="auto"/>
            <w:vAlign w:val="top"/>
          </w:tcPr>
          <w:p w14:paraId="60AAE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1.681</w:t>
            </w:r>
          </w:p>
        </w:tc>
        <w:tc>
          <w:tcPr>
            <w:tcW w:w="625" w:type="pct"/>
            <w:vAlign w:val="center"/>
          </w:tcPr>
          <w:p w14:paraId="42EFDC3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5" w:type="pct"/>
            <w:shd w:val="clear" w:color="auto" w:fill="auto"/>
            <w:vAlign w:val="top"/>
          </w:tcPr>
          <w:p w14:paraId="71557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0.318</w:t>
            </w:r>
          </w:p>
        </w:tc>
        <w:tc>
          <w:tcPr>
            <w:tcW w:w="625" w:type="pct"/>
            <w:shd w:val="clear" w:color="auto" w:fill="auto"/>
            <w:vAlign w:val="top"/>
          </w:tcPr>
          <w:p w14:paraId="7E0A5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1.650</w:t>
            </w:r>
          </w:p>
        </w:tc>
        <w:tc>
          <w:tcPr>
            <w:tcW w:w="626" w:type="pct"/>
            <w:shd w:val="clear" w:color="auto" w:fill="auto"/>
            <w:vAlign w:val="top"/>
          </w:tcPr>
          <w:p w14:paraId="44C6F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1.681</w:t>
            </w:r>
          </w:p>
        </w:tc>
      </w:tr>
      <w:tr w14:paraId="2F3E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243BBE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4" w:type="pct"/>
            <w:shd w:val="clear" w:color="auto" w:fill="auto"/>
            <w:vAlign w:val="top"/>
          </w:tcPr>
          <w:p w14:paraId="7CCCB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0.387</w:t>
            </w:r>
          </w:p>
        </w:tc>
        <w:tc>
          <w:tcPr>
            <w:tcW w:w="625" w:type="pct"/>
            <w:shd w:val="clear" w:color="auto" w:fill="auto"/>
            <w:vAlign w:val="top"/>
          </w:tcPr>
          <w:p w14:paraId="14B38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1.414</w:t>
            </w:r>
          </w:p>
        </w:tc>
        <w:tc>
          <w:tcPr>
            <w:tcW w:w="625" w:type="pct"/>
            <w:shd w:val="clear" w:color="auto" w:fill="auto"/>
            <w:vAlign w:val="top"/>
          </w:tcPr>
          <w:p w14:paraId="1A33E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1.466</w:t>
            </w:r>
          </w:p>
        </w:tc>
        <w:tc>
          <w:tcPr>
            <w:tcW w:w="625" w:type="pct"/>
            <w:vAlign w:val="center"/>
          </w:tcPr>
          <w:p w14:paraId="4DA9BFC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5" w:type="pct"/>
            <w:shd w:val="clear" w:color="auto" w:fill="auto"/>
            <w:vAlign w:val="top"/>
          </w:tcPr>
          <w:p w14:paraId="74906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0.387</w:t>
            </w:r>
          </w:p>
        </w:tc>
        <w:tc>
          <w:tcPr>
            <w:tcW w:w="625" w:type="pct"/>
            <w:shd w:val="clear" w:color="auto" w:fill="auto"/>
            <w:vAlign w:val="top"/>
          </w:tcPr>
          <w:p w14:paraId="30E61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1.414</w:t>
            </w:r>
          </w:p>
        </w:tc>
        <w:tc>
          <w:tcPr>
            <w:tcW w:w="626" w:type="pct"/>
            <w:shd w:val="clear" w:color="auto" w:fill="auto"/>
            <w:vAlign w:val="top"/>
          </w:tcPr>
          <w:p w14:paraId="21E1D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1.466</w:t>
            </w:r>
          </w:p>
        </w:tc>
      </w:tr>
      <w:tr w14:paraId="1849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A5F309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4" w:type="pct"/>
            <w:shd w:val="clear" w:color="auto" w:fill="auto"/>
            <w:vAlign w:val="top"/>
          </w:tcPr>
          <w:p w14:paraId="5A8AF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0.439</w:t>
            </w:r>
          </w:p>
        </w:tc>
        <w:tc>
          <w:tcPr>
            <w:tcW w:w="625" w:type="pct"/>
            <w:shd w:val="clear" w:color="auto" w:fill="auto"/>
            <w:vAlign w:val="top"/>
          </w:tcPr>
          <w:p w14:paraId="43E970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1.143</w:t>
            </w:r>
          </w:p>
        </w:tc>
        <w:tc>
          <w:tcPr>
            <w:tcW w:w="625" w:type="pct"/>
            <w:shd w:val="clear" w:color="auto" w:fill="auto"/>
            <w:vAlign w:val="top"/>
          </w:tcPr>
          <w:p w14:paraId="78C43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1.225</w:t>
            </w:r>
          </w:p>
        </w:tc>
        <w:tc>
          <w:tcPr>
            <w:tcW w:w="625" w:type="pct"/>
            <w:vAlign w:val="center"/>
          </w:tcPr>
          <w:p w14:paraId="45EF5BA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5" w:type="pct"/>
            <w:shd w:val="clear" w:color="auto" w:fill="auto"/>
            <w:vAlign w:val="top"/>
          </w:tcPr>
          <w:p w14:paraId="1D522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0.439</w:t>
            </w:r>
          </w:p>
        </w:tc>
        <w:tc>
          <w:tcPr>
            <w:tcW w:w="625" w:type="pct"/>
            <w:shd w:val="clear" w:color="auto" w:fill="auto"/>
            <w:vAlign w:val="top"/>
          </w:tcPr>
          <w:p w14:paraId="27BAD8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1.143</w:t>
            </w:r>
          </w:p>
        </w:tc>
        <w:tc>
          <w:tcPr>
            <w:tcW w:w="626" w:type="pct"/>
            <w:shd w:val="clear" w:color="auto" w:fill="auto"/>
            <w:vAlign w:val="top"/>
          </w:tcPr>
          <w:p w14:paraId="0CFDFF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1.225</w:t>
            </w:r>
          </w:p>
        </w:tc>
      </w:tr>
      <w:tr w14:paraId="5435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426A84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4" w:type="pct"/>
            <w:shd w:val="clear" w:color="auto" w:fill="auto"/>
            <w:vAlign w:val="top"/>
          </w:tcPr>
          <w:p w14:paraId="381A3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0.476</w:t>
            </w:r>
          </w:p>
        </w:tc>
        <w:tc>
          <w:tcPr>
            <w:tcW w:w="625" w:type="pct"/>
            <w:shd w:val="clear" w:color="auto" w:fill="auto"/>
            <w:vAlign w:val="top"/>
          </w:tcPr>
          <w:p w14:paraId="684C2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0.862</w:t>
            </w:r>
          </w:p>
        </w:tc>
        <w:tc>
          <w:tcPr>
            <w:tcW w:w="625" w:type="pct"/>
            <w:shd w:val="clear" w:color="auto" w:fill="auto"/>
            <w:vAlign w:val="top"/>
          </w:tcPr>
          <w:p w14:paraId="52547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0.984</w:t>
            </w:r>
          </w:p>
        </w:tc>
        <w:tc>
          <w:tcPr>
            <w:tcW w:w="625" w:type="pct"/>
            <w:vAlign w:val="center"/>
          </w:tcPr>
          <w:p w14:paraId="7357D53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5" w:type="pct"/>
            <w:shd w:val="clear" w:color="auto" w:fill="auto"/>
            <w:vAlign w:val="top"/>
          </w:tcPr>
          <w:p w14:paraId="2F00B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0.476</w:t>
            </w:r>
          </w:p>
        </w:tc>
        <w:tc>
          <w:tcPr>
            <w:tcW w:w="625" w:type="pct"/>
            <w:shd w:val="clear" w:color="auto" w:fill="auto"/>
            <w:vAlign w:val="top"/>
          </w:tcPr>
          <w:p w14:paraId="5B4AD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0.862</w:t>
            </w:r>
          </w:p>
        </w:tc>
        <w:tc>
          <w:tcPr>
            <w:tcW w:w="626" w:type="pct"/>
            <w:shd w:val="clear" w:color="auto" w:fill="auto"/>
            <w:vAlign w:val="top"/>
          </w:tcPr>
          <w:p w14:paraId="6ED16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0.984</w:t>
            </w:r>
          </w:p>
        </w:tc>
      </w:tr>
      <w:tr w14:paraId="5345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2B7540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4" w:type="pct"/>
            <w:shd w:val="clear" w:color="auto" w:fill="auto"/>
            <w:vAlign w:val="top"/>
          </w:tcPr>
          <w:p w14:paraId="4B832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0.496</w:t>
            </w:r>
          </w:p>
        </w:tc>
        <w:tc>
          <w:tcPr>
            <w:tcW w:w="625" w:type="pct"/>
            <w:shd w:val="clear" w:color="auto" w:fill="auto"/>
            <w:vAlign w:val="top"/>
          </w:tcPr>
          <w:p w14:paraId="67DD7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0.613</w:t>
            </w:r>
          </w:p>
        </w:tc>
        <w:tc>
          <w:tcPr>
            <w:tcW w:w="625" w:type="pct"/>
            <w:shd w:val="clear" w:color="auto" w:fill="auto"/>
            <w:vAlign w:val="top"/>
          </w:tcPr>
          <w:p w14:paraId="044777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0.789</w:t>
            </w:r>
          </w:p>
        </w:tc>
        <w:tc>
          <w:tcPr>
            <w:tcW w:w="625" w:type="pct"/>
            <w:vAlign w:val="center"/>
          </w:tcPr>
          <w:p w14:paraId="21F05E8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5" w:type="pct"/>
            <w:shd w:val="clear" w:color="auto" w:fill="auto"/>
            <w:vAlign w:val="top"/>
          </w:tcPr>
          <w:p w14:paraId="692AE5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0.496</w:t>
            </w:r>
          </w:p>
        </w:tc>
        <w:tc>
          <w:tcPr>
            <w:tcW w:w="625" w:type="pct"/>
            <w:shd w:val="clear" w:color="auto" w:fill="auto"/>
            <w:vAlign w:val="top"/>
          </w:tcPr>
          <w:p w14:paraId="3F88E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0.613</w:t>
            </w:r>
          </w:p>
        </w:tc>
        <w:tc>
          <w:tcPr>
            <w:tcW w:w="626" w:type="pct"/>
            <w:shd w:val="clear" w:color="auto" w:fill="auto"/>
            <w:vAlign w:val="top"/>
          </w:tcPr>
          <w:p w14:paraId="4A77A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0.789</w:t>
            </w:r>
          </w:p>
        </w:tc>
      </w:tr>
      <w:tr w14:paraId="776A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E14473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4" w:type="pct"/>
            <w:shd w:val="clear" w:color="auto" w:fill="auto"/>
            <w:vAlign w:val="top"/>
          </w:tcPr>
          <w:p w14:paraId="35B85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0.503</w:t>
            </w:r>
          </w:p>
        </w:tc>
        <w:tc>
          <w:tcPr>
            <w:tcW w:w="625" w:type="pct"/>
            <w:shd w:val="clear" w:color="auto" w:fill="auto"/>
            <w:vAlign w:val="top"/>
          </w:tcPr>
          <w:p w14:paraId="39409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0.499</w:t>
            </w:r>
          </w:p>
        </w:tc>
        <w:tc>
          <w:tcPr>
            <w:tcW w:w="625" w:type="pct"/>
            <w:shd w:val="clear" w:color="auto" w:fill="auto"/>
            <w:vAlign w:val="top"/>
          </w:tcPr>
          <w:p w14:paraId="5350A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0.708</w:t>
            </w:r>
          </w:p>
        </w:tc>
        <w:tc>
          <w:tcPr>
            <w:tcW w:w="625" w:type="pct"/>
            <w:vAlign w:val="center"/>
          </w:tcPr>
          <w:p w14:paraId="465C771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5" w:type="pct"/>
            <w:shd w:val="clear" w:color="auto" w:fill="auto"/>
            <w:vAlign w:val="top"/>
          </w:tcPr>
          <w:p w14:paraId="14730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0.503</w:t>
            </w:r>
          </w:p>
        </w:tc>
        <w:tc>
          <w:tcPr>
            <w:tcW w:w="625" w:type="pct"/>
            <w:shd w:val="clear" w:color="auto" w:fill="auto"/>
            <w:vAlign w:val="top"/>
          </w:tcPr>
          <w:p w14:paraId="1CAAA0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0.499</w:t>
            </w:r>
          </w:p>
        </w:tc>
        <w:tc>
          <w:tcPr>
            <w:tcW w:w="626" w:type="pct"/>
            <w:shd w:val="clear" w:color="auto" w:fill="auto"/>
            <w:vAlign w:val="top"/>
          </w:tcPr>
          <w:p w14:paraId="3167A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Theme="minorEastAsia" w:cstheme="minorBidi"/>
                <w:color w:val="auto"/>
                <w:kern w:val="2"/>
                <w:sz w:val="21"/>
                <w:szCs w:val="21"/>
                <w:vertAlign w:val="baseline"/>
                <w:lang w:val="en-US" w:eastAsia="zh-CN" w:bidi="ar-SA"/>
              </w:rPr>
            </w:pPr>
            <w:r>
              <w:rPr>
                <w:rFonts w:hint="eastAsia"/>
                <w:color w:val="auto"/>
                <w:sz w:val="21"/>
                <w:szCs w:val="21"/>
                <w:vertAlign w:val="baseline"/>
                <w:lang w:eastAsia="zh-CN"/>
              </w:rPr>
              <w:t>0.708</w:t>
            </w:r>
          </w:p>
        </w:tc>
      </w:tr>
    </w:tbl>
    <w:p w14:paraId="34DD07CA">
      <w:pPr>
        <w:tabs>
          <w:tab w:val="left" w:pos="700"/>
        </w:tabs>
        <w:spacing w:line="240" w:lineRule="auto"/>
        <w:ind w:firstLine="0" w:firstLineChars="0"/>
        <w:jc w:val="center"/>
        <w:rPr>
          <w:rFonts w:eastAsia="宋体" w:cs="Times New Roman"/>
          <w:b/>
          <w:color w:val="auto"/>
          <w:sz w:val="21"/>
          <w:szCs w:val="21"/>
          <w:highlight w:val="none"/>
        </w:rPr>
      </w:pPr>
      <w:r>
        <w:rPr>
          <w:color w:val="auto"/>
        </w:rPr>
        <w:drawing>
          <wp:inline distT="0" distB="0" distL="114300" distR="114300">
            <wp:extent cx="5272405" cy="3043555"/>
            <wp:effectExtent l="6350" t="6350" r="17145" b="17145"/>
            <wp:docPr id="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eastAsia="宋体" w:cs="Times New Roman"/>
          <w:b/>
          <w:color w:val="auto"/>
          <w:sz w:val="21"/>
          <w:szCs w:val="21"/>
          <w:highlight w:val="none"/>
        </w:rPr>
        <w:t xml:space="preserve">图5-3  </w:t>
      </w:r>
      <w:r>
        <w:rPr>
          <w:rFonts w:hint="eastAsia" w:eastAsia="宋体" w:cs="Times New Roman"/>
          <w:b/>
          <w:color w:val="auto"/>
          <w:sz w:val="21"/>
          <w:szCs w:val="21"/>
          <w:highlight w:val="none"/>
        </w:rPr>
        <w:t>单回路</w:t>
      </w:r>
      <w:r>
        <w:rPr>
          <w:rFonts w:hint="eastAsia" w:eastAsia="宋体" w:cs="Times New Roman"/>
          <w:b/>
          <w:color w:val="auto"/>
          <w:sz w:val="21"/>
          <w:szCs w:val="21"/>
          <w:highlight w:val="none"/>
          <w:lang w:val="en-US" w:eastAsia="zh-CN"/>
        </w:rPr>
        <w:t>横担最宽</w:t>
      </w:r>
      <w:r>
        <w:rPr>
          <w:rFonts w:hint="eastAsia" w:eastAsia="宋体" w:cs="Times New Roman"/>
          <w:b/>
          <w:color w:val="auto"/>
          <w:sz w:val="21"/>
          <w:szCs w:val="21"/>
          <w:highlight w:val="none"/>
        </w:rPr>
        <w:t>塔型</w:t>
      </w:r>
      <w:r>
        <w:rPr>
          <w:rFonts w:eastAsia="宋体" w:cs="Times New Roman"/>
          <w:b/>
          <w:color w:val="auto"/>
          <w:sz w:val="21"/>
          <w:szCs w:val="21"/>
          <w:highlight w:val="none"/>
        </w:rPr>
        <w:t>工频电场强度的总体分布情况</w:t>
      </w:r>
    </w:p>
    <w:p w14:paraId="538AAF93">
      <w:pPr>
        <w:tabs>
          <w:tab w:val="left" w:pos="700"/>
        </w:tabs>
        <w:spacing w:line="540" w:lineRule="exact"/>
        <w:ind w:firstLine="422"/>
        <w:jc w:val="center"/>
        <w:rPr>
          <w:rFonts w:eastAsia="宋体" w:cs="Times New Roman"/>
          <w:b/>
          <w:color w:val="auto"/>
          <w:sz w:val="21"/>
          <w:szCs w:val="21"/>
          <w:highlight w:val="none"/>
        </w:rPr>
      </w:pPr>
      <w:r>
        <w:rPr>
          <w:rFonts w:eastAsia="宋体" w:cs="Times New Roman"/>
          <w:b/>
          <w:color w:val="auto"/>
          <w:sz w:val="21"/>
          <w:szCs w:val="21"/>
          <w:highlight w:val="none"/>
        </w:rPr>
        <w:t>表5-</w:t>
      </w:r>
      <w:r>
        <w:rPr>
          <w:rFonts w:hint="eastAsia" w:eastAsia="宋体" w:cs="Times New Roman"/>
          <w:b/>
          <w:color w:val="auto"/>
          <w:sz w:val="21"/>
          <w:szCs w:val="21"/>
          <w:highlight w:val="none"/>
        </w:rPr>
        <w:t>3</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双回路</w:t>
      </w:r>
      <w:r>
        <w:rPr>
          <w:rFonts w:eastAsia="宋体" w:cs="Times New Roman"/>
          <w:b/>
          <w:color w:val="auto"/>
          <w:sz w:val="21"/>
          <w:szCs w:val="21"/>
          <w:highlight w:val="none"/>
        </w:rPr>
        <w:t>塔型工频电场强度计算结果</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064"/>
        <w:gridCol w:w="1066"/>
        <w:gridCol w:w="1066"/>
        <w:gridCol w:w="1066"/>
        <w:gridCol w:w="1066"/>
        <w:gridCol w:w="1066"/>
        <w:gridCol w:w="1068"/>
      </w:tblGrid>
      <w:tr w14:paraId="4D0D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9F5E45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4" w:type="pct"/>
          </w:tcPr>
          <w:p w14:paraId="4B38FCD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tcPr>
          <w:p w14:paraId="795E1EE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5" w:type="pct"/>
          </w:tcPr>
          <w:p w14:paraId="23CBB5F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1.5米高处电场的综合量(kV/m)</w:t>
            </w:r>
          </w:p>
        </w:tc>
        <w:tc>
          <w:tcPr>
            <w:tcW w:w="625" w:type="pct"/>
            <w:vAlign w:val="center"/>
          </w:tcPr>
          <w:p w14:paraId="7DF5C9E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5" w:type="pct"/>
            <w:shd w:val="clear" w:color="auto" w:fill="auto"/>
            <w:vAlign w:val="top"/>
          </w:tcPr>
          <w:p w14:paraId="3921FF11">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shd w:val="clear" w:color="auto" w:fill="auto"/>
            <w:vAlign w:val="top"/>
          </w:tcPr>
          <w:p w14:paraId="50BDF17C">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6" w:type="pct"/>
            <w:shd w:val="clear" w:color="auto" w:fill="auto"/>
            <w:vAlign w:val="top"/>
          </w:tcPr>
          <w:p w14:paraId="147ECB7B">
            <w:pPr>
              <w:widowControl/>
              <w:snapToGrid w:val="0"/>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1.5米高处电场的综合量(kV/m)</w:t>
            </w:r>
          </w:p>
        </w:tc>
      </w:tr>
      <w:tr w14:paraId="36A7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46D695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1064" w:type="dxa"/>
            <w:shd w:val="clear" w:color="auto" w:fill="auto"/>
            <w:vAlign w:val="top"/>
          </w:tcPr>
          <w:p w14:paraId="0FFDD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1949F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0.185</w:t>
            </w:r>
          </w:p>
        </w:tc>
        <w:tc>
          <w:tcPr>
            <w:tcW w:w="1066" w:type="dxa"/>
            <w:shd w:val="clear" w:color="auto" w:fill="auto"/>
            <w:vAlign w:val="top"/>
          </w:tcPr>
          <w:p w14:paraId="07765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0.185</w:t>
            </w:r>
          </w:p>
        </w:tc>
        <w:tc>
          <w:tcPr>
            <w:tcW w:w="625" w:type="pct"/>
            <w:vAlign w:val="center"/>
          </w:tcPr>
          <w:p w14:paraId="0F403EC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1066" w:type="dxa"/>
            <w:shd w:val="clear" w:color="auto" w:fill="auto"/>
            <w:vAlign w:val="top"/>
          </w:tcPr>
          <w:p w14:paraId="05564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20118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068" w:type="dxa"/>
            <w:shd w:val="clear" w:color="auto" w:fill="auto"/>
            <w:vAlign w:val="top"/>
          </w:tcPr>
          <w:p w14:paraId="5A0B2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w:t>
            </w:r>
          </w:p>
        </w:tc>
      </w:tr>
      <w:tr w14:paraId="0BBB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081E7F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1064" w:type="dxa"/>
            <w:shd w:val="clear" w:color="auto" w:fill="auto"/>
            <w:vAlign w:val="top"/>
          </w:tcPr>
          <w:p w14:paraId="7191C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7D6FD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0.188</w:t>
            </w:r>
          </w:p>
        </w:tc>
        <w:tc>
          <w:tcPr>
            <w:tcW w:w="1066" w:type="dxa"/>
            <w:shd w:val="clear" w:color="auto" w:fill="auto"/>
            <w:vAlign w:val="top"/>
          </w:tcPr>
          <w:p w14:paraId="3A4A7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0.188</w:t>
            </w:r>
          </w:p>
        </w:tc>
        <w:tc>
          <w:tcPr>
            <w:tcW w:w="625" w:type="pct"/>
            <w:vAlign w:val="center"/>
          </w:tcPr>
          <w:p w14:paraId="7393B8A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1066" w:type="dxa"/>
            <w:shd w:val="clear" w:color="auto" w:fill="auto"/>
            <w:vAlign w:val="top"/>
          </w:tcPr>
          <w:p w14:paraId="3D8773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7DC2A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0.184</w:t>
            </w:r>
          </w:p>
        </w:tc>
        <w:tc>
          <w:tcPr>
            <w:tcW w:w="1068" w:type="dxa"/>
            <w:shd w:val="clear" w:color="auto" w:fill="auto"/>
            <w:vAlign w:val="top"/>
          </w:tcPr>
          <w:p w14:paraId="2747F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0.184</w:t>
            </w:r>
          </w:p>
        </w:tc>
      </w:tr>
      <w:tr w14:paraId="3CE5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7F64F0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1064" w:type="dxa"/>
            <w:shd w:val="clear" w:color="auto" w:fill="auto"/>
            <w:vAlign w:val="top"/>
          </w:tcPr>
          <w:p w14:paraId="081AA9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32879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0.191</w:t>
            </w:r>
          </w:p>
        </w:tc>
        <w:tc>
          <w:tcPr>
            <w:tcW w:w="1066" w:type="dxa"/>
            <w:shd w:val="clear" w:color="auto" w:fill="auto"/>
            <w:vAlign w:val="top"/>
          </w:tcPr>
          <w:p w14:paraId="07E51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0.191</w:t>
            </w:r>
          </w:p>
        </w:tc>
        <w:tc>
          <w:tcPr>
            <w:tcW w:w="625" w:type="pct"/>
            <w:vAlign w:val="center"/>
          </w:tcPr>
          <w:p w14:paraId="625A934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1066" w:type="dxa"/>
            <w:shd w:val="clear" w:color="auto" w:fill="auto"/>
            <w:vAlign w:val="top"/>
          </w:tcPr>
          <w:p w14:paraId="144E6E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2C755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1068" w:type="dxa"/>
            <w:shd w:val="clear" w:color="auto" w:fill="auto"/>
            <w:vAlign w:val="top"/>
          </w:tcPr>
          <w:p w14:paraId="086B4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0.187</w:t>
            </w:r>
          </w:p>
        </w:tc>
      </w:tr>
      <w:tr w14:paraId="1D26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62EE2D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1064" w:type="dxa"/>
            <w:shd w:val="clear" w:color="auto" w:fill="auto"/>
            <w:vAlign w:val="top"/>
          </w:tcPr>
          <w:p w14:paraId="6E22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54D18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0.194</w:t>
            </w:r>
          </w:p>
        </w:tc>
        <w:tc>
          <w:tcPr>
            <w:tcW w:w="1066" w:type="dxa"/>
            <w:shd w:val="clear" w:color="auto" w:fill="auto"/>
            <w:vAlign w:val="top"/>
          </w:tcPr>
          <w:p w14:paraId="40B29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0.194</w:t>
            </w:r>
          </w:p>
        </w:tc>
        <w:tc>
          <w:tcPr>
            <w:tcW w:w="625" w:type="pct"/>
            <w:vAlign w:val="center"/>
          </w:tcPr>
          <w:p w14:paraId="1719C93A">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1066" w:type="dxa"/>
            <w:shd w:val="clear" w:color="auto" w:fill="auto"/>
            <w:vAlign w:val="top"/>
          </w:tcPr>
          <w:p w14:paraId="016911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6887D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1068" w:type="dxa"/>
            <w:shd w:val="clear" w:color="auto" w:fill="auto"/>
            <w:vAlign w:val="top"/>
          </w:tcPr>
          <w:p w14:paraId="38D04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w:t>
            </w:r>
          </w:p>
        </w:tc>
      </w:tr>
      <w:tr w14:paraId="7BE6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90CE28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1064" w:type="dxa"/>
            <w:shd w:val="clear" w:color="auto" w:fill="auto"/>
            <w:vAlign w:val="top"/>
          </w:tcPr>
          <w:p w14:paraId="3EF26D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1D8E4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0.197</w:t>
            </w:r>
          </w:p>
        </w:tc>
        <w:tc>
          <w:tcPr>
            <w:tcW w:w="1066" w:type="dxa"/>
            <w:shd w:val="clear" w:color="auto" w:fill="auto"/>
            <w:vAlign w:val="top"/>
          </w:tcPr>
          <w:p w14:paraId="6D743F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0.197</w:t>
            </w:r>
          </w:p>
        </w:tc>
        <w:tc>
          <w:tcPr>
            <w:tcW w:w="625" w:type="pct"/>
            <w:vAlign w:val="center"/>
          </w:tcPr>
          <w:p w14:paraId="17B8F24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1066" w:type="dxa"/>
            <w:shd w:val="clear" w:color="auto" w:fill="auto"/>
            <w:vAlign w:val="top"/>
          </w:tcPr>
          <w:p w14:paraId="56767C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07913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0.193</w:t>
            </w:r>
          </w:p>
        </w:tc>
        <w:tc>
          <w:tcPr>
            <w:tcW w:w="1068" w:type="dxa"/>
            <w:shd w:val="clear" w:color="auto" w:fill="auto"/>
            <w:vAlign w:val="top"/>
          </w:tcPr>
          <w:p w14:paraId="2939A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0.193</w:t>
            </w:r>
          </w:p>
        </w:tc>
      </w:tr>
      <w:tr w14:paraId="73A4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892FDB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1064" w:type="dxa"/>
            <w:shd w:val="clear" w:color="auto" w:fill="auto"/>
            <w:vAlign w:val="top"/>
          </w:tcPr>
          <w:p w14:paraId="4412B9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0456B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066" w:type="dxa"/>
            <w:shd w:val="clear" w:color="auto" w:fill="auto"/>
            <w:vAlign w:val="top"/>
          </w:tcPr>
          <w:p w14:paraId="190B8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w:t>
            </w:r>
          </w:p>
        </w:tc>
        <w:tc>
          <w:tcPr>
            <w:tcW w:w="625" w:type="pct"/>
            <w:vAlign w:val="center"/>
          </w:tcPr>
          <w:p w14:paraId="59D7741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1066" w:type="dxa"/>
            <w:shd w:val="clear" w:color="auto" w:fill="auto"/>
            <w:vAlign w:val="top"/>
          </w:tcPr>
          <w:p w14:paraId="40386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7E37B2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0.196</w:t>
            </w:r>
          </w:p>
        </w:tc>
        <w:tc>
          <w:tcPr>
            <w:tcW w:w="1068" w:type="dxa"/>
            <w:shd w:val="clear" w:color="auto" w:fill="auto"/>
            <w:vAlign w:val="top"/>
          </w:tcPr>
          <w:p w14:paraId="08393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0.196</w:t>
            </w:r>
          </w:p>
        </w:tc>
      </w:tr>
      <w:tr w14:paraId="6772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1447DE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1064" w:type="dxa"/>
            <w:shd w:val="clear" w:color="auto" w:fill="auto"/>
            <w:vAlign w:val="top"/>
          </w:tcPr>
          <w:p w14:paraId="5A92C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311E0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0.202</w:t>
            </w:r>
          </w:p>
        </w:tc>
        <w:tc>
          <w:tcPr>
            <w:tcW w:w="1066" w:type="dxa"/>
            <w:shd w:val="clear" w:color="auto" w:fill="auto"/>
            <w:vAlign w:val="top"/>
          </w:tcPr>
          <w:p w14:paraId="4B97E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0.202</w:t>
            </w:r>
          </w:p>
        </w:tc>
        <w:tc>
          <w:tcPr>
            <w:tcW w:w="625" w:type="pct"/>
            <w:vAlign w:val="center"/>
          </w:tcPr>
          <w:p w14:paraId="3FB7C04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1066" w:type="dxa"/>
            <w:shd w:val="clear" w:color="auto" w:fill="auto"/>
            <w:vAlign w:val="top"/>
          </w:tcPr>
          <w:p w14:paraId="138D9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6579F7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0.199</w:t>
            </w:r>
          </w:p>
        </w:tc>
        <w:tc>
          <w:tcPr>
            <w:tcW w:w="1068" w:type="dxa"/>
            <w:shd w:val="clear" w:color="auto" w:fill="auto"/>
            <w:vAlign w:val="top"/>
          </w:tcPr>
          <w:p w14:paraId="7DB37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0.199</w:t>
            </w:r>
          </w:p>
        </w:tc>
      </w:tr>
      <w:tr w14:paraId="24B9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665AA9A">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1064" w:type="dxa"/>
            <w:shd w:val="clear" w:color="auto" w:fill="auto"/>
            <w:vAlign w:val="top"/>
          </w:tcPr>
          <w:p w14:paraId="2D830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7537D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c>
          <w:tcPr>
            <w:tcW w:w="1066" w:type="dxa"/>
            <w:shd w:val="clear" w:color="auto" w:fill="auto"/>
            <w:vAlign w:val="top"/>
          </w:tcPr>
          <w:p w14:paraId="5F4DD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c>
          <w:tcPr>
            <w:tcW w:w="625" w:type="pct"/>
            <w:vAlign w:val="center"/>
          </w:tcPr>
          <w:p w14:paraId="141F0C0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1066" w:type="dxa"/>
            <w:shd w:val="clear" w:color="auto" w:fill="auto"/>
            <w:vAlign w:val="top"/>
          </w:tcPr>
          <w:p w14:paraId="11CA44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7A61F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0.201</w:t>
            </w:r>
          </w:p>
        </w:tc>
        <w:tc>
          <w:tcPr>
            <w:tcW w:w="1068" w:type="dxa"/>
            <w:shd w:val="clear" w:color="auto" w:fill="auto"/>
            <w:vAlign w:val="top"/>
          </w:tcPr>
          <w:p w14:paraId="2455B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0.201</w:t>
            </w:r>
          </w:p>
        </w:tc>
      </w:tr>
      <w:tr w14:paraId="07BC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3583B8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1064" w:type="dxa"/>
            <w:shd w:val="clear" w:color="auto" w:fill="auto"/>
            <w:vAlign w:val="top"/>
          </w:tcPr>
          <w:p w14:paraId="1689AD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066" w:type="dxa"/>
            <w:shd w:val="clear" w:color="auto" w:fill="auto"/>
            <w:vAlign w:val="top"/>
          </w:tcPr>
          <w:p w14:paraId="5A1B83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0.206</w:t>
            </w:r>
          </w:p>
        </w:tc>
        <w:tc>
          <w:tcPr>
            <w:tcW w:w="1066" w:type="dxa"/>
            <w:shd w:val="clear" w:color="auto" w:fill="auto"/>
            <w:vAlign w:val="top"/>
          </w:tcPr>
          <w:p w14:paraId="485C5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0.206</w:t>
            </w:r>
          </w:p>
        </w:tc>
        <w:tc>
          <w:tcPr>
            <w:tcW w:w="625" w:type="pct"/>
            <w:vAlign w:val="center"/>
          </w:tcPr>
          <w:p w14:paraId="53F951E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1066" w:type="dxa"/>
            <w:shd w:val="clear" w:color="auto" w:fill="auto"/>
            <w:vAlign w:val="top"/>
          </w:tcPr>
          <w:p w14:paraId="396F9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48BDA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c>
          <w:tcPr>
            <w:tcW w:w="1068" w:type="dxa"/>
            <w:shd w:val="clear" w:color="auto" w:fill="auto"/>
            <w:vAlign w:val="top"/>
          </w:tcPr>
          <w:p w14:paraId="2FA77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r>
      <w:tr w14:paraId="3DA0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A1BAED0">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1064" w:type="dxa"/>
            <w:shd w:val="clear" w:color="auto" w:fill="auto"/>
            <w:vAlign w:val="top"/>
          </w:tcPr>
          <w:p w14:paraId="6D58B1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6A574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c>
          <w:tcPr>
            <w:tcW w:w="1066" w:type="dxa"/>
            <w:shd w:val="clear" w:color="auto" w:fill="auto"/>
            <w:vAlign w:val="top"/>
          </w:tcPr>
          <w:p w14:paraId="0A60C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c>
          <w:tcPr>
            <w:tcW w:w="625" w:type="pct"/>
            <w:vAlign w:val="center"/>
          </w:tcPr>
          <w:p w14:paraId="5CB752C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1066" w:type="dxa"/>
            <w:shd w:val="clear" w:color="auto" w:fill="auto"/>
            <w:vAlign w:val="top"/>
          </w:tcPr>
          <w:p w14:paraId="148C4E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066" w:type="dxa"/>
            <w:shd w:val="clear" w:color="auto" w:fill="auto"/>
            <w:vAlign w:val="top"/>
          </w:tcPr>
          <w:p w14:paraId="3155D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c>
          <w:tcPr>
            <w:tcW w:w="1068" w:type="dxa"/>
            <w:shd w:val="clear" w:color="auto" w:fill="auto"/>
            <w:vAlign w:val="top"/>
          </w:tcPr>
          <w:p w14:paraId="6D337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r>
      <w:tr w14:paraId="2645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A59C57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1064" w:type="dxa"/>
            <w:shd w:val="clear" w:color="auto" w:fill="auto"/>
            <w:vAlign w:val="top"/>
          </w:tcPr>
          <w:p w14:paraId="32CB0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19315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6" w:type="dxa"/>
            <w:shd w:val="clear" w:color="auto" w:fill="auto"/>
            <w:vAlign w:val="top"/>
          </w:tcPr>
          <w:p w14:paraId="6FFF7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625" w:type="pct"/>
            <w:vAlign w:val="center"/>
          </w:tcPr>
          <w:p w14:paraId="6D0F105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1066" w:type="dxa"/>
            <w:shd w:val="clear" w:color="auto" w:fill="auto"/>
            <w:vAlign w:val="top"/>
          </w:tcPr>
          <w:p w14:paraId="59731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066" w:type="dxa"/>
            <w:shd w:val="clear" w:color="auto" w:fill="auto"/>
            <w:vAlign w:val="top"/>
          </w:tcPr>
          <w:p w14:paraId="5667C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c>
          <w:tcPr>
            <w:tcW w:w="1068" w:type="dxa"/>
            <w:shd w:val="clear" w:color="auto" w:fill="auto"/>
            <w:vAlign w:val="top"/>
          </w:tcPr>
          <w:p w14:paraId="4A9AF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r>
      <w:tr w14:paraId="6AF3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6AE48C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1064" w:type="dxa"/>
            <w:shd w:val="clear" w:color="auto" w:fill="auto"/>
            <w:vAlign w:val="top"/>
          </w:tcPr>
          <w:p w14:paraId="59A04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5A595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6" w:type="dxa"/>
            <w:shd w:val="clear" w:color="auto" w:fill="auto"/>
            <w:vAlign w:val="top"/>
          </w:tcPr>
          <w:p w14:paraId="53B241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625" w:type="pct"/>
            <w:vAlign w:val="center"/>
          </w:tcPr>
          <w:p w14:paraId="69B1191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1066" w:type="dxa"/>
            <w:shd w:val="clear" w:color="auto" w:fill="auto"/>
            <w:vAlign w:val="top"/>
          </w:tcPr>
          <w:p w14:paraId="40E75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555D32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8" w:type="dxa"/>
            <w:shd w:val="clear" w:color="auto" w:fill="auto"/>
            <w:vAlign w:val="top"/>
          </w:tcPr>
          <w:p w14:paraId="6906CC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r>
      <w:tr w14:paraId="0616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F54EBB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1064" w:type="dxa"/>
            <w:shd w:val="clear" w:color="auto" w:fill="auto"/>
            <w:vAlign w:val="top"/>
          </w:tcPr>
          <w:p w14:paraId="79726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066" w:type="dxa"/>
            <w:shd w:val="clear" w:color="auto" w:fill="auto"/>
            <w:vAlign w:val="top"/>
          </w:tcPr>
          <w:p w14:paraId="6107CA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6" w:type="dxa"/>
            <w:shd w:val="clear" w:color="auto" w:fill="auto"/>
            <w:vAlign w:val="top"/>
          </w:tcPr>
          <w:p w14:paraId="348140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625" w:type="pct"/>
            <w:vAlign w:val="center"/>
          </w:tcPr>
          <w:p w14:paraId="543BBFD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1066" w:type="dxa"/>
            <w:shd w:val="clear" w:color="auto" w:fill="auto"/>
            <w:vAlign w:val="top"/>
          </w:tcPr>
          <w:p w14:paraId="16923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2995B6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8" w:type="dxa"/>
            <w:shd w:val="clear" w:color="auto" w:fill="auto"/>
            <w:vAlign w:val="top"/>
          </w:tcPr>
          <w:p w14:paraId="1B976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r>
      <w:tr w14:paraId="328B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D8E6A0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1064" w:type="dxa"/>
            <w:shd w:val="clear" w:color="auto" w:fill="auto"/>
            <w:vAlign w:val="top"/>
          </w:tcPr>
          <w:p w14:paraId="430B6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w:t>
            </w:r>
          </w:p>
        </w:tc>
        <w:tc>
          <w:tcPr>
            <w:tcW w:w="1066" w:type="dxa"/>
            <w:shd w:val="clear" w:color="auto" w:fill="auto"/>
            <w:vAlign w:val="top"/>
          </w:tcPr>
          <w:p w14:paraId="0CC9D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0.206</w:t>
            </w:r>
          </w:p>
        </w:tc>
        <w:tc>
          <w:tcPr>
            <w:tcW w:w="1066" w:type="dxa"/>
            <w:shd w:val="clear" w:color="auto" w:fill="auto"/>
            <w:vAlign w:val="top"/>
          </w:tcPr>
          <w:p w14:paraId="20787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c>
          <w:tcPr>
            <w:tcW w:w="625" w:type="pct"/>
            <w:vAlign w:val="center"/>
          </w:tcPr>
          <w:p w14:paraId="5859DE8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1066" w:type="dxa"/>
            <w:shd w:val="clear" w:color="auto" w:fill="auto"/>
            <w:vAlign w:val="top"/>
          </w:tcPr>
          <w:p w14:paraId="07B66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066" w:type="dxa"/>
            <w:shd w:val="clear" w:color="auto" w:fill="auto"/>
            <w:vAlign w:val="top"/>
          </w:tcPr>
          <w:p w14:paraId="26B3A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8" w:type="dxa"/>
            <w:shd w:val="clear" w:color="auto" w:fill="auto"/>
            <w:vAlign w:val="top"/>
          </w:tcPr>
          <w:p w14:paraId="1BD08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r>
      <w:tr w14:paraId="0E83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5D3258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1064" w:type="dxa"/>
            <w:shd w:val="clear" w:color="auto" w:fill="auto"/>
            <w:vAlign w:val="top"/>
          </w:tcPr>
          <w:p w14:paraId="64CC5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1066" w:type="dxa"/>
            <w:shd w:val="clear" w:color="auto" w:fill="auto"/>
            <w:vAlign w:val="top"/>
          </w:tcPr>
          <w:p w14:paraId="7504D3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c>
          <w:tcPr>
            <w:tcW w:w="1066" w:type="dxa"/>
            <w:shd w:val="clear" w:color="auto" w:fill="auto"/>
            <w:vAlign w:val="top"/>
          </w:tcPr>
          <w:p w14:paraId="1CC7C9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0.204</w:t>
            </w:r>
          </w:p>
        </w:tc>
        <w:tc>
          <w:tcPr>
            <w:tcW w:w="625" w:type="pct"/>
            <w:vAlign w:val="center"/>
          </w:tcPr>
          <w:p w14:paraId="6D51474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1066" w:type="dxa"/>
            <w:shd w:val="clear" w:color="auto" w:fill="auto"/>
            <w:vAlign w:val="top"/>
          </w:tcPr>
          <w:p w14:paraId="56CA9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w:t>
            </w:r>
          </w:p>
        </w:tc>
        <w:tc>
          <w:tcPr>
            <w:tcW w:w="1066" w:type="dxa"/>
            <w:shd w:val="clear" w:color="auto" w:fill="auto"/>
            <w:vAlign w:val="top"/>
          </w:tcPr>
          <w:p w14:paraId="380E3A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c>
          <w:tcPr>
            <w:tcW w:w="1068" w:type="dxa"/>
            <w:shd w:val="clear" w:color="auto" w:fill="auto"/>
            <w:vAlign w:val="top"/>
          </w:tcPr>
          <w:p w14:paraId="3E21B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0.207</w:t>
            </w:r>
          </w:p>
        </w:tc>
      </w:tr>
      <w:tr w14:paraId="3F20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82AD8A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1064" w:type="dxa"/>
            <w:shd w:val="clear" w:color="auto" w:fill="auto"/>
            <w:vAlign w:val="top"/>
          </w:tcPr>
          <w:p w14:paraId="61C67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1066" w:type="dxa"/>
            <w:shd w:val="clear" w:color="auto" w:fill="auto"/>
            <w:vAlign w:val="top"/>
          </w:tcPr>
          <w:p w14:paraId="7376B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0.201</w:t>
            </w:r>
          </w:p>
        </w:tc>
        <w:tc>
          <w:tcPr>
            <w:tcW w:w="1066" w:type="dxa"/>
            <w:shd w:val="clear" w:color="auto" w:fill="auto"/>
            <w:vAlign w:val="top"/>
          </w:tcPr>
          <w:p w14:paraId="08E38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0.201</w:t>
            </w:r>
          </w:p>
        </w:tc>
        <w:tc>
          <w:tcPr>
            <w:tcW w:w="625" w:type="pct"/>
            <w:vAlign w:val="center"/>
          </w:tcPr>
          <w:p w14:paraId="4232E55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1066" w:type="dxa"/>
            <w:shd w:val="clear" w:color="auto" w:fill="auto"/>
            <w:vAlign w:val="top"/>
          </w:tcPr>
          <w:p w14:paraId="178E3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1066" w:type="dxa"/>
            <w:shd w:val="clear" w:color="auto" w:fill="auto"/>
            <w:vAlign w:val="top"/>
          </w:tcPr>
          <w:p w14:paraId="0EA2C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c>
          <w:tcPr>
            <w:tcW w:w="1068" w:type="dxa"/>
            <w:shd w:val="clear" w:color="auto" w:fill="auto"/>
            <w:vAlign w:val="top"/>
          </w:tcPr>
          <w:p w14:paraId="2F081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w:t>
            </w:r>
          </w:p>
        </w:tc>
      </w:tr>
      <w:tr w14:paraId="0D5F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C1EE3B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1064" w:type="dxa"/>
            <w:shd w:val="clear" w:color="auto" w:fill="auto"/>
            <w:vAlign w:val="top"/>
          </w:tcPr>
          <w:p w14:paraId="2BABE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1066" w:type="dxa"/>
            <w:shd w:val="clear" w:color="auto" w:fill="auto"/>
            <w:vAlign w:val="top"/>
          </w:tcPr>
          <w:p w14:paraId="3BB0B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0.196</w:t>
            </w:r>
          </w:p>
        </w:tc>
        <w:tc>
          <w:tcPr>
            <w:tcW w:w="1066" w:type="dxa"/>
            <w:shd w:val="clear" w:color="auto" w:fill="auto"/>
            <w:vAlign w:val="top"/>
          </w:tcPr>
          <w:p w14:paraId="6D04B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0.196</w:t>
            </w:r>
          </w:p>
        </w:tc>
        <w:tc>
          <w:tcPr>
            <w:tcW w:w="625" w:type="pct"/>
            <w:vAlign w:val="center"/>
          </w:tcPr>
          <w:p w14:paraId="76A50A2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1066" w:type="dxa"/>
            <w:shd w:val="clear" w:color="auto" w:fill="auto"/>
            <w:vAlign w:val="top"/>
          </w:tcPr>
          <w:p w14:paraId="2E4DC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66" w:type="dxa"/>
            <w:shd w:val="clear" w:color="auto" w:fill="auto"/>
            <w:vAlign w:val="top"/>
          </w:tcPr>
          <w:p w14:paraId="50A645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0.202</w:t>
            </w:r>
          </w:p>
        </w:tc>
        <w:tc>
          <w:tcPr>
            <w:tcW w:w="1068" w:type="dxa"/>
            <w:shd w:val="clear" w:color="auto" w:fill="auto"/>
            <w:vAlign w:val="top"/>
          </w:tcPr>
          <w:p w14:paraId="2A1CD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0.202</w:t>
            </w:r>
          </w:p>
        </w:tc>
      </w:tr>
      <w:tr w14:paraId="1D6E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B24A21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1064" w:type="dxa"/>
            <w:shd w:val="clear" w:color="auto" w:fill="auto"/>
            <w:vAlign w:val="top"/>
          </w:tcPr>
          <w:p w14:paraId="2A1F0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1066" w:type="dxa"/>
            <w:shd w:val="clear" w:color="auto" w:fill="auto"/>
            <w:vAlign w:val="top"/>
          </w:tcPr>
          <w:p w14:paraId="70C612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w:t>
            </w:r>
          </w:p>
        </w:tc>
        <w:tc>
          <w:tcPr>
            <w:tcW w:w="1066" w:type="dxa"/>
            <w:shd w:val="clear" w:color="auto" w:fill="auto"/>
            <w:vAlign w:val="top"/>
          </w:tcPr>
          <w:p w14:paraId="70A27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625" w:type="pct"/>
            <w:vAlign w:val="center"/>
          </w:tcPr>
          <w:p w14:paraId="6981195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1066" w:type="dxa"/>
            <w:shd w:val="clear" w:color="auto" w:fill="auto"/>
            <w:vAlign w:val="top"/>
          </w:tcPr>
          <w:p w14:paraId="12013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1066" w:type="dxa"/>
            <w:shd w:val="clear" w:color="auto" w:fill="auto"/>
            <w:vAlign w:val="top"/>
          </w:tcPr>
          <w:p w14:paraId="6BF83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0.197</w:t>
            </w:r>
          </w:p>
        </w:tc>
        <w:tc>
          <w:tcPr>
            <w:tcW w:w="1068" w:type="dxa"/>
            <w:shd w:val="clear" w:color="auto" w:fill="auto"/>
            <w:vAlign w:val="top"/>
          </w:tcPr>
          <w:p w14:paraId="7068C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0.198</w:t>
            </w:r>
          </w:p>
        </w:tc>
      </w:tr>
      <w:tr w14:paraId="38A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C3BB04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1064" w:type="dxa"/>
            <w:shd w:val="clear" w:color="auto" w:fill="auto"/>
            <w:vAlign w:val="top"/>
          </w:tcPr>
          <w:p w14:paraId="41C4F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066" w:type="dxa"/>
            <w:shd w:val="clear" w:color="auto" w:fill="auto"/>
            <w:vAlign w:val="top"/>
          </w:tcPr>
          <w:p w14:paraId="395E9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0.181</w:t>
            </w:r>
          </w:p>
        </w:tc>
        <w:tc>
          <w:tcPr>
            <w:tcW w:w="1066" w:type="dxa"/>
            <w:shd w:val="clear" w:color="auto" w:fill="auto"/>
            <w:vAlign w:val="top"/>
          </w:tcPr>
          <w:p w14:paraId="17AA0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0.182</w:t>
            </w:r>
          </w:p>
        </w:tc>
        <w:tc>
          <w:tcPr>
            <w:tcW w:w="625" w:type="pct"/>
            <w:vAlign w:val="center"/>
          </w:tcPr>
          <w:p w14:paraId="6FF0141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1066" w:type="dxa"/>
            <w:shd w:val="clear" w:color="auto" w:fill="auto"/>
            <w:vAlign w:val="top"/>
          </w:tcPr>
          <w:p w14:paraId="2FDA8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1066" w:type="dxa"/>
            <w:shd w:val="clear" w:color="auto" w:fill="auto"/>
            <w:vAlign w:val="top"/>
          </w:tcPr>
          <w:p w14:paraId="0E425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0.191</w:t>
            </w:r>
          </w:p>
        </w:tc>
        <w:tc>
          <w:tcPr>
            <w:tcW w:w="1068" w:type="dxa"/>
            <w:shd w:val="clear" w:color="auto" w:fill="auto"/>
            <w:vAlign w:val="top"/>
          </w:tcPr>
          <w:p w14:paraId="55FF7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0.192</w:t>
            </w:r>
          </w:p>
        </w:tc>
      </w:tr>
      <w:tr w14:paraId="2D90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326B37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1064" w:type="dxa"/>
            <w:shd w:val="clear" w:color="auto" w:fill="auto"/>
            <w:vAlign w:val="top"/>
          </w:tcPr>
          <w:p w14:paraId="61A78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0.023</w:t>
            </w:r>
          </w:p>
        </w:tc>
        <w:tc>
          <w:tcPr>
            <w:tcW w:w="1066" w:type="dxa"/>
            <w:shd w:val="clear" w:color="auto" w:fill="auto"/>
            <w:vAlign w:val="top"/>
          </w:tcPr>
          <w:p w14:paraId="100AF3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0.171</w:t>
            </w:r>
          </w:p>
        </w:tc>
        <w:tc>
          <w:tcPr>
            <w:tcW w:w="1066" w:type="dxa"/>
            <w:shd w:val="clear" w:color="auto" w:fill="auto"/>
            <w:vAlign w:val="top"/>
          </w:tcPr>
          <w:p w14:paraId="3BBB3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0.173</w:t>
            </w:r>
          </w:p>
        </w:tc>
        <w:tc>
          <w:tcPr>
            <w:tcW w:w="625" w:type="pct"/>
            <w:vAlign w:val="center"/>
          </w:tcPr>
          <w:p w14:paraId="5625BDE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1066" w:type="dxa"/>
            <w:shd w:val="clear" w:color="auto" w:fill="auto"/>
            <w:vAlign w:val="top"/>
          </w:tcPr>
          <w:p w14:paraId="17E53D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066" w:type="dxa"/>
            <w:shd w:val="clear" w:color="auto" w:fill="auto"/>
            <w:vAlign w:val="top"/>
          </w:tcPr>
          <w:p w14:paraId="74503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0.184</w:t>
            </w:r>
          </w:p>
        </w:tc>
        <w:tc>
          <w:tcPr>
            <w:tcW w:w="1068" w:type="dxa"/>
            <w:shd w:val="clear" w:color="auto" w:fill="auto"/>
            <w:vAlign w:val="top"/>
          </w:tcPr>
          <w:p w14:paraId="459C3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0.185</w:t>
            </w:r>
          </w:p>
        </w:tc>
      </w:tr>
      <w:tr w14:paraId="6191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2B5F86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1064" w:type="dxa"/>
            <w:shd w:val="clear" w:color="auto" w:fill="auto"/>
            <w:vAlign w:val="top"/>
          </w:tcPr>
          <w:p w14:paraId="2EBCE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1066" w:type="dxa"/>
            <w:shd w:val="clear" w:color="auto" w:fill="auto"/>
            <w:vAlign w:val="top"/>
          </w:tcPr>
          <w:p w14:paraId="58346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0.159</w:t>
            </w:r>
          </w:p>
        </w:tc>
        <w:tc>
          <w:tcPr>
            <w:tcW w:w="1066" w:type="dxa"/>
            <w:shd w:val="clear" w:color="auto" w:fill="auto"/>
            <w:vAlign w:val="top"/>
          </w:tcPr>
          <w:p w14:paraId="673F8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0.161</w:t>
            </w:r>
          </w:p>
        </w:tc>
        <w:tc>
          <w:tcPr>
            <w:tcW w:w="625" w:type="pct"/>
            <w:vAlign w:val="center"/>
          </w:tcPr>
          <w:p w14:paraId="1ADA2B1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1066" w:type="dxa"/>
            <w:shd w:val="clear" w:color="auto" w:fill="auto"/>
            <w:vAlign w:val="top"/>
          </w:tcPr>
          <w:p w14:paraId="36FB8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1066" w:type="dxa"/>
            <w:shd w:val="clear" w:color="auto" w:fill="auto"/>
            <w:vAlign w:val="top"/>
          </w:tcPr>
          <w:p w14:paraId="7A8A0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0.174</w:t>
            </w:r>
          </w:p>
        </w:tc>
        <w:tc>
          <w:tcPr>
            <w:tcW w:w="1068" w:type="dxa"/>
            <w:shd w:val="clear" w:color="auto" w:fill="auto"/>
            <w:vAlign w:val="top"/>
          </w:tcPr>
          <w:p w14:paraId="3676A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0.176</w:t>
            </w:r>
          </w:p>
        </w:tc>
      </w:tr>
      <w:tr w14:paraId="5FBE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46D02D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1064" w:type="dxa"/>
            <w:shd w:val="clear" w:color="auto" w:fill="auto"/>
            <w:vAlign w:val="top"/>
          </w:tcPr>
          <w:p w14:paraId="7C836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0.033</w:t>
            </w:r>
          </w:p>
        </w:tc>
        <w:tc>
          <w:tcPr>
            <w:tcW w:w="1066" w:type="dxa"/>
            <w:shd w:val="clear" w:color="auto" w:fill="auto"/>
            <w:vAlign w:val="top"/>
          </w:tcPr>
          <w:p w14:paraId="3E2BD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0.144</w:t>
            </w:r>
          </w:p>
        </w:tc>
        <w:tc>
          <w:tcPr>
            <w:tcW w:w="1066" w:type="dxa"/>
            <w:shd w:val="clear" w:color="auto" w:fill="auto"/>
            <w:vAlign w:val="top"/>
          </w:tcPr>
          <w:p w14:paraId="3CD75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0.148</w:t>
            </w:r>
          </w:p>
        </w:tc>
        <w:tc>
          <w:tcPr>
            <w:tcW w:w="625" w:type="pct"/>
            <w:vAlign w:val="center"/>
          </w:tcPr>
          <w:p w14:paraId="47B1D93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1066" w:type="dxa"/>
            <w:shd w:val="clear" w:color="auto" w:fill="auto"/>
            <w:vAlign w:val="top"/>
          </w:tcPr>
          <w:p w14:paraId="78B45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0.026</w:t>
            </w:r>
          </w:p>
        </w:tc>
        <w:tc>
          <w:tcPr>
            <w:tcW w:w="1066" w:type="dxa"/>
            <w:shd w:val="clear" w:color="auto" w:fill="auto"/>
            <w:vAlign w:val="top"/>
          </w:tcPr>
          <w:p w14:paraId="08D7F7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0.163</w:t>
            </w:r>
          </w:p>
        </w:tc>
        <w:tc>
          <w:tcPr>
            <w:tcW w:w="1068" w:type="dxa"/>
            <w:shd w:val="clear" w:color="auto" w:fill="auto"/>
            <w:vAlign w:val="top"/>
          </w:tcPr>
          <w:p w14:paraId="2708E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0.165</w:t>
            </w:r>
          </w:p>
        </w:tc>
      </w:tr>
      <w:tr w14:paraId="50B3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49669C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1064" w:type="dxa"/>
            <w:shd w:val="clear" w:color="auto" w:fill="auto"/>
            <w:vAlign w:val="top"/>
          </w:tcPr>
          <w:p w14:paraId="19728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066" w:type="dxa"/>
            <w:shd w:val="clear" w:color="auto" w:fill="auto"/>
            <w:vAlign w:val="top"/>
          </w:tcPr>
          <w:p w14:paraId="6638B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0.128</w:t>
            </w:r>
          </w:p>
        </w:tc>
        <w:tc>
          <w:tcPr>
            <w:tcW w:w="1066" w:type="dxa"/>
            <w:shd w:val="clear" w:color="auto" w:fill="auto"/>
            <w:vAlign w:val="top"/>
          </w:tcPr>
          <w:p w14:paraId="29CC5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0.134</w:t>
            </w:r>
          </w:p>
        </w:tc>
        <w:tc>
          <w:tcPr>
            <w:tcW w:w="625" w:type="pct"/>
            <w:vAlign w:val="center"/>
          </w:tcPr>
          <w:p w14:paraId="0C0FE2F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1066" w:type="dxa"/>
            <w:shd w:val="clear" w:color="auto" w:fill="auto"/>
            <w:vAlign w:val="top"/>
          </w:tcPr>
          <w:p w14:paraId="6B647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1066" w:type="dxa"/>
            <w:shd w:val="clear" w:color="auto" w:fill="auto"/>
            <w:vAlign w:val="top"/>
          </w:tcPr>
          <w:p w14:paraId="4BAFED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0.149</w:t>
            </w:r>
          </w:p>
        </w:tc>
        <w:tc>
          <w:tcPr>
            <w:tcW w:w="1068" w:type="dxa"/>
            <w:shd w:val="clear" w:color="auto" w:fill="auto"/>
            <w:vAlign w:val="top"/>
          </w:tcPr>
          <w:p w14:paraId="70B1A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0.152</w:t>
            </w:r>
          </w:p>
        </w:tc>
      </w:tr>
      <w:tr w14:paraId="1F55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7E320C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1064" w:type="dxa"/>
            <w:shd w:val="clear" w:color="auto" w:fill="auto"/>
            <w:vAlign w:val="top"/>
          </w:tcPr>
          <w:p w14:paraId="05A3C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0.047</w:t>
            </w:r>
          </w:p>
        </w:tc>
        <w:tc>
          <w:tcPr>
            <w:tcW w:w="1066" w:type="dxa"/>
            <w:shd w:val="clear" w:color="auto" w:fill="auto"/>
            <w:vAlign w:val="top"/>
          </w:tcPr>
          <w:p w14:paraId="53288F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0.111</w:t>
            </w:r>
          </w:p>
        </w:tc>
        <w:tc>
          <w:tcPr>
            <w:tcW w:w="1066" w:type="dxa"/>
            <w:shd w:val="clear" w:color="auto" w:fill="auto"/>
            <w:vAlign w:val="top"/>
          </w:tcPr>
          <w:p w14:paraId="06D60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625" w:type="pct"/>
            <w:vAlign w:val="center"/>
          </w:tcPr>
          <w:p w14:paraId="7035B6C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1066" w:type="dxa"/>
            <w:shd w:val="clear" w:color="auto" w:fill="auto"/>
            <w:vAlign w:val="top"/>
          </w:tcPr>
          <w:p w14:paraId="608E3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0.038</w:t>
            </w:r>
          </w:p>
        </w:tc>
        <w:tc>
          <w:tcPr>
            <w:tcW w:w="1066" w:type="dxa"/>
            <w:shd w:val="clear" w:color="auto" w:fill="auto"/>
            <w:vAlign w:val="top"/>
          </w:tcPr>
          <w:p w14:paraId="7E97B6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0.133</w:t>
            </w:r>
          </w:p>
        </w:tc>
        <w:tc>
          <w:tcPr>
            <w:tcW w:w="1068" w:type="dxa"/>
            <w:shd w:val="clear" w:color="auto" w:fill="auto"/>
            <w:vAlign w:val="top"/>
          </w:tcPr>
          <w:p w14:paraId="0E8D7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0.138</w:t>
            </w:r>
          </w:p>
        </w:tc>
      </w:tr>
      <w:tr w14:paraId="1F83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B3C053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1064" w:type="dxa"/>
            <w:shd w:val="clear" w:color="auto" w:fill="auto"/>
            <w:vAlign w:val="top"/>
          </w:tcPr>
          <w:p w14:paraId="20E79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0.056</w:t>
            </w:r>
          </w:p>
        </w:tc>
        <w:tc>
          <w:tcPr>
            <w:tcW w:w="1066" w:type="dxa"/>
            <w:shd w:val="clear" w:color="auto" w:fill="auto"/>
            <w:vAlign w:val="top"/>
          </w:tcPr>
          <w:p w14:paraId="7E16F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0.095</w:t>
            </w:r>
          </w:p>
        </w:tc>
        <w:tc>
          <w:tcPr>
            <w:tcW w:w="1066" w:type="dxa"/>
            <w:shd w:val="clear" w:color="auto" w:fill="auto"/>
            <w:vAlign w:val="top"/>
          </w:tcPr>
          <w:p w14:paraId="1AC64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625" w:type="pct"/>
            <w:vAlign w:val="center"/>
          </w:tcPr>
          <w:p w14:paraId="68D1F0A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1066" w:type="dxa"/>
            <w:shd w:val="clear" w:color="auto" w:fill="auto"/>
            <w:vAlign w:val="top"/>
          </w:tcPr>
          <w:p w14:paraId="58A18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0.045</w:t>
            </w:r>
          </w:p>
        </w:tc>
        <w:tc>
          <w:tcPr>
            <w:tcW w:w="1066" w:type="dxa"/>
            <w:shd w:val="clear" w:color="auto" w:fill="auto"/>
            <w:vAlign w:val="top"/>
          </w:tcPr>
          <w:p w14:paraId="0F5B1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0.116</w:t>
            </w:r>
          </w:p>
        </w:tc>
        <w:tc>
          <w:tcPr>
            <w:tcW w:w="1068" w:type="dxa"/>
            <w:shd w:val="clear" w:color="auto" w:fill="auto"/>
            <w:vAlign w:val="top"/>
          </w:tcPr>
          <w:p w14:paraId="1D99E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0.124</w:t>
            </w:r>
          </w:p>
        </w:tc>
      </w:tr>
      <w:tr w14:paraId="0306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EAB8FF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1064" w:type="dxa"/>
            <w:shd w:val="clear" w:color="auto" w:fill="auto"/>
            <w:vAlign w:val="top"/>
          </w:tcPr>
          <w:p w14:paraId="52A1B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0.066</w:t>
            </w:r>
          </w:p>
        </w:tc>
        <w:tc>
          <w:tcPr>
            <w:tcW w:w="1066" w:type="dxa"/>
            <w:shd w:val="clear" w:color="auto" w:fill="auto"/>
            <w:vAlign w:val="top"/>
          </w:tcPr>
          <w:p w14:paraId="4DD08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0.089</w:t>
            </w:r>
          </w:p>
        </w:tc>
        <w:tc>
          <w:tcPr>
            <w:tcW w:w="1066" w:type="dxa"/>
            <w:shd w:val="clear" w:color="auto" w:fill="auto"/>
            <w:vAlign w:val="top"/>
          </w:tcPr>
          <w:p w14:paraId="77AA0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0.111</w:t>
            </w:r>
          </w:p>
        </w:tc>
        <w:tc>
          <w:tcPr>
            <w:tcW w:w="625" w:type="pct"/>
            <w:vAlign w:val="center"/>
          </w:tcPr>
          <w:p w14:paraId="69A7DAB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1066" w:type="dxa"/>
            <w:shd w:val="clear" w:color="auto" w:fill="auto"/>
            <w:vAlign w:val="top"/>
          </w:tcPr>
          <w:p w14:paraId="7D6DF7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0.053</w:t>
            </w:r>
          </w:p>
        </w:tc>
        <w:tc>
          <w:tcPr>
            <w:tcW w:w="1066" w:type="dxa"/>
            <w:shd w:val="clear" w:color="auto" w:fill="auto"/>
            <w:vAlign w:val="top"/>
          </w:tcPr>
          <w:p w14:paraId="582F3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0.099</w:t>
            </w:r>
          </w:p>
        </w:tc>
        <w:tc>
          <w:tcPr>
            <w:tcW w:w="1068" w:type="dxa"/>
            <w:shd w:val="clear" w:color="auto" w:fill="auto"/>
            <w:vAlign w:val="top"/>
          </w:tcPr>
          <w:p w14:paraId="60004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0.113</w:t>
            </w:r>
          </w:p>
        </w:tc>
      </w:tr>
      <w:tr w14:paraId="0E19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C98EF8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1064" w:type="dxa"/>
            <w:shd w:val="clear" w:color="auto" w:fill="auto"/>
            <w:vAlign w:val="top"/>
          </w:tcPr>
          <w:p w14:paraId="405A78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0.077</w:t>
            </w:r>
          </w:p>
        </w:tc>
        <w:tc>
          <w:tcPr>
            <w:tcW w:w="1066" w:type="dxa"/>
            <w:shd w:val="clear" w:color="auto" w:fill="auto"/>
            <w:vAlign w:val="top"/>
          </w:tcPr>
          <w:p w14:paraId="24538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0.101</w:t>
            </w:r>
          </w:p>
        </w:tc>
        <w:tc>
          <w:tcPr>
            <w:tcW w:w="1066" w:type="dxa"/>
            <w:shd w:val="clear" w:color="auto" w:fill="auto"/>
            <w:vAlign w:val="top"/>
          </w:tcPr>
          <w:p w14:paraId="107662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0.127</w:t>
            </w:r>
          </w:p>
        </w:tc>
        <w:tc>
          <w:tcPr>
            <w:tcW w:w="625" w:type="pct"/>
            <w:vAlign w:val="center"/>
          </w:tcPr>
          <w:p w14:paraId="57D2F18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1066" w:type="dxa"/>
            <w:shd w:val="clear" w:color="auto" w:fill="auto"/>
            <w:vAlign w:val="top"/>
          </w:tcPr>
          <w:p w14:paraId="180FF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0.062</w:t>
            </w:r>
          </w:p>
        </w:tc>
        <w:tc>
          <w:tcPr>
            <w:tcW w:w="1066" w:type="dxa"/>
            <w:shd w:val="clear" w:color="auto" w:fill="auto"/>
            <w:vAlign w:val="top"/>
          </w:tcPr>
          <w:p w14:paraId="034C7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068" w:type="dxa"/>
            <w:shd w:val="clear" w:color="auto" w:fill="auto"/>
            <w:vAlign w:val="top"/>
          </w:tcPr>
          <w:p w14:paraId="47235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0.109</w:t>
            </w:r>
          </w:p>
        </w:tc>
      </w:tr>
      <w:tr w14:paraId="4498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ECA189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1064" w:type="dxa"/>
            <w:shd w:val="clear" w:color="auto" w:fill="auto"/>
            <w:vAlign w:val="top"/>
          </w:tcPr>
          <w:p w14:paraId="6EC46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0.091</w:t>
            </w:r>
          </w:p>
        </w:tc>
        <w:tc>
          <w:tcPr>
            <w:tcW w:w="1066" w:type="dxa"/>
            <w:shd w:val="clear" w:color="auto" w:fill="auto"/>
            <w:vAlign w:val="top"/>
          </w:tcPr>
          <w:p w14:paraId="41F20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0.135</w:t>
            </w:r>
          </w:p>
        </w:tc>
        <w:tc>
          <w:tcPr>
            <w:tcW w:w="1066" w:type="dxa"/>
            <w:shd w:val="clear" w:color="auto" w:fill="auto"/>
            <w:vAlign w:val="top"/>
          </w:tcPr>
          <w:p w14:paraId="3B0A0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0.162</w:t>
            </w:r>
          </w:p>
        </w:tc>
        <w:tc>
          <w:tcPr>
            <w:tcW w:w="625" w:type="pct"/>
            <w:vAlign w:val="center"/>
          </w:tcPr>
          <w:p w14:paraId="24FC8C4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1066" w:type="dxa"/>
            <w:shd w:val="clear" w:color="auto" w:fill="auto"/>
            <w:vAlign w:val="top"/>
          </w:tcPr>
          <w:p w14:paraId="258CDD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0.074</w:t>
            </w:r>
          </w:p>
        </w:tc>
        <w:tc>
          <w:tcPr>
            <w:tcW w:w="1066" w:type="dxa"/>
            <w:shd w:val="clear" w:color="auto" w:fill="auto"/>
            <w:vAlign w:val="top"/>
          </w:tcPr>
          <w:p w14:paraId="04CA8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0.095</w:t>
            </w:r>
          </w:p>
        </w:tc>
        <w:tc>
          <w:tcPr>
            <w:tcW w:w="1068" w:type="dxa"/>
            <w:shd w:val="clear" w:color="auto" w:fill="auto"/>
            <w:vAlign w:val="top"/>
          </w:tcPr>
          <w:p w14:paraId="4B4C3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0.121</w:t>
            </w:r>
          </w:p>
        </w:tc>
      </w:tr>
      <w:tr w14:paraId="7E53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C0D691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1064" w:type="dxa"/>
            <w:shd w:val="clear" w:color="auto" w:fill="auto"/>
            <w:vAlign w:val="top"/>
          </w:tcPr>
          <w:p w14:paraId="117BF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0.106</w:t>
            </w:r>
          </w:p>
        </w:tc>
        <w:tc>
          <w:tcPr>
            <w:tcW w:w="1066" w:type="dxa"/>
            <w:shd w:val="clear" w:color="auto" w:fill="auto"/>
            <w:vAlign w:val="top"/>
          </w:tcPr>
          <w:p w14:paraId="3C71A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0.186</w:t>
            </w:r>
          </w:p>
        </w:tc>
        <w:tc>
          <w:tcPr>
            <w:tcW w:w="1066" w:type="dxa"/>
            <w:shd w:val="clear" w:color="auto" w:fill="auto"/>
            <w:vAlign w:val="top"/>
          </w:tcPr>
          <w:p w14:paraId="3AC61C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0.214</w:t>
            </w:r>
          </w:p>
        </w:tc>
        <w:tc>
          <w:tcPr>
            <w:tcW w:w="625" w:type="pct"/>
            <w:vAlign w:val="center"/>
          </w:tcPr>
          <w:p w14:paraId="2192FF9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1066" w:type="dxa"/>
            <w:shd w:val="clear" w:color="auto" w:fill="auto"/>
            <w:vAlign w:val="top"/>
          </w:tcPr>
          <w:p w14:paraId="3F9EB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0.086</w:t>
            </w:r>
          </w:p>
        </w:tc>
        <w:tc>
          <w:tcPr>
            <w:tcW w:w="1066" w:type="dxa"/>
            <w:shd w:val="clear" w:color="auto" w:fill="auto"/>
            <w:vAlign w:val="top"/>
          </w:tcPr>
          <w:p w14:paraId="648D3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0.123</w:t>
            </w:r>
          </w:p>
        </w:tc>
        <w:tc>
          <w:tcPr>
            <w:tcW w:w="1068" w:type="dxa"/>
            <w:shd w:val="clear" w:color="auto" w:fill="auto"/>
            <w:vAlign w:val="top"/>
          </w:tcPr>
          <w:p w14:paraId="55CC4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w:t>
            </w:r>
          </w:p>
        </w:tc>
      </w:tr>
      <w:tr w14:paraId="4170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CAE8D4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1064" w:type="dxa"/>
            <w:shd w:val="clear" w:color="auto" w:fill="auto"/>
            <w:vAlign w:val="top"/>
          </w:tcPr>
          <w:p w14:paraId="75DFE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0.123</w:t>
            </w:r>
          </w:p>
        </w:tc>
        <w:tc>
          <w:tcPr>
            <w:tcW w:w="1066" w:type="dxa"/>
            <w:shd w:val="clear" w:color="auto" w:fill="auto"/>
            <w:vAlign w:val="top"/>
          </w:tcPr>
          <w:p w14:paraId="0341D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0.252</w:t>
            </w:r>
          </w:p>
        </w:tc>
        <w:tc>
          <w:tcPr>
            <w:tcW w:w="1066" w:type="dxa"/>
            <w:shd w:val="clear" w:color="auto" w:fill="auto"/>
            <w:vAlign w:val="top"/>
          </w:tcPr>
          <w:p w14:paraId="47DA2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0.281</w:t>
            </w:r>
          </w:p>
        </w:tc>
        <w:tc>
          <w:tcPr>
            <w:tcW w:w="625" w:type="pct"/>
            <w:vAlign w:val="center"/>
          </w:tcPr>
          <w:p w14:paraId="510C63C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1066" w:type="dxa"/>
            <w:shd w:val="clear" w:color="auto" w:fill="auto"/>
            <w:vAlign w:val="top"/>
          </w:tcPr>
          <w:p w14:paraId="5A68F4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0.101</w:t>
            </w:r>
          </w:p>
        </w:tc>
        <w:tc>
          <w:tcPr>
            <w:tcW w:w="1066" w:type="dxa"/>
            <w:shd w:val="clear" w:color="auto" w:fill="auto"/>
            <w:vAlign w:val="top"/>
          </w:tcPr>
          <w:p w14:paraId="7B1E6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0.169</w:t>
            </w:r>
          </w:p>
        </w:tc>
        <w:tc>
          <w:tcPr>
            <w:tcW w:w="1068" w:type="dxa"/>
            <w:shd w:val="clear" w:color="auto" w:fill="auto"/>
            <w:vAlign w:val="top"/>
          </w:tcPr>
          <w:p w14:paraId="65AA2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0.197</w:t>
            </w:r>
          </w:p>
        </w:tc>
      </w:tr>
      <w:tr w14:paraId="1E2E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A6F91A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1064" w:type="dxa"/>
            <w:shd w:val="clear" w:color="auto" w:fill="auto"/>
            <w:vAlign w:val="top"/>
          </w:tcPr>
          <w:p w14:paraId="75BBD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0.143</w:t>
            </w:r>
          </w:p>
        </w:tc>
        <w:tc>
          <w:tcPr>
            <w:tcW w:w="1066" w:type="dxa"/>
            <w:shd w:val="clear" w:color="auto" w:fill="auto"/>
            <w:vAlign w:val="top"/>
          </w:tcPr>
          <w:p w14:paraId="08CF6C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0.333</w:t>
            </w:r>
          </w:p>
        </w:tc>
        <w:tc>
          <w:tcPr>
            <w:tcW w:w="1066" w:type="dxa"/>
            <w:shd w:val="clear" w:color="auto" w:fill="auto"/>
            <w:vAlign w:val="top"/>
          </w:tcPr>
          <w:p w14:paraId="010A0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0.362</w:t>
            </w:r>
          </w:p>
        </w:tc>
        <w:tc>
          <w:tcPr>
            <w:tcW w:w="625" w:type="pct"/>
            <w:vAlign w:val="center"/>
          </w:tcPr>
          <w:p w14:paraId="14265BA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1066" w:type="dxa"/>
            <w:shd w:val="clear" w:color="auto" w:fill="auto"/>
            <w:vAlign w:val="top"/>
          </w:tcPr>
          <w:p w14:paraId="61AB1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0.118</w:t>
            </w:r>
          </w:p>
        </w:tc>
        <w:tc>
          <w:tcPr>
            <w:tcW w:w="1066" w:type="dxa"/>
            <w:shd w:val="clear" w:color="auto" w:fill="auto"/>
            <w:vAlign w:val="top"/>
          </w:tcPr>
          <w:p w14:paraId="225E9D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0.231</w:t>
            </w:r>
          </w:p>
        </w:tc>
        <w:tc>
          <w:tcPr>
            <w:tcW w:w="1068" w:type="dxa"/>
            <w:shd w:val="clear" w:color="auto" w:fill="auto"/>
            <w:vAlign w:val="top"/>
          </w:tcPr>
          <w:p w14:paraId="5306B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0.259</w:t>
            </w:r>
          </w:p>
        </w:tc>
      </w:tr>
      <w:tr w14:paraId="2C84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D99D21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1064" w:type="dxa"/>
            <w:shd w:val="clear" w:color="auto" w:fill="auto"/>
            <w:vAlign w:val="top"/>
          </w:tcPr>
          <w:p w14:paraId="48B98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0.165</w:t>
            </w:r>
          </w:p>
        </w:tc>
        <w:tc>
          <w:tcPr>
            <w:tcW w:w="1066" w:type="dxa"/>
            <w:shd w:val="clear" w:color="auto" w:fill="auto"/>
            <w:vAlign w:val="top"/>
          </w:tcPr>
          <w:p w14:paraId="13557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0.429</w:t>
            </w:r>
          </w:p>
        </w:tc>
        <w:tc>
          <w:tcPr>
            <w:tcW w:w="1066" w:type="dxa"/>
            <w:shd w:val="clear" w:color="auto" w:fill="auto"/>
            <w:vAlign w:val="top"/>
          </w:tcPr>
          <w:p w14:paraId="4990A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625" w:type="pct"/>
            <w:vAlign w:val="center"/>
          </w:tcPr>
          <w:p w14:paraId="48B5715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1066" w:type="dxa"/>
            <w:shd w:val="clear" w:color="auto" w:fill="auto"/>
            <w:vAlign w:val="top"/>
          </w:tcPr>
          <w:p w14:paraId="3B982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0.137</w:t>
            </w:r>
          </w:p>
        </w:tc>
        <w:tc>
          <w:tcPr>
            <w:tcW w:w="1066" w:type="dxa"/>
            <w:shd w:val="clear" w:color="auto" w:fill="auto"/>
            <w:vAlign w:val="top"/>
          </w:tcPr>
          <w:p w14:paraId="1D874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0.307</w:t>
            </w:r>
          </w:p>
        </w:tc>
        <w:tc>
          <w:tcPr>
            <w:tcW w:w="1068" w:type="dxa"/>
            <w:shd w:val="clear" w:color="auto" w:fill="auto"/>
            <w:vAlign w:val="top"/>
          </w:tcPr>
          <w:p w14:paraId="71295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0.336</w:t>
            </w:r>
          </w:p>
        </w:tc>
      </w:tr>
      <w:tr w14:paraId="441F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81213C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1064" w:type="dxa"/>
            <w:shd w:val="clear" w:color="auto" w:fill="auto"/>
            <w:vAlign w:val="top"/>
          </w:tcPr>
          <w:p w14:paraId="55970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w:t>
            </w:r>
          </w:p>
        </w:tc>
        <w:tc>
          <w:tcPr>
            <w:tcW w:w="1066" w:type="dxa"/>
            <w:shd w:val="clear" w:color="auto" w:fill="auto"/>
            <w:vAlign w:val="top"/>
          </w:tcPr>
          <w:p w14:paraId="7C1A1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0.541</w:t>
            </w:r>
          </w:p>
        </w:tc>
        <w:tc>
          <w:tcPr>
            <w:tcW w:w="1066" w:type="dxa"/>
            <w:shd w:val="clear" w:color="auto" w:fill="auto"/>
            <w:vAlign w:val="top"/>
          </w:tcPr>
          <w:p w14:paraId="121F1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0.573</w:t>
            </w:r>
          </w:p>
        </w:tc>
        <w:tc>
          <w:tcPr>
            <w:tcW w:w="625" w:type="pct"/>
            <w:vAlign w:val="center"/>
          </w:tcPr>
          <w:p w14:paraId="3F67084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1066" w:type="dxa"/>
            <w:shd w:val="clear" w:color="auto" w:fill="auto"/>
            <w:vAlign w:val="top"/>
          </w:tcPr>
          <w:p w14:paraId="71B59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0.158</w:t>
            </w:r>
          </w:p>
        </w:tc>
        <w:tc>
          <w:tcPr>
            <w:tcW w:w="1066" w:type="dxa"/>
            <w:shd w:val="clear" w:color="auto" w:fill="auto"/>
            <w:vAlign w:val="top"/>
          </w:tcPr>
          <w:p w14:paraId="32242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0.398</w:t>
            </w:r>
          </w:p>
        </w:tc>
        <w:tc>
          <w:tcPr>
            <w:tcW w:w="1068" w:type="dxa"/>
            <w:shd w:val="clear" w:color="auto" w:fill="auto"/>
            <w:vAlign w:val="top"/>
          </w:tcPr>
          <w:p w14:paraId="6E9BF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0.429</w:t>
            </w:r>
          </w:p>
        </w:tc>
      </w:tr>
      <w:tr w14:paraId="071E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130F10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1064" w:type="dxa"/>
            <w:shd w:val="clear" w:color="auto" w:fill="auto"/>
            <w:vAlign w:val="top"/>
          </w:tcPr>
          <w:p w14:paraId="16D4F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0.214</w:t>
            </w:r>
          </w:p>
        </w:tc>
        <w:tc>
          <w:tcPr>
            <w:tcW w:w="1066" w:type="dxa"/>
            <w:shd w:val="clear" w:color="auto" w:fill="auto"/>
            <w:vAlign w:val="top"/>
          </w:tcPr>
          <w:p w14:paraId="4C5A59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1066" w:type="dxa"/>
            <w:shd w:val="clear" w:color="auto" w:fill="auto"/>
            <w:vAlign w:val="top"/>
          </w:tcPr>
          <w:p w14:paraId="7A0F44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0.703</w:t>
            </w:r>
          </w:p>
        </w:tc>
        <w:tc>
          <w:tcPr>
            <w:tcW w:w="625" w:type="pct"/>
            <w:vAlign w:val="center"/>
          </w:tcPr>
          <w:p w14:paraId="78E3153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1066" w:type="dxa"/>
            <w:shd w:val="clear" w:color="auto" w:fill="auto"/>
            <w:vAlign w:val="top"/>
          </w:tcPr>
          <w:p w14:paraId="61CF6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0.181</w:t>
            </w:r>
          </w:p>
        </w:tc>
        <w:tc>
          <w:tcPr>
            <w:tcW w:w="1066" w:type="dxa"/>
            <w:shd w:val="clear" w:color="auto" w:fill="auto"/>
            <w:vAlign w:val="top"/>
          </w:tcPr>
          <w:p w14:paraId="1B7CA1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0.505</w:t>
            </w:r>
          </w:p>
        </w:tc>
        <w:tc>
          <w:tcPr>
            <w:tcW w:w="1068" w:type="dxa"/>
            <w:shd w:val="clear" w:color="auto" w:fill="auto"/>
            <w:vAlign w:val="top"/>
          </w:tcPr>
          <w:p w14:paraId="1C079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0.537</w:t>
            </w:r>
          </w:p>
        </w:tc>
      </w:tr>
      <w:tr w14:paraId="6FE8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0D8121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1064" w:type="dxa"/>
            <w:shd w:val="clear" w:color="auto" w:fill="auto"/>
            <w:vAlign w:val="top"/>
          </w:tcPr>
          <w:p w14:paraId="37D551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066" w:type="dxa"/>
            <w:shd w:val="clear" w:color="auto" w:fill="auto"/>
            <w:vAlign w:val="top"/>
          </w:tcPr>
          <w:p w14:paraId="5A9010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0.816</w:t>
            </w:r>
          </w:p>
        </w:tc>
        <w:tc>
          <w:tcPr>
            <w:tcW w:w="1066" w:type="dxa"/>
            <w:shd w:val="clear" w:color="auto" w:fill="auto"/>
            <w:vAlign w:val="top"/>
          </w:tcPr>
          <w:p w14:paraId="226E6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0.851</w:t>
            </w:r>
          </w:p>
        </w:tc>
        <w:tc>
          <w:tcPr>
            <w:tcW w:w="625" w:type="pct"/>
            <w:vAlign w:val="center"/>
          </w:tcPr>
          <w:p w14:paraId="69156A5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1066" w:type="dxa"/>
            <w:shd w:val="clear" w:color="auto" w:fill="auto"/>
            <w:vAlign w:val="top"/>
          </w:tcPr>
          <w:p w14:paraId="08F8D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0.206</w:t>
            </w:r>
          </w:p>
        </w:tc>
        <w:tc>
          <w:tcPr>
            <w:tcW w:w="1066" w:type="dxa"/>
            <w:shd w:val="clear" w:color="auto" w:fill="auto"/>
            <w:vAlign w:val="top"/>
          </w:tcPr>
          <w:p w14:paraId="4E07AC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0.629</w:t>
            </w:r>
          </w:p>
        </w:tc>
        <w:tc>
          <w:tcPr>
            <w:tcW w:w="1068" w:type="dxa"/>
            <w:shd w:val="clear" w:color="auto" w:fill="auto"/>
            <w:vAlign w:val="top"/>
          </w:tcPr>
          <w:p w14:paraId="174ED3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0.662</w:t>
            </w:r>
          </w:p>
        </w:tc>
      </w:tr>
      <w:tr w14:paraId="5A2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D6F472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1064" w:type="dxa"/>
            <w:shd w:val="clear" w:color="auto" w:fill="auto"/>
            <w:vAlign w:val="top"/>
          </w:tcPr>
          <w:p w14:paraId="69C16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0.264</w:t>
            </w:r>
          </w:p>
        </w:tc>
        <w:tc>
          <w:tcPr>
            <w:tcW w:w="1066" w:type="dxa"/>
            <w:shd w:val="clear" w:color="auto" w:fill="auto"/>
            <w:vAlign w:val="top"/>
          </w:tcPr>
          <w:p w14:paraId="2FC33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0.981</w:t>
            </w:r>
          </w:p>
        </w:tc>
        <w:tc>
          <w:tcPr>
            <w:tcW w:w="1066" w:type="dxa"/>
            <w:shd w:val="clear" w:color="auto" w:fill="auto"/>
            <w:vAlign w:val="top"/>
          </w:tcPr>
          <w:p w14:paraId="024C84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1.016</w:t>
            </w:r>
          </w:p>
        </w:tc>
        <w:tc>
          <w:tcPr>
            <w:tcW w:w="625" w:type="pct"/>
            <w:vAlign w:val="center"/>
          </w:tcPr>
          <w:p w14:paraId="4D11F44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1066" w:type="dxa"/>
            <w:shd w:val="clear" w:color="auto" w:fill="auto"/>
            <w:vAlign w:val="top"/>
          </w:tcPr>
          <w:p w14:paraId="089F9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0.232</w:t>
            </w:r>
          </w:p>
        </w:tc>
        <w:tc>
          <w:tcPr>
            <w:tcW w:w="1066" w:type="dxa"/>
            <w:shd w:val="clear" w:color="auto" w:fill="auto"/>
            <w:vAlign w:val="top"/>
          </w:tcPr>
          <w:p w14:paraId="4C498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0.771</w:t>
            </w:r>
          </w:p>
        </w:tc>
        <w:tc>
          <w:tcPr>
            <w:tcW w:w="1068" w:type="dxa"/>
            <w:shd w:val="clear" w:color="auto" w:fill="auto"/>
            <w:vAlign w:val="top"/>
          </w:tcPr>
          <w:p w14:paraId="3A75A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0.805</w:t>
            </w:r>
          </w:p>
        </w:tc>
      </w:tr>
      <w:tr w14:paraId="04F4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8DA870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1064" w:type="dxa"/>
            <w:shd w:val="clear" w:color="auto" w:fill="auto"/>
            <w:vAlign w:val="top"/>
          </w:tcPr>
          <w:p w14:paraId="6325E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0.285</w:t>
            </w:r>
          </w:p>
        </w:tc>
        <w:tc>
          <w:tcPr>
            <w:tcW w:w="1066" w:type="dxa"/>
            <w:shd w:val="clear" w:color="auto" w:fill="auto"/>
            <w:vAlign w:val="top"/>
          </w:tcPr>
          <w:p w14:paraId="614DEF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1.162</w:t>
            </w:r>
          </w:p>
        </w:tc>
        <w:tc>
          <w:tcPr>
            <w:tcW w:w="1066" w:type="dxa"/>
            <w:shd w:val="clear" w:color="auto" w:fill="auto"/>
            <w:vAlign w:val="top"/>
          </w:tcPr>
          <w:p w14:paraId="01963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1.196</w:t>
            </w:r>
          </w:p>
        </w:tc>
        <w:tc>
          <w:tcPr>
            <w:tcW w:w="625" w:type="pct"/>
            <w:vAlign w:val="center"/>
          </w:tcPr>
          <w:p w14:paraId="5FBD5FB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1066" w:type="dxa"/>
            <w:shd w:val="clear" w:color="auto" w:fill="auto"/>
            <w:vAlign w:val="top"/>
          </w:tcPr>
          <w:p w14:paraId="7B172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0.257</w:t>
            </w:r>
          </w:p>
        </w:tc>
        <w:tc>
          <w:tcPr>
            <w:tcW w:w="1066" w:type="dxa"/>
            <w:shd w:val="clear" w:color="auto" w:fill="auto"/>
            <w:vAlign w:val="top"/>
          </w:tcPr>
          <w:p w14:paraId="6C928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0.93</w:t>
            </w:r>
          </w:p>
        </w:tc>
        <w:tc>
          <w:tcPr>
            <w:tcW w:w="1068" w:type="dxa"/>
            <w:shd w:val="clear" w:color="auto" w:fill="auto"/>
            <w:vAlign w:val="top"/>
          </w:tcPr>
          <w:p w14:paraId="15B6E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0.965</w:t>
            </w:r>
          </w:p>
        </w:tc>
      </w:tr>
      <w:tr w14:paraId="5C7E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845162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1064" w:type="dxa"/>
            <w:shd w:val="clear" w:color="auto" w:fill="auto"/>
            <w:vAlign w:val="top"/>
          </w:tcPr>
          <w:p w14:paraId="2C2D9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066" w:type="dxa"/>
            <w:shd w:val="clear" w:color="auto" w:fill="auto"/>
            <w:vAlign w:val="top"/>
          </w:tcPr>
          <w:p w14:paraId="6A5C4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1.356</w:t>
            </w:r>
          </w:p>
        </w:tc>
        <w:tc>
          <w:tcPr>
            <w:tcW w:w="1066" w:type="dxa"/>
            <w:shd w:val="clear" w:color="auto" w:fill="auto"/>
            <w:vAlign w:val="top"/>
          </w:tcPr>
          <w:p w14:paraId="25878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1.389</w:t>
            </w:r>
          </w:p>
        </w:tc>
        <w:tc>
          <w:tcPr>
            <w:tcW w:w="625" w:type="pct"/>
            <w:vAlign w:val="center"/>
          </w:tcPr>
          <w:p w14:paraId="4CEAA21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1066" w:type="dxa"/>
            <w:shd w:val="clear" w:color="auto" w:fill="auto"/>
            <w:vAlign w:val="top"/>
          </w:tcPr>
          <w:p w14:paraId="661E5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0.279</w:t>
            </w:r>
          </w:p>
        </w:tc>
        <w:tc>
          <w:tcPr>
            <w:tcW w:w="1066" w:type="dxa"/>
            <w:shd w:val="clear" w:color="auto" w:fill="auto"/>
            <w:vAlign w:val="top"/>
          </w:tcPr>
          <w:p w14:paraId="779E1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1.106</w:t>
            </w:r>
          </w:p>
        </w:tc>
        <w:tc>
          <w:tcPr>
            <w:tcW w:w="1068" w:type="dxa"/>
            <w:shd w:val="clear" w:color="auto" w:fill="auto"/>
            <w:vAlign w:val="top"/>
          </w:tcPr>
          <w:p w14:paraId="63727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1.141</w:t>
            </w:r>
          </w:p>
        </w:tc>
      </w:tr>
      <w:tr w14:paraId="6B0C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B9A179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1064" w:type="dxa"/>
            <w:shd w:val="clear" w:color="auto" w:fill="auto"/>
            <w:vAlign w:val="top"/>
          </w:tcPr>
          <w:p w14:paraId="3090A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0.305</w:t>
            </w:r>
          </w:p>
        </w:tc>
        <w:tc>
          <w:tcPr>
            <w:tcW w:w="1066" w:type="dxa"/>
            <w:shd w:val="clear" w:color="auto" w:fill="auto"/>
            <w:vAlign w:val="top"/>
          </w:tcPr>
          <w:p w14:paraId="54273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066" w:type="dxa"/>
            <w:shd w:val="clear" w:color="auto" w:fill="auto"/>
            <w:vAlign w:val="top"/>
          </w:tcPr>
          <w:p w14:paraId="483B7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1.589</w:t>
            </w:r>
          </w:p>
        </w:tc>
        <w:tc>
          <w:tcPr>
            <w:tcW w:w="625" w:type="pct"/>
            <w:vAlign w:val="center"/>
          </w:tcPr>
          <w:p w14:paraId="0FEDFED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1066" w:type="dxa"/>
            <w:shd w:val="clear" w:color="auto" w:fill="auto"/>
            <w:vAlign w:val="top"/>
          </w:tcPr>
          <w:p w14:paraId="4F2989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0.296</w:t>
            </w:r>
          </w:p>
        </w:tc>
        <w:tc>
          <w:tcPr>
            <w:tcW w:w="1066" w:type="dxa"/>
            <w:shd w:val="clear" w:color="auto" w:fill="auto"/>
            <w:vAlign w:val="top"/>
          </w:tcPr>
          <w:p w14:paraId="44916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1.297</w:t>
            </w:r>
          </w:p>
        </w:tc>
        <w:tc>
          <w:tcPr>
            <w:tcW w:w="1068" w:type="dxa"/>
            <w:shd w:val="clear" w:color="auto" w:fill="auto"/>
            <w:vAlign w:val="top"/>
          </w:tcPr>
          <w:p w14:paraId="4A02E1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w:t>
            </w:r>
          </w:p>
        </w:tc>
      </w:tr>
      <w:tr w14:paraId="3310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8038E4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1064" w:type="dxa"/>
            <w:shd w:val="clear" w:color="auto" w:fill="auto"/>
            <w:vAlign w:val="top"/>
          </w:tcPr>
          <w:p w14:paraId="72AC8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0.298</w:t>
            </w:r>
          </w:p>
        </w:tc>
        <w:tc>
          <w:tcPr>
            <w:tcW w:w="1066" w:type="dxa"/>
            <w:shd w:val="clear" w:color="auto" w:fill="auto"/>
            <w:vAlign w:val="top"/>
          </w:tcPr>
          <w:p w14:paraId="3A34B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1.764</w:t>
            </w:r>
          </w:p>
        </w:tc>
        <w:tc>
          <w:tcPr>
            <w:tcW w:w="1066" w:type="dxa"/>
            <w:shd w:val="clear" w:color="auto" w:fill="auto"/>
            <w:vAlign w:val="top"/>
          </w:tcPr>
          <w:p w14:paraId="7E1271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1.789</w:t>
            </w:r>
          </w:p>
        </w:tc>
        <w:tc>
          <w:tcPr>
            <w:tcW w:w="625" w:type="pct"/>
            <w:vAlign w:val="center"/>
          </w:tcPr>
          <w:p w14:paraId="02E5B88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1066" w:type="dxa"/>
            <w:shd w:val="clear" w:color="auto" w:fill="auto"/>
            <w:vAlign w:val="top"/>
          </w:tcPr>
          <w:p w14:paraId="3AF43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0.305</w:t>
            </w:r>
          </w:p>
        </w:tc>
        <w:tc>
          <w:tcPr>
            <w:tcW w:w="1066" w:type="dxa"/>
            <w:shd w:val="clear" w:color="auto" w:fill="auto"/>
            <w:vAlign w:val="top"/>
          </w:tcPr>
          <w:p w14:paraId="725577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1.498</w:t>
            </w:r>
          </w:p>
        </w:tc>
        <w:tc>
          <w:tcPr>
            <w:tcW w:w="1068" w:type="dxa"/>
            <w:shd w:val="clear" w:color="auto" w:fill="auto"/>
            <w:vAlign w:val="top"/>
          </w:tcPr>
          <w:p w14:paraId="022D5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1.529</w:t>
            </w:r>
          </w:p>
        </w:tc>
      </w:tr>
      <w:tr w14:paraId="1F0F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6FA36E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1064" w:type="dxa"/>
            <w:shd w:val="clear" w:color="auto" w:fill="auto"/>
            <w:vAlign w:val="top"/>
          </w:tcPr>
          <w:p w14:paraId="749FA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0.276</w:t>
            </w:r>
          </w:p>
        </w:tc>
        <w:tc>
          <w:tcPr>
            <w:tcW w:w="1066" w:type="dxa"/>
            <w:shd w:val="clear" w:color="auto" w:fill="auto"/>
            <w:vAlign w:val="top"/>
          </w:tcPr>
          <w:p w14:paraId="5E857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1.96</w:t>
            </w:r>
          </w:p>
        </w:tc>
        <w:tc>
          <w:tcPr>
            <w:tcW w:w="1066" w:type="dxa"/>
            <w:shd w:val="clear" w:color="auto" w:fill="auto"/>
            <w:vAlign w:val="top"/>
          </w:tcPr>
          <w:p w14:paraId="20A37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1.979</w:t>
            </w:r>
          </w:p>
        </w:tc>
        <w:tc>
          <w:tcPr>
            <w:tcW w:w="625" w:type="pct"/>
            <w:vAlign w:val="center"/>
          </w:tcPr>
          <w:p w14:paraId="455E5E6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1066" w:type="dxa"/>
            <w:shd w:val="clear" w:color="auto" w:fill="auto"/>
            <w:vAlign w:val="top"/>
          </w:tcPr>
          <w:p w14:paraId="775C7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0.302</w:t>
            </w:r>
          </w:p>
        </w:tc>
        <w:tc>
          <w:tcPr>
            <w:tcW w:w="1066" w:type="dxa"/>
            <w:shd w:val="clear" w:color="auto" w:fill="auto"/>
            <w:vAlign w:val="top"/>
          </w:tcPr>
          <w:p w14:paraId="25AC9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1.703</w:t>
            </w:r>
          </w:p>
        </w:tc>
        <w:tc>
          <w:tcPr>
            <w:tcW w:w="1068" w:type="dxa"/>
            <w:shd w:val="clear" w:color="auto" w:fill="auto"/>
            <w:vAlign w:val="top"/>
          </w:tcPr>
          <w:p w14:paraId="6E7F4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1.73</w:t>
            </w:r>
          </w:p>
        </w:tc>
      </w:tr>
      <w:tr w14:paraId="508F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1247D6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1064" w:type="dxa"/>
            <w:shd w:val="clear" w:color="auto" w:fill="auto"/>
            <w:vAlign w:val="top"/>
          </w:tcPr>
          <w:p w14:paraId="4FCA7C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066" w:type="dxa"/>
            <w:shd w:val="clear" w:color="auto" w:fill="auto"/>
            <w:vAlign w:val="top"/>
          </w:tcPr>
          <w:p w14:paraId="4C5B9E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2.137</w:t>
            </w:r>
          </w:p>
        </w:tc>
        <w:tc>
          <w:tcPr>
            <w:tcW w:w="1066" w:type="dxa"/>
            <w:shd w:val="clear" w:color="auto" w:fill="auto"/>
            <w:vAlign w:val="top"/>
          </w:tcPr>
          <w:p w14:paraId="57C7E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625" w:type="pct"/>
            <w:vAlign w:val="center"/>
          </w:tcPr>
          <w:p w14:paraId="0C4DD20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1066" w:type="dxa"/>
            <w:shd w:val="clear" w:color="auto" w:fill="auto"/>
            <w:vAlign w:val="top"/>
          </w:tcPr>
          <w:p w14:paraId="2D634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0.284</w:t>
            </w:r>
          </w:p>
        </w:tc>
        <w:tc>
          <w:tcPr>
            <w:tcW w:w="1066" w:type="dxa"/>
            <w:shd w:val="clear" w:color="auto" w:fill="auto"/>
            <w:vAlign w:val="top"/>
          </w:tcPr>
          <w:p w14:paraId="18BE1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1.903</w:t>
            </w:r>
          </w:p>
        </w:tc>
        <w:tc>
          <w:tcPr>
            <w:tcW w:w="1068" w:type="dxa"/>
            <w:shd w:val="clear" w:color="auto" w:fill="auto"/>
            <w:vAlign w:val="top"/>
          </w:tcPr>
          <w:p w14:paraId="26D43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1.924</w:t>
            </w:r>
          </w:p>
        </w:tc>
      </w:tr>
      <w:tr w14:paraId="129D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B57DA9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1064" w:type="dxa"/>
            <w:shd w:val="clear" w:color="auto" w:fill="auto"/>
            <w:vAlign w:val="top"/>
          </w:tcPr>
          <w:p w14:paraId="549F0A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0.193</w:t>
            </w:r>
          </w:p>
        </w:tc>
        <w:tc>
          <w:tcPr>
            <w:tcW w:w="1066" w:type="dxa"/>
            <w:shd w:val="clear" w:color="auto" w:fill="auto"/>
            <w:vAlign w:val="top"/>
          </w:tcPr>
          <w:p w14:paraId="15BBA1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2.284</w:t>
            </w:r>
          </w:p>
        </w:tc>
        <w:tc>
          <w:tcPr>
            <w:tcW w:w="1066" w:type="dxa"/>
            <w:shd w:val="clear" w:color="auto" w:fill="auto"/>
            <w:vAlign w:val="top"/>
          </w:tcPr>
          <w:p w14:paraId="0CA5A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2.292</w:t>
            </w:r>
          </w:p>
        </w:tc>
        <w:tc>
          <w:tcPr>
            <w:tcW w:w="625" w:type="pct"/>
            <w:vAlign w:val="center"/>
          </w:tcPr>
          <w:p w14:paraId="6205B33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1066" w:type="dxa"/>
            <w:shd w:val="clear" w:color="auto" w:fill="auto"/>
            <w:vAlign w:val="top"/>
          </w:tcPr>
          <w:p w14:paraId="754E9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1066" w:type="dxa"/>
            <w:shd w:val="clear" w:color="auto" w:fill="auto"/>
            <w:vAlign w:val="top"/>
          </w:tcPr>
          <w:p w14:paraId="1CDC3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2.086</w:t>
            </w:r>
          </w:p>
        </w:tc>
        <w:tc>
          <w:tcPr>
            <w:tcW w:w="1068" w:type="dxa"/>
            <w:shd w:val="clear" w:color="auto" w:fill="auto"/>
            <w:vAlign w:val="top"/>
          </w:tcPr>
          <w:p w14:paraId="4D521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2.102</w:t>
            </w:r>
          </w:p>
        </w:tc>
      </w:tr>
      <w:tr w14:paraId="482B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87BF17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1064" w:type="dxa"/>
            <w:shd w:val="clear" w:color="auto" w:fill="auto"/>
            <w:vAlign w:val="top"/>
          </w:tcPr>
          <w:p w14:paraId="6688D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1066" w:type="dxa"/>
            <w:shd w:val="clear" w:color="auto" w:fill="auto"/>
            <w:vAlign w:val="top"/>
          </w:tcPr>
          <w:p w14:paraId="586F7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2.395</w:t>
            </w:r>
          </w:p>
        </w:tc>
        <w:tc>
          <w:tcPr>
            <w:tcW w:w="1066" w:type="dxa"/>
            <w:shd w:val="clear" w:color="auto" w:fill="auto"/>
            <w:vAlign w:val="top"/>
          </w:tcPr>
          <w:p w14:paraId="2211E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2.399</w:t>
            </w:r>
          </w:p>
        </w:tc>
        <w:tc>
          <w:tcPr>
            <w:tcW w:w="625" w:type="pct"/>
            <w:vAlign w:val="center"/>
          </w:tcPr>
          <w:p w14:paraId="616CFF7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1066" w:type="dxa"/>
            <w:shd w:val="clear" w:color="auto" w:fill="auto"/>
            <w:vAlign w:val="top"/>
          </w:tcPr>
          <w:p w14:paraId="4BD21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1066" w:type="dxa"/>
            <w:shd w:val="clear" w:color="auto" w:fill="auto"/>
            <w:vAlign w:val="top"/>
          </w:tcPr>
          <w:p w14:paraId="4939F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2.243</w:t>
            </w:r>
          </w:p>
        </w:tc>
        <w:tc>
          <w:tcPr>
            <w:tcW w:w="1068" w:type="dxa"/>
            <w:shd w:val="clear" w:color="auto" w:fill="auto"/>
            <w:vAlign w:val="top"/>
          </w:tcPr>
          <w:p w14:paraId="7D021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2.253</w:t>
            </w:r>
          </w:p>
        </w:tc>
      </w:tr>
      <w:tr w14:paraId="1392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C31497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1064" w:type="dxa"/>
            <w:shd w:val="clear" w:color="auto" w:fill="auto"/>
            <w:vAlign w:val="top"/>
          </w:tcPr>
          <w:p w14:paraId="65B7A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0.088</w:t>
            </w:r>
          </w:p>
        </w:tc>
        <w:tc>
          <w:tcPr>
            <w:tcW w:w="1066" w:type="dxa"/>
            <w:shd w:val="clear" w:color="auto" w:fill="auto"/>
            <w:vAlign w:val="top"/>
          </w:tcPr>
          <w:p w14:paraId="233DA6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2.468</w:t>
            </w:r>
          </w:p>
        </w:tc>
        <w:tc>
          <w:tcPr>
            <w:tcW w:w="1066" w:type="dxa"/>
            <w:shd w:val="clear" w:color="auto" w:fill="auto"/>
            <w:vAlign w:val="top"/>
          </w:tcPr>
          <w:p w14:paraId="0AADC2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2.47</w:t>
            </w:r>
          </w:p>
        </w:tc>
        <w:tc>
          <w:tcPr>
            <w:tcW w:w="625" w:type="pct"/>
            <w:vAlign w:val="center"/>
          </w:tcPr>
          <w:p w14:paraId="185C4D1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1066" w:type="dxa"/>
            <w:shd w:val="clear" w:color="auto" w:fill="auto"/>
            <w:vAlign w:val="top"/>
          </w:tcPr>
          <w:p w14:paraId="3ADAF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0.156</w:t>
            </w:r>
          </w:p>
        </w:tc>
        <w:tc>
          <w:tcPr>
            <w:tcW w:w="1066" w:type="dxa"/>
            <w:shd w:val="clear" w:color="auto" w:fill="auto"/>
            <w:vAlign w:val="top"/>
          </w:tcPr>
          <w:p w14:paraId="79E338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2.366</w:t>
            </w:r>
          </w:p>
        </w:tc>
        <w:tc>
          <w:tcPr>
            <w:tcW w:w="1068" w:type="dxa"/>
            <w:shd w:val="clear" w:color="auto" w:fill="auto"/>
            <w:vAlign w:val="top"/>
          </w:tcPr>
          <w:p w14:paraId="03924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2.371</w:t>
            </w:r>
          </w:p>
        </w:tc>
      </w:tr>
      <w:tr w14:paraId="0C04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80CD2F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1064" w:type="dxa"/>
            <w:shd w:val="clear" w:color="auto" w:fill="auto"/>
            <w:vAlign w:val="top"/>
          </w:tcPr>
          <w:p w14:paraId="2C7A1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0.045</w:t>
            </w:r>
          </w:p>
        </w:tc>
        <w:tc>
          <w:tcPr>
            <w:tcW w:w="1066" w:type="dxa"/>
            <w:shd w:val="clear" w:color="auto" w:fill="auto"/>
            <w:vAlign w:val="top"/>
          </w:tcPr>
          <w:p w14:paraId="3A60F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2.507</w:t>
            </w:r>
          </w:p>
        </w:tc>
        <w:tc>
          <w:tcPr>
            <w:tcW w:w="1066" w:type="dxa"/>
            <w:shd w:val="clear" w:color="auto" w:fill="auto"/>
            <w:vAlign w:val="top"/>
          </w:tcPr>
          <w:p w14:paraId="6649F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2.507</w:t>
            </w:r>
          </w:p>
        </w:tc>
        <w:tc>
          <w:tcPr>
            <w:tcW w:w="625" w:type="pct"/>
            <w:vAlign w:val="center"/>
          </w:tcPr>
          <w:p w14:paraId="44F7865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1066" w:type="dxa"/>
            <w:shd w:val="clear" w:color="auto" w:fill="auto"/>
            <w:vAlign w:val="top"/>
          </w:tcPr>
          <w:p w14:paraId="5EE9E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0.103</w:t>
            </w:r>
          </w:p>
        </w:tc>
        <w:tc>
          <w:tcPr>
            <w:tcW w:w="1066" w:type="dxa"/>
            <w:shd w:val="clear" w:color="auto" w:fill="auto"/>
            <w:vAlign w:val="top"/>
          </w:tcPr>
          <w:p w14:paraId="25190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068" w:type="dxa"/>
            <w:shd w:val="clear" w:color="auto" w:fill="auto"/>
            <w:vAlign w:val="top"/>
          </w:tcPr>
          <w:p w14:paraId="03A8C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2.452</w:t>
            </w:r>
          </w:p>
        </w:tc>
      </w:tr>
      <w:tr w14:paraId="166A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CEB8D1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1064" w:type="dxa"/>
            <w:shd w:val="clear" w:color="auto" w:fill="auto"/>
            <w:vAlign w:val="top"/>
          </w:tcPr>
          <w:p w14:paraId="263A3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0.017</w:t>
            </w:r>
          </w:p>
        </w:tc>
        <w:tc>
          <w:tcPr>
            <w:tcW w:w="1066" w:type="dxa"/>
            <w:shd w:val="clear" w:color="auto" w:fill="auto"/>
            <w:vAlign w:val="top"/>
          </w:tcPr>
          <w:p w14:paraId="69F395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2.519</w:t>
            </w:r>
          </w:p>
        </w:tc>
        <w:tc>
          <w:tcPr>
            <w:tcW w:w="1066" w:type="dxa"/>
            <w:shd w:val="clear" w:color="auto" w:fill="auto"/>
            <w:vAlign w:val="top"/>
          </w:tcPr>
          <w:p w14:paraId="665626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2.519</w:t>
            </w:r>
          </w:p>
        </w:tc>
        <w:tc>
          <w:tcPr>
            <w:tcW w:w="625" w:type="pct"/>
            <w:vAlign w:val="center"/>
          </w:tcPr>
          <w:p w14:paraId="2073510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1066" w:type="dxa"/>
            <w:shd w:val="clear" w:color="auto" w:fill="auto"/>
            <w:vAlign w:val="top"/>
          </w:tcPr>
          <w:p w14:paraId="76A02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0.056</w:t>
            </w:r>
          </w:p>
        </w:tc>
        <w:tc>
          <w:tcPr>
            <w:tcW w:w="1066" w:type="dxa"/>
            <w:shd w:val="clear" w:color="auto" w:fill="auto"/>
            <w:vAlign w:val="top"/>
          </w:tcPr>
          <w:p w14:paraId="229FE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2.498</w:t>
            </w:r>
          </w:p>
        </w:tc>
        <w:tc>
          <w:tcPr>
            <w:tcW w:w="1068" w:type="dxa"/>
            <w:shd w:val="clear" w:color="auto" w:fill="auto"/>
            <w:vAlign w:val="top"/>
          </w:tcPr>
          <w:p w14:paraId="31A5DA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2.499</w:t>
            </w:r>
          </w:p>
        </w:tc>
      </w:tr>
      <w:tr w14:paraId="4D02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43E401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1064" w:type="dxa"/>
            <w:shd w:val="clear" w:color="auto" w:fill="auto"/>
            <w:vAlign w:val="top"/>
          </w:tcPr>
          <w:p w14:paraId="7C804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66" w:type="dxa"/>
            <w:shd w:val="clear" w:color="auto" w:fill="auto"/>
            <w:vAlign w:val="top"/>
          </w:tcPr>
          <w:p w14:paraId="2788A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2.515</w:t>
            </w:r>
          </w:p>
        </w:tc>
        <w:tc>
          <w:tcPr>
            <w:tcW w:w="1066" w:type="dxa"/>
            <w:shd w:val="clear" w:color="auto" w:fill="auto"/>
            <w:vAlign w:val="top"/>
          </w:tcPr>
          <w:p w14:paraId="39A5B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2.515</w:t>
            </w:r>
          </w:p>
        </w:tc>
        <w:tc>
          <w:tcPr>
            <w:tcW w:w="625" w:type="pct"/>
            <w:vAlign w:val="center"/>
          </w:tcPr>
          <w:p w14:paraId="18FB184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1066" w:type="dxa"/>
            <w:shd w:val="clear" w:color="auto" w:fill="auto"/>
            <w:vAlign w:val="top"/>
          </w:tcPr>
          <w:p w14:paraId="4C4AC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0.023</w:t>
            </w:r>
          </w:p>
        </w:tc>
        <w:tc>
          <w:tcPr>
            <w:tcW w:w="1066" w:type="dxa"/>
            <w:shd w:val="clear" w:color="auto" w:fill="auto"/>
            <w:vAlign w:val="top"/>
          </w:tcPr>
          <w:p w14:paraId="0881DA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2.517</w:t>
            </w:r>
          </w:p>
        </w:tc>
        <w:tc>
          <w:tcPr>
            <w:tcW w:w="1068" w:type="dxa"/>
            <w:shd w:val="clear" w:color="auto" w:fill="auto"/>
            <w:vAlign w:val="top"/>
          </w:tcPr>
          <w:p w14:paraId="4DD4A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2.517</w:t>
            </w:r>
          </w:p>
        </w:tc>
      </w:tr>
      <w:tr w14:paraId="56E8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0A9019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1064" w:type="dxa"/>
            <w:shd w:val="clear" w:color="auto" w:fill="auto"/>
            <w:vAlign w:val="top"/>
          </w:tcPr>
          <w:p w14:paraId="492FE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1066" w:type="dxa"/>
            <w:shd w:val="clear" w:color="auto" w:fill="auto"/>
            <w:vAlign w:val="top"/>
          </w:tcPr>
          <w:p w14:paraId="4D5B0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2.507</w:t>
            </w:r>
          </w:p>
        </w:tc>
        <w:tc>
          <w:tcPr>
            <w:tcW w:w="1066" w:type="dxa"/>
            <w:shd w:val="clear" w:color="auto" w:fill="auto"/>
            <w:vAlign w:val="top"/>
          </w:tcPr>
          <w:p w14:paraId="2D2AA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2.507</w:t>
            </w:r>
          </w:p>
        </w:tc>
        <w:tc>
          <w:tcPr>
            <w:tcW w:w="625" w:type="pct"/>
            <w:vAlign w:val="center"/>
          </w:tcPr>
          <w:p w14:paraId="6FBC9DB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1066" w:type="dxa"/>
            <w:shd w:val="clear" w:color="auto" w:fill="auto"/>
            <w:vAlign w:val="top"/>
          </w:tcPr>
          <w:p w14:paraId="23E05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66" w:type="dxa"/>
            <w:shd w:val="clear" w:color="auto" w:fill="auto"/>
            <w:vAlign w:val="top"/>
          </w:tcPr>
          <w:p w14:paraId="43968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2.517</w:t>
            </w:r>
          </w:p>
        </w:tc>
        <w:tc>
          <w:tcPr>
            <w:tcW w:w="1068" w:type="dxa"/>
            <w:shd w:val="clear" w:color="auto" w:fill="auto"/>
            <w:vAlign w:val="top"/>
          </w:tcPr>
          <w:p w14:paraId="49581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2.517</w:t>
            </w:r>
          </w:p>
        </w:tc>
      </w:tr>
      <w:tr w14:paraId="5A89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F313C6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1064" w:type="dxa"/>
            <w:shd w:val="clear" w:color="auto" w:fill="auto"/>
            <w:vAlign w:val="top"/>
          </w:tcPr>
          <w:p w14:paraId="4B813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066" w:type="dxa"/>
            <w:shd w:val="clear" w:color="auto" w:fill="auto"/>
            <w:vAlign w:val="top"/>
          </w:tcPr>
          <w:p w14:paraId="716A2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2.501</w:t>
            </w:r>
          </w:p>
        </w:tc>
        <w:tc>
          <w:tcPr>
            <w:tcW w:w="1066" w:type="dxa"/>
            <w:shd w:val="clear" w:color="auto" w:fill="auto"/>
            <w:vAlign w:val="top"/>
          </w:tcPr>
          <w:p w14:paraId="64D49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2.501</w:t>
            </w:r>
          </w:p>
        </w:tc>
        <w:tc>
          <w:tcPr>
            <w:tcW w:w="625" w:type="pct"/>
            <w:vAlign w:val="center"/>
          </w:tcPr>
          <w:p w14:paraId="479A9C4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1066" w:type="dxa"/>
            <w:shd w:val="clear" w:color="auto" w:fill="auto"/>
            <w:vAlign w:val="top"/>
          </w:tcPr>
          <w:p w14:paraId="09689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66" w:type="dxa"/>
            <w:shd w:val="clear" w:color="auto" w:fill="auto"/>
            <w:vAlign w:val="top"/>
          </w:tcPr>
          <w:p w14:paraId="223237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2.509</w:t>
            </w:r>
          </w:p>
        </w:tc>
        <w:tc>
          <w:tcPr>
            <w:tcW w:w="1068" w:type="dxa"/>
            <w:shd w:val="clear" w:color="auto" w:fill="auto"/>
            <w:vAlign w:val="top"/>
          </w:tcPr>
          <w:p w14:paraId="526F84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2.509</w:t>
            </w:r>
          </w:p>
        </w:tc>
      </w:tr>
      <w:tr w14:paraId="2340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DB297A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1064" w:type="dxa"/>
            <w:shd w:val="clear" w:color="auto" w:fill="auto"/>
            <w:vAlign w:val="top"/>
          </w:tcPr>
          <w:p w14:paraId="73BAF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07EE6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2.502</w:t>
            </w:r>
          </w:p>
        </w:tc>
        <w:tc>
          <w:tcPr>
            <w:tcW w:w="1066" w:type="dxa"/>
            <w:shd w:val="clear" w:color="auto" w:fill="auto"/>
            <w:vAlign w:val="top"/>
          </w:tcPr>
          <w:p w14:paraId="25F07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2.502</w:t>
            </w:r>
          </w:p>
        </w:tc>
        <w:tc>
          <w:tcPr>
            <w:tcW w:w="625" w:type="pct"/>
            <w:vAlign w:val="center"/>
          </w:tcPr>
          <w:p w14:paraId="0BF6811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1066" w:type="dxa"/>
            <w:shd w:val="clear" w:color="auto" w:fill="auto"/>
            <w:vAlign w:val="top"/>
          </w:tcPr>
          <w:p w14:paraId="488E4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066" w:type="dxa"/>
            <w:shd w:val="clear" w:color="auto" w:fill="auto"/>
            <w:vAlign w:val="top"/>
          </w:tcPr>
          <w:p w14:paraId="0D3DC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2.502</w:t>
            </w:r>
          </w:p>
        </w:tc>
        <w:tc>
          <w:tcPr>
            <w:tcW w:w="1068" w:type="dxa"/>
            <w:shd w:val="clear" w:color="auto" w:fill="auto"/>
            <w:vAlign w:val="top"/>
          </w:tcPr>
          <w:p w14:paraId="76FE7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2.502</w:t>
            </w:r>
          </w:p>
        </w:tc>
      </w:tr>
    </w:tbl>
    <w:p w14:paraId="7AC7B090">
      <w:pPr>
        <w:tabs>
          <w:tab w:val="left" w:pos="700"/>
        </w:tabs>
        <w:spacing w:before="156" w:beforeLines="50" w:line="360" w:lineRule="auto"/>
        <w:ind w:firstLine="0" w:firstLineChars="0"/>
        <w:jc w:val="center"/>
        <w:rPr>
          <w:rFonts w:eastAsia="宋体" w:cs="Times New Roman"/>
          <w:b/>
          <w:color w:val="auto"/>
          <w:sz w:val="21"/>
          <w:szCs w:val="21"/>
          <w:highlight w:val="none"/>
        </w:rPr>
      </w:pPr>
      <w:r>
        <w:rPr>
          <w:color w:val="auto"/>
        </w:rPr>
        <w:drawing>
          <wp:inline distT="0" distB="0" distL="114300" distR="114300">
            <wp:extent cx="5272405" cy="3043555"/>
            <wp:effectExtent l="6350" t="6350" r="17145" b="17145"/>
            <wp:docPr id="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eastAsia="宋体" w:cs="Times New Roman"/>
          <w:b/>
          <w:color w:val="auto"/>
          <w:sz w:val="21"/>
          <w:szCs w:val="21"/>
          <w:highlight w:val="none"/>
        </w:rPr>
        <w:t>图5-</w:t>
      </w:r>
      <w:r>
        <w:rPr>
          <w:rFonts w:hint="eastAsia" w:eastAsia="宋体" w:cs="Times New Roman"/>
          <w:b/>
          <w:color w:val="auto"/>
          <w:sz w:val="21"/>
          <w:szCs w:val="21"/>
          <w:highlight w:val="none"/>
        </w:rPr>
        <w:t>4</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双回路</w:t>
      </w:r>
      <w:r>
        <w:rPr>
          <w:rFonts w:eastAsia="宋体" w:cs="Times New Roman"/>
          <w:b/>
          <w:color w:val="auto"/>
          <w:sz w:val="21"/>
          <w:szCs w:val="21"/>
          <w:highlight w:val="none"/>
        </w:rPr>
        <w:t>塔</w:t>
      </w:r>
      <w:r>
        <w:rPr>
          <w:rFonts w:hint="eastAsia" w:eastAsia="宋体" w:cs="Times New Roman"/>
          <w:b/>
          <w:bCs w:val="0"/>
          <w:color w:val="auto"/>
          <w:sz w:val="21"/>
          <w:szCs w:val="21"/>
          <w:highlight w:val="none"/>
          <w:lang w:val="en-US" w:eastAsia="zh-CN"/>
        </w:rPr>
        <w:t>型塔</w:t>
      </w:r>
      <w:r>
        <w:rPr>
          <w:rFonts w:eastAsia="宋体" w:cs="Times New Roman"/>
          <w:b/>
          <w:color w:val="auto"/>
          <w:sz w:val="21"/>
          <w:szCs w:val="21"/>
          <w:highlight w:val="none"/>
        </w:rPr>
        <w:t>工频电场强度的总体分布情况</w:t>
      </w:r>
    </w:p>
    <w:p w14:paraId="5C105C78">
      <w:pPr>
        <w:spacing w:line="480" w:lineRule="atLeast"/>
        <w:ind w:firstLine="480"/>
        <w:rPr>
          <w:color w:val="auto"/>
          <w:highlight w:val="none"/>
        </w:rPr>
      </w:pPr>
      <w:r>
        <w:rPr>
          <w:rFonts w:eastAsia="宋体" w:cs="Times New Roman"/>
          <w:color w:val="auto"/>
          <w:highlight w:val="none"/>
        </w:rPr>
        <w:t>由表5-</w:t>
      </w:r>
      <w:r>
        <w:rPr>
          <w:rFonts w:hint="eastAsia" w:eastAsia="宋体" w:cs="Times New Roman"/>
          <w:color w:val="auto"/>
          <w:highlight w:val="none"/>
        </w:rPr>
        <w:t>2~表5-3</w:t>
      </w:r>
      <w:r>
        <w:rPr>
          <w:rFonts w:eastAsia="宋体" w:cs="Times New Roman"/>
          <w:color w:val="auto"/>
          <w:highlight w:val="none"/>
        </w:rPr>
        <w:t>及图5-3</w:t>
      </w:r>
      <w:r>
        <w:rPr>
          <w:rFonts w:hint="eastAsia" w:eastAsia="宋体" w:cs="Times New Roman"/>
          <w:color w:val="auto"/>
          <w:highlight w:val="none"/>
        </w:rPr>
        <w:t>~图5-4</w:t>
      </w:r>
      <w:r>
        <w:rPr>
          <w:rFonts w:eastAsia="宋体" w:cs="Times New Roman"/>
          <w:color w:val="auto"/>
          <w:highlight w:val="none"/>
        </w:rPr>
        <w:t>可以看出，</w:t>
      </w:r>
      <w:r>
        <w:rPr>
          <w:rFonts w:hint="eastAsia" w:eastAsia="宋体" w:cs="Times New Roman"/>
          <w:color w:val="auto"/>
          <w:highlight w:val="none"/>
        </w:rPr>
        <w:t>设计最低弧垂</w:t>
      </w:r>
      <w:r>
        <w:rPr>
          <w:rFonts w:hint="eastAsia" w:eastAsia="宋体" w:cs="Times New Roman"/>
          <w:color w:val="auto"/>
          <w:highlight w:val="none"/>
          <w:lang w:val="en-US" w:eastAsia="zh-CN"/>
        </w:rPr>
        <w:t>11.3</w:t>
      </w:r>
      <w:r>
        <w:rPr>
          <w:rFonts w:hint="eastAsia" w:eastAsia="宋体" w:cs="Times New Roman"/>
          <w:color w:val="auto"/>
          <w:highlight w:val="none"/>
        </w:rPr>
        <w:t>5m架线高度时，</w:t>
      </w:r>
      <w:r>
        <w:rPr>
          <w:rFonts w:eastAsia="宋体" w:cs="Times New Roman"/>
          <w:color w:val="auto"/>
          <w:highlight w:val="none"/>
        </w:rPr>
        <w:t>工频</w:t>
      </w:r>
      <w:r>
        <w:rPr>
          <w:rFonts w:hint="eastAsia" w:eastAsia="宋体" w:cs="Times New Roman"/>
          <w:color w:val="auto"/>
          <w:highlight w:val="none"/>
        </w:rPr>
        <w:t>电场</w:t>
      </w:r>
      <w:r>
        <w:rPr>
          <w:rFonts w:eastAsia="宋体" w:cs="Times New Roman"/>
          <w:color w:val="auto"/>
          <w:highlight w:val="none"/>
        </w:rPr>
        <w:t>强度最大值出现在距线路中心线投影</w:t>
      </w:r>
      <w:r>
        <w:rPr>
          <w:rFonts w:hint="eastAsia" w:eastAsia="宋体" w:cs="Times New Roman"/>
          <w:color w:val="auto"/>
          <w:highlight w:val="none"/>
          <w:lang w:val="en-US" w:eastAsia="zh-CN"/>
        </w:rPr>
        <w:t>4</w:t>
      </w:r>
      <w:r>
        <w:rPr>
          <w:rFonts w:eastAsia="宋体" w:cs="Times New Roman"/>
          <w:color w:val="auto"/>
          <w:highlight w:val="none"/>
        </w:rPr>
        <w:t>m处，为</w:t>
      </w:r>
      <w:r>
        <w:rPr>
          <w:rFonts w:hint="eastAsia" w:eastAsia="宋体"/>
          <w:color w:val="auto"/>
          <w:highlight w:val="none"/>
          <w:lang w:val="en-US" w:eastAsia="zh-CN"/>
        </w:rPr>
        <w:t>2.519</w:t>
      </w:r>
      <w:r>
        <w:rPr>
          <w:rFonts w:hint="eastAsia"/>
          <w:color w:val="auto"/>
          <w:highlight w:val="none"/>
        </w:rPr>
        <w:t>kV/m</w:t>
      </w:r>
      <w:r>
        <w:rPr>
          <w:rFonts w:eastAsia="宋体" w:cs="Times New Roman"/>
          <w:color w:val="auto"/>
          <w:highlight w:val="none"/>
        </w:rPr>
        <w:t>，之后随与此点距离的增加，其值逐步降低，</w:t>
      </w:r>
      <w:r>
        <w:rPr>
          <w:rFonts w:hint="eastAsia" w:eastAsia="宋体" w:cs="Times New Roman"/>
          <w:color w:val="auto"/>
          <w:highlight w:val="none"/>
          <w:lang w:eastAsia="zh-CN"/>
        </w:rPr>
        <w:t>所有点位均符合</w:t>
      </w:r>
      <w:r>
        <w:rPr>
          <w:rFonts w:eastAsia="宋体" w:cs="Times New Roman"/>
          <w:color w:val="auto"/>
          <w:szCs w:val="24"/>
          <w:highlight w:val="none"/>
        </w:rPr>
        <w:t>《电磁环境控制限值》(GB8702-2014）中规定</w:t>
      </w:r>
      <w:r>
        <w:rPr>
          <w:rFonts w:eastAsia="宋体" w:cs="Times New Roman"/>
          <w:color w:val="auto"/>
          <w:highlight w:val="none"/>
        </w:rPr>
        <w:t>4kV/m</w:t>
      </w:r>
      <w:r>
        <w:rPr>
          <w:rFonts w:hint="eastAsia"/>
          <w:color w:val="auto"/>
          <w:highlight w:val="none"/>
        </w:rPr>
        <w:t>公众曝露控制限值要求</w:t>
      </w:r>
      <w:r>
        <w:rPr>
          <w:rFonts w:hint="eastAsia" w:eastAsia="宋体" w:cs="Times New Roman"/>
          <w:color w:val="auto"/>
          <w:highlight w:val="none"/>
        </w:rPr>
        <w:t>，线路下方均为林地、草地、耕地，无电磁环境保护目标，</w:t>
      </w:r>
      <w:r>
        <w:rPr>
          <w:rFonts w:eastAsia="宋体" w:cs="Times New Roman"/>
          <w:color w:val="auto"/>
          <w:highlight w:val="none"/>
        </w:rPr>
        <w:t>所有点位的工频</w:t>
      </w:r>
      <w:r>
        <w:rPr>
          <w:rFonts w:hint="eastAsia" w:eastAsia="宋体" w:cs="Times New Roman"/>
          <w:color w:val="auto"/>
          <w:highlight w:val="none"/>
        </w:rPr>
        <w:t>电场</w:t>
      </w:r>
      <w:r>
        <w:rPr>
          <w:rFonts w:eastAsia="宋体" w:cs="Times New Roman"/>
          <w:color w:val="auto"/>
          <w:highlight w:val="none"/>
        </w:rPr>
        <w:t>强度均</w:t>
      </w:r>
      <w:r>
        <w:rPr>
          <w:rFonts w:hint="eastAsia" w:eastAsia="宋体" w:cs="Times New Roman"/>
          <w:color w:val="auto"/>
          <w:highlight w:val="none"/>
        </w:rPr>
        <w:t>满足</w:t>
      </w:r>
      <w:r>
        <w:rPr>
          <w:rFonts w:hint="eastAsia"/>
          <w:color w:val="auto"/>
          <w:highlight w:val="none"/>
        </w:rPr>
        <w:t>，</w:t>
      </w:r>
      <w:r>
        <w:rPr>
          <w:rFonts w:hint="eastAsia" w:eastAsia="宋体" w:cs="Times New Roman"/>
          <w:color w:val="auto"/>
          <w:szCs w:val="24"/>
          <w:highlight w:val="none"/>
        </w:rPr>
        <w:t>其中</w:t>
      </w:r>
      <w:r>
        <w:rPr>
          <w:rFonts w:eastAsia="宋体" w:cs="Times New Roman"/>
          <w:color w:val="auto"/>
          <w:szCs w:val="24"/>
          <w:highlight w:val="none"/>
        </w:rPr>
        <w:t>架空输电线路线下的耕地、园地、牧草地、畜禽饲养地、养殖水面、道路等场所，电场强度</w:t>
      </w:r>
      <w:r>
        <w:rPr>
          <w:rFonts w:hint="eastAsia" w:eastAsia="宋体" w:cs="Times New Roman"/>
          <w:color w:val="auto"/>
          <w:szCs w:val="24"/>
          <w:highlight w:val="none"/>
        </w:rPr>
        <w:t>满足</w:t>
      </w:r>
      <w:r>
        <w:rPr>
          <w:rFonts w:eastAsia="宋体" w:cs="Times New Roman"/>
          <w:color w:val="auto"/>
          <w:szCs w:val="24"/>
          <w:highlight w:val="none"/>
        </w:rPr>
        <w:t>10kV/m</w:t>
      </w:r>
      <w:r>
        <w:rPr>
          <w:rFonts w:hint="eastAsia"/>
          <w:color w:val="auto"/>
          <w:highlight w:val="none"/>
        </w:rPr>
        <w:t>公众曝露控制限值要求</w:t>
      </w:r>
      <w:r>
        <w:rPr>
          <w:rFonts w:eastAsia="宋体" w:cs="Times New Roman"/>
          <w:color w:val="auto"/>
          <w:szCs w:val="24"/>
          <w:highlight w:val="none"/>
        </w:rPr>
        <w:t>。</w:t>
      </w:r>
    </w:p>
    <w:p w14:paraId="168DE92A">
      <w:pPr>
        <w:ind w:firstLine="480"/>
        <w:rPr>
          <w:rFonts w:eastAsia="宋体" w:cs="Times New Roman"/>
          <w:color w:val="auto"/>
          <w:highlight w:val="none"/>
        </w:rPr>
      </w:pPr>
      <w:r>
        <w:rPr>
          <w:rFonts w:eastAsia="宋体" w:cs="Times New Roman"/>
          <w:color w:val="auto"/>
          <w:highlight w:val="none"/>
        </w:rPr>
        <w:t>（2）</w:t>
      </w:r>
      <w:r>
        <w:rPr>
          <w:rFonts w:hint="eastAsia" w:eastAsia="宋体" w:cs="Times New Roman"/>
          <w:color w:val="auto"/>
          <w:highlight w:val="none"/>
        </w:rPr>
        <w:t>22</w:t>
      </w:r>
      <w:r>
        <w:rPr>
          <w:rFonts w:eastAsia="宋体" w:cs="Times New Roman"/>
          <w:color w:val="auto"/>
          <w:highlight w:val="none"/>
        </w:rPr>
        <w:t>0kV线路磁场预测</w:t>
      </w:r>
    </w:p>
    <w:p w14:paraId="311CCB35">
      <w:pPr>
        <w:ind w:left="110" w:leftChars="50" w:firstLine="330" w:firstLineChars="150"/>
        <w:rPr>
          <w:rFonts w:eastAsia="宋体" w:cs="Times New Roman"/>
          <w:color w:val="auto"/>
          <w:highlight w:val="none"/>
        </w:rPr>
      </w:pPr>
      <w:r>
        <w:rPr>
          <w:rFonts w:eastAsia="宋体" w:cs="Times New Roman"/>
          <w:color w:val="auto"/>
          <w:highlight w:val="none"/>
        </w:rPr>
        <w:t>根据《环境影响评价技术导则  输变电》（HJ24-2020）推荐的附录D模式进行预测计算</w:t>
      </w:r>
      <w:r>
        <w:rPr>
          <w:rFonts w:hint="eastAsia" w:eastAsia="宋体" w:cs="Times New Roman"/>
          <w:bCs/>
          <w:color w:val="auto"/>
          <w:highlight w:val="none"/>
          <w:lang w:val="en-US" w:eastAsia="zh-CN"/>
        </w:rPr>
        <w:t>22</w:t>
      </w:r>
      <w:r>
        <w:rPr>
          <w:rFonts w:eastAsia="宋体" w:cs="Times New Roman"/>
          <w:bCs/>
          <w:color w:val="auto"/>
          <w:highlight w:val="none"/>
        </w:rPr>
        <w:t>0kV</w:t>
      </w:r>
      <w:r>
        <w:rPr>
          <w:rFonts w:eastAsia="宋体" w:cs="Times New Roman"/>
          <w:color w:val="auto"/>
          <w:highlight w:val="none"/>
        </w:rPr>
        <w:t>导线下方A点处的磁场强度：</w:t>
      </w:r>
    </w:p>
    <w:p w14:paraId="675E4869">
      <w:pPr>
        <w:spacing w:line="480" w:lineRule="atLeast"/>
        <w:ind w:firstLine="480"/>
        <w:rPr>
          <w:rFonts w:eastAsia="宋体" w:cs="Times New Roman"/>
          <w:color w:val="auto"/>
          <w:highlight w:val="none"/>
        </w:rPr>
      </w:pPr>
      <w:r>
        <w:rPr>
          <w:rFonts w:eastAsia="宋体" w:cs="Times New Roman"/>
          <w:color w:val="auto"/>
          <w:position w:val="-30"/>
          <w:highlight w:val="none"/>
        </w:rPr>
        <w:object>
          <v:shape id="_x0000_i1062" o:spt="75" type="#_x0000_t75" style="height:44.4pt;width:107.2pt;" o:ole="t" filled="f" o:preferrelative="t" stroked="f" coordsize="21600,21600">
            <v:path/>
            <v:fill on="f" focussize="0,0"/>
            <v:stroke on="f" joinstyle="miter"/>
            <v:imagedata r:id="rId89" o:title=""/>
            <o:lock v:ext="edit" aspectratio="t"/>
            <w10:wrap type="none"/>
            <w10:anchorlock/>
          </v:shape>
          <o:OLEObject Type="Embed" ProgID="Equation.3" ShapeID="_x0000_i1062" DrawAspect="Content" ObjectID="_1468075743" r:id="rId88">
            <o:LockedField>false</o:LockedField>
          </o:OLEObject>
        </w:object>
      </w:r>
    </w:p>
    <w:p w14:paraId="4B2CFD31">
      <w:pPr>
        <w:spacing w:line="480" w:lineRule="atLeast"/>
        <w:ind w:firstLine="480"/>
        <w:rPr>
          <w:rFonts w:eastAsia="宋体" w:cs="Times New Roman"/>
          <w:color w:val="auto"/>
          <w:highlight w:val="none"/>
        </w:rPr>
      </w:pPr>
      <w:r>
        <w:rPr>
          <w:rFonts w:eastAsia="宋体" w:cs="Times New Roman"/>
          <w:color w:val="auto"/>
          <w:highlight w:val="none"/>
        </w:rPr>
        <w:t>式中：I--</w:t>
      </w:r>
      <w:r>
        <w:rPr>
          <w:rFonts w:hint="eastAsia" w:eastAsia="宋体" w:cs="Times New Roman"/>
          <w:color w:val="auto"/>
          <w:highlight w:val="none"/>
        </w:rPr>
        <w:t>-</w:t>
      </w:r>
      <w:r>
        <w:rPr>
          <w:rFonts w:eastAsia="宋体" w:cs="Times New Roman"/>
          <w:color w:val="auto"/>
          <w:highlight w:val="none"/>
        </w:rPr>
        <w:t>导线i中的电流值；</w:t>
      </w:r>
    </w:p>
    <w:p w14:paraId="2C7680DA">
      <w:pPr>
        <w:spacing w:line="480" w:lineRule="atLeast"/>
        <w:ind w:firstLine="1100" w:firstLineChars="500"/>
        <w:rPr>
          <w:rFonts w:eastAsia="宋体" w:cs="Times New Roman"/>
          <w:color w:val="auto"/>
          <w:highlight w:val="none"/>
        </w:rPr>
      </w:pPr>
      <w:r>
        <w:rPr>
          <w:rFonts w:eastAsia="宋体" w:cs="Times New Roman"/>
          <w:color w:val="auto"/>
          <w:highlight w:val="none"/>
        </w:rPr>
        <w:t>h--</w:t>
      </w:r>
      <w:r>
        <w:rPr>
          <w:rFonts w:hint="eastAsia" w:eastAsia="宋体" w:cs="Times New Roman"/>
          <w:color w:val="auto"/>
          <w:highlight w:val="none"/>
        </w:rPr>
        <w:t>-</w:t>
      </w:r>
      <w:r>
        <w:rPr>
          <w:rFonts w:eastAsia="宋体" w:cs="Times New Roman"/>
          <w:color w:val="auto"/>
          <w:highlight w:val="none"/>
        </w:rPr>
        <w:t>计算A点距导线的垂直高度；</w:t>
      </w:r>
    </w:p>
    <w:p w14:paraId="00EB80BB">
      <w:pPr>
        <w:spacing w:line="480" w:lineRule="atLeast"/>
        <w:ind w:firstLine="1045" w:firstLineChars="475"/>
        <w:rPr>
          <w:rFonts w:eastAsia="宋体" w:cs="Times New Roman"/>
          <w:color w:val="auto"/>
          <w:highlight w:val="none"/>
        </w:rPr>
      </w:pPr>
      <w:r>
        <w:rPr>
          <w:rFonts w:eastAsia="宋体" w:cs="Times New Roman"/>
          <w:color w:val="auto"/>
          <w:highlight w:val="none"/>
        </w:rPr>
        <w:t>L--</w:t>
      </w:r>
      <w:r>
        <w:rPr>
          <w:rFonts w:hint="eastAsia" w:eastAsia="宋体" w:cs="Times New Roman"/>
          <w:color w:val="auto"/>
          <w:highlight w:val="none"/>
        </w:rPr>
        <w:t>-</w:t>
      </w:r>
      <w:r>
        <w:rPr>
          <w:rFonts w:eastAsia="宋体" w:cs="Times New Roman"/>
          <w:color w:val="auto"/>
          <w:highlight w:val="none"/>
        </w:rPr>
        <w:t>计算A点距导线的水平距离。</w:t>
      </w:r>
    </w:p>
    <w:p w14:paraId="5D2DEB7C">
      <w:pPr>
        <w:spacing w:line="480" w:lineRule="atLeast"/>
        <w:ind w:firstLine="495" w:firstLineChars="225"/>
        <w:rPr>
          <w:rFonts w:eastAsia="宋体" w:cs="Times New Roman"/>
          <w:color w:val="auto"/>
          <w:highlight w:val="none"/>
        </w:rPr>
      </w:pPr>
      <w:r>
        <w:rPr>
          <w:rFonts w:eastAsia="宋体" w:cs="Times New Roman"/>
          <w:color w:val="auto"/>
          <w:highlight w:val="none"/>
        </w:rPr>
        <w:t>为了与环境标准相适应，需要将磁场强度转换为磁感应强度，转换公式如下：</w:t>
      </w:r>
    </w:p>
    <w:p w14:paraId="565229D8">
      <w:pPr>
        <w:spacing w:line="480" w:lineRule="atLeast"/>
        <w:ind w:firstLine="715" w:firstLineChars="325"/>
        <w:rPr>
          <w:rFonts w:eastAsia="宋体" w:cs="Times New Roman"/>
          <w:color w:val="auto"/>
          <w:highlight w:val="none"/>
        </w:rPr>
      </w:pPr>
      <w:r>
        <w:rPr>
          <w:rFonts w:eastAsia="宋体" w:cs="Times New Roman"/>
          <w:color w:val="auto"/>
          <w:highlight w:val="none"/>
        </w:rPr>
        <w:t>B=µ</w:t>
      </w:r>
      <w:r>
        <w:rPr>
          <w:rFonts w:eastAsia="宋体" w:cs="Times New Roman"/>
          <w:color w:val="auto"/>
          <w:highlight w:val="none"/>
          <w:vertAlign w:val="subscript"/>
        </w:rPr>
        <w:t>0</w:t>
      </w:r>
      <w:r>
        <w:rPr>
          <w:rFonts w:eastAsia="宋体" w:cs="Times New Roman"/>
          <w:color w:val="auto"/>
          <w:highlight w:val="none"/>
        </w:rPr>
        <w:t>H</w:t>
      </w:r>
    </w:p>
    <w:p w14:paraId="0B233A18">
      <w:pPr>
        <w:spacing w:line="480" w:lineRule="atLeast"/>
        <w:ind w:firstLine="495" w:firstLineChars="225"/>
        <w:rPr>
          <w:rFonts w:eastAsia="宋体" w:cs="Times New Roman"/>
          <w:color w:val="auto"/>
          <w:highlight w:val="none"/>
        </w:rPr>
      </w:pPr>
      <w:r>
        <w:rPr>
          <w:rFonts w:eastAsia="宋体" w:cs="Times New Roman"/>
          <w:color w:val="auto"/>
          <w:highlight w:val="none"/>
        </w:rPr>
        <w:t>B：磁感应强度</w:t>
      </w:r>
    </w:p>
    <w:p w14:paraId="2ACAD428">
      <w:pPr>
        <w:spacing w:line="480" w:lineRule="atLeast"/>
        <w:ind w:firstLine="495" w:firstLineChars="225"/>
        <w:rPr>
          <w:rFonts w:eastAsia="宋体" w:cs="Times New Roman"/>
          <w:color w:val="auto"/>
          <w:highlight w:val="none"/>
        </w:rPr>
      </w:pPr>
      <w:r>
        <w:rPr>
          <w:rFonts w:eastAsia="宋体" w:cs="Times New Roman"/>
          <w:color w:val="auto"/>
          <w:highlight w:val="none"/>
        </w:rPr>
        <w:t>H：磁场强度</w:t>
      </w:r>
    </w:p>
    <w:p w14:paraId="12EBA97B">
      <w:pPr>
        <w:spacing w:line="480" w:lineRule="atLeast"/>
        <w:ind w:firstLine="495" w:firstLineChars="225"/>
        <w:rPr>
          <w:rFonts w:eastAsia="宋体" w:cs="Times New Roman"/>
          <w:color w:val="auto"/>
          <w:highlight w:val="none"/>
        </w:rPr>
      </w:pPr>
      <w:r>
        <w:rPr>
          <w:rFonts w:eastAsia="宋体" w:cs="Times New Roman"/>
          <w:color w:val="auto"/>
          <w:highlight w:val="none"/>
        </w:rPr>
        <w:t>µ</w:t>
      </w:r>
      <w:r>
        <w:rPr>
          <w:rFonts w:eastAsia="宋体" w:cs="Times New Roman"/>
          <w:color w:val="auto"/>
          <w:highlight w:val="none"/>
          <w:vertAlign w:val="subscript"/>
        </w:rPr>
        <w:t>0</w:t>
      </w:r>
      <w:r>
        <w:rPr>
          <w:rFonts w:eastAsia="宋体" w:cs="Times New Roman"/>
          <w:color w:val="auto"/>
          <w:highlight w:val="none"/>
        </w:rPr>
        <w:t>：真空中相对磁导率（µ</w:t>
      </w:r>
      <w:r>
        <w:rPr>
          <w:rFonts w:eastAsia="宋体" w:cs="Times New Roman"/>
          <w:color w:val="auto"/>
          <w:highlight w:val="none"/>
          <w:vertAlign w:val="subscript"/>
        </w:rPr>
        <w:t>0</w:t>
      </w:r>
      <w:r>
        <w:rPr>
          <w:rFonts w:eastAsia="宋体" w:cs="Times New Roman"/>
          <w:color w:val="auto"/>
          <w:highlight w:val="none"/>
        </w:rPr>
        <w:t>=4π×10</w:t>
      </w:r>
      <w:r>
        <w:rPr>
          <w:rFonts w:hint="eastAsia" w:eastAsia="宋体" w:cs="Times New Roman"/>
          <w:color w:val="auto"/>
          <w:highlight w:val="none"/>
          <w:vertAlign w:val="superscript"/>
        </w:rPr>
        <w:t>-</w:t>
      </w:r>
      <w:r>
        <w:rPr>
          <w:rFonts w:eastAsia="宋体" w:cs="Times New Roman"/>
          <w:color w:val="auto"/>
          <w:highlight w:val="none"/>
          <w:vertAlign w:val="superscript"/>
        </w:rPr>
        <w:t>7</w:t>
      </w:r>
      <w:r>
        <w:rPr>
          <w:rFonts w:eastAsia="宋体" w:cs="Times New Roman"/>
          <w:color w:val="auto"/>
          <w:highlight w:val="none"/>
        </w:rPr>
        <w:t>H/m）。</w:t>
      </w:r>
    </w:p>
    <w:p w14:paraId="22F5A206">
      <w:pPr>
        <w:tabs>
          <w:tab w:val="left" w:pos="700"/>
        </w:tabs>
        <w:ind w:firstLine="480"/>
        <w:jc w:val="left"/>
        <w:rPr>
          <w:rFonts w:eastAsia="宋体" w:cs="Times New Roman"/>
          <w:color w:val="auto"/>
          <w:highlight w:val="none"/>
        </w:rPr>
      </w:pPr>
      <w:r>
        <w:rPr>
          <w:rFonts w:eastAsia="宋体" w:cs="Times New Roman"/>
          <w:color w:val="auto"/>
          <w:highlight w:val="none"/>
        </w:rPr>
        <w:t>工频磁感应强度计算结果见表5-</w:t>
      </w:r>
      <w:r>
        <w:rPr>
          <w:rFonts w:hint="eastAsia" w:eastAsia="宋体" w:cs="Times New Roman"/>
          <w:color w:val="auto"/>
          <w:highlight w:val="none"/>
        </w:rPr>
        <w:t>4~表5-5</w:t>
      </w:r>
      <w:r>
        <w:rPr>
          <w:rFonts w:eastAsia="宋体" w:cs="Times New Roman"/>
          <w:color w:val="auto"/>
          <w:highlight w:val="none"/>
        </w:rPr>
        <w:t>及图5-</w:t>
      </w:r>
      <w:r>
        <w:rPr>
          <w:rFonts w:hint="eastAsia" w:eastAsia="宋体" w:cs="Times New Roman"/>
          <w:color w:val="auto"/>
          <w:highlight w:val="none"/>
        </w:rPr>
        <w:t>5~图5-6</w:t>
      </w:r>
      <w:r>
        <w:rPr>
          <w:rFonts w:eastAsia="宋体" w:cs="Times New Roman"/>
          <w:color w:val="auto"/>
          <w:highlight w:val="none"/>
        </w:rPr>
        <w:t>。</w:t>
      </w:r>
    </w:p>
    <w:p w14:paraId="5B04C479">
      <w:pPr>
        <w:tabs>
          <w:tab w:val="left" w:pos="700"/>
        </w:tabs>
        <w:spacing w:line="540" w:lineRule="exact"/>
        <w:ind w:firstLine="422"/>
        <w:jc w:val="center"/>
        <w:rPr>
          <w:rFonts w:eastAsia="宋体" w:cs="Times New Roman"/>
          <w:b/>
          <w:color w:val="auto"/>
          <w:sz w:val="21"/>
          <w:szCs w:val="21"/>
          <w:highlight w:val="none"/>
        </w:rPr>
      </w:pPr>
      <w:r>
        <w:rPr>
          <w:rFonts w:eastAsia="宋体" w:cs="Times New Roman"/>
          <w:b/>
          <w:color w:val="auto"/>
          <w:sz w:val="21"/>
          <w:szCs w:val="21"/>
          <w:highlight w:val="none"/>
        </w:rPr>
        <w:t>表5-</w:t>
      </w:r>
      <w:r>
        <w:rPr>
          <w:rFonts w:hint="eastAsia" w:eastAsia="宋体" w:cs="Times New Roman"/>
          <w:b/>
          <w:color w:val="auto"/>
          <w:sz w:val="21"/>
          <w:szCs w:val="21"/>
          <w:highlight w:val="none"/>
        </w:rPr>
        <w:t>4</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单回路</w:t>
      </w:r>
      <w:r>
        <w:rPr>
          <w:rFonts w:hint="eastAsia" w:eastAsia="宋体" w:cs="Times New Roman"/>
          <w:b/>
          <w:color w:val="auto"/>
          <w:sz w:val="21"/>
          <w:szCs w:val="21"/>
          <w:highlight w:val="none"/>
          <w:lang w:val="en-US" w:eastAsia="zh-CN"/>
        </w:rPr>
        <w:t>横担最宽</w:t>
      </w:r>
      <w:r>
        <w:rPr>
          <w:rFonts w:hint="eastAsia" w:eastAsia="宋体" w:cs="Times New Roman"/>
          <w:b/>
          <w:color w:val="auto"/>
          <w:sz w:val="21"/>
          <w:szCs w:val="21"/>
          <w:highlight w:val="none"/>
        </w:rPr>
        <w:t>塔型</w:t>
      </w:r>
      <w:r>
        <w:rPr>
          <w:rFonts w:eastAsia="宋体" w:cs="Times New Roman"/>
          <w:b/>
          <w:color w:val="auto"/>
          <w:sz w:val="21"/>
          <w:szCs w:val="21"/>
          <w:highlight w:val="none"/>
        </w:rPr>
        <w:t>工频磁感应强度计算结果</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064"/>
        <w:gridCol w:w="1066"/>
        <w:gridCol w:w="1066"/>
        <w:gridCol w:w="1066"/>
        <w:gridCol w:w="1066"/>
        <w:gridCol w:w="1066"/>
        <w:gridCol w:w="1068"/>
      </w:tblGrid>
      <w:tr w14:paraId="74CE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C2D5EA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4" w:type="pct"/>
          </w:tcPr>
          <w:p w14:paraId="1AF952F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tcPr>
          <w:p w14:paraId="29C10AC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5" w:type="pct"/>
          </w:tcPr>
          <w:p w14:paraId="19C939D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1.5米高处磁场的综合量(kV/m)</w:t>
            </w:r>
          </w:p>
        </w:tc>
        <w:tc>
          <w:tcPr>
            <w:tcW w:w="625" w:type="pct"/>
            <w:vAlign w:val="center"/>
          </w:tcPr>
          <w:p w14:paraId="59BECCD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5" w:type="pct"/>
            <w:shd w:val="clear" w:color="auto" w:fill="auto"/>
            <w:vAlign w:val="top"/>
          </w:tcPr>
          <w:p w14:paraId="78CE8B9B">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shd w:val="clear" w:color="auto" w:fill="auto"/>
            <w:vAlign w:val="top"/>
          </w:tcPr>
          <w:p w14:paraId="2DF8C283">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6" w:type="pct"/>
            <w:shd w:val="clear" w:color="auto" w:fill="auto"/>
            <w:vAlign w:val="top"/>
          </w:tcPr>
          <w:p w14:paraId="205C3CDA">
            <w:pPr>
              <w:widowControl/>
              <w:snapToGrid w:val="0"/>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1.5米高处磁场的综合量(kV/m)</w:t>
            </w:r>
          </w:p>
        </w:tc>
      </w:tr>
      <w:tr w14:paraId="583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CD56C6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4" w:type="pct"/>
            <w:shd w:val="clear" w:color="auto" w:fill="auto"/>
            <w:vAlign w:val="top"/>
          </w:tcPr>
          <w:p w14:paraId="71772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0.682</w:t>
            </w:r>
          </w:p>
        </w:tc>
        <w:tc>
          <w:tcPr>
            <w:tcW w:w="625" w:type="pct"/>
            <w:shd w:val="clear" w:color="auto" w:fill="auto"/>
            <w:vAlign w:val="top"/>
          </w:tcPr>
          <w:p w14:paraId="15341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3.641</w:t>
            </w:r>
          </w:p>
        </w:tc>
        <w:tc>
          <w:tcPr>
            <w:tcW w:w="625" w:type="pct"/>
            <w:shd w:val="clear" w:color="auto" w:fill="auto"/>
            <w:vAlign w:val="top"/>
          </w:tcPr>
          <w:p w14:paraId="0D016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3.704</w:t>
            </w:r>
          </w:p>
        </w:tc>
        <w:tc>
          <w:tcPr>
            <w:tcW w:w="625" w:type="pct"/>
            <w:vAlign w:val="center"/>
          </w:tcPr>
          <w:p w14:paraId="476017C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5" w:type="pct"/>
            <w:shd w:val="clear" w:color="auto" w:fill="auto"/>
            <w:vAlign w:val="top"/>
          </w:tcPr>
          <w:p w14:paraId="44156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0.682</w:t>
            </w:r>
          </w:p>
        </w:tc>
        <w:tc>
          <w:tcPr>
            <w:tcW w:w="625" w:type="pct"/>
            <w:shd w:val="clear" w:color="auto" w:fill="auto"/>
            <w:vAlign w:val="top"/>
          </w:tcPr>
          <w:p w14:paraId="4C71C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3.641</w:t>
            </w:r>
          </w:p>
        </w:tc>
        <w:tc>
          <w:tcPr>
            <w:tcW w:w="626" w:type="pct"/>
            <w:shd w:val="clear" w:color="auto" w:fill="auto"/>
            <w:vAlign w:val="top"/>
          </w:tcPr>
          <w:p w14:paraId="0616C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3.704</w:t>
            </w:r>
          </w:p>
        </w:tc>
      </w:tr>
      <w:tr w14:paraId="7638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2880B1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4" w:type="pct"/>
            <w:shd w:val="clear" w:color="auto" w:fill="auto"/>
            <w:vAlign w:val="top"/>
          </w:tcPr>
          <w:p w14:paraId="3B608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0.713</w:t>
            </w:r>
          </w:p>
        </w:tc>
        <w:tc>
          <w:tcPr>
            <w:tcW w:w="625" w:type="pct"/>
            <w:shd w:val="clear" w:color="auto" w:fill="auto"/>
            <w:vAlign w:val="top"/>
          </w:tcPr>
          <w:p w14:paraId="0E12B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3.711</w:t>
            </w:r>
          </w:p>
        </w:tc>
        <w:tc>
          <w:tcPr>
            <w:tcW w:w="625" w:type="pct"/>
            <w:shd w:val="clear" w:color="auto" w:fill="auto"/>
            <w:vAlign w:val="top"/>
          </w:tcPr>
          <w:p w14:paraId="23578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3.779</w:t>
            </w:r>
          </w:p>
        </w:tc>
        <w:tc>
          <w:tcPr>
            <w:tcW w:w="625" w:type="pct"/>
            <w:vAlign w:val="center"/>
          </w:tcPr>
          <w:p w14:paraId="20F949B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5" w:type="pct"/>
            <w:shd w:val="clear" w:color="auto" w:fill="auto"/>
            <w:vAlign w:val="top"/>
          </w:tcPr>
          <w:p w14:paraId="3A5C8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0.713</w:t>
            </w:r>
          </w:p>
        </w:tc>
        <w:tc>
          <w:tcPr>
            <w:tcW w:w="625" w:type="pct"/>
            <w:shd w:val="clear" w:color="auto" w:fill="auto"/>
            <w:vAlign w:val="top"/>
          </w:tcPr>
          <w:p w14:paraId="2E3A5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3.711</w:t>
            </w:r>
          </w:p>
        </w:tc>
        <w:tc>
          <w:tcPr>
            <w:tcW w:w="626" w:type="pct"/>
            <w:shd w:val="clear" w:color="auto" w:fill="auto"/>
            <w:vAlign w:val="top"/>
          </w:tcPr>
          <w:p w14:paraId="68ED0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3.779</w:t>
            </w:r>
          </w:p>
        </w:tc>
      </w:tr>
      <w:tr w14:paraId="0168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3F8FCD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4" w:type="pct"/>
            <w:shd w:val="clear" w:color="auto" w:fill="auto"/>
            <w:vAlign w:val="top"/>
          </w:tcPr>
          <w:p w14:paraId="48644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0.746</w:t>
            </w:r>
          </w:p>
        </w:tc>
        <w:tc>
          <w:tcPr>
            <w:tcW w:w="625" w:type="pct"/>
            <w:shd w:val="clear" w:color="auto" w:fill="auto"/>
            <w:vAlign w:val="top"/>
          </w:tcPr>
          <w:p w14:paraId="37652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3.784</w:t>
            </w:r>
          </w:p>
        </w:tc>
        <w:tc>
          <w:tcPr>
            <w:tcW w:w="625" w:type="pct"/>
            <w:shd w:val="clear" w:color="auto" w:fill="auto"/>
            <w:vAlign w:val="top"/>
          </w:tcPr>
          <w:p w14:paraId="1C194D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3.857</w:t>
            </w:r>
          </w:p>
        </w:tc>
        <w:tc>
          <w:tcPr>
            <w:tcW w:w="625" w:type="pct"/>
            <w:vAlign w:val="center"/>
          </w:tcPr>
          <w:p w14:paraId="427A69A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5" w:type="pct"/>
            <w:shd w:val="clear" w:color="auto" w:fill="auto"/>
            <w:vAlign w:val="top"/>
          </w:tcPr>
          <w:p w14:paraId="67DB37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0.746</w:t>
            </w:r>
          </w:p>
        </w:tc>
        <w:tc>
          <w:tcPr>
            <w:tcW w:w="625" w:type="pct"/>
            <w:shd w:val="clear" w:color="auto" w:fill="auto"/>
            <w:vAlign w:val="top"/>
          </w:tcPr>
          <w:p w14:paraId="709A7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3.784</w:t>
            </w:r>
          </w:p>
        </w:tc>
        <w:tc>
          <w:tcPr>
            <w:tcW w:w="626" w:type="pct"/>
            <w:shd w:val="clear" w:color="auto" w:fill="auto"/>
            <w:vAlign w:val="top"/>
          </w:tcPr>
          <w:p w14:paraId="083C6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3.857</w:t>
            </w:r>
          </w:p>
        </w:tc>
      </w:tr>
      <w:tr w14:paraId="7BA0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C98A092">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4" w:type="pct"/>
            <w:shd w:val="clear" w:color="auto" w:fill="auto"/>
            <w:vAlign w:val="top"/>
          </w:tcPr>
          <w:p w14:paraId="2F9EAB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0.781</w:t>
            </w:r>
          </w:p>
        </w:tc>
        <w:tc>
          <w:tcPr>
            <w:tcW w:w="625" w:type="pct"/>
            <w:shd w:val="clear" w:color="auto" w:fill="auto"/>
            <w:vAlign w:val="top"/>
          </w:tcPr>
          <w:p w14:paraId="7ED1A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3.860</w:t>
            </w:r>
          </w:p>
        </w:tc>
        <w:tc>
          <w:tcPr>
            <w:tcW w:w="625" w:type="pct"/>
            <w:shd w:val="clear" w:color="auto" w:fill="auto"/>
            <w:vAlign w:val="top"/>
          </w:tcPr>
          <w:p w14:paraId="5D231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3.939</w:t>
            </w:r>
          </w:p>
        </w:tc>
        <w:tc>
          <w:tcPr>
            <w:tcW w:w="625" w:type="pct"/>
            <w:vAlign w:val="center"/>
          </w:tcPr>
          <w:p w14:paraId="576FF290">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5" w:type="pct"/>
            <w:shd w:val="clear" w:color="auto" w:fill="auto"/>
            <w:vAlign w:val="top"/>
          </w:tcPr>
          <w:p w14:paraId="2613C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0.781</w:t>
            </w:r>
          </w:p>
        </w:tc>
        <w:tc>
          <w:tcPr>
            <w:tcW w:w="625" w:type="pct"/>
            <w:shd w:val="clear" w:color="auto" w:fill="auto"/>
            <w:vAlign w:val="top"/>
          </w:tcPr>
          <w:p w14:paraId="35F378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3.860</w:t>
            </w:r>
          </w:p>
        </w:tc>
        <w:tc>
          <w:tcPr>
            <w:tcW w:w="626" w:type="pct"/>
            <w:shd w:val="clear" w:color="auto" w:fill="auto"/>
            <w:vAlign w:val="top"/>
          </w:tcPr>
          <w:p w14:paraId="32F3E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3.939</w:t>
            </w:r>
          </w:p>
        </w:tc>
      </w:tr>
      <w:tr w14:paraId="623C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2A621C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4" w:type="pct"/>
            <w:shd w:val="clear" w:color="auto" w:fill="auto"/>
            <w:vAlign w:val="top"/>
          </w:tcPr>
          <w:p w14:paraId="63B26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0.819</w:t>
            </w:r>
          </w:p>
        </w:tc>
        <w:tc>
          <w:tcPr>
            <w:tcW w:w="625" w:type="pct"/>
            <w:shd w:val="clear" w:color="auto" w:fill="auto"/>
            <w:vAlign w:val="top"/>
          </w:tcPr>
          <w:p w14:paraId="0CA22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3.939</w:t>
            </w:r>
          </w:p>
        </w:tc>
        <w:tc>
          <w:tcPr>
            <w:tcW w:w="625" w:type="pct"/>
            <w:shd w:val="clear" w:color="auto" w:fill="auto"/>
            <w:vAlign w:val="top"/>
          </w:tcPr>
          <w:p w14:paraId="706146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4.023</w:t>
            </w:r>
          </w:p>
        </w:tc>
        <w:tc>
          <w:tcPr>
            <w:tcW w:w="625" w:type="pct"/>
            <w:vAlign w:val="center"/>
          </w:tcPr>
          <w:p w14:paraId="7CF77EA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5" w:type="pct"/>
            <w:shd w:val="clear" w:color="auto" w:fill="auto"/>
            <w:vAlign w:val="top"/>
          </w:tcPr>
          <w:p w14:paraId="6C84F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0.819</w:t>
            </w:r>
          </w:p>
        </w:tc>
        <w:tc>
          <w:tcPr>
            <w:tcW w:w="625" w:type="pct"/>
            <w:shd w:val="clear" w:color="auto" w:fill="auto"/>
            <w:vAlign w:val="top"/>
          </w:tcPr>
          <w:p w14:paraId="19970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3.939</w:t>
            </w:r>
          </w:p>
        </w:tc>
        <w:tc>
          <w:tcPr>
            <w:tcW w:w="626" w:type="pct"/>
            <w:shd w:val="clear" w:color="auto" w:fill="auto"/>
            <w:vAlign w:val="top"/>
          </w:tcPr>
          <w:p w14:paraId="4229D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4.023</w:t>
            </w:r>
          </w:p>
        </w:tc>
      </w:tr>
      <w:tr w14:paraId="2D13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49F74A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4" w:type="pct"/>
            <w:shd w:val="clear" w:color="auto" w:fill="auto"/>
            <w:vAlign w:val="top"/>
          </w:tcPr>
          <w:p w14:paraId="412D1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0.859</w:t>
            </w:r>
          </w:p>
        </w:tc>
        <w:tc>
          <w:tcPr>
            <w:tcW w:w="625" w:type="pct"/>
            <w:shd w:val="clear" w:color="auto" w:fill="auto"/>
            <w:vAlign w:val="top"/>
          </w:tcPr>
          <w:p w14:paraId="499AC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4.021</w:t>
            </w:r>
          </w:p>
        </w:tc>
        <w:tc>
          <w:tcPr>
            <w:tcW w:w="625" w:type="pct"/>
            <w:shd w:val="clear" w:color="auto" w:fill="auto"/>
            <w:vAlign w:val="top"/>
          </w:tcPr>
          <w:p w14:paraId="4B7A5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4.112</w:t>
            </w:r>
          </w:p>
        </w:tc>
        <w:tc>
          <w:tcPr>
            <w:tcW w:w="625" w:type="pct"/>
            <w:vAlign w:val="center"/>
          </w:tcPr>
          <w:p w14:paraId="486BCEC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5" w:type="pct"/>
            <w:shd w:val="clear" w:color="auto" w:fill="auto"/>
            <w:vAlign w:val="top"/>
          </w:tcPr>
          <w:p w14:paraId="43F14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0.859</w:t>
            </w:r>
          </w:p>
        </w:tc>
        <w:tc>
          <w:tcPr>
            <w:tcW w:w="625" w:type="pct"/>
            <w:shd w:val="clear" w:color="auto" w:fill="auto"/>
            <w:vAlign w:val="top"/>
          </w:tcPr>
          <w:p w14:paraId="04AA9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4.021</w:t>
            </w:r>
          </w:p>
        </w:tc>
        <w:tc>
          <w:tcPr>
            <w:tcW w:w="626" w:type="pct"/>
            <w:shd w:val="clear" w:color="auto" w:fill="auto"/>
            <w:vAlign w:val="top"/>
          </w:tcPr>
          <w:p w14:paraId="3A95D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4.112</w:t>
            </w:r>
          </w:p>
        </w:tc>
      </w:tr>
      <w:tr w14:paraId="2415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6B3AF54">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4" w:type="pct"/>
            <w:shd w:val="clear" w:color="auto" w:fill="auto"/>
            <w:vAlign w:val="top"/>
          </w:tcPr>
          <w:p w14:paraId="59A22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0.902</w:t>
            </w:r>
          </w:p>
        </w:tc>
        <w:tc>
          <w:tcPr>
            <w:tcW w:w="625" w:type="pct"/>
            <w:shd w:val="clear" w:color="auto" w:fill="auto"/>
            <w:vAlign w:val="top"/>
          </w:tcPr>
          <w:p w14:paraId="5AA63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4.107</w:t>
            </w:r>
          </w:p>
        </w:tc>
        <w:tc>
          <w:tcPr>
            <w:tcW w:w="625" w:type="pct"/>
            <w:shd w:val="clear" w:color="auto" w:fill="auto"/>
            <w:vAlign w:val="top"/>
          </w:tcPr>
          <w:p w14:paraId="59247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4.204</w:t>
            </w:r>
          </w:p>
        </w:tc>
        <w:tc>
          <w:tcPr>
            <w:tcW w:w="625" w:type="pct"/>
            <w:vAlign w:val="center"/>
          </w:tcPr>
          <w:p w14:paraId="2547278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5" w:type="pct"/>
            <w:shd w:val="clear" w:color="auto" w:fill="auto"/>
            <w:vAlign w:val="top"/>
          </w:tcPr>
          <w:p w14:paraId="327AE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0.902</w:t>
            </w:r>
          </w:p>
        </w:tc>
        <w:tc>
          <w:tcPr>
            <w:tcW w:w="625" w:type="pct"/>
            <w:shd w:val="clear" w:color="auto" w:fill="auto"/>
            <w:vAlign w:val="top"/>
          </w:tcPr>
          <w:p w14:paraId="719C3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4.107</w:t>
            </w:r>
          </w:p>
        </w:tc>
        <w:tc>
          <w:tcPr>
            <w:tcW w:w="626" w:type="pct"/>
            <w:shd w:val="clear" w:color="auto" w:fill="auto"/>
            <w:vAlign w:val="top"/>
          </w:tcPr>
          <w:p w14:paraId="0FF59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4.204</w:t>
            </w:r>
          </w:p>
        </w:tc>
      </w:tr>
      <w:tr w14:paraId="6017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15FA347">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4" w:type="pct"/>
            <w:shd w:val="clear" w:color="auto" w:fill="auto"/>
            <w:vAlign w:val="top"/>
          </w:tcPr>
          <w:p w14:paraId="04556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0.947</w:t>
            </w:r>
          </w:p>
        </w:tc>
        <w:tc>
          <w:tcPr>
            <w:tcW w:w="625" w:type="pct"/>
            <w:shd w:val="clear" w:color="auto" w:fill="auto"/>
            <w:vAlign w:val="top"/>
          </w:tcPr>
          <w:p w14:paraId="1D914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4.195</w:t>
            </w:r>
          </w:p>
        </w:tc>
        <w:tc>
          <w:tcPr>
            <w:tcW w:w="625" w:type="pct"/>
            <w:shd w:val="clear" w:color="auto" w:fill="auto"/>
            <w:vAlign w:val="top"/>
          </w:tcPr>
          <w:p w14:paraId="6D446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4.301</w:t>
            </w:r>
          </w:p>
        </w:tc>
        <w:tc>
          <w:tcPr>
            <w:tcW w:w="625" w:type="pct"/>
            <w:vAlign w:val="center"/>
          </w:tcPr>
          <w:p w14:paraId="08202D42">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5" w:type="pct"/>
            <w:shd w:val="clear" w:color="auto" w:fill="auto"/>
            <w:vAlign w:val="top"/>
          </w:tcPr>
          <w:p w14:paraId="4515C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0.947</w:t>
            </w:r>
          </w:p>
        </w:tc>
        <w:tc>
          <w:tcPr>
            <w:tcW w:w="625" w:type="pct"/>
            <w:shd w:val="clear" w:color="auto" w:fill="auto"/>
            <w:vAlign w:val="top"/>
          </w:tcPr>
          <w:p w14:paraId="0266C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4.195</w:t>
            </w:r>
          </w:p>
        </w:tc>
        <w:tc>
          <w:tcPr>
            <w:tcW w:w="626" w:type="pct"/>
            <w:shd w:val="clear" w:color="auto" w:fill="auto"/>
            <w:vAlign w:val="top"/>
          </w:tcPr>
          <w:p w14:paraId="6EF16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4.301</w:t>
            </w:r>
          </w:p>
        </w:tc>
      </w:tr>
      <w:tr w14:paraId="1EAA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744605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4" w:type="pct"/>
            <w:shd w:val="clear" w:color="auto" w:fill="auto"/>
            <w:vAlign w:val="top"/>
          </w:tcPr>
          <w:p w14:paraId="0B5DA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0.997</w:t>
            </w:r>
          </w:p>
        </w:tc>
        <w:tc>
          <w:tcPr>
            <w:tcW w:w="625" w:type="pct"/>
            <w:shd w:val="clear" w:color="auto" w:fill="auto"/>
            <w:vAlign w:val="top"/>
          </w:tcPr>
          <w:p w14:paraId="473AB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4.288</w:t>
            </w:r>
          </w:p>
        </w:tc>
        <w:tc>
          <w:tcPr>
            <w:tcW w:w="625" w:type="pct"/>
            <w:shd w:val="clear" w:color="auto" w:fill="auto"/>
            <w:vAlign w:val="top"/>
          </w:tcPr>
          <w:p w14:paraId="2C1EA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4.402</w:t>
            </w:r>
          </w:p>
        </w:tc>
        <w:tc>
          <w:tcPr>
            <w:tcW w:w="625" w:type="pct"/>
            <w:vAlign w:val="center"/>
          </w:tcPr>
          <w:p w14:paraId="3B19988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5" w:type="pct"/>
            <w:shd w:val="clear" w:color="auto" w:fill="auto"/>
            <w:vAlign w:val="top"/>
          </w:tcPr>
          <w:p w14:paraId="4E6F5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0.997</w:t>
            </w:r>
          </w:p>
        </w:tc>
        <w:tc>
          <w:tcPr>
            <w:tcW w:w="625" w:type="pct"/>
            <w:shd w:val="clear" w:color="auto" w:fill="auto"/>
            <w:vAlign w:val="top"/>
          </w:tcPr>
          <w:p w14:paraId="7B67F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4.288</w:t>
            </w:r>
          </w:p>
        </w:tc>
        <w:tc>
          <w:tcPr>
            <w:tcW w:w="626" w:type="pct"/>
            <w:shd w:val="clear" w:color="auto" w:fill="auto"/>
            <w:vAlign w:val="top"/>
          </w:tcPr>
          <w:p w14:paraId="5E109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4.402</w:t>
            </w:r>
          </w:p>
        </w:tc>
      </w:tr>
      <w:tr w14:paraId="7AC7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08C21DB">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4" w:type="pct"/>
            <w:shd w:val="clear" w:color="auto" w:fill="auto"/>
            <w:vAlign w:val="top"/>
          </w:tcPr>
          <w:p w14:paraId="64865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1.050</w:t>
            </w:r>
          </w:p>
        </w:tc>
        <w:tc>
          <w:tcPr>
            <w:tcW w:w="625" w:type="pct"/>
            <w:shd w:val="clear" w:color="auto" w:fill="auto"/>
            <w:vAlign w:val="top"/>
          </w:tcPr>
          <w:p w14:paraId="7D560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4.384</w:t>
            </w:r>
          </w:p>
        </w:tc>
        <w:tc>
          <w:tcPr>
            <w:tcW w:w="625" w:type="pct"/>
            <w:shd w:val="clear" w:color="auto" w:fill="auto"/>
            <w:vAlign w:val="top"/>
          </w:tcPr>
          <w:p w14:paraId="68623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4.508</w:t>
            </w:r>
          </w:p>
        </w:tc>
        <w:tc>
          <w:tcPr>
            <w:tcW w:w="625" w:type="pct"/>
            <w:vAlign w:val="center"/>
          </w:tcPr>
          <w:p w14:paraId="5F6DEF2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5" w:type="pct"/>
            <w:shd w:val="clear" w:color="auto" w:fill="auto"/>
            <w:vAlign w:val="top"/>
          </w:tcPr>
          <w:p w14:paraId="5D768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1.050</w:t>
            </w:r>
          </w:p>
        </w:tc>
        <w:tc>
          <w:tcPr>
            <w:tcW w:w="625" w:type="pct"/>
            <w:shd w:val="clear" w:color="auto" w:fill="auto"/>
            <w:vAlign w:val="top"/>
          </w:tcPr>
          <w:p w14:paraId="76932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4.384</w:t>
            </w:r>
          </w:p>
        </w:tc>
        <w:tc>
          <w:tcPr>
            <w:tcW w:w="626" w:type="pct"/>
            <w:shd w:val="clear" w:color="auto" w:fill="auto"/>
            <w:vAlign w:val="top"/>
          </w:tcPr>
          <w:p w14:paraId="0FE1F6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4.508</w:t>
            </w:r>
          </w:p>
        </w:tc>
      </w:tr>
      <w:tr w14:paraId="1B2A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DF66EC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4" w:type="pct"/>
            <w:shd w:val="clear" w:color="auto" w:fill="auto"/>
            <w:vAlign w:val="top"/>
          </w:tcPr>
          <w:p w14:paraId="50462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1.107</w:t>
            </w:r>
          </w:p>
        </w:tc>
        <w:tc>
          <w:tcPr>
            <w:tcW w:w="625" w:type="pct"/>
            <w:shd w:val="clear" w:color="auto" w:fill="auto"/>
            <w:vAlign w:val="top"/>
          </w:tcPr>
          <w:p w14:paraId="5DD8D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4.485</w:t>
            </w:r>
          </w:p>
        </w:tc>
        <w:tc>
          <w:tcPr>
            <w:tcW w:w="625" w:type="pct"/>
            <w:shd w:val="clear" w:color="auto" w:fill="auto"/>
            <w:vAlign w:val="top"/>
          </w:tcPr>
          <w:p w14:paraId="678FB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4.619</w:t>
            </w:r>
          </w:p>
        </w:tc>
        <w:tc>
          <w:tcPr>
            <w:tcW w:w="625" w:type="pct"/>
            <w:vAlign w:val="center"/>
          </w:tcPr>
          <w:p w14:paraId="0EC7053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5" w:type="pct"/>
            <w:shd w:val="clear" w:color="auto" w:fill="auto"/>
            <w:vAlign w:val="top"/>
          </w:tcPr>
          <w:p w14:paraId="3FAB4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1.107</w:t>
            </w:r>
          </w:p>
        </w:tc>
        <w:tc>
          <w:tcPr>
            <w:tcW w:w="625" w:type="pct"/>
            <w:shd w:val="clear" w:color="auto" w:fill="auto"/>
            <w:vAlign w:val="top"/>
          </w:tcPr>
          <w:p w14:paraId="1ACBA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4.485</w:t>
            </w:r>
          </w:p>
        </w:tc>
        <w:tc>
          <w:tcPr>
            <w:tcW w:w="626" w:type="pct"/>
            <w:shd w:val="clear" w:color="auto" w:fill="auto"/>
            <w:vAlign w:val="top"/>
          </w:tcPr>
          <w:p w14:paraId="101E10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4.619</w:t>
            </w:r>
          </w:p>
        </w:tc>
      </w:tr>
      <w:tr w14:paraId="4DAC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40BCA8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4" w:type="pct"/>
            <w:shd w:val="clear" w:color="auto" w:fill="auto"/>
            <w:vAlign w:val="top"/>
          </w:tcPr>
          <w:p w14:paraId="0D0F0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1.168</w:t>
            </w:r>
          </w:p>
        </w:tc>
        <w:tc>
          <w:tcPr>
            <w:tcW w:w="625" w:type="pct"/>
            <w:shd w:val="clear" w:color="auto" w:fill="auto"/>
            <w:vAlign w:val="top"/>
          </w:tcPr>
          <w:p w14:paraId="009479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4.589</w:t>
            </w:r>
          </w:p>
        </w:tc>
        <w:tc>
          <w:tcPr>
            <w:tcW w:w="625" w:type="pct"/>
            <w:shd w:val="clear" w:color="auto" w:fill="auto"/>
            <w:vAlign w:val="top"/>
          </w:tcPr>
          <w:p w14:paraId="7DC3D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4.736</w:t>
            </w:r>
          </w:p>
        </w:tc>
        <w:tc>
          <w:tcPr>
            <w:tcW w:w="625" w:type="pct"/>
            <w:vAlign w:val="center"/>
          </w:tcPr>
          <w:p w14:paraId="0EE44F4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5" w:type="pct"/>
            <w:shd w:val="clear" w:color="auto" w:fill="auto"/>
            <w:vAlign w:val="top"/>
          </w:tcPr>
          <w:p w14:paraId="22140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1.168</w:t>
            </w:r>
          </w:p>
        </w:tc>
        <w:tc>
          <w:tcPr>
            <w:tcW w:w="625" w:type="pct"/>
            <w:shd w:val="clear" w:color="auto" w:fill="auto"/>
            <w:vAlign w:val="top"/>
          </w:tcPr>
          <w:p w14:paraId="0DDA7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4.589</w:t>
            </w:r>
          </w:p>
        </w:tc>
        <w:tc>
          <w:tcPr>
            <w:tcW w:w="626" w:type="pct"/>
            <w:shd w:val="clear" w:color="auto" w:fill="auto"/>
            <w:vAlign w:val="top"/>
          </w:tcPr>
          <w:p w14:paraId="49C79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4.736</w:t>
            </w:r>
          </w:p>
        </w:tc>
      </w:tr>
      <w:tr w14:paraId="0D3F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73DDC6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4" w:type="pct"/>
            <w:shd w:val="clear" w:color="auto" w:fill="auto"/>
            <w:vAlign w:val="top"/>
          </w:tcPr>
          <w:p w14:paraId="5F8B0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1.235</w:t>
            </w:r>
          </w:p>
        </w:tc>
        <w:tc>
          <w:tcPr>
            <w:tcW w:w="625" w:type="pct"/>
            <w:shd w:val="clear" w:color="auto" w:fill="auto"/>
            <w:vAlign w:val="top"/>
          </w:tcPr>
          <w:p w14:paraId="2687E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4.698</w:t>
            </w:r>
          </w:p>
        </w:tc>
        <w:tc>
          <w:tcPr>
            <w:tcW w:w="625" w:type="pct"/>
            <w:shd w:val="clear" w:color="auto" w:fill="auto"/>
            <w:vAlign w:val="top"/>
          </w:tcPr>
          <w:p w14:paraId="2E699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4.858</w:t>
            </w:r>
          </w:p>
        </w:tc>
        <w:tc>
          <w:tcPr>
            <w:tcW w:w="625" w:type="pct"/>
            <w:vAlign w:val="center"/>
          </w:tcPr>
          <w:p w14:paraId="6E411A8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5" w:type="pct"/>
            <w:shd w:val="clear" w:color="auto" w:fill="auto"/>
            <w:vAlign w:val="top"/>
          </w:tcPr>
          <w:p w14:paraId="64AD0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1.235</w:t>
            </w:r>
          </w:p>
        </w:tc>
        <w:tc>
          <w:tcPr>
            <w:tcW w:w="625" w:type="pct"/>
            <w:shd w:val="clear" w:color="auto" w:fill="auto"/>
            <w:vAlign w:val="top"/>
          </w:tcPr>
          <w:p w14:paraId="206357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4.698</w:t>
            </w:r>
          </w:p>
        </w:tc>
        <w:tc>
          <w:tcPr>
            <w:tcW w:w="626" w:type="pct"/>
            <w:shd w:val="clear" w:color="auto" w:fill="auto"/>
            <w:vAlign w:val="top"/>
          </w:tcPr>
          <w:p w14:paraId="24F5D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4.858</w:t>
            </w:r>
          </w:p>
        </w:tc>
      </w:tr>
      <w:tr w14:paraId="0E2E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D172CF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4" w:type="pct"/>
            <w:shd w:val="clear" w:color="auto" w:fill="auto"/>
            <w:vAlign w:val="top"/>
          </w:tcPr>
          <w:p w14:paraId="6ABAB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1.307</w:t>
            </w:r>
          </w:p>
        </w:tc>
        <w:tc>
          <w:tcPr>
            <w:tcW w:w="625" w:type="pct"/>
            <w:shd w:val="clear" w:color="auto" w:fill="auto"/>
            <w:vAlign w:val="top"/>
          </w:tcPr>
          <w:p w14:paraId="5A5A4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4.812</w:t>
            </w:r>
          </w:p>
        </w:tc>
        <w:tc>
          <w:tcPr>
            <w:tcW w:w="625" w:type="pct"/>
            <w:shd w:val="clear" w:color="auto" w:fill="auto"/>
            <w:vAlign w:val="top"/>
          </w:tcPr>
          <w:p w14:paraId="393F4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4.987</w:t>
            </w:r>
          </w:p>
        </w:tc>
        <w:tc>
          <w:tcPr>
            <w:tcW w:w="625" w:type="pct"/>
            <w:vAlign w:val="center"/>
          </w:tcPr>
          <w:p w14:paraId="7908C97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5" w:type="pct"/>
            <w:shd w:val="clear" w:color="auto" w:fill="auto"/>
            <w:vAlign w:val="top"/>
          </w:tcPr>
          <w:p w14:paraId="5D9B0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1.307</w:t>
            </w:r>
          </w:p>
        </w:tc>
        <w:tc>
          <w:tcPr>
            <w:tcW w:w="625" w:type="pct"/>
            <w:shd w:val="clear" w:color="auto" w:fill="auto"/>
            <w:vAlign w:val="top"/>
          </w:tcPr>
          <w:p w14:paraId="177B1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4.812</w:t>
            </w:r>
          </w:p>
        </w:tc>
        <w:tc>
          <w:tcPr>
            <w:tcW w:w="626" w:type="pct"/>
            <w:shd w:val="clear" w:color="auto" w:fill="auto"/>
            <w:vAlign w:val="top"/>
          </w:tcPr>
          <w:p w14:paraId="0ADB2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4.987</w:t>
            </w:r>
          </w:p>
        </w:tc>
      </w:tr>
      <w:tr w14:paraId="0A97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371134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4" w:type="pct"/>
            <w:shd w:val="clear" w:color="auto" w:fill="auto"/>
            <w:vAlign w:val="top"/>
          </w:tcPr>
          <w:p w14:paraId="0A419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1.384</w:t>
            </w:r>
          </w:p>
        </w:tc>
        <w:tc>
          <w:tcPr>
            <w:tcW w:w="625" w:type="pct"/>
            <w:shd w:val="clear" w:color="auto" w:fill="auto"/>
            <w:vAlign w:val="top"/>
          </w:tcPr>
          <w:p w14:paraId="39BFF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4.932</w:t>
            </w:r>
          </w:p>
        </w:tc>
        <w:tc>
          <w:tcPr>
            <w:tcW w:w="625" w:type="pct"/>
            <w:shd w:val="clear" w:color="auto" w:fill="auto"/>
            <w:vAlign w:val="top"/>
          </w:tcPr>
          <w:p w14:paraId="23AE8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5.122</w:t>
            </w:r>
          </w:p>
        </w:tc>
        <w:tc>
          <w:tcPr>
            <w:tcW w:w="625" w:type="pct"/>
            <w:vAlign w:val="center"/>
          </w:tcPr>
          <w:p w14:paraId="19CF989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5" w:type="pct"/>
            <w:shd w:val="clear" w:color="auto" w:fill="auto"/>
            <w:vAlign w:val="top"/>
          </w:tcPr>
          <w:p w14:paraId="581D8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1.384</w:t>
            </w:r>
          </w:p>
        </w:tc>
        <w:tc>
          <w:tcPr>
            <w:tcW w:w="625" w:type="pct"/>
            <w:shd w:val="clear" w:color="auto" w:fill="auto"/>
            <w:vAlign w:val="top"/>
          </w:tcPr>
          <w:p w14:paraId="3E740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4.932</w:t>
            </w:r>
          </w:p>
        </w:tc>
        <w:tc>
          <w:tcPr>
            <w:tcW w:w="626" w:type="pct"/>
            <w:shd w:val="clear" w:color="auto" w:fill="auto"/>
            <w:vAlign w:val="top"/>
          </w:tcPr>
          <w:p w14:paraId="566C8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5.122</w:t>
            </w:r>
          </w:p>
        </w:tc>
      </w:tr>
      <w:tr w14:paraId="01F9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419ED2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4" w:type="pct"/>
            <w:shd w:val="clear" w:color="auto" w:fill="auto"/>
            <w:vAlign w:val="top"/>
          </w:tcPr>
          <w:p w14:paraId="641F9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1.469</w:t>
            </w:r>
          </w:p>
        </w:tc>
        <w:tc>
          <w:tcPr>
            <w:tcW w:w="625" w:type="pct"/>
            <w:shd w:val="clear" w:color="auto" w:fill="auto"/>
            <w:vAlign w:val="top"/>
          </w:tcPr>
          <w:p w14:paraId="7BBC5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5.056</w:t>
            </w:r>
          </w:p>
        </w:tc>
        <w:tc>
          <w:tcPr>
            <w:tcW w:w="625" w:type="pct"/>
            <w:shd w:val="clear" w:color="auto" w:fill="auto"/>
            <w:vAlign w:val="top"/>
          </w:tcPr>
          <w:p w14:paraId="1166A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5.265</w:t>
            </w:r>
          </w:p>
        </w:tc>
        <w:tc>
          <w:tcPr>
            <w:tcW w:w="625" w:type="pct"/>
            <w:vAlign w:val="center"/>
          </w:tcPr>
          <w:p w14:paraId="6F2B5CC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5" w:type="pct"/>
            <w:shd w:val="clear" w:color="auto" w:fill="auto"/>
            <w:vAlign w:val="top"/>
          </w:tcPr>
          <w:p w14:paraId="2E4482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1.469</w:t>
            </w:r>
          </w:p>
        </w:tc>
        <w:tc>
          <w:tcPr>
            <w:tcW w:w="625" w:type="pct"/>
            <w:shd w:val="clear" w:color="auto" w:fill="auto"/>
            <w:vAlign w:val="top"/>
          </w:tcPr>
          <w:p w14:paraId="38339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5.056</w:t>
            </w:r>
          </w:p>
        </w:tc>
        <w:tc>
          <w:tcPr>
            <w:tcW w:w="626" w:type="pct"/>
            <w:shd w:val="clear" w:color="auto" w:fill="auto"/>
            <w:vAlign w:val="top"/>
          </w:tcPr>
          <w:p w14:paraId="09F25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5.265</w:t>
            </w:r>
          </w:p>
        </w:tc>
      </w:tr>
      <w:tr w14:paraId="29A2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918D8E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4" w:type="pct"/>
            <w:shd w:val="clear" w:color="auto" w:fill="auto"/>
            <w:vAlign w:val="top"/>
          </w:tcPr>
          <w:p w14:paraId="0D931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1.561</w:t>
            </w:r>
          </w:p>
        </w:tc>
        <w:tc>
          <w:tcPr>
            <w:tcW w:w="625" w:type="pct"/>
            <w:shd w:val="clear" w:color="auto" w:fill="auto"/>
            <w:vAlign w:val="top"/>
          </w:tcPr>
          <w:p w14:paraId="2E4BB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5.186</w:t>
            </w:r>
          </w:p>
        </w:tc>
        <w:tc>
          <w:tcPr>
            <w:tcW w:w="625" w:type="pct"/>
            <w:shd w:val="clear" w:color="auto" w:fill="auto"/>
            <w:vAlign w:val="top"/>
          </w:tcPr>
          <w:p w14:paraId="7562E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5.416</w:t>
            </w:r>
          </w:p>
        </w:tc>
        <w:tc>
          <w:tcPr>
            <w:tcW w:w="625" w:type="pct"/>
            <w:vAlign w:val="center"/>
          </w:tcPr>
          <w:p w14:paraId="15C900B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5" w:type="pct"/>
            <w:shd w:val="clear" w:color="auto" w:fill="auto"/>
            <w:vAlign w:val="top"/>
          </w:tcPr>
          <w:p w14:paraId="39EC2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1.561</w:t>
            </w:r>
          </w:p>
        </w:tc>
        <w:tc>
          <w:tcPr>
            <w:tcW w:w="625" w:type="pct"/>
            <w:shd w:val="clear" w:color="auto" w:fill="auto"/>
            <w:vAlign w:val="top"/>
          </w:tcPr>
          <w:p w14:paraId="30CAB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5.186</w:t>
            </w:r>
          </w:p>
        </w:tc>
        <w:tc>
          <w:tcPr>
            <w:tcW w:w="626" w:type="pct"/>
            <w:shd w:val="clear" w:color="auto" w:fill="auto"/>
            <w:vAlign w:val="top"/>
          </w:tcPr>
          <w:p w14:paraId="0B40C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5.416</w:t>
            </w:r>
          </w:p>
        </w:tc>
      </w:tr>
      <w:tr w14:paraId="631F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99BA96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4" w:type="pct"/>
            <w:shd w:val="clear" w:color="auto" w:fill="auto"/>
            <w:vAlign w:val="top"/>
          </w:tcPr>
          <w:p w14:paraId="0EC6E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1.662</w:t>
            </w:r>
          </w:p>
        </w:tc>
        <w:tc>
          <w:tcPr>
            <w:tcW w:w="625" w:type="pct"/>
            <w:shd w:val="clear" w:color="auto" w:fill="auto"/>
            <w:vAlign w:val="top"/>
          </w:tcPr>
          <w:p w14:paraId="07EC75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5.321</w:t>
            </w:r>
          </w:p>
        </w:tc>
        <w:tc>
          <w:tcPr>
            <w:tcW w:w="625" w:type="pct"/>
            <w:shd w:val="clear" w:color="auto" w:fill="auto"/>
            <w:vAlign w:val="top"/>
          </w:tcPr>
          <w:p w14:paraId="631B7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5.575</w:t>
            </w:r>
          </w:p>
        </w:tc>
        <w:tc>
          <w:tcPr>
            <w:tcW w:w="625" w:type="pct"/>
            <w:vAlign w:val="center"/>
          </w:tcPr>
          <w:p w14:paraId="3CAFB18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5" w:type="pct"/>
            <w:shd w:val="clear" w:color="auto" w:fill="auto"/>
            <w:vAlign w:val="top"/>
          </w:tcPr>
          <w:p w14:paraId="238F1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1.662</w:t>
            </w:r>
          </w:p>
        </w:tc>
        <w:tc>
          <w:tcPr>
            <w:tcW w:w="625" w:type="pct"/>
            <w:shd w:val="clear" w:color="auto" w:fill="auto"/>
            <w:vAlign w:val="top"/>
          </w:tcPr>
          <w:p w14:paraId="30AD4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5.321</w:t>
            </w:r>
          </w:p>
        </w:tc>
        <w:tc>
          <w:tcPr>
            <w:tcW w:w="626" w:type="pct"/>
            <w:shd w:val="clear" w:color="auto" w:fill="auto"/>
            <w:vAlign w:val="top"/>
          </w:tcPr>
          <w:p w14:paraId="12D5F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5.575</w:t>
            </w:r>
          </w:p>
        </w:tc>
      </w:tr>
      <w:tr w14:paraId="3080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FF3A91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4" w:type="pct"/>
            <w:shd w:val="clear" w:color="auto" w:fill="auto"/>
            <w:vAlign w:val="top"/>
          </w:tcPr>
          <w:p w14:paraId="79992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1.772</w:t>
            </w:r>
          </w:p>
        </w:tc>
        <w:tc>
          <w:tcPr>
            <w:tcW w:w="625" w:type="pct"/>
            <w:shd w:val="clear" w:color="auto" w:fill="auto"/>
            <w:vAlign w:val="top"/>
          </w:tcPr>
          <w:p w14:paraId="737AE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5.463</w:t>
            </w:r>
          </w:p>
        </w:tc>
        <w:tc>
          <w:tcPr>
            <w:tcW w:w="625" w:type="pct"/>
            <w:shd w:val="clear" w:color="auto" w:fill="auto"/>
            <w:vAlign w:val="top"/>
          </w:tcPr>
          <w:p w14:paraId="43426F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5.743</w:t>
            </w:r>
          </w:p>
        </w:tc>
        <w:tc>
          <w:tcPr>
            <w:tcW w:w="625" w:type="pct"/>
            <w:vAlign w:val="center"/>
          </w:tcPr>
          <w:p w14:paraId="2C39197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5" w:type="pct"/>
            <w:shd w:val="clear" w:color="auto" w:fill="auto"/>
            <w:vAlign w:val="top"/>
          </w:tcPr>
          <w:p w14:paraId="54F7E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1.772</w:t>
            </w:r>
          </w:p>
        </w:tc>
        <w:tc>
          <w:tcPr>
            <w:tcW w:w="625" w:type="pct"/>
            <w:shd w:val="clear" w:color="auto" w:fill="auto"/>
            <w:vAlign w:val="top"/>
          </w:tcPr>
          <w:p w14:paraId="27A39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5.463</w:t>
            </w:r>
          </w:p>
        </w:tc>
        <w:tc>
          <w:tcPr>
            <w:tcW w:w="626" w:type="pct"/>
            <w:shd w:val="clear" w:color="auto" w:fill="auto"/>
            <w:vAlign w:val="top"/>
          </w:tcPr>
          <w:p w14:paraId="665E6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5.743</w:t>
            </w:r>
          </w:p>
        </w:tc>
      </w:tr>
      <w:tr w14:paraId="5F00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606E73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4" w:type="pct"/>
            <w:shd w:val="clear" w:color="auto" w:fill="auto"/>
            <w:vAlign w:val="top"/>
          </w:tcPr>
          <w:p w14:paraId="5D511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1.893</w:t>
            </w:r>
          </w:p>
        </w:tc>
        <w:tc>
          <w:tcPr>
            <w:tcW w:w="625" w:type="pct"/>
            <w:shd w:val="clear" w:color="auto" w:fill="auto"/>
            <w:vAlign w:val="top"/>
          </w:tcPr>
          <w:p w14:paraId="79867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5.611</w:t>
            </w:r>
          </w:p>
        </w:tc>
        <w:tc>
          <w:tcPr>
            <w:tcW w:w="625" w:type="pct"/>
            <w:shd w:val="clear" w:color="auto" w:fill="auto"/>
            <w:vAlign w:val="top"/>
          </w:tcPr>
          <w:p w14:paraId="65FB5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5.922</w:t>
            </w:r>
          </w:p>
        </w:tc>
        <w:tc>
          <w:tcPr>
            <w:tcW w:w="625" w:type="pct"/>
            <w:vAlign w:val="center"/>
          </w:tcPr>
          <w:p w14:paraId="077A078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5" w:type="pct"/>
            <w:shd w:val="clear" w:color="auto" w:fill="auto"/>
            <w:vAlign w:val="top"/>
          </w:tcPr>
          <w:p w14:paraId="3AFF0E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1.893</w:t>
            </w:r>
          </w:p>
        </w:tc>
        <w:tc>
          <w:tcPr>
            <w:tcW w:w="625" w:type="pct"/>
            <w:shd w:val="clear" w:color="auto" w:fill="auto"/>
            <w:vAlign w:val="top"/>
          </w:tcPr>
          <w:p w14:paraId="2E8BC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5.611</w:t>
            </w:r>
          </w:p>
        </w:tc>
        <w:tc>
          <w:tcPr>
            <w:tcW w:w="626" w:type="pct"/>
            <w:shd w:val="clear" w:color="auto" w:fill="auto"/>
            <w:vAlign w:val="top"/>
          </w:tcPr>
          <w:p w14:paraId="348AFB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5.922</w:t>
            </w:r>
          </w:p>
        </w:tc>
      </w:tr>
      <w:tr w14:paraId="2614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2B0455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4" w:type="pct"/>
            <w:shd w:val="clear" w:color="auto" w:fill="auto"/>
            <w:vAlign w:val="top"/>
          </w:tcPr>
          <w:p w14:paraId="35ECC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2.025</w:t>
            </w:r>
          </w:p>
        </w:tc>
        <w:tc>
          <w:tcPr>
            <w:tcW w:w="625" w:type="pct"/>
            <w:shd w:val="clear" w:color="auto" w:fill="auto"/>
            <w:vAlign w:val="top"/>
          </w:tcPr>
          <w:p w14:paraId="09C57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5.765</w:t>
            </w:r>
          </w:p>
        </w:tc>
        <w:tc>
          <w:tcPr>
            <w:tcW w:w="625" w:type="pct"/>
            <w:shd w:val="clear" w:color="auto" w:fill="auto"/>
            <w:vAlign w:val="top"/>
          </w:tcPr>
          <w:p w14:paraId="455AD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6.111</w:t>
            </w:r>
          </w:p>
        </w:tc>
        <w:tc>
          <w:tcPr>
            <w:tcW w:w="625" w:type="pct"/>
            <w:vAlign w:val="center"/>
          </w:tcPr>
          <w:p w14:paraId="1C1D5BC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5" w:type="pct"/>
            <w:shd w:val="clear" w:color="auto" w:fill="auto"/>
            <w:vAlign w:val="top"/>
          </w:tcPr>
          <w:p w14:paraId="1A80C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2.025</w:t>
            </w:r>
          </w:p>
        </w:tc>
        <w:tc>
          <w:tcPr>
            <w:tcW w:w="625" w:type="pct"/>
            <w:shd w:val="clear" w:color="auto" w:fill="auto"/>
            <w:vAlign w:val="top"/>
          </w:tcPr>
          <w:p w14:paraId="6E111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5.765</w:t>
            </w:r>
          </w:p>
        </w:tc>
        <w:tc>
          <w:tcPr>
            <w:tcW w:w="626" w:type="pct"/>
            <w:shd w:val="clear" w:color="auto" w:fill="auto"/>
            <w:vAlign w:val="top"/>
          </w:tcPr>
          <w:p w14:paraId="266F6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6.111</w:t>
            </w:r>
          </w:p>
        </w:tc>
      </w:tr>
      <w:tr w14:paraId="58C5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7A55EA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4" w:type="pct"/>
            <w:shd w:val="clear" w:color="auto" w:fill="auto"/>
            <w:vAlign w:val="top"/>
          </w:tcPr>
          <w:p w14:paraId="258B2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2.171</w:t>
            </w:r>
          </w:p>
        </w:tc>
        <w:tc>
          <w:tcPr>
            <w:tcW w:w="625" w:type="pct"/>
            <w:shd w:val="clear" w:color="auto" w:fill="auto"/>
            <w:vAlign w:val="top"/>
          </w:tcPr>
          <w:p w14:paraId="764F1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5.926</w:t>
            </w:r>
          </w:p>
        </w:tc>
        <w:tc>
          <w:tcPr>
            <w:tcW w:w="625" w:type="pct"/>
            <w:shd w:val="clear" w:color="auto" w:fill="auto"/>
            <w:vAlign w:val="top"/>
          </w:tcPr>
          <w:p w14:paraId="77B4A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6.311</w:t>
            </w:r>
          </w:p>
        </w:tc>
        <w:tc>
          <w:tcPr>
            <w:tcW w:w="625" w:type="pct"/>
            <w:vAlign w:val="center"/>
          </w:tcPr>
          <w:p w14:paraId="11A96EF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5" w:type="pct"/>
            <w:shd w:val="clear" w:color="auto" w:fill="auto"/>
            <w:vAlign w:val="top"/>
          </w:tcPr>
          <w:p w14:paraId="63CA7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2.171</w:t>
            </w:r>
          </w:p>
        </w:tc>
        <w:tc>
          <w:tcPr>
            <w:tcW w:w="625" w:type="pct"/>
            <w:shd w:val="clear" w:color="auto" w:fill="auto"/>
            <w:vAlign w:val="top"/>
          </w:tcPr>
          <w:p w14:paraId="2FC37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5.926</w:t>
            </w:r>
          </w:p>
        </w:tc>
        <w:tc>
          <w:tcPr>
            <w:tcW w:w="626" w:type="pct"/>
            <w:shd w:val="clear" w:color="auto" w:fill="auto"/>
            <w:vAlign w:val="top"/>
          </w:tcPr>
          <w:p w14:paraId="58A8A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6.311</w:t>
            </w:r>
          </w:p>
        </w:tc>
      </w:tr>
      <w:tr w14:paraId="3823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44A5C0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4" w:type="pct"/>
            <w:shd w:val="clear" w:color="auto" w:fill="auto"/>
            <w:vAlign w:val="top"/>
          </w:tcPr>
          <w:p w14:paraId="79963D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2.333</w:t>
            </w:r>
          </w:p>
        </w:tc>
        <w:tc>
          <w:tcPr>
            <w:tcW w:w="625" w:type="pct"/>
            <w:shd w:val="clear" w:color="auto" w:fill="auto"/>
            <w:vAlign w:val="top"/>
          </w:tcPr>
          <w:p w14:paraId="430E0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6.093</w:t>
            </w:r>
          </w:p>
        </w:tc>
        <w:tc>
          <w:tcPr>
            <w:tcW w:w="625" w:type="pct"/>
            <w:shd w:val="clear" w:color="auto" w:fill="auto"/>
            <w:vAlign w:val="top"/>
          </w:tcPr>
          <w:p w14:paraId="5D7D7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6.525</w:t>
            </w:r>
          </w:p>
        </w:tc>
        <w:tc>
          <w:tcPr>
            <w:tcW w:w="625" w:type="pct"/>
            <w:vAlign w:val="center"/>
          </w:tcPr>
          <w:p w14:paraId="00941A9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5" w:type="pct"/>
            <w:shd w:val="clear" w:color="auto" w:fill="auto"/>
            <w:vAlign w:val="top"/>
          </w:tcPr>
          <w:p w14:paraId="1A524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2.333</w:t>
            </w:r>
          </w:p>
        </w:tc>
        <w:tc>
          <w:tcPr>
            <w:tcW w:w="625" w:type="pct"/>
            <w:shd w:val="clear" w:color="auto" w:fill="auto"/>
            <w:vAlign w:val="top"/>
          </w:tcPr>
          <w:p w14:paraId="0EAA3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6.093</w:t>
            </w:r>
          </w:p>
        </w:tc>
        <w:tc>
          <w:tcPr>
            <w:tcW w:w="626" w:type="pct"/>
            <w:shd w:val="clear" w:color="auto" w:fill="auto"/>
            <w:vAlign w:val="top"/>
          </w:tcPr>
          <w:p w14:paraId="1CC41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6.525</w:t>
            </w:r>
          </w:p>
        </w:tc>
      </w:tr>
      <w:tr w14:paraId="046F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D60772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4" w:type="pct"/>
            <w:shd w:val="clear" w:color="auto" w:fill="auto"/>
            <w:vAlign w:val="top"/>
          </w:tcPr>
          <w:p w14:paraId="5065A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2.511</w:t>
            </w:r>
          </w:p>
        </w:tc>
        <w:tc>
          <w:tcPr>
            <w:tcW w:w="625" w:type="pct"/>
            <w:shd w:val="clear" w:color="auto" w:fill="auto"/>
            <w:vAlign w:val="top"/>
          </w:tcPr>
          <w:p w14:paraId="53755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6.267</w:t>
            </w:r>
          </w:p>
        </w:tc>
        <w:tc>
          <w:tcPr>
            <w:tcW w:w="625" w:type="pct"/>
            <w:shd w:val="clear" w:color="auto" w:fill="auto"/>
            <w:vAlign w:val="top"/>
          </w:tcPr>
          <w:p w14:paraId="09E3E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6.752</w:t>
            </w:r>
          </w:p>
        </w:tc>
        <w:tc>
          <w:tcPr>
            <w:tcW w:w="625" w:type="pct"/>
            <w:vAlign w:val="center"/>
          </w:tcPr>
          <w:p w14:paraId="5DC0E0F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5" w:type="pct"/>
            <w:shd w:val="clear" w:color="auto" w:fill="auto"/>
            <w:vAlign w:val="top"/>
          </w:tcPr>
          <w:p w14:paraId="4E423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2.511</w:t>
            </w:r>
          </w:p>
        </w:tc>
        <w:tc>
          <w:tcPr>
            <w:tcW w:w="625" w:type="pct"/>
            <w:shd w:val="clear" w:color="auto" w:fill="auto"/>
            <w:vAlign w:val="top"/>
          </w:tcPr>
          <w:p w14:paraId="0A720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6.267</w:t>
            </w:r>
          </w:p>
        </w:tc>
        <w:tc>
          <w:tcPr>
            <w:tcW w:w="626" w:type="pct"/>
            <w:shd w:val="clear" w:color="auto" w:fill="auto"/>
            <w:vAlign w:val="top"/>
          </w:tcPr>
          <w:p w14:paraId="2C948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6.752</w:t>
            </w:r>
          </w:p>
        </w:tc>
      </w:tr>
      <w:tr w14:paraId="07F8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365A1D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4" w:type="pct"/>
            <w:shd w:val="clear" w:color="auto" w:fill="auto"/>
            <w:vAlign w:val="top"/>
          </w:tcPr>
          <w:p w14:paraId="72DCB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2.710</w:t>
            </w:r>
          </w:p>
        </w:tc>
        <w:tc>
          <w:tcPr>
            <w:tcW w:w="625" w:type="pct"/>
            <w:shd w:val="clear" w:color="auto" w:fill="auto"/>
            <w:vAlign w:val="top"/>
          </w:tcPr>
          <w:p w14:paraId="3379F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6.447</w:t>
            </w:r>
          </w:p>
        </w:tc>
        <w:tc>
          <w:tcPr>
            <w:tcW w:w="625" w:type="pct"/>
            <w:shd w:val="clear" w:color="auto" w:fill="auto"/>
            <w:vAlign w:val="top"/>
          </w:tcPr>
          <w:p w14:paraId="75C15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6.993</w:t>
            </w:r>
          </w:p>
        </w:tc>
        <w:tc>
          <w:tcPr>
            <w:tcW w:w="625" w:type="pct"/>
            <w:vAlign w:val="center"/>
          </w:tcPr>
          <w:p w14:paraId="7A7A3EA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5" w:type="pct"/>
            <w:shd w:val="clear" w:color="auto" w:fill="auto"/>
            <w:vAlign w:val="top"/>
          </w:tcPr>
          <w:p w14:paraId="1BF67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2.710</w:t>
            </w:r>
          </w:p>
        </w:tc>
        <w:tc>
          <w:tcPr>
            <w:tcW w:w="625" w:type="pct"/>
            <w:shd w:val="clear" w:color="auto" w:fill="auto"/>
            <w:vAlign w:val="top"/>
          </w:tcPr>
          <w:p w14:paraId="73214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6.447</w:t>
            </w:r>
          </w:p>
        </w:tc>
        <w:tc>
          <w:tcPr>
            <w:tcW w:w="626" w:type="pct"/>
            <w:shd w:val="clear" w:color="auto" w:fill="auto"/>
            <w:vAlign w:val="top"/>
          </w:tcPr>
          <w:p w14:paraId="16B6D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6.993</w:t>
            </w:r>
          </w:p>
        </w:tc>
      </w:tr>
      <w:tr w14:paraId="707E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730912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4" w:type="pct"/>
            <w:shd w:val="clear" w:color="auto" w:fill="auto"/>
            <w:vAlign w:val="top"/>
          </w:tcPr>
          <w:p w14:paraId="6CF2B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2.930</w:t>
            </w:r>
          </w:p>
        </w:tc>
        <w:tc>
          <w:tcPr>
            <w:tcW w:w="625" w:type="pct"/>
            <w:shd w:val="clear" w:color="auto" w:fill="auto"/>
            <w:vAlign w:val="top"/>
          </w:tcPr>
          <w:p w14:paraId="6FA25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6.632</w:t>
            </w:r>
          </w:p>
        </w:tc>
        <w:tc>
          <w:tcPr>
            <w:tcW w:w="625" w:type="pct"/>
            <w:shd w:val="clear" w:color="auto" w:fill="auto"/>
            <w:vAlign w:val="top"/>
          </w:tcPr>
          <w:p w14:paraId="72735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7.251</w:t>
            </w:r>
          </w:p>
        </w:tc>
        <w:tc>
          <w:tcPr>
            <w:tcW w:w="625" w:type="pct"/>
            <w:vAlign w:val="center"/>
          </w:tcPr>
          <w:p w14:paraId="0604565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5" w:type="pct"/>
            <w:shd w:val="clear" w:color="auto" w:fill="auto"/>
            <w:vAlign w:val="top"/>
          </w:tcPr>
          <w:p w14:paraId="49957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2.930</w:t>
            </w:r>
          </w:p>
        </w:tc>
        <w:tc>
          <w:tcPr>
            <w:tcW w:w="625" w:type="pct"/>
            <w:shd w:val="clear" w:color="auto" w:fill="auto"/>
            <w:vAlign w:val="top"/>
          </w:tcPr>
          <w:p w14:paraId="7A96F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6.632</w:t>
            </w:r>
          </w:p>
        </w:tc>
        <w:tc>
          <w:tcPr>
            <w:tcW w:w="626" w:type="pct"/>
            <w:shd w:val="clear" w:color="auto" w:fill="auto"/>
            <w:vAlign w:val="top"/>
          </w:tcPr>
          <w:p w14:paraId="43A15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7.251</w:t>
            </w:r>
          </w:p>
        </w:tc>
      </w:tr>
      <w:tr w14:paraId="437D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F261E7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4" w:type="pct"/>
            <w:shd w:val="clear" w:color="auto" w:fill="auto"/>
            <w:vAlign w:val="top"/>
          </w:tcPr>
          <w:p w14:paraId="2EA3F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3.176</w:t>
            </w:r>
          </w:p>
        </w:tc>
        <w:tc>
          <w:tcPr>
            <w:tcW w:w="625" w:type="pct"/>
            <w:shd w:val="clear" w:color="auto" w:fill="auto"/>
            <w:vAlign w:val="top"/>
          </w:tcPr>
          <w:p w14:paraId="11C8D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6.822</w:t>
            </w:r>
          </w:p>
        </w:tc>
        <w:tc>
          <w:tcPr>
            <w:tcW w:w="625" w:type="pct"/>
            <w:shd w:val="clear" w:color="auto" w:fill="auto"/>
            <w:vAlign w:val="top"/>
          </w:tcPr>
          <w:p w14:paraId="10950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7.525</w:t>
            </w:r>
          </w:p>
        </w:tc>
        <w:tc>
          <w:tcPr>
            <w:tcW w:w="625" w:type="pct"/>
            <w:vAlign w:val="center"/>
          </w:tcPr>
          <w:p w14:paraId="65E469D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5" w:type="pct"/>
            <w:shd w:val="clear" w:color="auto" w:fill="auto"/>
            <w:vAlign w:val="top"/>
          </w:tcPr>
          <w:p w14:paraId="0AB79C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3.176</w:t>
            </w:r>
          </w:p>
        </w:tc>
        <w:tc>
          <w:tcPr>
            <w:tcW w:w="625" w:type="pct"/>
            <w:shd w:val="clear" w:color="auto" w:fill="auto"/>
            <w:vAlign w:val="top"/>
          </w:tcPr>
          <w:p w14:paraId="7DB59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6.822</w:t>
            </w:r>
          </w:p>
        </w:tc>
        <w:tc>
          <w:tcPr>
            <w:tcW w:w="626" w:type="pct"/>
            <w:shd w:val="clear" w:color="auto" w:fill="auto"/>
            <w:vAlign w:val="top"/>
          </w:tcPr>
          <w:p w14:paraId="508AF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7.525</w:t>
            </w:r>
          </w:p>
        </w:tc>
      </w:tr>
      <w:tr w14:paraId="45DA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629A9C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4" w:type="pct"/>
            <w:shd w:val="clear" w:color="auto" w:fill="auto"/>
            <w:vAlign w:val="top"/>
          </w:tcPr>
          <w:p w14:paraId="4CD2B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3.451</w:t>
            </w:r>
          </w:p>
        </w:tc>
        <w:tc>
          <w:tcPr>
            <w:tcW w:w="625" w:type="pct"/>
            <w:shd w:val="clear" w:color="auto" w:fill="auto"/>
            <w:vAlign w:val="top"/>
          </w:tcPr>
          <w:p w14:paraId="1ABF5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7.015</w:t>
            </w:r>
          </w:p>
        </w:tc>
        <w:tc>
          <w:tcPr>
            <w:tcW w:w="625" w:type="pct"/>
            <w:shd w:val="clear" w:color="auto" w:fill="auto"/>
            <w:vAlign w:val="top"/>
          </w:tcPr>
          <w:p w14:paraId="55401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7.818</w:t>
            </w:r>
          </w:p>
        </w:tc>
        <w:tc>
          <w:tcPr>
            <w:tcW w:w="625" w:type="pct"/>
            <w:vAlign w:val="center"/>
          </w:tcPr>
          <w:p w14:paraId="164BF14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5" w:type="pct"/>
            <w:shd w:val="clear" w:color="auto" w:fill="auto"/>
            <w:vAlign w:val="top"/>
          </w:tcPr>
          <w:p w14:paraId="69AD7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3.451</w:t>
            </w:r>
          </w:p>
        </w:tc>
        <w:tc>
          <w:tcPr>
            <w:tcW w:w="625" w:type="pct"/>
            <w:shd w:val="clear" w:color="auto" w:fill="auto"/>
            <w:vAlign w:val="top"/>
          </w:tcPr>
          <w:p w14:paraId="4BCA3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7.015</w:t>
            </w:r>
          </w:p>
        </w:tc>
        <w:tc>
          <w:tcPr>
            <w:tcW w:w="626" w:type="pct"/>
            <w:shd w:val="clear" w:color="auto" w:fill="auto"/>
            <w:vAlign w:val="top"/>
          </w:tcPr>
          <w:p w14:paraId="2C08D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7.818</w:t>
            </w:r>
          </w:p>
        </w:tc>
      </w:tr>
      <w:tr w14:paraId="0FF1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A05BAC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4" w:type="pct"/>
            <w:shd w:val="clear" w:color="auto" w:fill="auto"/>
            <w:vAlign w:val="top"/>
          </w:tcPr>
          <w:p w14:paraId="13B2F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3.759</w:t>
            </w:r>
          </w:p>
        </w:tc>
        <w:tc>
          <w:tcPr>
            <w:tcW w:w="625" w:type="pct"/>
            <w:shd w:val="clear" w:color="auto" w:fill="auto"/>
            <w:vAlign w:val="top"/>
          </w:tcPr>
          <w:p w14:paraId="5C42B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7.209</w:t>
            </w:r>
          </w:p>
        </w:tc>
        <w:tc>
          <w:tcPr>
            <w:tcW w:w="625" w:type="pct"/>
            <w:shd w:val="clear" w:color="auto" w:fill="auto"/>
            <w:vAlign w:val="top"/>
          </w:tcPr>
          <w:p w14:paraId="37E44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8.130</w:t>
            </w:r>
          </w:p>
        </w:tc>
        <w:tc>
          <w:tcPr>
            <w:tcW w:w="625" w:type="pct"/>
            <w:vAlign w:val="center"/>
          </w:tcPr>
          <w:p w14:paraId="02AF336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5" w:type="pct"/>
            <w:shd w:val="clear" w:color="auto" w:fill="auto"/>
            <w:vAlign w:val="top"/>
          </w:tcPr>
          <w:p w14:paraId="66F53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3.759</w:t>
            </w:r>
          </w:p>
        </w:tc>
        <w:tc>
          <w:tcPr>
            <w:tcW w:w="625" w:type="pct"/>
            <w:shd w:val="clear" w:color="auto" w:fill="auto"/>
            <w:vAlign w:val="top"/>
          </w:tcPr>
          <w:p w14:paraId="59582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7.209</w:t>
            </w:r>
          </w:p>
        </w:tc>
        <w:tc>
          <w:tcPr>
            <w:tcW w:w="626" w:type="pct"/>
            <w:shd w:val="clear" w:color="auto" w:fill="auto"/>
            <w:vAlign w:val="top"/>
          </w:tcPr>
          <w:p w14:paraId="1DAA3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8.130</w:t>
            </w:r>
          </w:p>
        </w:tc>
      </w:tr>
      <w:tr w14:paraId="1D4F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E51A8F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4" w:type="pct"/>
            <w:shd w:val="clear" w:color="auto" w:fill="auto"/>
            <w:vAlign w:val="top"/>
          </w:tcPr>
          <w:p w14:paraId="72F7D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4.103</w:t>
            </w:r>
          </w:p>
        </w:tc>
        <w:tc>
          <w:tcPr>
            <w:tcW w:w="625" w:type="pct"/>
            <w:shd w:val="clear" w:color="auto" w:fill="auto"/>
            <w:vAlign w:val="top"/>
          </w:tcPr>
          <w:p w14:paraId="5BFBA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7.400</w:t>
            </w:r>
          </w:p>
        </w:tc>
        <w:tc>
          <w:tcPr>
            <w:tcW w:w="625" w:type="pct"/>
            <w:shd w:val="clear" w:color="auto" w:fill="auto"/>
            <w:vAlign w:val="top"/>
          </w:tcPr>
          <w:p w14:paraId="4C969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8.462</w:t>
            </w:r>
          </w:p>
        </w:tc>
        <w:tc>
          <w:tcPr>
            <w:tcW w:w="625" w:type="pct"/>
            <w:vAlign w:val="center"/>
          </w:tcPr>
          <w:p w14:paraId="64C8DF6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5" w:type="pct"/>
            <w:shd w:val="clear" w:color="auto" w:fill="auto"/>
            <w:vAlign w:val="top"/>
          </w:tcPr>
          <w:p w14:paraId="797843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4.103</w:t>
            </w:r>
          </w:p>
        </w:tc>
        <w:tc>
          <w:tcPr>
            <w:tcW w:w="625" w:type="pct"/>
            <w:shd w:val="clear" w:color="auto" w:fill="auto"/>
            <w:vAlign w:val="top"/>
          </w:tcPr>
          <w:p w14:paraId="713362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7.400</w:t>
            </w:r>
          </w:p>
        </w:tc>
        <w:tc>
          <w:tcPr>
            <w:tcW w:w="626" w:type="pct"/>
            <w:shd w:val="clear" w:color="auto" w:fill="auto"/>
            <w:vAlign w:val="top"/>
          </w:tcPr>
          <w:p w14:paraId="3CC05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8.462</w:t>
            </w:r>
          </w:p>
        </w:tc>
      </w:tr>
      <w:tr w14:paraId="6745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3C5DC3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4" w:type="pct"/>
            <w:shd w:val="clear" w:color="auto" w:fill="auto"/>
            <w:vAlign w:val="top"/>
          </w:tcPr>
          <w:p w14:paraId="40092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4.490</w:t>
            </w:r>
          </w:p>
        </w:tc>
        <w:tc>
          <w:tcPr>
            <w:tcW w:w="625" w:type="pct"/>
            <w:shd w:val="clear" w:color="auto" w:fill="auto"/>
            <w:vAlign w:val="top"/>
          </w:tcPr>
          <w:p w14:paraId="3F6F3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7.586</w:t>
            </w:r>
          </w:p>
        </w:tc>
        <w:tc>
          <w:tcPr>
            <w:tcW w:w="625" w:type="pct"/>
            <w:shd w:val="clear" w:color="auto" w:fill="auto"/>
            <w:vAlign w:val="top"/>
          </w:tcPr>
          <w:p w14:paraId="4D72E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8.815</w:t>
            </w:r>
          </w:p>
        </w:tc>
        <w:tc>
          <w:tcPr>
            <w:tcW w:w="625" w:type="pct"/>
            <w:vAlign w:val="center"/>
          </w:tcPr>
          <w:p w14:paraId="54CE0C6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5" w:type="pct"/>
            <w:shd w:val="clear" w:color="auto" w:fill="auto"/>
            <w:vAlign w:val="top"/>
          </w:tcPr>
          <w:p w14:paraId="3BC7F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4.490</w:t>
            </w:r>
          </w:p>
        </w:tc>
        <w:tc>
          <w:tcPr>
            <w:tcW w:w="625" w:type="pct"/>
            <w:shd w:val="clear" w:color="auto" w:fill="auto"/>
            <w:vAlign w:val="top"/>
          </w:tcPr>
          <w:p w14:paraId="0A91A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7.586</w:t>
            </w:r>
          </w:p>
        </w:tc>
        <w:tc>
          <w:tcPr>
            <w:tcW w:w="626" w:type="pct"/>
            <w:shd w:val="clear" w:color="auto" w:fill="auto"/>
            <w:vAlign w:val="top"/>
          </w:tcPr>
          <w:p w14:paraId="71E30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8.815</w:t>
            </w:r>
          </w:p>
        </w:tc>
      </w:tr>
      <w:tr w14:paraId="00B6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28C4CE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4" w:type="pct"/>
            <w:shd w:val="clear" w:color="auto" w:fill="auto"/>
            <w:vAlign w:val="top"/>
          </w:tcPr>
          <w:p w14:paraId="18309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4.923</w:t>
            </w:r>
          </w:p>
        </w:tc>
        <w:tc>
          <w:tcPr>
            <w:tcW w:w="625" w:type="pct"/>
            <w:shd w:val="clear" w:color="auto" w:fill="auto"/>
            <w:vAlign w:val="top"/>
          </w:tcPr>
          <w:p w14:paraId="4B246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7.760</w:t>
            </w:r>
          </w:p>
        </w:tc>
        <w:tc>
          <w:tcPr>
            <w:tcW w:w="625" w:type="pct"/>
            <w:shd w:val="clear" w:color="auto" w:fill="auto"/>
            <w:vAlign w:val="top"/>
          </w:tcPr>
          <w:p w14:paraId="2B075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9.190</w:t>
            </w:r>
          </w:p>
        </w:tc>
        <w:tc>
          <w:tcPr>
            <w:tcW w:w="625" w:type="pct"/>
            <w:vAlign w:val="center"/>
          </w:tcPr>
          <w:p w14:paraId="366A6D8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5" w:type="pct"/>
            <w:shd w:val="clear" w:color="auto" w:fill="auto"/>
            <w:vAlign w:val="top"/>
          </w:tcPr>
          <w:p w14:paraId="02213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4.923</w:t>
            </w:r>
          </w:p>
        </w:tc>
        <w:tc>
          <w:tcPr>
            <w:tcW w:w="625" w:type="pct"/>
            <w:shd w:val="clear" w:color="auto" w:fill="auto"/>
            <w:vAlign w:val="top"/>
          </w:tcPr>
          <w:p w14:paraId="05434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7.760</w:t>
            </w:r>
          </w:p>
        </w:tc>
        <w:tc>
          <w:tcPr>
            <w:tcW w:w="626" w:type="pct"/>
            <w:shd w:val="clear" w:color="auto" w:fill="auto"/>
            <w:vAlign w:val="top"/>
          </w:tcPr>
          <w:p w14:paraId="64A70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9.190</w:t>
            </w:r>
          </w:p>
        </w:tc>
      </w:tr>
      <w:tr w14:paraId="12C9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2B9F0B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4" w:type="pct"/>
            <w:shd w:val="clear" w:color="auto" w:fill="auto"/>
            <w:vAlign w:val="top"/>
          </w:tcPr>
          <w:p w14:paraId="655E6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5.408</w:t>
            </w:r>
          </w:p>
        </w:tc>
        <w:tc>
          <w:tcPr>
            <w:tcW w:w="625" w:type="pct"/>
            <w:shd w:val="clear" w:color="auto" w:fill="auto"/>
            <w:vAlign w:val="top"/>
          </w:tcPr>
          <w:p w14:paraId="64C74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7.914</w:t>
            </w:r>
          </w:p>
        </w:tc>
        <w:tc>
          <w:tcPr>
            <w:tcW w:w="625" w:type="pct"/>
            <w:shd w:val="clear" w:color="auto" w:fill="auto"/>
            <w:vAlign w:val="top"/>
          </w:tcPr>
          <w:p w14:paraId="3B644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9.585</w:t>
            </w:r>
          </w:p>
        </w:tc>
        <w:tc>
          <w:tcPr>
            <w:tcW w:w="625" w:type="pct"/>
            <w:vAlign w:val="center"/>
          </w:tcPr>
          <w:p w14:paraId="05A6E20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5" w:type="pct"/>
            <w:shd w:val="clear" w:color="auto" w:fill="auto"/>
            <w:vAlign w:val="top"/>
          </w:tcPr>
          <w:p w14:paraId="7179A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5.408</w:t>
            </w:r>
          </w:p>
        </w:tc>
        <w:tc>
          <w:tcPr>
            <w:tcW w:w="625" w:type="pct"/>
            <w:shd w:val="clear" w:color="auto" w:fill="auto"/>
            <w:vAlign w:val="top"/>
          </w:tcPr>
          <w:p w14:paraId="446DF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7.914</w:t>
            </w:r>
          </w:p>
        </w:tc>
        <w:tc>
          <w:tcPr>
            <w:tcW w:w="626" w:type="pct"/>
            <w:shd w:val="clear" w:color="auto" w:fill="auto"/>
            <w:vAlign w:val="top"/>
          </w:tcPr>
          <w:p w14:paraId="359D3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9.585</w:t>
            </w:r>
          </w:p>
        </w:tc>
      </w:tr>
      <w:tr w14:paraId="509F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180316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4" w:type="pct"/>
            <w:shd w:val="clear" w:color="auto" w:fill="auto"/>
            <w:vAlign w:val="top"/>
          </w:tcPr>
          <w:p w14:paraId="276DE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5.948</w:t>
            </w:r>
          </w:p>
        </w:tc>
        <w:tc>
          <w:tcPr>
            <w:tcW w:w="625" w:type="pct"/>
            <w:shd w:val="clear" w:color="auto" w:fill="auto"/>
            <w:vAlign w:val="top"/>
          </w:tcPr>
          <w:p w14:paraId="06621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8.038</w:t>
            </w:r>
          </w:p>
        </w:tc>
        <w:tc>
          <w:tcPr>
            <w:tcW w:w="625" w:type="pct"/>
            <w:shd w:val="clear" w:color="auto" w:fill="auto"/>
            <w:vAlign w:val="top"/>
          </w:tcPr>
          <w:p w14:paraId="0F676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10.000</w:t>
            </w:r>
          </w:p>
        </w:tc>
        <w:tc>
          <w:tcPr>
            <w:tcW w:w="625" w:type="pct"/>
            <w:vAlign w:val="center"/>
          </w:tcPr>
          <w:p w14:paraId="23E14B1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5" w:type="pct"/>
            <w:shd w:val="clear" w:color="auto" w:fill="auto"/>
            <w:vAlign w:val="top"/>
          </w:tcPr>
          <w:p w14:paraId="14BCF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5.948</w:t>
            </w:r>
          </w:p>
        </w:tc>
        <w:tc>
          <w:tcPr>
            <w:tcW w:w="625" w:type="pct"/>
            <w:shd w:val="clear" w:color="auto" w:fill="auto"/>
            <w:vAlign w:val="top"/>
          </w:tcPr>
          <w:p w14:paraId="53B40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8.038</w:t>
            </w:r>
          </w:p>
        </w:tc>
        <w:tc>
          <w:tcPr>
            <w:tcW w:w="626" w:type="pct"/>
            <w:shd w:val="clear" w:color="auto" w:fill="auto"/>
            <w:vAlign w:val="top"/>
          </w:tcPr>
          <w:p w14:paraId="693454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10.000</w:t>
            </w:r>
          </w:p>
        </w:tc>
      </w:tr>
      <w:tr w14:paraId="62E3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859CF6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4" w:type="pct"/>
            <w:shd w:val="clear" w:color="auto" w:fill="auto"/>
            <w:vAlign w:val="top"/>
          </w:tcPr>
          <w:p w14:paraId="28F65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6.547</w:t>
            </w:r>
          </w:p>
        </w:tc>
        <w:tc>
          <w:tcPr>
            <w:tcW w:w="625" w:type="pct"/>
            <w:shd w:val="clear" w:color="auto" w:fill="auto"/>
            <w:vAlign w:val="top"/>
          </w:tcPr>
          <w:p w14:paraId="720159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8.120</w:t>
            </w:r>
          </w:p>
        </w:tc>
        <w:tc>
          <w:tcPr>
            <w:tcW w:w="625" w:type="pct"/>
            <w:shd w:val="clear" w:color="auto" w:fill="auto"/>
            <w:vAlign w:val="top"/>
          </w:tcPr>
          <w:p w14:paraId="60117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10.430</w:t>
            </w:r>
          </w:p>
        </w:tc>
        <w:tc>
          <w:tcPr>
            <w:tcW w:w="625" w:type="pct"/>
            <w:vAlign w:val="center"/>
          </w:tcPr>
          <w:p w14:paraId="40B02DB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5" w:type="pct"/>
            <w:shd w:val="clear" w:color="auto" w:fill="auto"/>
            <w:vAlign w:val="top"/>
          </w:tcPr>
          <w:p w14:paraId="56795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6.547</w:t>
            </w:r>
          </w:p>
        </w:tc>
        <w:tc>
          <w:tcPr>
            <w:tcW w:w="625" w:type="pct"/>
            <w:shd w:val="clear" w:color="auto" w:fill="auto"/>
            <w:vAlign w:val="top"/>
          </w:tcPr>
          <w:p w14:paraId="7E040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8.120</w:t>
            </w:r>
          </w:p>
        </w:tc>
        <w:tc>
          <w:tcPr>
            <w:tcW w:w="626" w:type="pct"/>
            <w:shd w:val="clear" w:color="auto" w:fill="auto"/>
            <w:vAlign w:val="top"/>
          </w:tcPr>
          <w:p w14:paraId="7E8FC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10.430</w:t>
            </w:r>
          </w:p>
        </w:tc>
      </w:tr>
      <w:tr w14:paraId="197B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D4D036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4" w:type="pct"/>
            <w:shd w:val="clear" w:color="auto" w:fill="auto"/>
            <w:vAlign w:val="top"/>
          </w:tcPr>
          <w:p w14:paraId="0082C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7.203</w:t>
            </w:r>
          </w:p>
        </w:tc>
        <w:tc>
          <w:tcPr>
            <w:tcW w:w="625" w:type="pct"/>
            <w:shd w:val="clear" w:color="auto" w:fill="auto"/>
            <w:vAlign w:val="top"/>
          </w:tcPr>
          <w:p w14:paraId="69274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8.143</w:t>
            </w:r>
          </w:p>
        </w:tc>
        <w:tc>
          <w:tcPr>
            <w:tcW w:w="625" w:type="pct"/>
            <w:shd w:val="clear" w:color="auto" w:fill="auto"/>
            <w:vAlign w:val="top"/>
          </w:tcPr>
          <w:p w14:paraId="7B8AC8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10.872</w:t>
            </w:r>
          </w:p>
        </w:tc>
        <w:tc>
          <w:tcPr>
            <w:tcW w:w="625" w:type="pct"/>
            <w:vAlign w:val="center"/>
          </w:tcPr>
          <w:p w14:paraId="1986862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5" w:type="pct"/>
            <w:shd w:val="clear" w:color="auto" w:fill="auto"/>
            <w:vAlign w:val="top"/>
          </w:tcPr>
          <w:p w14:paraId="5B3E4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7.203</w:t>
            </w:r>
          </w:p>
        </w:tc>
        <w:tc>
          <w:tcPr>
            <w:tcW w:w="625" w:type="pct"/>
            <w:shd w:val="clear" w:color="auto" w:fill="auto"/>
            <w:vAlign w:val="top"/>
          </w:tcPr>
          <w:p w14:paraId="57152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8.143</w:t>
            </w:r>
          </w:p>
        </w:tc>
        <w:tc>
          <w:tcPr>
            <w:tcW w:w="626" w:type="pct"/>
            <w:shd w:val="clear" w:color="auto" w:fill="auto"/>
            <w:vAlign w:val="top"/>
          </w:tcPr>
          <w:p w14:paraId="528326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10.872</w:t>
            </w:r>
          </w:p>
        </w:tc>
      </w:tr>
      <w:tr w14:paraId="4FE2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1F0F96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4" w:type="pct"/>
            <w:shd w:val="clear" w:color="auto" w:fill="auto"/>
            <w:vAlign w:val="top"/>
          </w:tcPr>
          <w:p w14:paraId="4ABF4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7.914</w:t>
            </w:r>
          </w:p>
        </w:tc>
        <w:tc>
          <w:tcPr>
            <w:tcW w:w="625" w:type="pct"/>
            <w:shd w:val="clear" w:color="auto" w:fill="auto"/>
            <w:vAlign w:val="top"/>
          </w:tcPr>
          <w:p w14:paraId="29EC4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8.089</w:t>
            </w:r>
          </w:p>
        </w:tc>
        <w:tc>
          <w:tcPr>
            <w:tcW w:w="625" w:type="pct"/>
            <w:shd w:val="clear" w:color="auto" w:fill="auto"/>
            <w:vAlign w:val="top"/>
          </w:tcPr>
          <w:p w14:paraId="3A9D7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11.317</w:t>
            </w:r>
          </w:p>
        </w:tc>
        <w:tc>
          <w:tcPr>
            <w:tcW w:w="625" w:type="pct"/>
            <w:vAlign w:val="center"/>
          </w:tcPr>
          <w:p w14:paraId="34D9AB6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5" w:type="pct"/>
            <w:shd w:val="clear" w:color="auto" w:fill="auto"/>
            <w:vAlign w:val="top"/>
          </w:tcPr>
          <w:p w14:paraId="61410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7.914</w:t>
            </w:r>
          </w:p>
        </w:tc>
        <w:tc>
          <w:tcPr>
            <w:tcW w:w="625" w:type="pct"/>
            <w:shd w:val="clear" w:color="auto" w:fill="auto"/>
            <w:vAlign w:val="top"/>
          </w:tcPr>
          <w:p w14:paraId="339F8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8.089</w:t>
            </w:r>
          </w:p>
        </w:tc>
        <w:tc>
          <w:tcPr>
            <w:tcW w:w="626" w:type="pct"/>
            <w:shd w:val="clear" w:color="auto" w:fill="auto"/>
            <w:vAlign w:val="top"/>
          </w:tcPr>
          <w:p w14:paraId="48886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11.317</w:t>
            </w:r>
          </w:p>
        </w:tc>
      </w:tr>
      <w:tr w14:paraId="2C55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2E76E9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4" w:type="pct"/>
            <w:shd w:val="clear" w:color="auto" w:fill="auto"/>
            <w:vAlign w:val="top"/>
          </w:tcPr>
          <w:p w14:paraId="6EABE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8.668</w:t>
            </w:r>
          </w:p>
        </w:tc>
        <w:tc>
          <w:tcPr>
            <w:tcW w:w="625" w:type="pct"/>
            <w:shd w:val="clear" w:color="auto" w:fill="auto"/>
            <w:vAlign w:val="top"/>
          </w:tcPr>
          <w:p w14:paraId="48A9A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7.938</w:t>
            </w:r>
          </w:p>
        </w:tc>
        <w:tc>
          <w:tcPr>
            <w:tcW w:w="625" w:type="pct"/>
            <w:shd w:val="clear" w:color="auto" w:fill="auto"/>
            <w:vAlign w:val="top"/>
          </w:tcPr>
          <w:p w14:paraId="3C168A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11.753</w:t>
            </w:r>
          </w:p>
        </w:tc>
        <w:tc>
          <w:tcPr>
            <w:tcW w:w="625" w:type="pct"/>
            <w:vAlign w:val="center"/>
          </w:tcPr>
          <w:p w14:paraId="4CB377B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5" w:type="pct"/>
            <w:shd w:val="clear" w:color="auto" w:fill="auto"/>
            <w:vAlign w:val="top"/>
          </w:tcPr>
          <w:p w14:paraId="41E36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8.668</w:t>
            </w:r>
          </w:p>
        </w:tc>
        <w:tc>
          <w:tcPr>
            <w:tcW w:w="625" w:type="pct"/>
            <w:shd w:val="clear" w:color="auto" w:fill="auto"/>
            <w:vAlign w:val="top"/>
          </w:tcPr>
          <w:p w14:paraId="5CF36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7.938</w:t>
            </w:r>
          </w:p>
        </w:tc>
        <w:tc>
          <w:tcPr>
            <w:tcW w:w="626" w:type="pct"/>
            <w:shd w:val="clear" w:color="auto" w:fill="auto"/>
            <w:vAlign w:val="top"/>
          </w:tcPr>
          <w:p w14:paraId="314E2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11.753</w:t>
            </w:r>
          </w:p>
        </w:tc>
      </w:tr>
      <w:tr w14:paraId="39D5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84E05B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4" w:type="pct"/>
            <w:shd w:val="clear" w:color="auto" w:fill="auto"/>
            <w:vAlign w:val="top"/>
          </w:tcPr>
          <w:p w14:paraId="08479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9.445</w:t>
            </w:r>
          </w:p>
        </w:tc>
        <w:tc>
          <w:tcPr>
            <w:tcW w:w="625" w:type="pct"/>
            <w:shd w:val="clear" w:color="auto" w:fill="auto"/>
            <w:vAlign w:val="top"/>
          </w:tcPr>
          <w:p w14:paraId="60C5C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7.670</w:t>
            </w:r>
          </w:p>
        </w:tc>
        <w:tc>
          <w:tcPr>
            <w:tcW w:w="625" w:type="pct"/>
            <w:shd w:val="clear" w:color="auto" w:fill="auto"/>
            <w:vAlign w:val="top"/>
          </w:tcPr>
          <w:p w14:paraId="3C112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12.167</w:t>
            </w:r>
          </w:p>
        </w:tc>
        <w:tc>
          <w:tcPr>
            <w:tcW w:w="625" w:type="pct"/>
            <w:vAlign w:val="center"/>
          </w:tcPr>
          <w:p w14:paraId="7F42B51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5" w:type="pct"/>
            <w:shd w:val="clear" w:color="auto" w:fill="auto"/>
            <w:vAlign w:val="top"/>
          </w:tcPr>
          <w:p w14:paraId="23F95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9.445</w:t>
            </w:r>
          </w:p>
        </w:tc>
        <w:tc>
          <w:tcPr>
            <w:tcW w:w="625" w:type="pct"/>
            <w:shd w:val="clear" w:color="auto" w:fill="auto"/>
            <w:vAlign w:val="top"/>
          </w:tcPr>
          <w:p w14:paraId="15B96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7.670</w:t>
            </w:r>
          </w:p>
        </w:tc>
        <w:tc>
          <w:tcPr>
            <w:tcW w:w="626" w:type="pct"/>
            <w:shd w:val="clear" w:color="auto" w:fill="auto"/>
            <w:vAlign w:val="top"/>
          </w:tcPr>
          <w:p w14:paraId="621E8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12.167</w:t>
            </w:r>
          </w:p>
        </w:tc>
      </w:tr>
      <w:tr w14:paraId="2EA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FDDC9C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4" w:type="pct"/>
            <w:shd w:val="clear" w:color="auto" w:fill="auto"/>
            <w:vAlign w:val="top"/>
          </w:tcPr>
          <w:p w14:paraId="2B9B5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10.219</w:t>
            </w:r>
          </w:p>
        </w:tc>
        <w:tc>
          <w:tcPr>
            <w:tcW w:w="625" w:type="pct"/>
            <w:shd w:val="clear" w:color="auto" w:fill="auto"/>
            <w:vAlign w:val="top"/>
          </w:tcPr>
          <w:p w14:paraId="751DB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7.269</w:t>
            </w:r>
          </w:p>
        </w:tc>
        <w:tc>
          <w:tcPr>
            <w:tcW w:w="625" w:type="pct"/>
            <w:shd w:val="clear" w:color="auto" w:fill="auto"/>
            <w:vAlign w:val="top"/>
          </w:tcPr>
          <w:p w14:paraId="0B723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12.540</w:t>
            </w:r>
          </w:p>
        </w:tc>
        <w:tc>
          <w:tcPr>
            <w:tcW w:w="625" w:type="pct"/>
            <w:vAlign w:val="center"/>
          </w:tcPr>
          <w:p w14:paraId="145FFAD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5" w:type="pct"/>
            <w:shd w:val="clear" w:color="auto" w:fill="auto"/>
            <w:vAlign w:val="top"/>
          </w:tcPr>
          <w:p w14:paraId="057F0A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10.219</w:t>
            </w:r>
          </w:p>
        </w:tc>
        <w:tc>
          <w:tcPr>
            <w:tcW w:w="625" w:type="pct"/>
            <w:shd w:val="clear" w:color="auto" w:fill="auto"/>
            <w:vAlign w:val="top"/>
          </w:tcPr>
          <w:p w14:paraId="66BB5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7.269</w:t>
            </w:r>
          </w:p>
        </w:tc>
        <w:tc>
          <w:tcPr>
            <w:tcW w:w="626" w:type="pct"/>
            <w:shd w:val="clear" w:color="auto" w:fill="auto"/>
            <w:vAlign w:val="top"/>
          </w:tcPr>
          <w:p w14:paraId="351D4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12.540</w:t>
            </w:r>
          </w:p>
        </w:tc>
      </w:tr>
      <w:tr w14:paraId="73E5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3289E0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4" w:type="pct"/>
            <w:shd w:val="clear" w:color="auto" w:fill="auto"/>
            <w:vAlign w:val="top"/>
          </w:tcPr>
          <w:p w14:paraId="3F3D32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10.952</w:t>
            </w:r>
          </w:p>
        </w:tc>
        <w:tc>
          <w:tcPr>
            <w:tcW w:w="625" w:type="pct"/>
            <w:shd w:val="clear" w:color="auto" w:fill="auto"/>
            <w:vAlign w:val="top"/>
          </w:tcPr>
          <w:p w14:paraId="48DDC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6.728</w:t>
            </w:r>
          </w:p>
        </w:tc>
        <w:tc>
          <w:tcPr>
            <w:tcW w:w="625" w:type="pct"/>
            <w:shd w:val="clear" w:color="auto" w:fill="auto"/>
            <w:vAlign w:val="top"/>
          </w:tcPr>
          <w:p w14:paraId="28D83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12.853</w:t>
            </w:r>
          </w:p>
        </w:tc>
        <w:tc>
          <w:tcPr>
            <w:tcW w:w="625" w:type="pct"/>
            <w:vAlign w:val="center"/>
          </w:tcPr>
          <w:p w14:paraId="5EFE901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5" w:type="pct"/>
            <w:shd w:val="clear" w:color="auto" w:fill="auto"/>
            <w:vAlign w:val="top"/>
          </w:tcPr>
          <w:p w14:paraId="5BDB7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10.952</w:t>
            </w:r>
          </w:p>
        </w:tc>
        <w:tc>
          <w:tcPr>
            <w:tcW w:w="625" w:type="pct"/>
            <w:shd w:val="clear" w:color="auto" w:fill="auto"/>
            <w:vAlign w:val="top"/>
          </w:tcPr>
          <w:p w14:paraId="5A133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6.728</w:t>
            </w:r>
          </w:p>
        </w:tc>
        <w:tc>
          <w:tcPr>
            <w:tcW w:w="626" w:type="pct"/>
            <w:shd w:val="clear" w:color="auto" w:fill="auto"/>
            <w:vAlign w:val="top"/>
          </w:tcPr>
          <w:p w14:paraId="02154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12.853</w:t>
            </w:r>
          </w:p>
        </w:tc>
      </w:tr>
      <w:tr w14:paraId="120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54EFCF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4" w:type="pct"/>
            <w:shd w:val="clear" w:color="auto" w:fill="auto"/>
            <w:vAlign w:val="top"/>
          </w:tcPr>
          <w:p w14:paraId="42374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11.601</w:t>
            </w:r>
          </w:p>
        </w:tc>
        <w:tc>
          <w:tcPr>
            <w:tcW w:w="625" w:type="pct"/>
            <w:shd w:val="clear" w:color="auto" w:fill="auto"/>
            <w:vAlign w:val="top"/>
          </w:tcPr>
          <w:p w14:paraId="2D72C9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6.057</w:t>
            </w:r>
          </w:p>
        </w:tc>
        <w:tc>
          <w:tcPr>
            <w:tcW w:w="625" w:type="pct"/>
            <w:shd w:val="clear" w:color="auto" w:fill="auto"/>
            <w:vAlign w:val="top"/>
          </w:tcPr>
          <w:p w14:paraId="2E18F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13.087</w:t>
            </w:r>
          </w:p>
        </w:tc>
        <w:tc>
          <w:tcPr>
            <w:tcW w:w="625" w:type="pct"/>
            <w:vAlign w:val="center"/>
          </w:tcPr>
          <w:p w14:paraId="59534FA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5" w:type="pct"/>
            <w:shd w:val="clear" w:color="auto" w:fill="auto"/>
            <w:vAlign w:val="top"/>
          </w:tcPr>
          <w:p w14:paraId="270AC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11.601</w:t>
            </w:r>
          </w:p>
        </w:tc>
        <w:tc>
          <w:tcPr>
            <w:tcW w:w="625" w:type="pct"/>
            <w:shd w:val="clear" w:color="auto" w:fill="auto"/>
            <w:vAlign w:val="top"/>
          </w:tcPr>
          <w:p w14:paraId="244202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6.057</w:t>
            </w:r>
          </w:p>
        </w:tc>
        <w:tc>
          <w:tcPr>
            <w:tcW w:w="626" w:type="pct"/>
            <w:shd w:val="clear" w:color="auto" w:fill="auto"/>
            <w:vAlign w:val="top"/>
          </w:tcPr>
          <w:p w14:paraId="0D002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13.087</w:t>
            </w:r>
          </w:p>
        </w:tc>
      </w:tr>
      <w:tr w14:paraId="7B4D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22A6EE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4" w:type="pct"/>
            <w:shd w:val="clear" w:color="auto" w:fill="auto"/>
            <w:vAlign w:val="top"/>
          </w:tcPr>
          <w:p w14:paraId="2FC74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12.128</w:t>
            </w:r>
          </w:p>
        </w:tc>
        <w:tc>
          <w:tcPr>
            <w:tcW w:w="625" w:type="pct"/>
            <w:shd w:val="clear" w:color="auto" w:fill="auto"/>
            <w:vAlign w:val="top"/>
          </w:tcPr>
          <w:p w14:paraId="7A82F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5.282</w:t>
            </w:r>
          </w:p>
        </w:tc>
        <w:tc>
          <w:tcPr>
            <w:tcW w:w="625" w:type="pct"/>
            <w:shd w:val="clear" w:color="auto" w:fill="auto"/>
            <w:vAlign w:val="top"/>
          </w:tcPr>
          <w:p w14:paraId="3B730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13.229</w:t>
            </w:r>
          </w:p>
        </w:tc>
        <w:tc>
          <w:tcPr>
            <w:tcW w:w="625" w:type="pct"/>
            <w:vAlign w:val="center"/>
          </w:tcPr>
          <w:p w14:paraId="444CD04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5" w:type="pct"/>
            <w:shd w:val="clear" w:color="auto" w:fill="auto"/>
            <w:vAlign w:val="top"/>
          </w:tcPr>
          <w:p w14:paraId="789DD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12.128</w:t>
            </w:r>
          </w:p>
        </w:tc>
        <w:tc>
          <w:tcPr>
            <w:tcW w:w="625" w:type="pct"/>
            <w:shd w:val="clear" w:color="auto" w:fill="auto"/>
            <w:vAlign w:val="top"/>
          </w:tcPr>
          <w:p w14:paraId="483BE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5.282</w:t>
            </w:r>
          </w:p>
        </w:tc>
        <w:tc>
          <w:tcPr>
            <w:tcW w:w="626" w:type="pct"/>
            <w:shd w:val="clear" w:color="auto" w:fill="auto"/>
            <w:vAlign w:val="top"/>
          </w:tcPr>
          <w:p w14:paraId="739ED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13.229</w:t>
            </w:r>
          </w:p>
        </w:tc>
      </w:tr>
      <w:tr w14:paraId="739A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9EB429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4" w:type="pct"/>
            <w:shd w:val="clear" w:color="auto" w:fill="auto"/>
            <w:vAlign w:val="top"/>
          </w:tcPr>
          <w:p w14:paraId="702A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12.506</w:t>
            </w:r>
          </w:p>
        </w:tc>
        <w:tc>
          <w:tcPr>
            <w:tcW w:w="625" w:type="pct"/>
            <w:shd w:val="clear" w:color="auto" w:fill="auto"/>
            <w:vAlign w:val="top"/>
          </w:tcPr>
          <w:p w14:paraId="79114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4.444</w:t>
            </w:r>
          </w:p>
        </w:tc>
        <w:tc>
          <w:tcPr>
            <w:tcW w:w="625" w:type="pct"/>
            <w:shd w:val="clear" w:color="auto" w:fill="auto"/>
            <w:vAlign w:val="top"/>
          </w:tcPr>
          <w:p w14:paraId="4156C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13.272</w:t>
            </w:r>
          </w:p>
        </w:tc>
        <w:tc>
          <w:tcPr>
            <w:tcW w:w="625" w:type="pct"/>
            <w:vAlign w:val="center"/>
          </w:tcPr>
          <w:p w14:paraId="1ABBF94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5" w:type="pct"/>
            <w:shd w:val="clear" w:color="auto" w:fill="auto"/>
            <w:vAlign w:val="top"/>
          </w:tcPr>
          <w:p w14:paraId="27CB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12.506</w:t>
            </w:r>
          </w:p>
        </w:tc>
        <w:tc>
          <w:tcPr>
            <w:tcW w:w="625" w:type="pct"/>
            <w:shd w:val="clear" w:color="auto" w:fill="auto"/>
            <w:vAlign w:val="top"/>
          </w:tcPr>
          <w:p w14:paraId="213EA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4.444</w:t>
            </w:r>
          </w:p>
        </w:tc>
        <w:tc>
          <w:tcPr>
            <w:tcW w:w="626" w:type="pct"/>
            <w:shd w:val="clear" w:color="auto" w:fill="auto"/>
            <w:vAlign w:val="top"/>
          </w:tcPr>
          <w:p w14:paraId="0B699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13.272</w:t>
            </w:r>
          </w:p>
        </w:tc>
      </w:tr>
      <w:tr w14:paraId="65EB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857643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4" w:type="pct"/>
            <w:shd w:val="clear" w:color="auto" w:fill="auto"/>
            <w:vAlign w:val="top"/>
          </w:tcPr>
          <w:p w14:paraId="6E5F32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12.727</w:t>
            </w:r>
          </w:p>
        </w:tc>
        <w:tc>
          <w:tcPr>
            <w:tcW w:w="625" w:type="pct"/>
            <w:shd w:val="clear" w:color="auto" w:fill="auto"/>
            <w:vAlign w:val="top"/>
          </w:tcPr>
          <w:p w14:paraId="143B3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3.597</w:t>
            </w:r>
          </w:p>
        </w:tc>
        <w:tc>
          <w:tcPr>
            <w:tcW w:w="625" w:type="pct"/>
            <w:shd w:val="clear" w:color="auto" w:fill="auto"/>
            <w:vAlign w:val="top"/>
          </w:tcPr>
          <w:p w14:paraId="2C3F6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13.226</w:t>
            </w:r>
          </w:p>
        </w:tc>
        <w:tc>
          <w:tcPr>
            <w:tcW w:w="625" w:type="pct"/>
            <w:vAlign w:val="center"/>
          </w:tcPr>
          <w:p w14:paraId="21296CF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5" w:type="pct"/>
            <w:shd w:val="clear" w:color="auto" w:fill="auto"/>
            <w:vAlign w:val="top"/>
          </w:tcPr>
          <w:p w14:paraId="23B54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12.727</w:t>
            </w:r>
          </w:p>
        </w:tc>
        <w:tc>
          <w:tcPr>
            <w:tcW w:w="625" w:type="pct"/>
            <w:shd w:val="clear" w:color="auto" w:fill="auto"/>
            <w:vAlign w:val="top"/>
          </w:tcPr>
          <w:p w14:paraId="7388D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3.597</w:t>
            </w:r>
          </w:p>
        </w:tc>
        <w:tc>
          <w:tcPr>
            <w:tcW w:w="626" w:type="pct"/>
            <w:shd w:val="clear" w:color="auto" w:fill="auto"/>
            <w:vAlign w:val="top"/>
          </w:tcPr>
          <w:p w14:paraId="6AB7A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13.226</w:t>
            </w:r>
          </w:p>
        </w:tc>
      </w:tr>
      <w:tr w14:paraId="3E0A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7717F6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4" w:type="pct"/>
            <w:shd w:val="clear" w:color="auto" w:fill="auto"/>
            <w:vAlign w:val="top"/>
          </w:tcPr>
          <w:p w14:paraId="79B95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12.807</w:t>
            </w:r>
          </w:p>
        </w:tc>
        <w:tc>
          <w:tcPr>
            <w:tcW w:w="625" w:type="pct"/>
            <w:shd w:val="clear" w:color="auto" w:fill="auto"/>
            <w:vAlign w:val="top"/>
          </w:tcPr>
          <w:p w14:paraId="34734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2.790</w:t>
            </w:r>
          </w:p>
        </w:tc>
        <w:tc>
          <w:tcPr>
            <w:tcW w:w="625" w:type="pct"/>
            <w:shd w:val="clear" w:color="auto" w:fill="auto"/>
            <w:vAlign w:val="top"/>
          </w:tcPr>
          <w:p w14:paraId="5054E6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13.107</w:t>
            </w:r>
          </w:p>
        </w:tc>
        <w:tc>
          <w:tcPr>
            <w:tcW w:w="625" w:type="pct"/>
            <w:vAlign w:val="center"/>
          </w:tcPr>
          <w:p w14:paraId="4093B75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5" w:type="pct"/>
            <w:shd w:val="clear" w:color="auto" w:fill="auto"/>
            <w:vAlign w:val="top"/>
          </w:tcPr>
          <w:p w14:paraId="7299B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12.807</w:t>
            </w:r>
          </w:p>
        </w:tc>
        <w:tc>
          <w:tcPr>
            <w:tcW w:w="625" w:type="pct"/>
            <w:shd w:val="clear" w:color="auto" w:fill="auto"/>
            <w:vAlign w:val="top"/>
          </w:tcPr>
          <w:p w14:paraId="7051F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2.790</w:t>
            </w:r>
          </w:p>
        </w:tc>
        <w:tc>
          <w:tcPr>
            <w:tcW w:w="626" w:type="pct"/>
            <w:shd w:val="clear" w:color="auto" w:fill="auto"/>
            <w:vAlign w:val="top"/>
          </w:tcPr>
          <w:p w14:paraId="2FDE1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13.107</w:t>
            </w:r>
          </w:p>
        </w:tc>
      </w:tr>
      <w:tr w14:paraId="68A4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2D50DB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4" w:type="pct"/>
            <w:shd w:val="clear" w:color="auto" w:fill="auto"/>
            <w:vAlign w:val="top"/>
          </w:tcPr>
          <w:p w14:paraId="2951E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12.780</w:t>
            </w:r>
          </w:p>
        </w:tc>
        <w:tc>
          <w:tcPr>
            <w:tcW w:w="625" w:type="pct"/>
            <w:shd w:val="clear" w:color="auto" w:fill="auto"/>
            <w:vAlign w:val="top"/>
          </w:tcPr>
          <w:p w14:paraId="55A8D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2.061</w:t>
            </w:r>
          </w:p>
        </w:tc>
        <w:tc>
          <w:tcPr>
            <w:tcW w:w="625" w:type="pct"/>
            <w:shd w:val="clear" w:color="auto" w:fill="auto"/>
            <w:vAlign w:val="top"/>
          </w:tcPr>
          <w:p w14:paraId="034F6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12.945</w:t>
            </w:r>
          </w:p>
        </w:tc>
        <w:tc>
          <w:tcPr>
            <w:tcW w:w="625" w:type="pct"/>
            <w:vAlign w:val="center"/>
          </w:tcPr>
          <w:p w14:paraId="711AD78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5" w:type="pct"/>
            <w:shd w:val="clear" w:color="auto" w:fill="auto"/>
            <w:vAlign w:val="top"/>
          </w:tcPr>
          <w:p w14:paraId="2BF6D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12.780</w:t>
            </w:r>
          </w:p>
        </w:tc>
        <w:tc>
          <w:tcPr>
            <w:tcW w:w="625" w:type="pct"/>
            <w:shd w:val="clear" w:color="auto" w:fill="auto"/>
            <w:vAlign w:val="top"/>
          </w:tcPr>
          <w:p w14:paraId="773D5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2.061</w:t>
            </w:r>
          </w:p>
        </w:tc>
        <w:tc>
          <w:tcPr>
            <w:tcW w:w="626" w:type="pct"/>
            <w:shd w:val="clear" w:color="auto" w:fill="auto"/>
            <w:vAlign w:val="top"/>
          </w:tcPr>
          <w:p w14:paraId="7F37C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12.945</w:t>
            </w:r>
          </w:p>
        </w:tc>
      </w:tr>
      <w:tr w14:paraId="1948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887144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4" w:type="pct"/>
            <w:shd w:val="clear" w:color="auto" w:fill="auto"/>
            <w:vAlign w:val="top"/>
          </w:tcPr>
          <w:p w14:paraId="5F14C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12.693</w:t>
            </w:r>
          </w:p>
        </w:tc>
        <w:tc>
          <w:tcPr>
            <w:tcW w:w="625" w:type="pct"/>
            <w:shd w:val="clear" w:color="auto" w:fill="auto"/>
            <w:vAlign w:val="top"/>
          </w:tcPr>
          <w:p w14:paraId="16250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1.429</w:t>
            </w:r>
          </w:p>
        </w:tc>
        <w:tc>
          <w:tcPr>
            <w:tcW w:w="625" w:type="pct"/>
            <w:shd w:val="clear" w:color="auto" w:fill="auto"/>
            <w:vAlign w:val="top"/>
          </w:tcPr>
          <w:p w14:paraId="7347C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12.773</w:t>
            </w:r>
          </w:p>
        </w:tc>
        <w:tc>
          <w:tcPr>
            <w:tcW w:w="625" w:type="pct"/>
            <w:vAlign w:val="center"/>
          </w:tcPr>
          <w:p w14:paraId="617A369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5" w:type="pct"/>
            <w:shd w:val="clear" w:color="auto" w:fill="auto"/>
            <w:vAlign w:val="top"/>
          </w:tcPr>
          <w:p w14:paraId="356DE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12.693</w:t>
            </w:r>
          </w:p>
        </w:tc>
        <w:tc>
          <w:tcPr>
            <w:tcW w:w="625" w:type="pct"/>
            <w:shd w:val="clear" w:color="auto" w:fill="auto"/>
            <w:vAlign w:val="top"/>
          </w:tcPr>
          <w:p w14:paraId="0EE00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1.429</w:t>
            </w:r>
          </w:p>
        </w:tc>
        <w:tc>
          <w:tcPr>
            <w:tcW w:w="626" w:type="pct"/>
            <w:shd w:val="clear" w:color="auto" w:fill="auto"/>
            <w:vAlign w:val="top"/>
          </w:tcPr>
          <w:p w14:paraId="56C1F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12.773</w:t>
            </w:r>
          </w:p>
        </w:tc>
      </w:tr>
      <w:tr w14:paraId="4488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92FE49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4" w:type="pct"/>
            <w:shd w:val="clear" w:color="auto" w:fill="auto"/>
            <w:vAlign w:val="top"/>
          </w:tcPr>
          <w:p w14:paraId="49B3C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12.591</w:t>
            </w:r>
          </w:p>
        </w:tc>
        <w:tc>
          <w:tcPr>
            <w:tcW w:w="625" w:type="pct"/>
            <w:shd w:val="clear" w:color="auto" w:fill="auto"/>
            <w:vAlign w:val="top"/>
          </w:tcPr>
          <w:p w14:paraId="647CF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0.891</w:t>
            </w:r>
          </w:p>
        </w:tc>
        <w:tc>
          <w:tcPr>
            <w:tcW w:w="625" w:type="pct"/>
            <w:shd w:val="clear" w:color="auto" w:fill="auto"/>
            <w:vAlign w:val="top"/>
          </w:tcPr>
          <w:p w14:paraId="7E58F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12.623</w:t>
            </w:r>
          </w:p>
        </w:tc>
        <w:tc>
          <w:tcPr>
            <w:tcW w:w="625" w:type="pct"/>
            <w:vAlign w:val="center"/>
          </w:tcPr>
          <w:p w14:paraId="7016A32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5" w:type="pct"/>
            <w:shd w:val="clear" w:color="auto" w:fill="auto"/>
            <w:vAlign w:val="top"/>
          </w:tcPr>
          <w:p w14:paraId="590094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12.591</w:t>
            </w:r>
          </w:p>
        </w:tc>
        <w:tc>
          <w:tcPr>
            <w:tcW w:w="625" w:type="pct"/>
            <w:shd w:val="clear" w:color="auto" w:fill="auto"/>
            <w:vAlign w:val="top"/>
          </w:tcPr>
          <w:p w14:paraId="240F1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0.891</w:t>
            </w:r>
          </w:p>
        </w:tc>
        <w:tc>
          <w:tcPr>
            <w:tcW w:w="626" w:type="pct"/>
            <w:shd w:val="clear" w:color="auto" w:fill="auto"/>
            <w:vAlign w:val="top"/>
          </w:tcPr>
          <w:p w14:paraId="330AE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12.623</w:t>
            </w:r>
          </w:p>
        </w:tc>
      </w:tr>
      <w:tr w14:paraId="3800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5610C4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4" w:type="pct"/>
            <w:shd w:val="clear" w:color="auto" w:fill="auto"/>
            <w:vAlign w:val="top"/>
          </w:tcPr>
          <w:p w14:paraId="50919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12.514</w:t>
            </w:r>
          </w:p>
        </w:tc>
        <w:tc>
          <w:tcPr>
            <w:tcW w:w="625" w:type="pct"/>
            <w:shd w:val="clear" w:color="auto" w:fill="auto"/>
            <w:vAlign w:val="top"/>
          </w:tcPr>
          <w:p w14:paraId="3A1B4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0.426</w:t>
            </w:r>
          </w:p>
        </w:tc>
        <w:tc>
          <w:tcPr>
            <w:tcW w:w="625" w:type="pct"/>
            <w:shd w:val="clear" w:color="auto" w:fill="auto"/>
            <w:vAlign w:val="top"/>
          </w:tcPr>
          <w:p w14:paraId="131C0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12.521</w:t>
            </w:r>
          </w:p>
        </w:tc>
        <w:tc>
          <w:tcPr>
            <w:tcW w:w="625" w:type="pct"/>
            <w:vAlign w:val="center"/>
          </w:tcPr>
          <w:p w14:paraId="0D15900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5" w:type="pct"/>
            <w:shd w:val="clear" w:color="auto" w:fill="auto"/>
            <w:vAlign w:val="top"/>
          </w:tcPr>
          <w:p w14:paraId="1E683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12.514</w:t>
            </w:r>
          </w:p>
        </w:tc>
        <w:tc>
          <w:tcPr>
            <w:tcW w:w="625" w:type="pct"/>
            <w:shd w:val="clear" w:color="auto" w:fill="auto"/>
            <w:vAlign w:val="top"/>
          </w:tcPr>
          <w:p w14:paraId="1DFAB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0.426</w:t>
            </w:r>
          </w:p>
        </w:tc>
        <w:tc>
          <w:tcPr>
            <w:tcW w:w="626" w:type="pct"/>
            <w:shd w:val="clear" w:color="auto" w:fill="auto"/>
            <w:vAlign w:val="top"/>
          </w:tcPr>
          <w:p w14:paraId="5C9C9C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12.521</w:t>
            </w:r>
          </w:p>
        </w:tc>
      </w:tr>
      <w:tr w14:paraId="367F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AA89E7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4" w:type="pct"/>
            <w:shd w:val="clear" w:color="auto" w:fill="auto"/>
            <w:vAlign w:val="top"/>
          </w:tcPr>
          <w:p w14:paraId="40FC7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12.485</w:t>
            </w:r>
          </w:p>
        </w:tc>
        <w:tc>
          <w:tcPr>
            <w:tcW w:w="625" w:type="pct"/>
            <w:shd w:val="clear" w:color="auto" w:fill="auto"/>
            <w:vAlign w:val="top"/>
          </w:tcPr>
          <w:p w14:paraId="21FD7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0.000</w:t>
            </w:r>
          </w:p>
        </w:tc>
        <w:tc>
          <w:tcPr>
            <w:tcW w:w="625" w:type="pct"/>
            <w:shd w:val="clear" w:color="auto" w:fill="auto"/>
            <w:vAlign w:val="top"/>
          </w:tcPr>
          <w:p w14:paraId="366DE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12.485</w:t>
            </w:r>
          </w:p>
        </w:tc>
        <w:tc>
          <w:tcPr>
            <w:tcW w:w="625" w:type="pct"/>
            <w:vAlign w:val="center"/>
          </w:tcPr>
          <w:p w14:paraId="7612E6D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5" w:type="pct"/>
            <w:shd w:val="clear" w:color="auto" w:fill="auto"/>
            <w:vAlign w:val="top"/>
          </w:tcPr>
          <w:p w14:paraId="2EE1D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12.485</w:t>
            </w:r>
          </w:p>
        </w:tc>
        <w:tc>
          <w:tcPr>
            <w:tcW w:w="625" w:type="pct"/>
            <w:shd w:val="clear" w:color="auto" w:fill="auto"/>
            <w:vAlign w:val="top"/>
          </w:tcPr>
          <w:p w14:paraId="1C9DB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0.000</w:t>
            </w:r>
          </w:p>
        </w:tc>
        <w:tc>
          <w:tcPr>
            <w:tcW w:w="626" w:type="pct"/>
            <w:shd w:val="clear" w:color="auto" w:fill="auto"/>
            <w:vAlign w:val="top"/>
          </w:tcPr>
          <w:p w14:paraId="778DC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olor w:val="auto"/>
                <w:sz w:val="21"/>
                <w:szCs w:val="21"/>
                <w:vertAlign w:val="baseline"/>
                <w:lang w:eastAsia="zh-CN"/>
              </w:rPr>
              <w:t>12.485</w:t>
            </w:r>
          </w:p>
        </w:tc>
      </w:tr>
    </w:tbl>
    <w:p w14:paraId="250A072B">
      <w:pPr>
        <w:tabs>
          <w:tab w:val="left" w:pos="700"/>
        </w:tabs>
        <w:spacing w:before="156" w:beforeLines="50" w:line="240" w:lineRule="auto"/>
        <w:ind w:firstLine="0" w:firstLineChars="0"/>
        <w:jc w:val="center"/>
        <w:rPr>
          <w:rFonts w:eastAsia="宋体" w:cs="Times New Roman"/>
          <w:b/>
          <w:color w:val="auto"/>
          <w:sz w:val="21"/>
          <w:szCs w:val="21"/>
          <w:highlight w:val="none"/>
        </w:rPr>
      </w:pPr>
      <w:r>
        <w:rPr>
          <w:color w:val="auto"/>
        </w:rPr>
        <w:drawing>
          <wp:inline distT="0" distB="0" distL="114300" distR="114300">
            <wp:extent cx="5269230" cy="3183255"/>
            <wp:effectExtent l="6350" t="6350" r="20320" b="10795"/>
            <wp:docPr id="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eastAsia="宋体" w:cs="Times New Roman"/>
          <w:b/>
          <w:color w:val="auto"/>
          <w:sz w:val="21"/>
          <w:szCs w:val="21"/>
          <w:highlight w:val="none"/>
        </w:rPr>
        <w:t>图5-</w:t>
      </w:r>
      <w:r>
        <w:rPr>
          <w:rFonts w:hint="eastAsia" w:eastAsia="宋体" w:cs="Times New Roman"/>
          <w:b/>
          <w:color w:val="auto"/>
          <w:sz w:val="21"/>
          <w:szCs w:val="21"/>
          <w:highlight w:val="none"/>
        </w:rPr>
        <w:t>5</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单回路</w:t>
      </w:r>
      <w:r>
        <w:rPr>
          <w:rFonts w:hint="eastAsia" w:eastAsia="宋体" w:cs="Times New Roman"/>
          <w:b/>
          <w:color w:val="auto"/>
          <w:sz w:val="21"/>
          <w:szCs w:val="21"/>
          <w:highlight w:val="none"/>
          <w:lang w:val="en-US" w:eastAsia="zh-CN"/>
        </w:rPr>
        <w:t>横担最宽</w:t>
      </w:r>
      <w:r>
        <w:rPr>
          <w:rFonts w:hint="eastAsia" w:eastAsia="宋体" w:cs="Times New Roman"/>
          <w:b/>
          <w:color w:val="auto"/>
          <w:sz w:val="21"/>
          <w:szCs w:val="21"/>
          <w:highlight w:val="none"/>
        </w:rPr>
        <w:t>塔型</w:t>
      </w:r>
      <w:r>
        <w:rPr>
          <w:rFonts w:eastAsia="宋体" w:cs="Times New Roman"/>
          <w:b/>
          <w:color w:val="auto"/>
          <w:sz w:val="21"/>
          <w:szCs w:val="21"/>
          <w:highlight w:val="none"/>
        </w:rPr>
        <w:t>工频磁感应强度的总体分布情况</w:t>
      </w:r>
    </w:p>
    <w:p w14:paraId="57578BD6">
      <w:pPr>
        <w:tabs>
          <w:tab w:val="left" w:pos="700"/>
        </w:tabs>
        <w:spacing w:line="540" w:lineRule="exact"/>
        <w:ind w:firstLine="422"/>
        <w:jc w:val="center"/>
        <w:rPr>
          <w:rFonts w:eastAsia="宋体" w:cs="Times New Roman"/>
          <w:b/>
          <w:color w:val="auto"/>
          <w:sz w:val="21"/>
          <w:szCs w:val="21"/>
          <w:highlight w:val="none"/>
        </w:rPr>
      </w:pPr>
      <w:r>
        <w:rPr>
          <w:rFonts w:eastAsia="宋体" w:cs="Times New Roman"/>
          <w:b/>
          <w:color w:val="auto"/>
          <w:sz w:val="21"/>
          <w:szCs w:val="21"/>
          <w:highlight w:val="none"/>
        </w:rPr>
        <w:t>表5-</w:t>
      </w:r>
      <w:r>
        <w:rPr>
          <w:rFonts w:hint="eastAsia" w:eastAsia="宋体" w:cs="Times New Roman"/>
          <w:b/>
          <w:color w:val="auto"/>
          <w:sz w:val="21"/>
          <w:szCs w:val="21"/>
          <w:highlight w:val="none"/>
        </w:rPr>
        <w:t>5</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双回路塔型</w:t>
      </w:r>
      <w:r>
        <w:rPr>
          <w:rFonts w:eastAsia="宋体" w:cs="Times New Roman"/>
          <w:b/>
          <w:color w:val="auto"/>
          <w:sz w:val="21"/>
          <w:szCs w:val="21"/>
          <w:highlight w:val="none"/>
        </w:rPr>
        <w:t>工频磁感应强度计算结果</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064"/>
        <w:gridCol w:w="1066"/>
        <w:gridCol w:w="1066"/>
        <w:gridCol w:w="1066"/>
        <w:gridCol w:w="1066"/>
        <w:gridCol w:w="1066"/>
        <w:gridCol w:w="1068"/>
      </w:tblGrid>
      <w:tr w14:paraId="3CB6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1EDFDB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4" w:type="pct"/>
          </w:tcPr>
          <w:p w14:paraId="495CAE0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tcPr>
          <w:p w14:paraId="6726ED02">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5" w:type="pct"/>
          </w:tcPr>
          <w:p w14:paraId="6FEECE6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1.5米高处磁场的综合量(kV/m)</w:t>
            </w:r>
          </w:p>
        </w:tc>
        <w:tc>
          <w:tcPr>
            <w:tcW w:w="625" w:type="pct"/>
            <w:vAlign w:val="center"/>
          </w:tcPr>
          <w:p w14:paraId="74E4938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距线路中心投影的距离</w:t>
            </w:r>
            <w:r>
              <w:rPr>
                <w:rFonts w:hint="eastAsia" w:eastAsia="宋体" w:cs="Times New Roman"/>
                <w:color w:val="auto"/>
                <w:kern w:val="0"/>
                <w:sz w:val="21"/>
                <w:szCs w:val="21"/>
                <w:highlight w:val="none"/>
              </w:rPr>
              <w:t>（m）</w:t>
            </w:r>
          </w:p>
        </w:tc>
        <w:tc>
          <w:tcPr>
            <w:tcW w:w="625" w:type="pct"/>
            <w:shd w:val="clear" w:color="auto" w:fill="auto"/>
            <w:vAlign w:val="top"/>
          </w:tcPr>
          <w:p w14:paraId="24593A68">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水平分</w:t>
            </w:r>
            <w:r>
              <w:rPr>
                <w:rFonts w:hint="eastAsia" w:eastAsia="宋体" w:cs="Times New Roman"/>
                <w:color w:val="auto"/>
                <w:kern w:val="0"/>
                <w:sz w:val="21"/>
                <w:szCs w:val="21"/>
                <w:highlight w:val="none"/>
              </w:rPr>
              <w:t>量(kV/m)</w:t>
            </w:r>
          </w:p>
        </w:tc>
        <w:tc>
          <w:tcPr>
            <w:tcW w:w="625" w:type="pct"/>
            <w:shd w:val="clear" w:color="auto" w:fill="auto"/>
            <w:vAlign w:val="top"/>
          </w:tcPr>
          <w:p w14:paraId="5EB0BE5F">
            <w:pPr>
              <w:widowControl/>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w:t>
            </w:r>
            <w:r>
              <w:rPr>
                <w:rFonts w:hint="eastAsia" w:eastAsia="宋体" w:cs="Times New Roman"/>
                <w:color w:val="auto"/>
                <w:kern w:val="0"/>
                <w:sz w:val="21"/>
                <w:szCs w:val="21"/>
                <w:highlight w:val="none"/>
                <w:lang w:val="en-US" w:eastAsia="zh-CN"/>
              </w:rPr>
              <w:t>垂直分</w:t>
            </w:r>
            <w:r>
              <w:rPr>
                <w:rFonts w:hint="eastAsia" w:eastAsia="宋体" w:cs="Times New Roman"/>
                <w:color w:val="auto"/>
                <w:kern w:val="0"/>
                <w:sz w:val="21"/>
                <w:szCs w:val="21"/>
                <w:highlight w:val="none"/>
              </w:rPr>
              <w:t>量(kV/m)</w:t>
            </w:r>
          </w:p>
        </w:tc>
        <w:tc>
          <w:tcPr>
            <w:tcW w:w="626" w:type="pct"/>
            <w:shd w:val="clear" w:color="auto" w:fill="auto"/>
            <w:vAlign w:val="top"/>
          </w:tcPr>
          <w:p w14:paraId="2BDAFE08">
            <w:pPr>
              <w:widowControl/>
              <w:snapToGrid w:val="0"/>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rPr>
              <w:t>1.5米高处磁场的综合量(kV/m)</w:t>
            </w:r>
          </w:p>
        </w:tc>
      </w:tr>
      <w:tr w14:paraId="31D2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425EDD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4" w:type="pct"/>
            <w:shd w:val="clear" w:color="auto" w:fill="auto"/>
            <w:vAlign w:val="top"/>
          </w:tcPr>
          <w:p w14:paraId="1439C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625" w:type="pct"/>
            <w:shd w:val="clear" w:color="auto" w:fill="auto"/>
            <w:vAlign w:val="top"/>
          </w:tcPr>
          <w:p w14:paraId="56EB1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6.669</w:t>
            </w:r>
          </w:p>
        </w:tc>
        <w:tc>
          <w:tcPr>
            <w:tcW w:w="625" w:type="pct"/>
            <w:shd w:val="clear" w:color="auto" w:fill="auto"/>
            <w:vAlign w:val="top"/>
          </w:tcPr>
          <w:p w14:paraId="6D7CE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7.022</w:t>
            </w:r>
          </w:p>
        </w:tc>
        <w:tc>
          <w:tcPr>
            <w:tcW w:w="625" w:type="pct"/>
            <w:vAlign w:val="center"/>
          </w:tcPr>
          <w:p w14:paraId="2E21FE45">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50</w:t>
            </w:r>
          </w:p>
        </w:tc>
        <w:tc>
          <w:tcPr>
            <w:tcW w:w="625" w:type="pct"/>
            <w:shd w:val="clear" w:color="auto" w:fill="auto"/>
            <w:vAlign w:val="top"/>
          </w:tcPr>
          <w:p w14:paraId="37101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2.094</w:t>
            </w:r>
          </w:p>
        </w:tc>
        <w:tc>
          <w:tcPr>
            <w:tcW w:w="625" w:type="pct"/>
            <w:shd w:val="clear" w:color="auto" w:fill="auto"/>
            <w:vAlign w:val="top"/>
          </w:tcPr>
          <w:p w14:paraId="333CF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6.535</w:t>
            </w:r>
          </w:p>
        </w:tc>
        <w:tc>
          <w:tcPr>
            <w:tcW w:w="626" w:type="pct"/>
            <w:shd w:val="clear" w:color="auto" w:fill="auto"/>
            <w:vAlign w:val="top"/>
          </w:tcPr>
          <w:p w14:paraId="1FA4F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6.862</w:t>
            </w:r>
          </w:p>
        </w:tc>
      </w:tr>
      <w:tr w14:paraId="0F69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B18EDA2">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4" w:type="pct"/>
            <w:shd w:val="clear" w:color="auto" w:fill="auto"/>
            <w:vAlign w:val="top"/>
          </w:tcPr>
          <w:p w14:paraId="17D8F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2.281</w:t>
            </w:r>
          </w:p>
        </w:tc>
        <w:tc>
          <w:tcPr>
            <w:tcW w:w="625" w:type="pct"/>
            <w:shd w:val="clear" w:color="auto" w:fill="auto"/>
            <w:vAlign w:val="top"/>
          </w:tcPr>
          <w:p w14:paraId="2D6FE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6.776</w:t>
            </w:r>
          </w:p>
        </w:tc>
        <w:tc>
          <w:tcPr>
            <w:tcW w:w="625" w:type="pct"/>
            <w:shd w:val="clear" w:color="auto" w:fill="auto"/>
            <w:vAlign w:val="top"/>
          </w:tcPr>
          <w:p w14:paraId="39868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7.149</w:t>
            </w:r>
          </w:p>
        </w:tc>
        <w:tc>
          <w:tcPr>
            <w:tcW w:w="625" w:type="pct"/>
            <w:vAlign w:val="center"/>
          </w:tcPr>
          <w:p w14:paraId="2999695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49</w:t>
            </w:r>
          </w:p>
        </w:tc>
        <w:tc>
          <w:tcPr>
            <w:tcW w:w="625" w:type="pct"/>
            <w:shd w:val="clear" w:color="auto" w:fill="auto"/>
            <w:vAlign w:val="top"/>
          </w:tcPr>
          <w:p w14:paraId="1DB0A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2.173</w:t>
            </w:r>
          </w:p>
        </w:tc>
        <w:tc>
          <w:tcPr>
            <w:tcW w:w="625" w:type="pct"/>
            <w:shd w:val="clear" w:color="auto" w:fill="auto"/>
            <w:vAlign w:val="top"/>
          </w:tcPr>
          <w:p w14:paraId="06F01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6.638</w:t>
            </w:r>
          </w:p>
        </w:tc>
        <w:tc>
          <w:tcPr>
            <w:tcW w:w="626" w:type="pct"/>
            <w:shd w:val="clear" w:color="auto" w:fill="auto"/>
            <w:vAlign w:val="top"/>
          </w:tcPr>
          <w:p w14:paraId="3DB83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6.984</w:t>
            </w:r>
          </w:p>
        </w:tc>
      </w:tr>
      <w:tr w14:paraId="65F4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D9235FE">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4" w:type="pct"/>
            <w:shd w:val="clear" w:color="auto" w:fill="auto"/>
            <w:vAlign w:val="top"/>
          </w:tcPr>
          <w:p w14:paraId="3829F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2.369</w:t>
            </w:r>
          </w:p>
        </w:tc>
        <w:tc>
          <w:tcPr>
            <w:tcW w:w="625" w:type="pct"/>
            <w:shd w:val="clear" w:color="auto" w:fill="auto"/>
            <w:vAlign w:val="top"/>
          </w:tcPr>
          <w:p w14:paraId="07EA7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6.885</w:t>
            </w:r>
          </w:p>
        </w:tc>
        <w:tc>
          <w:tcPr>
            <w:tcW w:w="625" w:type="pct"/>
            <w:shd w:val="clear" w:color="auto" w:fill="auto"/>
            <w:vAlign w:val="top"/>
          </w:tcPr>
          <w:p w14:paraId="3B3BB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7.281</w:t>
            </w:r>
          </w:p>
        </w:tc>
        <w:tc>
          <w:tcPr>
            <w:tcW w:w="625" w:type="pct"/>
            <w:vAlign w:val="center"/>
          </w:tcPr>
          <w:p w14:paraId="157E1FF6">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48</w:t>
            </w:r>
          </w:p>
        </w:tc>
        <w:tc>
          <w:tcPr>
            <w:tcW w:w="625" w:type="pct"/>
            <w:shd w:val="clear" w:color="auto" w:fill="auto"/>
            <w:vAlign w:val="top"/>
          </w:tcPr>
          <w:p w14:paraId="527BE1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2.255</w:t>
            </w:r>
          </w:p>
        </w:tc>
        <w:tc>
          <w:tcPr>
            <w:tcW w:w="625" w:type="pct"/>
            <w:shd w:val="clear" w:color="auto" w:fill="auto"/>
            <w:vAlign w:val="top"/>
          </w:tcPr>
          <w:p w14:paraId="03FB5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6.743</w:t>
            </w:r>
          </w:p>
        </w:tc>
        <w:tc>
          <w:tcPr>
            <w:tcW w:w="626" w:type="pct"/>
            <w:shd w:val="clear" w:color="auto" w:fill="auto"/>
            <w:vAlign w:val="top"/>
          </w:tcPr>
          <w:p w14:paraId="137F8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7.111</w:t>
            </w:r>
          </w:p>
        </w:tc>
      </w:tr>
      <w:tr w14:paraId="4929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DE7D1B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4" w:type="pct"/>
            <w:shd w:val="clear" w:color="auto" w:fill="auto"/>
            <w:vAlign w:val="top"/>
          </w:tcPr>
          <w:p w14:paraId="0030E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2.462</w:t>
            </w:r>
          </w:p>
        </w:tc>
        <w:tc>
          <w:tcPr>
            <w:tcW w:w="625" w:type="pct"/>
            <w:shd w:val="clear" w:color="auto" w:fill="auto"/>
            <w:vAlign w:val="top"/>
          </w:tcPr>
          <w:p w14:paraId="13BD2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6.997</w:t>
            </w:r>
          </w:p>
        </w:tc>
        <w:tc>
          <w:tcPr>
            <w:tcW w:w="625" w:type="pct"/>
            <w:shd w:val="clear" w:color="auto" w:fill="auto"/>
            <w:vAlign w:val="top"/>
          </w:tcPr>
          <w:p w14:paraId="47FCE6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7.418</w:t>
            </w:r>
          </w:p>
        </w:tc>
        <w:tc>
          <w:tcPr>
            <w:tcW w:w="625" w:type="pct"/>
            <w:vAlign w:val="center"/>
          </w:tcPr>
          <w:p w14:paraId="63270E5B">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47</w:t>
            </w:r>
          </w:p>
        </w:tc>
        <w:tc>
          <w:tcPr>
            <w:tcW w:w="625" w:type="pct"/>
            <w:shd w:val="clear" w:color="auto" w:fill="auto"/>
            <w:vAlign w:val="top"/>
          </w:tcPr>
          <w:p w14:paraId="3F024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2.342</w:t>
            </w:r>
          </w:p>
        </w:tc>
        <w:tc>
          <w:tcPr>
            <w:tcW w:w="625" w:type="pct"/>
            <w:shd w:val="clear" w:color="auto" w:fill="auto"/>
            <w:vAlign w:val="top"/>
          </w:tcPr>
          <w:p w14:paraId="56A63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6.852</w:t>
            </w:r>
          </w:p>
        </w:tc>
        <w:tc>
          <w:tcPr>
            <w:tcW w:w="626" w:type="pct"/>
            <w:shd w:val="clear" w:color="auto" w:fill="auto"/>
            <w:vAlign w:val="top"/>
          </w:tcPr>
          <w:p w14:paraId="32103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7.241</w:t>
            </w:r>
          </w:p>
        </w:tc>
      </w:tr>
      <w:tr w14:paraId="0CC4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A544BED">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4" w:type="pct"/>
            <w:shd w:val="clear" w:color="auto" w:fill="auto"/>
            <w:vAlign w:val="top"/>
          </w:tcPr>
          <w:p w14:paraId="60F7C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625" w:type="pct"/>
            <w:shd w:val="clear" w:color="auto" w:fill="auto"/>
            <w:vAlign w:val="top"/>
          </w:tcPr>
          <w:p w14:paraId="4D53F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7.113</w:t>
            </w:r>
          </w:p>
        </w:tc>
        <w:tc>
          <w:tcPr>
            <w:tcW w:w="625" w:type="pct"/>
            <w:shd w:val="clear" w:color="auto" w:fill="auto"/>
            <w:vAlign w:val="top"/>
          </w:tcPr>
          <w:p w14:paraId="06DA4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7.559</w:t>
            </w:r>
          </w:p>
        </w:tc>
        <w:tc>
          <w:tcPr>
            <w:tcW w:w="625" w:type="pct"/>
            <w:vAlign w:val="center"/>
          </w:tcPr>
          <w:p w14:paraId="3AA39E21">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46</w:t>
            </w:r>
          </w:p>
        </w:tc>
        <w:tc>
          <w:tcPr>
            <w:tcW w:w="625" w:type="pct"/>
            <w:shd w:val="clear" w:color="auto" w:fill="auto"/>
            <w:vAlign w:val="top"/>
          </w:tcPr>
          <w:p w14:paraId="6A191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2.434</w:t>
            </w:r>
          </w:p>
        </w:tc>
        <w:tc>
          <w:tcPr>
            <w:tcW w:w="625" w:type="pct"/>
            <w:shd w:val="clear" w:color="auto" w:fill="auto"/>
            <w:vAlign w:val="top"/>
          </w:tcPr>
          <w:p w14:paraId="01FCCB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6.963</w:t>
            </w:r>
          </w:p>
        </w:tc>
        <w:tc>
          <w:tcPr>
            <w:tcW w:w="626" w:type="pct"/>
            <w:shd w:val="clear" w:color="auto" w:fill="auto"/>
            <w:vAlign w:val="top"/>
          </w:tcPr>
          <w:p w14:paraId="3A6F11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7.376</w:t>
            </w:r>
          </w:p>
        </w:tc>
      </w:tr>
      <w:tr w14:paraId="30D6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54DAEE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4" w:type="pct"/>
            <w:shd w:val="clear" w:color="auto" w:fill="auto"/>
            <w:vAlign w:val="top"/>
          </w:tcPr>
          <w:p w14:paraId="1FDE70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2.664</w:t>
            </w:r>
          </w:p>
        </w:tc>
        <w:tc>
          <w:tcPr>
            <w:tcW w:w="625" w:type="pct"/>
            <w:shd w:val="clear" w:color="auto" w:fill="auto"/>
            <w:vAlign w:val="top"/>
          </w:tcPr>
          <w:p w14:paraId="5B643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7.231</w:t>
            </w:r>
          </w:p>
        </w:tc>
        <w:tc>
          <w:tcPr>
            <w:tcW w:w="625" w:type="pct"/>
            <w:shd w:val="clear" w:color="auto" w:fill="auto"/>
            <w:vAlign w:val="top"/>
          </w:tcPr>
          <w:p w14:paraId="402FD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7.706</w:t>
            </w:r>
          </w:p>
        </w:tc>
        <w:tc>
          <w:tcPr>
            <w:tcW w:w="625" w:type="pct"/>
            <w:vAlign w:val="center"/>
          </w:tcPr>
          <w:p w14:paraId="78981F9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45</w:t>
            </w:r>
          </w:p>
        </w:tc>
        <w:tc>
          <w:tcPr>
            <w:tcW w:w="625" w:type="pct"/>
            <w:shd w:val="clear" w:color="auto" w:fill="auto"/>
            <w:vAlign w:val="top"/>
          </w:tcPr>
          <w:p w14:paraId="452B7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2.53</w:t>
            </w:r>
          </w:p>
        </w:tc>
        <w:tc>
          <w:tcPr>
            <w:tcW w:w="625" w:type="pct"/>
            <w:shd w:val="clear" w:color="auto" w:fill="auto"/>
            <w:vAlign w:val="top"/>
          </w:tcPr>
          <w:p w14:paraId="060D7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7.078</w:t>
            </w:r>
          </w:p>
        </w:tc>
        <w:tc>
          <w:tcPr>
            <w:tcW w:w="626" w:type="pct"/>
            <w:shd w:val="clear" w:color="auto" w:fill="auto"/>
            <w:vAlign w:val="top"/>
          </w:tcPr>
          <w:p w14:paraId="2ADB8A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7.516</w:t>
            </w:r>
          </w:p>
        </w:tc>
      </w:tr>
      <w:tr w14:paraId="0DD2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80A77CC">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4" w:type="pct"/>
            <w:shd w:val="clear" w:color="auto" w:fill="auto"/>
            <w:vAlign w:val="top"/>
          </w:tcPr>
          <w:p w14:paraId="0B403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2.773</w:t>
            </w:r>
          </w:p>
        </w:tc>
        <w:tc>
          <w:tcPr>
            <w:tcW w:w="625" w:type="pct"/>
            <w:shd w:val="clear" w:color="auto" w:fill="auto"/>
            <w:vAlign w:val="top"/>
          </w:tcPr>
          <w:p w14:paraId="525423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7.353</w:t>
            </w:r>
          </w:p>
        </w:tc>
        <w:tc>
          <w:tcPr>
            <w:tcW w:w="625" w:type="pct"/>
            <w:shd w:val="clear" w:color="auto" w:fill="auto"/>
            <w:vAlign w:val="top"/>
          </w:tcPr>
          <w:p w14:paraId="7AE84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7.858</w:t>
            </w:r>
          </w:p>
        </w:tc>
        <w:tc>
          <w:tcPr>
            <w:tcW w:w="625" w:type="pct"/>
            <w:vAlign w:val="center"/>
          </w:tcPr>
          <w:p w14:paraId="13C8A268">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44</w:t>
            </w:r>
          </w:p>
        </w:tc>
        <w:tc>
          <w:tcPr>
            <w:tcW w:w="625" w:type="pct"/>
            <w:shd w:val="clear" w:color="auto" w:fill="auto"/>
            <w:vAlign w:val="top"/>
          </w:tcPr>
          <w:p w14:paraId="41D7C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2.632</w:t>
            </w:r>
          </w:p>
        </w:tc>
        <w:tc>
          <w:tcPr>
            <w:tcW w:w="625" w:type="pct"/>
            <w:shd w:val="clear" w:color="auto" w:fill="auto"/>
            <w:vAlign w:val="top"/>
          </w:tcPr>
          <w:p w14:paraId="32AD37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7.195</w:t>
            </w:r>
          </w:p>
        </w:tc>
        <w:tc>
          <w:tcPr>
            <w:tcW w:w="626" w:type="pct"/>
            <w:shd w:val="clear" w:color="auto" w:fill="auto"/>
            <w:vAlign w:val="top"/>
          </w:tcPr>
          <w:p w14:paraId="3BD36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7.662</w:t>
            </w:r>
          </w:p>
        </w:tc>
      </w:tr>
      <w:tr w14:paraId="4C9D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290B28F">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4" w:type="pct"/>
            <w:shd w:val="clear" w:color="auto" w:fill="auto"/>
            <w:vAlign w:val="top"/>
          </w:tcPr>
          <w:p w14:paraId="76D9F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2.888</w:t>
            </w:r>
          </w:p>
        </w:tc>
        <w:tc>
          <w:tcPr>
            <w:tcW w:w="625" w:type="pct"/>
            <w:shd w:val="clear" w:color="auto" w:fill="auto"/>
            <w:vAlign w:val="top"/>
          </w:tcPr>
          <w:p w14:paraId="1E420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7.478</w:t>
            </w:r>
          </w:p>
        </w:tc>
        <w:tc>
          <w:tcPr>
            <w:tcW w:w="625" w:type="pct"/>
            <w:shd w:val="clear" w:color="auto" w:fill="auto"/>
            <w:vAlign w:val="top"/>
          </w:tcPr>
          <w:p w14:paraId="5216A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8.016</w:t>
            </w:r>
          </w:p>
        </w:tc>
        <w:tc>
          <w:tcPr>
            <w:tcW w:w="625" w:type="pct"/>
            <w:vAlign w:val="center"/>
          </w:tcPr>
          <w:p w14:paraId="4AD6A1C9">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43</w:t>
            </w:r>
          </w:p>
        </w:tc>
        <w:tc>
          <w:tcPr>
            <w:tcW w:w="625" w:type="pct"/>
            <w:shd w:val="clear" w:color="auto" w:fill="auto"/>
            <w:vAlign w:val="top"/>
          </w:tcPr>
          <w:p w14:paraId="06A72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2.739</w:t>
            </w:r>
          </w:p>
        </w:tc>
        <w:tc>
          <w:tcPr>
            <w:tcW w:w="625" w:type="pct"/>
            <w:shd w:val="clear" w:color="auto" w:fill="auto"/>
            <w:vAlign w:val="top"/>
          </w:tcPr>
          <w:p w14:paraId="534189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7.316</w:t>
            </w:r>
          </w:p>
        </w:tc>
        <w:tc>
          <w:tcPr>
            <w:tcW w:w="626" w:type="pct"/>
            <w:shd w:val="clear" w:color="auto" w:fill="auto"/>
            <w:vAlign w:val="top"/>
          </w:tcPr>
          <w:p w14:paraId="44A62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7.812</w:t>
            </w:r>
          </w:p>
        </w:tc>
      </w:tr>
      <w:tr w14:paraId="67F8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C5ABF07">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4" w:type="pct"/>
            <w:shd w:val="clear" w:color="auto" w:fill="auto"/>
            <w:vAlign w:val="top"/>
          </w:tcPr>
          <w:p w14:paraId="6FD43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3.01</w:t>
            </w:r>
          </w:p>
        </w:tc>
        <w:tc>
          <w:tcPr>
            <w:tcW w:w="625" w:type="pct"/>
            <w:shd w:val="clear" w:color="auto" w:fill="auto"/>
            <w:vAlign w:val="top"/>
          </w:tcPr>
          <w:p w14:paraId="6E99B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7.606</w:t>
            </w:r>
          </w:p>
        </w:tc>
        <w:tc>
          <w:tcPr>
            <w:tcW w:w="625" w:type="pct"/>
            <w:shd w:val="clear" w:color="auto" w:fill="auto"/>
            <w:vAlign w:val="top"/>
          </w:tcPr>
          <w:p w14:paraId="616812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8.18</w:t>
            </w:r>
          </w:p>
        </w:tc>
        <w:tc>
          <w:tcPr>
            <w:tcW w:w="625" w:type="pct"/>
            <w:vAlign w:val="center"/>
          </w:tcPr>
          <w:p w14:paraId="525DBCDB">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42</w:t>
            </w:r>
          </w:p>
        </w:tc>
        <w:tc>
          <w:tcPr>
            <w:tcW w:w="625" w:type="pct"/>
            <w:shd w:val="clear" w:color="auto" w:fill="auto"/>
            <w:vAlign w:val="top"/>
          </w:tcPr>
          <w:p w14:paraId="2F832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2.853</w:t>
            </w:r>
          </w:p>
        </w:tc>
        <w:tc>
          <w:tcPr>
            <w:tcW w:w="625" w:type="pct"/>
            <w:shd w:val="clear" w:color="auto" w:fill="auto"/>
            <w:vAlign w:val="top"/>
          </w:tcPr>
          <w:p w14:paraId="2FF302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7.44</w:t>
            </w:r>
          </w:p>
        </w:tc>
        <w:tc>
          <w:tcPr>
            <w:tcW w:w="626" w:type="pct"/>
            <w:shd w:val="clear" w:color="auto" w:fill="auto"/>
            <w:vAlign w:val="top"/>
          </w:tcPr>
          <w:p w14:paraId="735E4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7.968</w:t>
            </w:r>
          </w:p>
        </w:tc>
      </w:tr>
      <w:tr w14:paraId="4627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B0DAEE4">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4" w:type="pct"/>
            <w:shd w:val="clear" w:color="auto" w:fill="auto"/>
            <w:vAlign w:val="top"/>
          </w:tcPr>
          <w:p w14:paraId="106BC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3.14</w:t>
            </w:r>
          </w:p>
        </w:tc>
        <w:tc>
          <w:tcPr>
            <w:tcW w:w="625" w:type="pct"/>
            <w:shd w:val="clear" w:color="auto" w:fill="auto"/>
            <w:vAlign w:val="top"/>
          </w:tcPr>
          <w:p w14:paraId="5EDB3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7.738</w:t>
            </w:r>
          </w:p>
        </w:tc>
        <w:tc>
          <w:tcPr>
            <w:tcW w:w="625" w:type="pct"/>
            <w:shd w:val="clear" w:color="auto" w:fill="auto"/>
            <w:vAlign w:val="top"/>
          </w:tcPr>
          <w:p w14:paraId="3D875B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8.351</w:t>
            </w:r>
          </w:p>
        </w:tc>
        <w:tc>
          <w:tcPr>
            <w:tcW w:w="625" w:type="pct"/>
            <w:vAlign w:val="center"/>
          </w:tcPr>
          <w:p w14:paraId="250953F3">
            <w:pPr>
              <w:widowControl/>
              <w:snapToGrid w:val="0"/>
              <w:spacing w:line="240" w:lineRule="auto"/>
              <w:ind w:firstLine="0" w:firstLineChars="0"/>
              <w:jc w:val="center"/>
              <w:rPr>
                <w:rFonts w:eastAsia="宋体" w:cs="Times New Roman"/>
                <w:color w:val="auto"/>
                <w:kern w:val="0"/>
                <w:sz w:val="21"/>
                <w:szCs w:val="21"/>
                <w:highlight w:val="none"/>
              </w:rPr>
            </w:pPr>
            <w:r>
              <w:rPr>
                <w:rFonts w:hint="eastAsia" w:eastAsia="宋体" w:cs="Times New Roman"/>
                <w:color w:val="auto"/>
                <w:kern w:val="0"/>
                <w:sz w:val="21"/>
                <w:szCs w:val="21"/>
                <w:highlight w:val="none"/>
              </w:rPr>
              <w:t>41</w:t>
            </w:r>
          </w:p>
        </w:tc>
        <w:tc>
          <w:tcPr>
            <w:tcW w:w="625" w:type="pct"/>
            <w:shd w:val="clear" w:color="auto" w:fill="auto"/>
            <w:vAlign w:val="top"/>
          </w:tcPr>
          <w:p w14:paraId="3F925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2.973</w:t>
            </w:r>
          </w:p>
        </w:tc>
        <w:tc>
          <w:tcPr>
            <w:tcW w:w="625" w:type="pct"/>
            <w:shd w:val="clear" w:color="auto" w:fill="auto"/>
            <w:vAlign w:val="top"/>
          </w:tcPr>
          <w:p w14:paraId="5648C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7.567</w:t>
            </w:r>
          </w:p>
        </w:tc>
        <w:tc>
          <w:tcPr>
            <w:tcW w:w="626" w:type="pct"/>
            <w:shd w:val="clear" w:color="auto" w:fill="auto"/>
            <w:vAlign w:val="top"/>
          </w:tcPr>
          <w:p w14:paraId="79C983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8.131</w:t>
            </w:r>
          </w:p>
        </w:tc>
      </w:tr>
      <w:tr w14:paraId="6AEC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45430F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4" w:type="pct"/>
            <w:shd w:val="clear" w:color="auto" w:fill="auto"/>
            <w:vAlign w:val="top"/>
          </w:tcPr>
          <w:p w14:paraId="4E180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3.276</w:t>
            </w:r>
          </w:p>
        </w:tc>
        <w:tc>
          <w:tcPr>
            <w:tcW w:w="625" w:type="pct"/>
            <w:shd w:val="clear" w:color="auto" w:fill="auto"/>
            <w:vAlign w:val="top"/>
          </w:tcPr>
          <w:p w14:paraId="2BA8B1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7.873</w:t>
            </w:r>
          </w:p>
        </w:tc>
        <w:tc>
          <w:tcPr>
            <w:tcW w:w="625" w:type="pct"/>
            <w:shd w:val="clear" w:color="auto" w:fill="auto"/>
            <w:vAlign w:val="top"/>
          </w:tcPr>
          <w:p w14:paraId="3F008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8.528</w:t>
            </w:r>
          </w:p>
        </w:tc>
        <w:tc>
          <w:tcPr>
            <w:tcW w:w="625" w:type="pct"/>
            <w:vAlign w:val="center"/>
          </w:tcPr>
          <w:p w14:paraId="50D9B1E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40</w:t>
            </w:r>
          </w:p>
        </w:tc>
        <w:tc>
          <w:tcPr>
            <w:tcW w:w="625" w:type="pct"/>
            <w:shd w:val="clear" w:color="auto" w:fill="auto"/>
            <w:vAlign w:val="top"/>
          </w:tcPr>
          <w:p w14:paraId="46BCD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w:t>
            </w:r>
          </w:p>
        </w:tc>
        <w:tc>
          <w:tcPr>
            <w:tcW w:w="625" w:type="pct"/>
            <w:shd w:val="clear" w:color="auto" w:fill="auto"/>
            <w:vAlign w:val="top"/>
          </w:tcPr>
          <w:p w14:paraId="14766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7.698</w:t>
            </w:r>
          </w:p>
        </w:tc>
        <w:tc>
          <w:tcPr>
            <w:tcW w:w="626" w:type="pct"/>
            <w:shd w:val="clear" w:color="auto" w:fill="auto"/>
            <w:vAlign w:val="top"/>
          </w:tcPr>
          <w:p w14:paraId="1DBFB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8.299</w:t>
            </w:r>
          </w:p>
        </w:tc>
      </w:tr>
      <w:tr w14:paraId="496D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E742E6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4" w:type="pct"/>
            <w:shd w:val="clear" w:color="auto" w:fill="auto"/>
            <w:vAlign w:val="top"/>
          </w:tcPr>
          <w:p w14:paraId="444D29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3.421</w:t>
            </w:r>
          </w:p>
        </w:tc>
        <w:tc>
          <w:tcPr>
            <w:tcW w:w="625" w:type="pct"/>
            <w:shd w:val="clear" w:color="auto" w:fill="auto"/>
            <w:vAlign w:val="top"/>
          </w:tcPr>
          <w:p w14:paraId="0A2E2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8.012</w:t>
            </w:r>
          </w:p>
        </w:tc>
        <w:tc>
          <w:tcPr>
            <w:tcW w:w="625" w:type="pct"/>
            <w:shd w:val="clear" w:color="auto" w:fill="auto"/>
            <w:vAlign w:val="top"/>
          </w:tcPr>
          <w:p w14:paraId="63E56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8.712</w:t>
            </w:r>
          </w:p>
        </w:tc>
        <w:tc>
          <w:tcPr>
            <w:tcW w:w="625" w:type="pct"/>
            <w:vAlign w:val="center"/>
          </w:tcPr>
          <w:p w14:paraId="0DB490D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39</w:t>
            </w:r>
          </w:p>
        </w:tc>
        <w:tc>
          <w:tcPr>
            <w:tcW w:w="625" w:type="pct"/>
            <w:shd w:val="clear" w:color="auto" w:fill="auto"/>
            <w:vAlign w:val="top"/>
          </w:tcPr>
          <w:p w14:paraId="5C5D4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3.234</w:t>
            </w:r>
          </w:p>
        </w:tc>
        <w:tc>
          <w:tcPr>
            <w:tcW w:w="625" w:type="pct"/>
            <w:shd w:val="clear" w:color="auto" w:fill="auto"/>
            <w:vAlign w:val="top"/>
          </w:tcPr>
          <w:p w14:paraId="39138A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7.832</w:t>
            </w:r>
          </w:p>
        </w:tc>
        <w:tc>
          <w:tcPr>
            <w:tcW w:w="626" w:type="pct"/>
            <w:shd w:val="clear" w:color="auto" w:fill="auto"/>
            <w:vAlign w:val="top"/>
          </w:tcPr>
          <w:p w14:paraId="310E1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8.474</w:t>
            </w:r>
          </w:p>
        </w:tc>
      </w:tr>
      <w:tr w14:paraId="3408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D70DBE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4" w:type="pct"/>
            <w:shd w:val="clear" w:color="auto" w:fill="auto"/>
            <w:vAlign w:val="top"/>
          </w:tcPr>
          <w:p w14:paraId="2CEFD2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3.575</w:t>
            </w:r>
          </w:p>
        </w:tc>
        <w:tc>
          <w:tcPr>
            <w:tcW w:w="625" w:type="pct"/>
            <w:shd w:val="clear" w:color="auto" w:fill="auto"/>
            <w:vAlign w:val="top"/>
          </w:tcPr>
          <w:p w14:paraId="278D0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8.155</w:t>
            </w:r>
          </w:p>
        </w:tc>
        <w:tc>
          <w:tcPr>
            <w:tcW w:w="625" w:type="pct"/>
            <w:shd w:val="clear" w:color="auto" w:fill="auto"/>
            <w:vAlign w:val="top"/>
          </w:tcPr>
          <w:p w14:paraId="317D0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8.904</w:t>
            </w:r>
          </w:p>
        </w:tc>
        <w:tc>
          <w:tcPr>
            <w:tcW w:w="625" w:type="pct"/>
            <w:vAlign w:val="center"/>
          </w:tcPr>
          <w:p w14:paraId="4B75B0F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38</w:t>
            </w:r>
          </w:p>
        </w:tc>
        <w:tc>
          <w:tcPr>
            <w:tcW w:w="625" w:type="pct"/>
            <w:shd w:val="clear" w:color="auto" w:fill="auto"/>
            <w:vAlign w:val="top"/>
          </w:tcPr>
          <w:p w14:paraId="79A96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3.377</w:t>
            </w:r>
          </w:p>
        </w:tc>
        <w:tc>
          <w:tcPr>
            <w:tcW w:w="625" w:type="pct"/>
            <w:shd w:val="clear" w:color="auto" w:fill="auto"/>
            <w:vAlign w:val="top"/>
          </w:tcPr>
          <w:p w14:paraId="245E9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626" w:type="pct"/>
            <w:shd w:val="clear" w:color="auto" w:fill="auto"/>
            <w:vAlign w:val="top"/>
          </w:tcPr>
          <w:p w14:paraId="6D247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8.656</w:t>
            </w:r>
          </w:p>
        </w:tc>
      </w:tr>
      <w:tr w14:paraId="1C10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CC5A86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4" w:type="pct"/>
            <w:shd w:val="clear" w:color="auto" w:fill="auto"/>
            <w:vAlign w:val="top"/>
          </w:tcPr>
          <w:p w14:paraId="7CBA1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3.739</w:t>
            </w:r>
          </w:p>
        </w:tc>
        <w:tc>
          <w:tcPr>
            <w:tcW w:w="625" w:type="pct"/>
            <w:shd w:val="clear" w:color="auto" w:fill="auto"/>
            <w:vAlign w:val="top"/>
          </w:tcPr>
          <w:p w14:paraId="7EC5F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8.301</w:t>
            </w:r>
          </w:p>
        </w:tc>
        <w:tc>
          <w:tcPr>
            <w:tcW w:w="625" w:type="pct"/>
            <w:shd w:val="clear" w:color="auto" w:fill="auto"/>
            <w:vAlign w:val="top"/>
          </w:tcPr>
          <w:p w14:paraId="539D4C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9.104</w:t>
            </w:r>
          </w:p>
        </w:tc>
        <w:tc>
          <w:tcPr>
            <w:tcW w:w="625" w:type="pct"/>
            <w:vAlign w:val="center"/>
          </w:tcPr>
          <w:p w14:paraId="10E0171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37</w:t>
            </w:r>
          </w:p>
        </w:tc>
        <w:tc>
          <w:tcPr>
            <w:tcW w:w="625" w:type="pct"/>
            <w:shd w:val="clear" w:color="auto" w:fill="auto"/>
            <w:vAlign w:val="top"/>
          </w:tcPr>
          <w:p w14:paraId="34EC0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3.528</w:t>
            </w:r>
          </w:p>
        </w:tc>
        <w:tc>
          <w:tcPr>
            <w:tcW w:w="625" w:type="pct"/>
            <w:shd w:val="clear" w:color="auto" w:fill="auto"/>
            <w:vAlign w:val="top"/>
          </w:tcPr>
          <w:p w14:paraId="2DA48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8.112</w:t>
            </w:r>
          </w:p>
        </w:tc>
        <w:tc>
          <w:tcPr>
            <w:tcW w:w="626" w:type="pct"/>
            <w:shd w:val="clear" w:color="auto" w:fill="auto"/>
            <w:vAlign w:val="top"/>
          </w:tcPr>
          <w:p w14:paraId="6753A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8.846</w:t>
            </w:r>
          </w:p>
        </w:tc>
      </w:tr>
      <w:tr w14:paraId="7244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1A9388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4" w:type="pct"/>
            <w:shd w:val="clear" w:color="auto" w:fill="auto"/>
            <w:vAlign w:val="top"/>
          </w:tcPr>
          <w:p w14:paraId="3BFE1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3.913</w:t>
            </w:r>
          </w:p>
        </w:tc>
        <w:tc>
          <w:tcPr>
            <w:tcW w:w="625" w:type="pct"/>
            <w:shd w:val="clear" w:color="auto" w:fill="auto"/>
            <w:vAlign w:val="top"/>
          </w:tcPr>
          <w:p w14:paraId="437D4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8.451</w:t>
            </w:r>
          </w:p>
        </w:tc>
        <w:tc>
          <w:tcPr>
            <w:tcW w:w="625" w:type="pct"/>
            <w:shd w:val="clear" w:color="auto" w:fill="auto"/>
            <w:vAlign w:val="top"/>
          </w:tcPr>
          <w:p w14:paraId="4AD45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9.313</w:t>
            </w:r>
          </w:p>
        </w:tc>
        <w:tc>
          <w:tcPr>
            <w:tcW w:w="625" w:type="pct"/>
            <w:vAlign w:val="center"/>
          </w:tcPr>
          <w:p w14:paraId="1AFDEC1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36</w:t>
            </w:r>
          </w:p>
        </w:tc>
        <w:tc>
          <w:tcPr>
            <w:tcW w:w="625" w:type="pct"/>
            <w:shd w:val="clear" w:color="auto" w:fill="auto"/>
            <w:vAlign w:val="top"/>
          </w:tcPr>
          <w:p w14:paraId="350179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3.689</w:t>
            </w:r>
          </w:p>
        </w:tc>
        <w:tc>
          <w:tcPr>
            <w:tcW w:w="625" w:type="pct"/>
            <w:shd w:val="clear" w:color="auto" w:fill="auto"/>
            <w:vAlign w:val="top"/>
          </w:tcPr>
          <w:p w14:paraId="4521D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8.257</w:t>
            </w:r>
          </w:p>
        </w:tc>
        <w:tc>
          <w:tcPr>
            <w:tcW w:w="626" w:type="pct"/>
            <w:shd w:val="clear" w:color="auto" w:fill="auto"/>
            <w:vAlign w:val="top"/>
          </w:tcPr>
          <w:p w14:paraId="09803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9.043</w:t>
            </w:r>
          </w:p>
        </w:tc>
      </w:tr>
      <w:tr w14:paraId="5D33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E54044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4" w:type="pct"/>
            <w:shd w:val="clear" w:color="auto" w:fill="auto"/>
            <w:vAlign w:val="top"/>
          </w:tcPr>
          <w:p w14:paraId="24D3C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4.098</w:t>
            </w:r>
          </w:p>
        </w:tc>
        <w:tc>
          <w:tcPr>
            <w:tcW w:w="625" w:type="pct"/>
            <w:shd w:val="clear" w:color="auto" w:fill="auto"/>
            <w:vAlign w:val="top"/>
          </w:tcPr>
          <w:p w14:paraId="133E9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8.604</w:t>
            </w:r>
          </w:p>
        </w:tc>
        <w:tc>
          <w:tcPr>
            <w:tcW w:w="625" w:type="pct"/>
            <w:shd w:val="clear" w:color="auto" w:fill="auto"/>
            <w:vAlign w:val="top"/>
          </w:tcPr>
          <w:p w14:paraId="2554F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9.53</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3B23022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35</w:t>
            </w:r>
          </w:p>
        </w:tc>
        <w:tc>
          <w:tcPr>
            <w:tcW w:w="625" w:type="pct"/>
            <w:shd w:val="clear" w:color="auto" w:fill="auto"/>
            <w:vAlign w:val="top"/>
          </w:tcPr>
          <w:p w14:paraId="55E1E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3.86</w:t>
            </w:r>
          </w:p>
        </w:tc>
        <w:tc>
          <w:tcPr>
            <w:tcW w:w="625" w:type="pct"/>
            <w:shd w:val="clear" w:color="auto" w:fill="auto"/>
            <w:vAlign w:val="top"/>
          </w:tcPr>
          <w:p w14:paraId="36C81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8.405</w:t>
            </w:r>
          </w:p>
        </w:tc>
        <w:tc>
          <w:tcPr>
            <w:tcW w:w="626" w:type="pct"/>
            <w:shd w:val="clear" w:color="auto" w:fill="auto"/>
            <w:vAlign w:val="top"/>
          </w:tcPr>
          <w:p w14:paraId="2ED8F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9.249</w:t>
            </w:r>
          </w:p>
        </w:tc>
      </w:tr>
      <w:tr w14:paraId="62CA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5AE372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4" w:type="pct"/>
            <w:shd w:val="clear" w:color="auto" w:fill="auto"/>
            <w:vAlign w:val="top"/>
          </w:tcPr>
          <w:p w14:paraId="3D4112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4.296</w:t>
            </w:r>
          </w:p>
        </w:tc>
        <w:tc>
          <w:tcPr>
            <w:tcW w:w="625" w:type="pct"/>
            <w:shd w:val="clear" w:color="auto" w:fill="auto"/>
            <w:vAlign w:val="top"/>
          </w:tcPr>
          <w:p w14:paraId="18588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8.761</w:t>
            </w:r>
          </w:p>
        </w:tc>
        <w:tc>
          <w:tcPr>
            <w:tcW w:w="625" w:type="pct"/>
            <w:shd w:val="clear" w:color="auto" w:fill="auto"/>
            <w:vAlign w:val="top"/>
          </w:tcPr>
          <w:p w14:paraId="5A171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9.757</w:t>
            </w:r>
          </w:p>
        </w:tc>
        <w:tc>
          <w:tcPr>
            <w:tcW w:w="625" w:type="pct"/>
            <w:vAlign w:val="center"/>
          </w:tcPr>
          <w:p w14:paraId="086C679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34</w:t>
            </w:r>
          </w:p>
        </w:tc>
        <w:tc>
          <w:tcPr>
            <w:tcW w:w="625" w:type="pct"/>
            <w:shd w:val="clear" w:color="auto" w:fill="auto"/>
            <w:vAlign w:val="top"/>
          </w:tcPr>
          <w:p w14:paraId="607C2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4.042</w:t>
            </w:r>
          </w:p>
        </w:tc>
        <w:tc>
          <w:tcPr>
            <w:tcW w:w="625" w:type="pct"/>
            <w:shd w:val="clear" w:color="auto" w:fill="auto"/>
            <w:vAlign w:val="top"/>
          </w:tcPr>
          <w:p w14:paraId="52835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8.557</w:t>
            </w:r>
          </w:p>
        </w:tc>
        <w:tc>
          <w:tcPr>
            <w:tcW w:w="626" w:type="pct"/>
            <w:shd w:val="clear" w:color="auto" w:fill="auto"/>
            <w:vAlign w:val="top"/>
          </w:tcPr>
          <w:p w14:paraId="59156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9.464</w:t>
            </w:r>
          </w:p>
        </w:tc>
      </w:tr>
      <w:tr w14:paraId="7ABA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86865A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4" w:type="pct"/>
            <w:shd w:val="clear" w:color="auto" w:fill="auto"/>
            <w:vAlign w:val="top"/>
          </w:tcPr>
          <w:p w14:paraId="050B7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4.507</w:t>
            </w:r>
          </w:p>
        </w:tc>
        <w:tc>
          <w:tcPr>
            <w:tcW w:w="625" w:type="pct"/>
            <w:shd w:val="clear" w:color="auto" w:fill="auto"/>
            <w:vAlign w:val="top"/>
          </w:tcPr>
          <w:p w14:paraId="74BBD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8.921</w:t>
            </w:r>
          </w:p>
        </w:tc>
        <w:tc>
          <w:tcPr>
            <w:tcW w:w="625" w:type="pct"/>
            <w:shd w:val="clear" w:color="auto" w:fill="auto"/>
            <w:vAlign w:val="top"/>
          </w:tcPr>
          <w:p w14:paraId="77812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9.995</w:t>
            </w:r>
          </w:p>
        </w:tc>
        <w:tc>
          <w:tcPr>
            <w:tcW w:w="625" w:type="pct"/>
            <w:vAlign w:val="center"/>
          </w:tcPr>
          <w:p w14:paraId="34A04B3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33</w:t>
            </w:r>
          </w:p>
        </w:tc>
        <w:tc>
          <w:tcPr>
            <w:tcW w:w="625" w:type="pct"/>
            <w:shd w:val="clear" w:color="auto" w:fill="auto"/>
            <w:vAlign w:val="top"/>
          </w:tcPr>
          <w:p w14:paraId="353D1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4.235</w:t>
            </w:r>
          </w:p>
        </w:tc>
        <w:tc>
          <w:tcPr>
            <w:tcW w:w="625" w:type="pct"/>
            <w:shd w:val="clear" w:color="auto" w:fill="auto"/>
            <w:vAlign w:val="top"/>
          </w:tcPr>
          <w:p w14:paraId="3B7B3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8.713</w:t>
            </w:r>
          </w:p>
        </w:tc>
        <w:tc>
          <w:tcPr>
            <w:tcW w:w="626" w:type="pct"/>
            <w:shd w:val="clear" w:color="auto" w:fill="auto"/>
            <w:vAlign w:val="top"/>
          </w:tcPr>
          <w:p w14:paraId="78AE8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9.688</w:t>
            </w:r>
          </w:p>
        </w:tc>
      </w:tr>
      <w:tr w14:paraId="6590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FEFB53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4" w:type="pct"/>
            <w:shd w:val="clear" w:color="auto" w:fill="auto"/>
            <w:vAlign w:val="top"/>
          </w:tcPr>
          <w:p w14:paraId="2A44AF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4.732</w:t>
            </w:r>
          </w:p>
        </w:tc>
        <w:tc>
          <w:tcPr>
            <w:tcW w:w="625" w:type="pct"/>
            <w:shd w:val="clear" w:color="auto" w:fill="auto"/>
            <w:vAlign w:val="top"/>
          </w:tcPr>
          <w:p w14:paraId="5E4A5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9.085</w:t>
            </w:r>
          </w:p>
        </w:tc>
        <w:tc>
          <w:tcPr>
            <w:tcW w:w="625" w:type="pct"/>
            <w:shd w:val="clear" w:color="auto" w:fill="auto"/>
            <w:vAlign w:val="top"/>
          </w:tcPr>
          <w:p w14:paraId="6E73A5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10.243</w:t>
            </w:r>
          </w:p>
        </w:tc>
        <w:tc>
          <w:tcPr>
            <w:tcW w:w="625" w:type="pct"/>
            <w:vAlign w:val="center"/>
          </w:tcPr>
          <w:p w14:paraId="0DECC50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32</w:t>
            </w:r>
          </w:p>
        </w:tc>
        <w:tc>
          <w:tcPr>
            <w:tcW w:w="625" w:type="pct"/>
            <w:shd w:val="clear" w:color="auto" w:fill="auto"/>
            <w:vAlign w:val="top"/>
          </w:tcPr>
          <w:p w14:paraId="3E17A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4.442</w:t>
            </w:r>
          </w:p>
        </w:tc>
        <w:tc>
          <w:tcPr>
            <w:tcW w:w="625" w:type="pct"/>
            <w:shd w:val="clear" w:color="auto" w:fill="auto"/>
            <w:vAlign w:val="top"/>
          </w:tcPr>
          <w:p w14:paraId="44CBC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8.873</w:t>
            </w:r>
          </w:p>
        </w:tc>
        <w:tc>
          <w:tcPr>
            <w:tcW w:w="626" w:type="pct"/>
            <w:shd w:val="clear" w:color="auto" w:fill="auto"/>
            <w:vAlign w:val="top"/>
          </w:tcPr>
          <w:p w14:paraId="5E8CD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9.922</w:t>
            </w:r>
          </w:p>
        </w:tc>
      </w:tr>
      <w:tr w14:paraId="1571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B502B0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4" w:type="pct"/>
            <w:shd w:val="clear" w:color="auto" w:fill="auto"/>
            <w:vAlign w:val="top"/>
          </w:tcPr>
          <w:p w14:paraId="14C26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4.973</w:t>
            </w:r>
          </w:p>
        </w:tc>
        <w:tc>
          <w:tcPr>
            <w:tcW w:w="625" w:type="pct"/>
            <w:shd w:val="clear" w:color="auto" w:fill="auto"/>
            <w:vAlign w:val="top"/>
          </w:tcPr>
          <w:p w14:paraId="252D1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9.252</w:t>
            </w:r>
          </w:p>
        </w:tc>
        <w:tc>
          <w:tcPr>
            <w:tcW w:w="625" w:type="pct"/>
            <w:shd w:val="clear" w:color="auto" w:fill="auto"/>
            <w:vAlign w:val="top"/>
          </w:tcPr>
          <w:p w14:paraId="0624C1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10.503</w:t>
            </w:r>
          </w:p>
        </w:tc>
        <w:tc>
          <w:tcPr>
            <w:tcW w:w="625" w:type="pct"/>
            <w:vAlign w:val="center"/>
          </w:tcPr>
          <w:p w14:paraId="395B8D8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31</w:t>
            </w:r>
          </w:p>
        </w:tc>
        <w:tc>
          <w:tcPr>
            <w:tcW w:w="625" w:type="pct"/>
            <w:shd w:val="clear" w:color="auto" w:fill="auto"/>
            <w:vAlign w:val="top"/>
          </w:tcPr>
          <w:p w14:paraId="4A7E6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4.663</w:t>
            </w:r>
          </w:p>
        </w:tc>
        <w:tc>
          <w:tcPr>
            <w:tcW w:w="625" w:type="pct"/>
            <w:shd w:val="clear" w:color="auto" w:fill="auto"/>
            <w:vAlign w:val="top"/>
          </w:tcPr>
          <w:p w14:paraId="75D0DF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9.035</w:t>
            </w:r>
          </w:p>
        </w:tc>
        <w:tc>
          <w:tcPr>
            <w:tcW w:w="626" w:type="pct"/>
            <w:shd w:val="clear" w:color="auto" w:fill="auto"/>
            <w:vAlign w:val="top"/>
          </w:tcPr>
          <w:p w14:paraId="270B6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10.167</w:t>
            </w:r>
          </w:p>
        </w:tc>
      </w:tr>
      <w:tr w14:paraId="73E3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85F6EE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4" w:type="pct"/>
            <w:shd w:val="clear" w:color="auto" w:fill="auto"/>
            <w:vAlign w:val="top"/>
          </w:tcPr>
          <w:p w14:paraId="3FAC5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5.231</w:t>
            </w:r>
          </w:p>
        </w:tc>
        <w:tc>
          <w:tcPr>
            <w:tcW w:w="625" w:type="pct"/>
            <w:shd w:val="clear" w:color="auto" w:fill="auto"/>
            <w:vAlign w:val="top"/>
          </w:tcPr>
          <w:p w14:paraId="64B20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9.421</w:t>
            </w:r>
          </w:p>
        </w:tc>
        <w:tc>
          <w:tcPr>
            <w:tcW w:w="625" w:type="pct"/>
            <w:shd w:val="clear" w:color="auto" w:fill="auto"/>
            <w:vAlign w:val="top"/>
          </w:tcPr>
          <w:p w14:paraId="14EE0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10.776</w:t>
            </w:r>
          </w:p>
        </w:tc>
        <w:tc>
          <w:tcPr>
            <w:tcW w:w="625" w:type="pct"/>
            <w:vAlign w:val="center"/>
          </w:tcPr>
          <w:p w14:paraId="119902D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30</w:t>
            </w:r>
          </w:p>
        </w:tc>
        <w:tc>
          <w:tcPr>
            <w:tcW w:w="625" w:type="pct"/>
            <w:shd w:val="clear" w:color="auto" w:fill="auto"/>
            <w:vAlign w:val="top"/>
          </w:tcPr>
          <w:p w14:paraId="77FAC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4.899</w:t>
            </w:r>
          </w:p>
        </w:tc>
        <w:tc>
          <w:tcPr>
            <w:tcW w:w="625" w:type="pct"/>
            <w:shd w:val="clear" w:color="auto" w:fill="auto"/>
            <w:vAlign w:val="top"/>
          </w:tcPr>
          <w:p w14:paraId="40ECC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9.201</w:t>
            </w:r>
          </w:p>
        </w:tc>
        <w:tc>
          <w:tcPr>
            <w:tcW w:w="626" w:type="pct"/>
            <w:shd w:val="clear" w:color="auto" w:fill="auto"/>
            <w:vAlign w:val="top"/>
          </w:tcPr>
          <w:p w14:paraId="3D85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10.424</w:t>
            </w:r>
          </w:p>
        </w:tc>
      </w:tr>
      <w:tr w14:paraId="7191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1FD3C7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4" w:type="pct"/>
            <w:shd w:val="clear" w:color="auto" w:fill="auto"/>
            <w:vAlign w:val="top"/>
          </w:tcPr>
          <w:p w14:paraId="6BB572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5.508</w:t>
            </w:r>
          </w:p>
        </w:tc>
        <w:tc>
          <w:tcPr>
            <w:tcW w:w="625" w:type="pct"/>
            <w:shd w:val="clear" w:color="auto" w:fill="auto"/>
            <w:vAlign w:val="top"/>
          </w:tcPr>
          <w:p w14:paraId="2041D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9.593</w:t>
            </w:r>
          </w:p>
        </w:tc>
        <w:tc>
          <w:tcPr>
            <w:tcW w:w="625" w:type="pct"/>
            <w:shd w:val="clear" w:color="auto" w:fill="auto"/>
            <w:vAlign w:val="top"/>
          </w:tcPr>
          <w:p w14:paraId="07ED08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11.062</w:t>
            </w:r>
          </w:p>
        </w:tc>
        <w:tc>
          <w:tcPr>
            <w:tcW w:w="625" w:type="pct"/>
            <w:vAlign w:val="center"/>
          </w:tcPr>
          <w:p w14:paraId="73BD8B3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29</w:t>
            </w:r>
          </w:p>
        </w:tc>
        <w:tc>
          <w:tcPr>
            <w:tcW w:w="625" w:type="pct"/>
            <w:shd w:val="clear" w:color="auto" w:fill="auto"/>
            <w:vAlign w:val="top"/>
          </w:tcPr>
          <w:p w14:paraId="455F9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5.151</w:t>
            </w:r>
          </w:p>
        </w:tc>
        <w:tc>
          <w:tcPr>
            <w:tcW w:w="625" w:type="pct"/>
            <w:shd w:val="clear" w:color="auto" w:fill="auto"/>
            <w:vAlign w:val="top"/>
          </w:tcPr>
          <w:p w14:paraId="1122B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9.37</w:t>
            </w:r>
          </w:p>
        </w:tc>
        <w:tc>
          <w:tcPr>
            <w:tcW w:w="626" w:type="pct"/>
            <w:shd w:val="clear" w:color="auto" w:fill="auto"/>
            <w:vAlign w:val="top"/>
          </w:tcPr>
          <w:p w14:paraId="0EE2E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10.693</w:t>
            </w:r>
          </w:p>
        </w:tc>
      </w:tr>
      <w:tr w14:paraId="4535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D70D04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4" w:type="pct"/>
            <w:shd w:val="clear" w:color="auto" w:fill="auto"/>
            <w:vAlign w:val="top"/>
          </w:tcPr>
          <w:p w14:paraId="6328A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5.805</w:t>
            </w:r>
          </w:p>
        </w:tc>
        <w:tc>
          <w:tcPr>
            <w:tcW w:w="625" w:type="pct"/>
            <w:shd w:val="clear" w:color="auto" w:fill="auto"/>
            <w:vAlign w:val="top"/>
          </w:tcPr>
          <w:p w14:paraId="2E1C6E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9.767</w:t>
            </w:r>
          </w:p>
        </w:tc>
        <w:tc>
          <w:tcPr>
            <w:tcW w:w="625" w:type="pct"/>
            <w:shd w:val="clear" w:color="auto" w:fill="auto"/>
            <w:vAlign w:val="top"/>
          </w:tcPr>
          <w:p w14:paraId="4CD5C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11.362</w:t>
            </w:r>
          </w:p>
        </w:tc>
        <w:tc>
          <w:tcPr>
            <w:tcW w:w="625" w:type="pct"/>
            <w:vAlign w:val="center"/>
          </w:tcPr>
          <w:p w14:paraId="0053A2F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28</w:t>
            </w:r>
          </w:p>
        </w:tc>
        <w:tc>
          <w:tcPr>
            <w:tcW w:w="625" w:type="pct"/>
            <w:shd w:val="clear" w:color="auto" w:fill="auto"/>
            <w:vAlign w:val="top"/>
          </w:tcPr>
          <w:p w14:paraId="4BCF1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5.423</w:t>
            </w:r>
          </w:p>
        </w:tc>
        <w:tc>
          <w:tcPr>
            <w:tcW w:w="625" w:type="pct"/>
            <w:shd w:val="clear" w:color="auto" w:fill="auto"/>
            <w:vAlign w:val="top"/>
          </w:tcPr>
          <w:p w14:paraId="7CD40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9.541</w:t>
            </w:r>
          </w:p>
        </w:tc>
        <w:tc>
          <w:tcPr>
            <w:tcW w:w="626" w:type="pct"/>
            <w:shd w:val="clear" w:color="auto" w:fill="auto"/>
            <w:vAlign w:val="top"/>
          </w:tcPr>
          <w:p w14:paraId="31DCAF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10.975</w:t>
            </w:r>
          </w:p>
        </w:tc>
      </w:tr>
      <w:tr w14:paraId="017D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92BE5E9">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4" w:type="pct"/>
            <w:shd w:val="clear" w:color="auto" w:fill="auto"/>
            <w:vAlign w:val="top"/>
          </w:tcPr>
          <w:p w14:paraId="18584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6.126</w:t>
            </w:r>
          </w:p>
        </w:tc>
        <w:tc>
          <w:tcPr>
            <w:tcW w:w="625" w:type="pct"/>
            <w:shd w:val="clear" w:color="auto" w:fill="auto"/>
            <w:vAlign w:val="top"/>
          </w:tcPr>
          <w:p w14:paraId="7AD31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9.943</w:t>
            </w:r>
          </w:p>
        </w:tc>
        <w:tc>
          <w:tcPr>
            <w:tcW w:w="625" w:type="pct"/>
            <w:shd w:val="clear" w:color="auto" w:fill="auto"/>
            <w:vAlign w:val="top"/>
          </w:tcPr>
          <w:p w14:paraId="4DB3A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11.678</w:t>
            </w:r>
          </w:p>
        </w:tc>
        <w:tc>
          <w:tcPr>
            <w:tcW w:w="625" w:type="pct"/>
            <w:vAlign w:val="center"/>
          </w:tcPr>
          <w:p w14:paraId="7F6B1ED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27</w:t>
            </w:r>
          </w:p>
        </w:tc>
        <w:tc>
          <w:tcPr>
            <w:tcW w:w="625" w:type="pct"/>
            <w:shd w:val="clear" w:color="auto" w:fill="auto"/>
            <w:vAlign w:val="top"/>
          </w:tcPr>
          <w:p w14:paraId="63060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5.714</w:t>
            </w:r>
          </w:p>
        </w:tc>
        <w:tc>
          <w:tcPr>
            <w:tcW w:w="625" w:type="pct"/>
            <w:shd w:val="clear" w:color="auto" w:fill="auto"/>
            <w:vAlign w:val="top"/>
          </w:tcPr>
          <w:p w14:paraId="178F9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9.715</w:t>
            </w:r>
          </w:p>
        </w:tc>
        <w:tc>
          <w:tcPr>
            <w:tcW w:w="626" w:type="pct"/>
            <w:shd w:val="clear" w:color="auto" w:fill="auto"/>
            <w:vAlign w:val="top"/>
          </w:tcPr>
          <w:p w14:paraId="65593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11.271</w:t>
            </w:r>
          </w:p>
        </w:tc>
      </w:tr>
      <w:tr w14:paraId="4B87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A9DDFC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4" w:type="pct"/>
            <w:shd w:val="clear" w:color="auto" w:fill="auto"/>
            <w:vAlign w:val="top"/>
          </w:tcPr>
          <w:p w14:paraId="6A948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6.471</w:t>
            </w:r>
          </w:p>
        </w:tc>
        <w:tc>
          <w:tcPr>
            <w:tcW w:w="625" w:type="pct"/>
            <w:shd w:val="clear" w:color="auto" w:fill="auto"/>
            <w:vAlign w:val="top"/>
          </w:tcPr>
          <w:p w14:paraId="176C0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10.118</w:t>
            </w:r>
          </w:p>
        </w:tc>
        <w:tc>
          <w:tcPr>
            <w:tcW w:w="625" w:type="pct"/>
            <w:shd w:val="clear" w:color="auto" w:fill="auto"/>
            <w:vAlign w:val="top"/>
          </w:tcPr>
          <w:p w14:paraId="30035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12.011</w:t>
            </w:r>
          </w:p>
        </w:tc>
        <w:tc>
          <w:tcPr>
            <w:tcW w:w="625" w:type="pct"/>
            <w:vAlign w:val="center"/>
          </w:tcPr>
          <w:p w14:paraId="3C52A28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26</w:t>
            </w:r>
          </w:p>
        </w:tc>
        <w:tc>
          <w:tcPr>
            <w:tcW w:w="625" w:type="pct"/>
            <w:shd w:val="clear" w:color="auto" w:fill="auto"/>
            <w:vAlign w:val="top"/>
          </w:tcPr>
          <w:p w14:paraId="59878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6.027</w:t>
            </w:r>
          </w:p>
        </w:tc>
        <w:tc>
          <w:tcPr>
            <w:tcW w:w="625" w:type="pct"/>
            <w:shd w:val="clear" w:color="auto" w:fill="auto"/>
            <w:vAlign w:val="top"/>
          </w:tcPr>
          <w:p w14:paraId="00186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9.89</w:t>
            </w:r>
            <w:r>
              <w:rPr>
                <w:rFonts w:hint="eastAsia" w:ascii="Times New Roman" w:hAnsi="Times New Roman" w:eastAsia="宋体" w:cs="Times New Roman"/>
                <w:i w:val="0"/>
                <w:iCs w:val="0"/>
                <w:color w:val="auto"/>
                <w:kern w:val="0"/>
                <w:sz w:val="21"/>
                <w:szCs w:val="21"/>
                <w:u w:val="none"/>
                <w:lang w:val="en-US" w:eastAsia="zh-CN" w:bidi="ar"/>
              </w:rPr>
              <w:t>0</w:t>
            </w:r>
          </w:p>
        </w:tc>
        <w:tc>
          <w:tcPr>
            <w:tcW w:w="626" w:type="pct"/>
            <w:shd w:val="clear" w:color="auto" w:fill="auto"/>
            <w:vAlign w:val="top"/>
          </w:tcPr>
          <w:p w14:paraId="44179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11.582</w:t>
            </w:r>
          </w:p>
        </w:tc>
      </w:tr>
      <w:tr w14:paraId="2C93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B03C3B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4" w:type="pct"/>
            <w:shd w:val="clear" w:color="auto" w:fill="auto"/>
            <w:vAlign w:val="top"/>
          </w:tcPr>
          <w:p w14:paraId="28CE3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6.844</w:t>
            </w:r>
          </w:p>
        </w:tc>
        <w:tc>
          <w:tcPr>
            <w:tcW w:w="625" w:type="pct"/>
            <w:shd w:val="clear" w:color="auto" w:fill="auto"/>
            <w:vAlign w:val="top"/>
          </w:tcPr>
          <w:p w14:paraId="25751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10.293</w:t>
            </w:r>
          </w:p>
        </w:tc>
        <w:tc>
          <w:tcPr>
            <w:tcW w:w="625" w:type="pct"/>
            <w:shd w:val="clear" w:color="auto" w:fill="auto"/>
            <w:vAlign w:val="top"/>
          </w:tcPr>
          <w:p w14:paraId="6A4A9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12.361</w:t>
            </w:r>
          </w:p>
        </w:tc>
        <w:tc>
          <w:tcPr>
            <w:tcW w:w="625" w:type="pct"/>
            <w:vAlign w:val="center"/>
          </w:tcPr>
          <w:p w14:paraId="573E0D1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25</w:t>
            </w:r>
          </w:p>
        </w:tc>
        <w:tc>
          <w:tcPr>
            <w:tcW w:w="625" w:type="pct"/>
            <w:shd w:val="clear" w:color="auto" w:fill="auto"/>
            <w:vAlign w:val="top"/>
          </w:tcPr>
          <w:p w14:paraId="6ADC0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6.365</w:t>
            </w:r>
          </w:p>
        </w:tc>
        <w:tc>
          <w:tcPr>
            <w:tcW w:w="625" w:type="pct"/>
            <w:shd w:val="clear" w:color="auto" w:fill="auto"/>
            <w:vAlign w:val="top"/>
          </w:tcPr>
          <w:p w14:paraId="15EBF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10.066</w:t>
            </w:r>
          </w:p>
        </w:tc>
        <w:tc>
          <w:tcPr>
            <w:tcW w:w="626" w:type="pct"/>
            <w:shd w:val="clear" w:color="auto" w:fill="auto"/>
            <w:vAlign w:val="top"/>
          </w:tcPr>
          <w:p w14:paraId="4CC7E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11.909</w:t>
            </w:r>
          </w:p>
        </w:tc>
      </w:tr>
      <w:tr w14:paraId="6777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4B9D25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4" w:type="pct"/>
            <w:shd w:val="clear" w:color="auto" w:fill="auto"/>
            <w:vAlign w:val="top"/>
          </w:tcPr>
          <w:p w14:paraId="6D3B7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7.247</w:t>
            </w:r>
          </w:p>
        </w:tc>
        <w:tc>
          <w:tcPr>
            <w:tcW w:w="625" w:type="pct"/>
            <w:shd w:val="clear" w:color="auto" w:fill="auto"/>
            <w:vAlign w:val="top"/>
          </w:tcPr>
          <w:p w14:paraId="4CAFA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10.466</w:t>
            </w:r>
          </w:p>
        </w:tc>
        <w:tc>
          <w:tcPr>
            <w:tcW w:w="625" w:type="pct"/>
            <w:shd w:val="clear" w:color="auto" w:fill="auto"/>
            <w:vAlign w:val="top"/>
          </w:tcPr>
          <w:p w14:paraId="33FCF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12.73</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3F5AF7B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24</w:t>
            </w:r>
          </w:p>
        </w:tc>
        <w:tc>
          <w:tcPr>
            <w:tcW w:w="625" w:type="pct"/>
            <w:shd w:val="clear" w:color="auto" w:fill="auto"/>
            <w:vAlign w:val="top"/>
          </w:tcPr>
          <w:p w14:paraId="65F667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6.729</w:t>
            </w:r>
          </w:p>
        </w:tc>
        <w:tc>
          <w:tcPr>
            <w:tcW w:w="625" w:type="pct"/>
            <w:shd w:val="clear" w:color="auto" w:fill="auto"/>
            <w:vAlign w:val="top"/>
          </w:tcPr>
          <w:p w14:paraId="024C2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10.241</w:t>
            </w:r>
          </w:p>
        </w:tc>
        <w:tc>
          <w:tcPr>
            <w:tcW w:w="626" w:type="pct"/>
            <w:shd w:val="clear" w:color="auto" w:fill="auto"/>
            <w:vAlign w:val="top"/>
          </w:tcPr>
          <w:p w14:paraId="7F876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12.254</w:t>
            </w:r>
          </w:p>
        </w:tc>
      </w:tr>
      <w:tr w14:paraId="2BE2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C9A1CF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4" w:type="pct"/>
            <w:shd w:val="clear" w:color="auto" w:fill="auto"/>
            <w:vAlign w:val="top"/>
          </w:tcPr>
          <w:p w14:paraId="685EE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7.685</w:t>
            </w:r>
          </w:p>
        </w:tc>
        <w:tc>
          <w:tcPr>
            <w:tcW w:w="625" w:type="pct"/>
            <w:shd w:val="clear" w:color="auto" w:fill="auto"/>
            <w:vAlign w:val="top"/>
          </w:tcPr>
          <w:p w14:paraId="436DA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10.633</w:t>
            </w:r>
          </w:p>
        </w:tc>
        <w:tc>
          <w:tcPr>
            <w:tcW w:w="625" w:type="pct"/>
            <w:shd w:val="clear" w:color="auto" w:fill="auto"/>
            <w:vAlign w:val="top"/>
          </w:tcPr>
          <w:p w14:paraId="5564C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13.119</w:t>
            </w:r>
          </w:p>
        </w:tc>
        <w:tc>
          <w:tcPr>
            <w:tcW w:w="625" w:type="pct"/>
            <w:vAlign w:val="center"/>
          </w:tcPr>
          <w:p w14:paraId="10A7C8B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23</w:t>
            </w:r>
          </w:p>
        </w:tc>
        <w:tc>
          <w:tcPr>
            <w:tcW w:w="625" w:type="pct"/>
            <w:shd w:val="clear" w:color="auto" w:fill="auto"/>
            <w:vAlign w:val="top"/>
          </w:tcPr>
          <w:p w14:paraId="2A20B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7.123</w:t>
            </w:r>
          </w:p>
        </w:tc>
        <w:tc>
          <w:tcPr>
            <w:tcW w:w="625" w:type="pct"/>
            <w:shd w:val="clear" w:color="auto" w:fill="auto"/>
            <w:vAlign w:val="top"/>
          </w:tcPr>
          <w:p w14:paraId="0ECFD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10.414</w:t>
            </w:r>
          </w:p>
        </w:tc>
        <w:tc>
          <w:tcPr>
            <w:tcW w:w="626" w:type="pct"/>
            <w:shd w:val="clear" w:color="auto" w:fill="auto"/>
            <w:vAlign w:val="top"/>
          </w:tcPr>
          <w:p w14:paraId="2650C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12.617</w:t>
            </w:r>
          </w:p>
        </w:tc>
      </w:tr>
      <w:tr w14:paraId="4FAA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33FA72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4" w:type="pct"/>
            <w:shd w:val="clear" w:color="auto" w:fill="auto"/>
            <w:vAlign w:val="top"/>
          </w:tcPr>
          <w:p w14:paraId="1CD6C1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8.16</w:t>
            </w:r>
          </w:p>
        </w:tc>
        <w:tc>
          <w:tcPr>
            <w:tcW w:w="625" w:type="pct"/>
            <w:shd w:val="clear" w:color="auto" w:fill="auto"/>
            <w:vAlign w:val="top"/>
          </w:tcPr>
          <w:p w14:paraId="7A53C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10.793</w:t>
            </w:r>
          </w:p>
        </w:tc>
        <w:tc>
          <w:tcPr>
            <w:tcW w:w="625" w:type="pct"/>
            <w:shd w:val="clear" w:color="auto" w:fill="auto"/>
            <w:vAlign w:val="top"/>
          </w:tcPr>
          <w:p w14:paraId="6608C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13.53</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4225A6D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22</w:t>
            </w:r>
          </w:p>
        </w:tc>
        <w:tc>
          <w:tcPr>
            <w:tcW w:w="625" w:type="pct"/>
            <w:shd w:val="clear" w:color="auto" w:fill="auto"/>
            <w:vAlign w:val="top"/>
          </w:tcPr>
          <w:p w14:paraId="1C08A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7.55</w:t>
            </w:r>
          </w:p>
        </w:tc>
        <w:tc>
          <w:tcPr>
            <w:tcW w:w="625" w:type="pct"/>
            <w:shd w:val="clear" w:color="auto" w:fill="auto"/>
            <w:vAlign w:val="top"/>
          </w:tcPr>
          <w:p w14:paraId="17D0F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10.584</w:t>
            </w:r>
          </w:p>
        </w:tc>
        <w:tc>
          <w:tcPr>
            <w:tcW w:w="626" w:type="pct"/>
            <w:shd w:val="clear" w:color="auto" w:fill="auto"/>
            <w:vAlign w:val="top"/>
          </w:tcPr>
          <w:p w14:paraId="108B1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r>
              <w:rPr>
                <w:rFonts w:hint="eastAsia" w:ascii="Times New Roman" w:hAnsi="Times New Roman" w:eastAsia="宋体" w:cs="Times New Roman"/>
                <w:i w:val="0"/>
                <w:iCs w:val="0"/>
                <w:color w:val="auto"/>
                <w:kern w:val="0"/>
                <w:sz w:val="21"/>
                <w:szCs w:val="21"/>
                <w:u w:val="none"/>
                <w:lang w:val="en-US" w:eastAsia="zh-CN" w:bidi="ar"/>
              </w:rPr>
              <w:t>.000</w:t>
            </w:r>
          </w:p>
        </w:tc>
      </w:tr>
      <w:tr w14:paraId="51D9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30FB95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4" w:type="pct"/>
            <w:shd w:val="clear" w:color="auto" w:fill="auto"/>
            <w:vAlign w:val="top"/>
          </w:tcPr>
          <w:p w14:paraId="313F9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8.676</w:t>
            </w:r>
          </w:p>
        </w:tc>
        <w:tc>
          <w:tcPr>
            <w:tcW w:w="625" w:type="pct"/>
            <w:shd w:val="clear" w:color="auto" w:fill="auto"/>
            <w:vAlign w:val="top"/>
          </w:tcPr>
          <w:p w14:paraId="529BC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10.942</w:t>
            </w:r>
          </w:p>
        </w:tc>
        <w:tc>
          <w:tcPr>
            <w:tcW w:w="625" w:type="pct"/>
            <w:shd w:val="clear" w:color="auto" w:fill="auto"/>
            <w:vAlign w:val="top"/>
          </w:tcPr>
          <w:p w14:paraId="70361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13.964</w:t>
            </w:r>
          </w:p>
        </w:tc>
        <w:tc>
          <w:tcPr>
            <w:tcW w:w="625" w:type="pct"/>
            <w:vAlign w:val="center"/>
          </w:tcPr>
          <w:p w14:paraId="4183C41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21</w:t>
            </w:r>
          </w:p>
        </w:tc>
        <w:tc>
          <w:tcPr>
            <w:tcW w:w="625" w:type="pct"/>
            <w:shd w:val="clear" w:color="auto" w:fill="auto"/>
            <w:vAlign w:val="top"/>
          </w:tcPr>
          <w:p w14:paraId="4B83A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625" w:type="pct"/>
            <w:shd w:val="clear" w:color="auto" w:fill="auto"/>
            <w:vAlign w:val="top"/>
          </w:tcPr>
          <w:p w14:paraId="79A8C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10.746</w:t>
            </w:r>
          </w:p>
        </w:tc>
        <w:tc>
          <w:tcPr>
            <w:tcW w:w="626" w:type="pct"/>
            <w:shd w:val="clear" w:color="auto" w:fill="auto"/>
            <w:vAlign w:val="top"/>
          </w:tcPr>
          <w:p w14:paraId="39AF7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13.405</w:t>
            </w:r>
          </w:p>
        </w:tc>
      </w:tr>
      <w:tr w14:paraId="175B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1637A2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4" w:type="pct"/>
            <w:shd w:val="clear" w:color="auto" w:fill="auto"/>
            <w:vAlign w:val="top"/>
          </w:tcPr>
          <w:p w14:paraId="50A11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9.238</w:t>
            </w:r>
          </w:p>
        </w:tc>
        <w:tc>
          <w:tcPr>
            <w:tcW w:w="625" w:type="pct"/>
            <w:shd w:val="clear" w:color="auto" w:fill="auto"/>
            <w:vAlign w:val="top"/>
          </w:tcPr>
          <w:p w14:paraId="5539A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11.075</w:t>
            </w:r>
          </w:p>
        </w:tc>
        <w:tc>
          <w:tcPr>
            <w:tcW w:w="625" w:type="pct"/>
            <w:shd w:val="clear" w:color="auto" w:fill="auto"/>
            <w:vAlign w:val="top"/>
          </w:tcPr>
          <w:p w14:paraId="62CF20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14.422</w:t>
            </w:r>
          </w:p>
        </w:tc>
        <w:tc>
          <w:tcPr>
            <w:tcW w:w="625" w:type="pct"/>
            <w:vAlign w:val="center"/>
          </w:tcPr>
          <w:p w14:paraId="1E62760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20</w:t>
            </w:r>
          </w:p>
        </w:tc>
        <w:tc>
          <w:tcPr>
            <w:tcW w:w="625" w:type="pct"/>
            <w:shd w:val="clear" w:color="auto" w:fill="auto"/>
            <w:vAlign w:val="top"/>
          </w:tcPr>
          <w:p w14:paraId="19C8B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8.516</w:t>
            </w:r>
          </w:p>
        </w:tc>
        <w:tc>
          <w:tcPr>
            <w:tcW w:w="625" w:type="pct"/>
            <w:shd w:val="clear" w:color="auto" w:fill="auto"/>
            <w:vAlign w:val="top"/>
          </w:tcPr>
          <w:p w14:paraId="6F3B1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10.899</w:t>
            </w:r>
          </w:p>
        </w:tc>
        <w:tc>
          <w:tcPr>
            <w:tcW w:w="626" w:type="pct"/>
            <w:shd w:val="clear" w:color="auto" w:fill="auto"/>
            <w:vAlign w:val="top"/>
          </w:tcPr>
          <w:p w14:paraId="4D988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13.832</w:t>
            </w:r>
          </w:p>
        </w:tc>
      </w:tr>
      <w:tr w14:paraId="4A00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10A8A5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4" w:type="pct"/>
            <w:shd w:val="clear" w:color="auto" w:fill="auto"/>
            <w:vAlign w:val="top"/>
          </w:tcPr>
          <w:p w14:paraId="7557D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9.849</w:t>
            </w:r>
          </w:p>
        </w:tc>
        <w:tc>
          <w:tcPr>
            <w:tcW w:w="625" w:type="pct"/>
            <w:shd w:val="clear" w:color="auto" w:fill="auto"/>
            <w:vAlign w:val="top"/>
          </w:tcPr>
          <w:p w14:paraId="5902B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11.185</w:t>
            </w:r>
          </w:p>
        </w:tc>
        <w:tc>
          <w:tcPr>
            <w:tcW w:w="625" w:type="pct"/>
            <w:shd w:val="clear" w:color="auto" w:fill="auto"/>
            <w:vAlign w:val="top"/>
          </w:tcPr>
          <w:p w14:paraId="2FB8F0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14.904</w:t>
            </w:r>
          </w:p>
        </w:tc>
        <w:tc>
          <w:tcPr>
            <w:tcW w:w="625" w:type="pct"/>
            <w:vAlign w:val="center"/>
          </w:tcPr>
          <w:p w14:paraId="6D77B37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19</w:t>
            </w:r>
          </w:p>
        </w:tc>
        <w:tc>
          <w:tcPr>
            <w:tcW w:w="625" w:type="pct"/>
            <w:shd w:val="clear" w:color="auto" w:fill="auto"/>
            <w:vAlign w:val="top"/>
          </w:tcPr>
          <w:p w14:paraId="1FC5D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9.064</w:t>
            </w:r>
          </w:p>
        </w:tc>
        <w:tc>
          <w:tcPr>
            <w:tcW w:w="625" w:type="pct"/>
            <w:shd w:val="clear" w:color="auto" w:fill="auto"/>
            <w:vAlign w:val="top"/>
          </w:tcPr>
          <w:p w14:paraId="5EF81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11.037</w:t>
            </w:r>
          </w:p>
        </w:tc>
        <w:tc>
          <w:tcPr>
            <w:tcW w:w="626" w:type="pct"/>
            <w:shd w:val="clear" w:color="auto" w:fill="auto"/>
            <w:vAlign w:val="top"/>
          </w:tcPr>
          <w:p w14:paraId="65E8C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14.282</w:t>
            </w:r>
          </w:p>
        </w:tc>
      </w:tr>
      <w:tr w14:paraId="5D23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7DB88F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4" w:type="pct"/>
            <w:shd w:val="clear" w:color="auto" w:fill="auto"/>
            <w:vAlign w:val="top"/>
          </w:tcPr>
          <w:p w14:paraId="7C17A9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10.515</w:t>
            </w:r>
          </w:p>
        </w:tc>
        <w:tc>
          <w:tcPr>
            <w:tcW w:w="625" w:type="pct"/>
            <w:shd w:val="clear" w:color="auto" w:fill="auto"/>
            <w:vAlign w:val="top"/>
          </w:tcPr>
          <w:p w14:paraId="7843A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11.265</w:t>
            </w:r>
          </w:p>
        </w:tc>
        <w:tc>
          <w:tcPr>
            <w:tcW w:w="625" w:type="pct"/>
            <w:shd w:val="clear" w:color="auto" w:fill="auto"/>
            <w:vAlign w:val="top"/>
          </w:tcPr>
          <w:p w14:paraId="519FE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15.41</w:t>
            </w:r>
          </w:p>
        </w:tc>
        <w:tc>
          <w:tcPr>
            <w:tcW w:w="625" w:type="pct"/>
            <w:vAlign w:val="center"/>
          </w:tcPr>
          <w:p w14:paraId="26E5A2A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18</w:t>
            </w:r>
          </w:p>
        </w:tc>
        <w:tc>
          <w:tcPr>
            <w:tcW w:w="625" w:type="pct"/>
            <w:shd w:val="clear" w:color="auto" w:fill="auto"/>
            <w:vAlign w:val="top"/>
          </w:tcPr>
          <w:p w14:paraId="4E38F8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9.66</w:t>
            </w:r>
          </w:p>
        </w:tc>
        <w:tc>
          <w:tcPr>
            <w:tcW w:w="625" w:type="pct"/>
            <w:shd w:val="clear" w:color="auto" w:fill="auto"/>
            <w:vAlign w:val="top"/>
          </w:tcPr>
          <w:p w14:paraId="550FA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11.155</w:t>
            </w:r>
          </w:p>
        </w:tc>
        <w:tc>
          <w:tcPr>
            <w:tcW w:w="626" w:type="pct"/>
            <w:shd w:val="clear" w:color="auto" w:fill="auto"/>
            <w:vAlign w:val="top"/>
          </w:tcPr>
          <w:p w14:paraId="3D8DF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14.757</w:t>
            </w:r>
          </w:p>
        </w:tc>
      </w:tr>
      <w:tr w14:paraId="4402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049DA7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4" w:type="pct"/>
            <w:shd w:val="clear" w:color="auto" w:fill="auto"/>
            <w:vAlign w:val="top"/>
          </w:tcPr>
          <w:p w14:paraId="525A2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11.238</w:t>
            </w:r>
          </w:p>
        </w:tc>
        <w:tc>
          <w:tcPr>
            <w:tcW w:w="625" w:type="pct"/>
            <w:shd w:val="clear" w:color="auto" w:fill="auto"/>
            <w:vAlign w:val="top"/>
          </w:tcPr>
          <w:p w14:paraId="59C67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11.302</w:t>
            </w:r>
          </w:p>
        </w:tc>
        <w:tc>
          <w:tcPr>
            <w:tcW w:w="625" w:type="pct"/>
            <w:shd w:val="clear" w:color="auto" w:fill="auto"/>
            <w:vAlign w:val="top"/>
          </w:tcPr>
          <w:p w14:paraId="4A07B4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15.939</w:t>
            </w:r>
          </w:p>
        </w:tc>
        <w:tc>
          <w:tcPr>
            <w:tcW w:w="625" w:type="pct"/>
            <w:vAlign w:val="center"/>
          </w:tcPr>
          <w:p w14:paraId="4F3B7E74">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17</w:t>
            </w:r>
          </w:p>
        </w:tc>
        <w:tc>
          <w:tcPr>
            <w:tcW w:w="625" w:type="pct"/>
            <w:shd w:val="clear" w:color="auto" w:fill="auto"/>
            <w:vAlign w:val="top"/>
          </w:tcPr>
          <w:p w14:paraId="6683A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10.31</w:t>
            </w:r>
          </w:p>
        </w:tc>
        <w:tc>
          <w:tcPr>
            <w:tcW w:w="625" w:type="pct"/>
            <w:shd w:val="clear" w:color="auto" w:fill="auto"/>
            <w:vAlign w:val="top"/>
          </w:tcPr>
          <w:p w14:paraId="0C4E8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11.245</w:t>
            </w:r>
          </w:p>
        </w:tc>
        <w:tc>
          <w:tcPr>
            <w:tcW w:w="626" w:type="pct"/>
            <w:shd w:val="clear" w:color="auto" w:fill="auto"/>
            <w:vAlign w:val="top"/>
          </w:tcPr>
          <w:p w14:paraId="3B55F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15.255</w:t>
            </w:r>
          </w:p>
        </w:tc>
      </w:tr>
      <w:tr w14:paraId="3A65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D4F6D2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4" w:type="pct"/>
            <w:shd w:val="clear" w:color="auto" w:fill="auto"/>
            <w:vAlign w:val="top"/>
          </w:tcPr>
          <w:p w14:paraId="37F2D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12.021</w:t>
            </w:r>
          </w:p>
        </w:tc>
        <w:tc>
          <w:tcPr>
            <w:tcW w:w="625" w:type="pct"/>
            <w:shd w:val="clear" w:color="auto" w:fill="auto"/>
            <w:vAlign w:val="top"/>
          </w:tcPr>
          <w:p w14:paraId="346EF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11.285</w:t>
            </w:r>
          </w:p>
        </w:tc>
        <w:tc>
          <w:tcPr>
            <w:tcW w:w="625" w:type="pct"/>
            <w:shd w:val="clear" w:color="auto" w:fill="auto"/>
            <w:vAlign w:val="top"/>
          </w:tcPr>
          <w:p w14:paraId="0E9C7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16.488</w:t>
            </w:r>
          </w:p>
        </w:tc>
        <w:tc>
          <w:tcPr>
            <w:tcW w:w="625" w:type="pct"/>
            <w:vAlign w:val="center"/>
          </w:tcPr>
          <w:p w14:paraId="142E8CA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16</w:t>
            </w:r>
          </w:p>
        </w:tc>
        <w:tc>
          <w:tcPr>
            <w:tcW w:w="625" w:type="pct"/>
            <w:shd w:val="clear" w:color="auto" w:fill="auto"/>
            <w:vAlign w:val="top"/>
          </w:tcPr>
          <w:p w14:paraId="0C13C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11.015</w:t>
            </w:r>
          </w:p>
        </w:tc>
        <w:tc>
          <w:tcPr>
            <w:tcW w:w="625" w:type="pct"/>
            <w:shd w:val="clear" w:color="auto" w:fill="auto"/>
            <w:vAlign w:val="top"/>
          </w:tcPr>
          <w:p w14:paraId="436D1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11.296</w:t>
            </w:r>
          </w:p>
        </w:tc>
        <w:tc>
          <w:tcPr>
            <w:tcW w:w="626" w:type="pct"/>
            <w:shd w:val="clear" w:color="auto" w:fill="auto"/>
            <w:vAlign w:val="top"/>
          </w:tcPr>
          <w:p w14:paraId="54ADFC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15.778</w:t>
            </w:r>
          </w:p>
        </w:tc>
      </w:tr>
      <w:tr w14:paraId="05AC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891C4A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4" w:type="pct"/>
            <w:shd w:val="clear" w:color="auto" w:fill="auto"/>
            <w:vAlign w:val="top"/>
          </w:tcPr>
          <w:p w14:paraId="417AA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12.862</w:t>
            </w:r>
          </w:p>
        </w:tc>
        <w:tc>
          <w:tcPr>
            <w:tcW w:w="625" w:type="pct"/>
            <w:shd w:val="clear" w:color="auto" w:fill="auto"/>
            <w:vAlign w:val="top"/>
          </w:tcPr>
          <w:p w14:paraId="47388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11.196</w:t>
            </w:r>
          </w:p>
        </w:tc>
        <w:tc>
          <w:tcPr>
            <w:tcW w:w="625" w:type="pct"/>
            <w:shd w:val="clear" w:color="auto" w:fill="auto"/>
            <w:vAlign w:val="top"/>
          </w:tcPr>
          <w:p w14:paraId="2D8CF3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17.052</w:t>
            </w:r>
          </w:p>
        </w:tc>
        <w:tc>
          <w:tcPr>
            <w:tcW w:w="625" w:type="pct"/>
            <w:vAlign w:val="center"/>
          </w:tcPr>
          <w:p w14:paraId="7E7FE89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15</w:t>
            </w:r>
          </w:p>
        </w:tc>
        <w:tc>
          <w:tcPr>
            <w:tcW w:w="625" w:type="pct"/>
            <w:shd w:val="clear" w:color="auto" w:fill="auto"/>
            <w:vAlign w:val="top"/>
          </w:tcPr>
          <w:p w14:paraId="4C6C0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11.78</w:t>
            </w:r>
          </w:p>
        </w:tc>
        <w:tc>
          <w:tcPr>
            <w:tcW w:w="625" w:type="pct"/>
            <w:shd w:val="clear" w:color="auto" w:fill="auto"/>
            <w:vAlign w:val="top"/>
          </w:tcPr>
          <w:p w14:paraId="2BF7D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11.297</w:t>
            </w:r>
          </w:p>
        </w:tc>
        <w:tc>
          <w:tcPr>
            <w:tcW w:w="626" w:type="pct"/>
            <w:shd w:val="clear" w:color="auto" w:fill="auto"/>
            <w:vAlign w:val="top"/>
          </w:tcPr>
          <w:p w14:paraId="0E25C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16.321</w:t>
            </w:r>
          </w:p>
        </w:tc>
      </w:tr>
      <w:tr w14:paraId="7623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5E4B26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4" w:type="pct"/>
            <w:shd w:val="clear" w:color="auto" w:fill="auto"/>
            <w:vAlign w:val="top"/>
          </w:tcPr>
          <w:p w14:paraId="21E3DD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13.756</w:t>
            </w:r>
          </w:p>
        </w:tc>
        <w:tc>
          <w:tcPr>
            <w:tcW w:w="625" w:type="pct"/>
            <w:shd w:val="clear" w:color="auto" w:fill="auto"/>
            <w:vAlign w:val="top"/>
          </w:tcPr>
          <w:p w14:paraId="3612D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11.017</w:t>
            </w:r>
          </w:p>
        </w:tc>
        <w:tc>
          <w:tcPr>
            <w:tcW w:w="625" w:type="pct"/>
            <w:shd w:val="clear" w:color="auto" w:fill="auto"/>
            <w:vAlign w:val="top"/>
          </w:tcPr>
          <w:p w14:paraId="533E8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17.623</w:t>
            </w:r>
          </w:p>
        </w:tc>
        <w:tc>
          <w:tcPr>
            <w:tcW w:w="625" w:type="pct"/>
            <w:vAlign w:val="center"/>
          </w:tcPr>
          <w:p w14:paraId="1EF35A2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14</w:t>
            </w:r>
          </w:p>
        </w:tc>
        <w:tc>
          <w:tcPr>
            <w:tcW w:w="625" w:type="pct"/>
            <w:shd w:val="clear" w:color="auto" w:fill="auto"/>
            <w:vAlign w:val="top"/>
          </w:tcPr>
          <w:p w14:paraId="07F42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12.604</w:t>
            </w:r>
          </w:p>
        </w:tc>
        <w:tc>
          <w:tcPr>
            <w:tcW w:w="625" w:type="pct"/>
            <w:shd w:val="clear" w:color="auto" w:fill="auto"/>
            <w:vAlign w:val="top"/>
          </w:tcPr>
          <w:p w14:paraId="16054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11.231</w:t>
            </w:r>
          </w:p>
        </w:tc>
        <w:tc>
          <w:tcPr>
            <w:tcW w:w="626" w:type="pct"/>
            <w:shd w:val="clear" w:color="auto" w:fill="auto"/>
            <w:vAlign w:val="top"/>
          </w:tcPr>
          <w:p w14:paraId="17F72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16.882</w:t>
            </w:r>
          </w:p>
        </w:tc>
      </w:tr>
      <w:tr w14:paraId="3E10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B19AB7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4" w:type="pct"/>
            <w:shd w:val="clear" w:color="auto" w:fill="auto"/>
            <w:vAlign w:val="top"/>
          </w:tcPr>
          <w:p w14:paraId="1F5FA2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14.691</w:t>
            </w:r>
          </w:p>
        </w:tc>
        <w:tc>
          <w:tcPr>
            <w:tcW w:w="625" w:type="pct"/>
            <w:shd w:val="clear" w:color="auto" w:fill="auto"/>
            <w:vAlign w:val="top"/>
          </w:tcPr>
          <w:p w14:paraId="12CAE4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10.726</w:t>
            </w:r>
          </w:p>
        </w:tc>
        <w:tc>
          <w:tcPr>
            <w:tcW w:w="625" w:type="pct"/>
            <w:shd w:val="clear" w:color="auto" w:fill="auto"/>
            <w:vAlign w:val="top"/>
          </w:tcPr>
          <w:p w14:paraId="2FAF44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18.19</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6972BEA6">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13</w:t>
            </w:r>
          </w:p>
        </w:tc>
        <w:tc>
          <w:tcPr>
            <w:tcW w:w="625" w:type="pct"/>
            <w:shd w:val="clear" w:color="auto" w:fill="auto"/>
            <w:vAlign w:val="top"/>
          </w:tcPr>
          <w:p w14:paraId="1FB74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13.482</w:t>
            </w:r>
          </w:p>
        </w:tc>
        <w:tc>
          <w:tcPr>
            <w:tcW w:w="625" w:type="pct"/>
            <w:shd w:val="clear" w:color="auto" w:fill="auto"/>
            <w:vAlign w:val="top"/>
          </w:tcPr>
          <w:p w14:paraId="7BD42A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11.081</w:t>
            </w:r>
          </w:p>
        </w:tc>
        <w:tc>
          <w:tcPr>
            <w:tcW w:w="626" w:type="pct"/>
            <w:shd w:val="clear" w:color="auto" w:fill="auto"/>
            <w:vAlign w:val="top"/>
          </w:tcPr>
          <w:p w14:paraId="1F3F32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17.452</w:t>
            </w:r>
          </w:p>
        </w:tc>
      </w:tr>
      <w:tr w14:paraId="0D25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2E6D1A7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4" w:type="pct"/>
            <w:shd w:val="clear" w:color="auto" w:fill="auto"/>
            <w:vAlign w:val="top"/>
          </w:tcPr>
          <w:p w14:paraId="68470B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15.648</w:t>
            </w:r>
          </w:p>
        </w:tc>
        <w:tc>
          <w:tcPr>
            <w:tcW w:w="625" w:type="pct"/>
            <w:shd w:val="clear" w:color="auto" w:fill="auto"/>
            <w:vAlign w:val="top"/>
          </w:tcPr>
          <w:p w14:paraId="56BE0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10.304</w:t>
            </w:r>
          </w:p>
        </w:tc>
        <w:tc>
          <w:tcPr>
            <w:tcW w:w="625" w:type="pct"/>
            <w:shd w:val="clear" w:color="auto" w:fill="auto"/>
            <w:vAlign w:val="top"/>
          </w:tcPr>
          <w:p w14:paraId="61DB69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18.736</w:t>
            </w:r>
          </w:p>
        </w:tc>
        <w:tc>
          <w:tcPr>
            <w:tcW w:w="625" w:type="pct"/>
            <w:vAlign w:val="center"/>
          </w:tcPr>
          <w:p w14:paraId="7D587F4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12</w:t>
            </w:r>
          </w:p>
        </w:tc>
        <w:tc>
          <w:tcPr>
            <w:tcW w:w="625" w:type="pct"/>
            <w:shd w:val="clear" w:color="auto" w:fill="auto"/>
            <w:vAlign w:val="top"/>
          </w:tcPr>
          <w:p w14:paraId="7E77A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14.407</w:t>
            </w:r>
          </w:p>
        </w:tc>
        <w:tc>
          <w:tcPr>
            <w:tcW w:w="625" w:type="pct"/>
            <w:shd w:val="clear" w:color="auto" w:fill="auto"/>
            <w:vAlign w:val="top"/>
          </w:tcPr>
          <w:p w14:paraId="0A85B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10.826</w:t>
            </w:r>
          </w:p>
        </w:tc>
        <w:tc>
          <w:tcPr>
            <w:tcW w:w="626" w:type="pct"/>
            <w:shd w:val="clear" w:color="auto" w:fill="auto"/>
            <w:vAlign w:val="top"/>
          </w:tcPr>
          <w:p w14:paraId="30CE88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18.021</w:t>
            </w:r>
          </w:p>
        </w:tc>
      </w:tr>
      <w:tr w14:paraId="166A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530146E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4" w:type="pct"/>
            <w:shd w:val="clear" w:color="auto" w:fill="auto"/>
            <w:vAlign w:val="top"/>
          </w:tcPr>
          <w:p w14:paraId="325F5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16.597</w:t>
            </w:r>
          </w:p>
        </w:tc>
        <w:tc>
          <w:tcPr>
            <w:tcW w:w="625" w:type="pct"/>
            <w:shd w:val="clear" w:color="auto" w:fill="auto"/>
            <w:vAlign w:val="top"/>
          </w:tcPr>
          <w:p w14:paraId="192E8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9.735</w:t>
            </w:r>
          </w:p>
        </w:tc>
        <w:tc>
          <w:tcPr>
            <w:tcW w:w="625" w:type="pct"/>
            <w:shd w:val="clear" w:color="auto" w:fill="auto"/>
            <w:vAlign w:val="top"/>
          </w:tcPr>
          <w:p w14:paraId="723C7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19.241</w:t>
            </w:r>
          </w:p>
        </w:tc>
        <w:tc>
          <w:tcPr>
            <w:tcW w:w="625" w:type="pct"/>
            <w:vAlign w:val="center"/>
          </w:tcPr>
          <w:p w14:paraId="455630B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11</w:t>
            </w:r>
          </w:p>
        </w:tc>
        <w:tc>
          <w:tcPr>
            <w:tcW w:w="625" w:type="pct"/>
            <w:shd w:val="clear" w:color="auto" w:fill="auto"/>
            <w:vAlign w:val="top"/>
          </w:tcPr>
          <w:p w14:paraId="0EC53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15.36</w:t>
            </w:r>
          </w:p>
        </w:tc>
        <w:tc>
          <w:tcPr>
            <w:tcW w:w="625" w:type="pct"/>
            <w:shd w:val="clear" w:color="auto" w:fill="auto"/>
            <w:vAlign w:val="top"/>
          </w:tcPr>
          <w:p w14:paraId="61D8B2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10.445</w:t>
            </w:r>
          </w:p>
        </w:tc>
        <w:tc>
          <w:tcPr>
            <w:tcW w:w="626" w:type="pct"/>
            <w:shd w:val="clear" w:color="auto" w:fill="auto"/>
            <w:vAlign w:val="top"/>
          </w:tcPr>
          <w:p w14:paraId="61605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18.575</w:t>
            </w:r>
          </w:p>
        </w:tc>
      </w:tr>
      <w:tr w14:paraId="6B87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3DEB57D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4" w:type="pct"/>
            <w:shd w:val="clear" w:color="auto" w:fill="auto"/>
            <w:vAlign w:val="top"/>
          </w:tcPr>
          <w:p w14:paraId="4C997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17.5</w:t>
            </w:r>
            <w:r>
              <w:rPr>
                <w:rFonts w:hint="eastAsia" w:ascii="Times New Roman" w:hAnsi="Times New Roman" w:eastAsia="宋体" w:cs="Times New Roman"/>
                <w:i w:val="0"/>
                <w:iCs w:val="0"/>
                <w:color w:val="auto"/>
                <w:kern w:val="0"/>
                <w:sz w:val="21"/>
                <w:szCs w:val="21"/>
                <w:u w:val="none"/>
                <w:lang w:val="en-US" w:eastAsia="zh-CN" w:bidi="ar"/>
              </w:rPr>
              <w:t>00</w:t>
            </w:r>
          </w:p>
        </w:tc>
        <w:tc>
          <w:tcPr>
            <w:tcW w:w="625" w:type="pct"/>
            <w:shd w:val="clear" w:color="auto" w:fill="auto"/>
            <w:vAlign w:val="top"/>
          </w:tcPr>
          <w:p w14:paraId="3C120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9.012</w:t>
            </w:r>
          </w:p>
        </w:tc>
        <w:tc>
          <w:tcPr>
            <w:tcW w:w="625" w:type="pct"/>
            <w:shd w:val="clear" w:color="auto" w:fill="auto"/>
            <w:vAlign w:val="top"/>
          </w:tcPr>
          <w:p w14:paraId="004A1D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19.684</w:t>
            </w:r>
          </w:p>
        </w:tc>
        <w:tc>
          <w:tcPr>
            <w:tcW w:w="625" w:type="pct"/>
            <w:vAlign w:val="center"/>
          </w:tcPr>
          <w:p w14:paraId="65DE4A3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10</w:t>
            </w:r>
          </w:p>
        </w:tc>
        <w:tc>
          <w:tcPr>
            <w:tcW w:w="625" w:type="pct"/>
            <w:shd w:val="clear" w:color="auto" w:fill="auto"/>
            <w:vAlign w:val="top"/>
          </w:tcPr>
          <w:p w14:paraId="12CEB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16.315</w:t>
            </w:r>
          </w:p>
        </w:tc>
        <w:tc>
          <w:tcPr>
            <w:tcW w:w="625" w:type="pct"/>
            <w:shd w:val="clear" w:color="auto" w:fill="auto"/>
            <w:vAlign w:val="top"/>
          </w:tcPr>
          <w:p w14:paraId="3A4F4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9.922</w:t>
            </w:r>
          </w:p>
        </w:tc>
        <w:tc>
          <w:tcPr>
            <w:tcW w:w="626" w:type="pct"/>
            <w:shd w:val="clear" w:color="auto" w:fill="auto"/>
            <w:vAlign w:val="top"/>
          </w:tcPr>
          <w:p w14:paraId="4B0128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19.095</w:t>
            </w:r>
          </w:p>
        </w:tc>
      </w:tr>
      <w:tr w14:paraId="0B92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DCDD0D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4" w:type="pct"/>
            <w:shd w:val="clear" w:color="auto" w:fill="auto"/>
            <w:vAlign w:val="top"/>
          </w:tcPr>
          <w:p w14:paraId="3656A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18.315</w:t>
            </w:r>
          </w:p>
        </w:tc>
        <w:tc>
          <w:tcPr>
            <w:tcW w:w="625" w:type="pct"/>
            <w:shd w:val="clear" w:color="auto" w:fill="auto"/>
            <w:vAlign w:val="top"/>
          </w:tcPr>
          <w:p w14:paraId="0C46F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8.143</w:t>
            </w:r>
          </w:p>
        </w:tc>
        <w:tc>
          <w:tcPr>
            <w:tcW w:w="625" w:type="pct"/>
            <w:shd w:val="clear" w:color="auto" w:fill="auto"/>
            <w:vAlign w:val="top"/>
          </w:tcPr>
          <w:p w14:paraId="5A21C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20.044</w:t>
            </w:r>
          </w:p>
        </w:tc>
        <w:tc>
          <w:tcPr>
            <w:tcW w:w="625" w:type="pct"/>
            <w:vAlign w:val="center"/>
          </w:tcPr>
          <w:p w14:paraId="62A8C530">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9</w:t>
            </w:r>
          </w:p>
        </w:tc>
        <w:tc>
          <w:tcPr>
            <w:tcW w:w="625" w:type="pct"/>
            <w:shd w:val="clear" w:color="auto" w:fill="auto"/>
            <w:vAlign w:val="top"/>
          </w:tcPr>
          <w:p w14:paraId="185777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17.237</w:t>
            </w:r>
          </w:p>
        </w:tc>
        <w:tc>
          <w:tcPr>
            <w:tcW w:w="625" w:type="pct"/>
            <w:shd w:val="clear" w:color="auto" w:fill="auto"/>
            <w:vAlign w:val="top"/>
          </w:tcPr>
          <w:p w14:paraId="382912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9.245</w:t>
            </w:r>
          </w:p>
        </w:tc>
        <w:tc>
          <w:tcPr>
            <w:tcW w:w="626" w:type="pct"/>
            <w:shd w:val="clear" w:color="auto" w:fill="auto"/>
            <w:vAlign w:val="top"/>
          </w:tcPr>
          <w:p w14:paraId="2A3B9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19.559</w:t>
            </w:r>
          </w:p>
        </w:tc>
      </w:tr>
      <w:tr w14:paraId="1DFE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E3D3DA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4" w:type="pct"/>
            <w:shd w:val="clear" w:color="auto" w:fill="auto"/>
            <w:vAlign w:val="top"/>
          </w:tcPr>
          <w:p w14:paraId="4EC73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19.002</w:t>
            </w:r>
          </w:p>
        </w:tc>
        <w:tc>
          <w:tcPr>
            <w:tcW w:w="625" w:type="pct"/>
            <w:shd w:val="clear" w:color="auto" w:fill="auto"/>
            <w:vAlign w:val="top"/>
          </w:tcPr>
          <w:p w14:paraId="4B777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7.155</w:t>
            </w:r>
          </w:p>
        </w:tc>
        <w:tc>
          <w:tcPr>
            <w:tcW w:w="625" w:type="pct"/>
            <w:shd w:val="clear" w:color="auto" w:fill="auto"/>
            <w:vAlign w:val="top"/>
          </w:tcPr>
          <w:p w14:paraId="452D8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20.304</w:t>
            </w:r>
          </w:p>
        </w:tc>
        <w:tc>
          <w:tcPr>
            <w:tcW w:w="625" w:type="pct"/>
            <w:vAlign w:val="center"/>
          </w:tcPr>
          <w:p w14:paraId="7B41FEEC">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8</w:t>
            </w:r>
          </w:p>
        </w:tc>
        <w:tc>
          <w:tcPr>
            <w:tcW w:w="625" w:type="pct"/>
            <w:shd w:val="clear" w:color="auto" w:fill="auto"/>
            <w:vAlign w:val="top"/>
          </w:tcPr>
          <w:p w14:paraId="619F9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18.083</w:t>
            </w:r>
          </w:p>
        </w:tc>
        <w:tc>
          <w:tcPr>
            <w:tcW w:w="625" w:type="pct"/>
            <w:shd w:val="clear" w:color="auto" w:fill="auto"/>
            <w:vAlign w:val="top"/>
          </w:tcPr>
          <w:p w14:paraId="540D3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8.418</w:t>
            </w:r>
          </w:p>
        </w:tc>
        <w:tc>
          <w:tcPr>
            <w:tcW w:w="626" w:type="pct"/>
            <w:shd w:val="clear" w:color="auto" w:fill="auto"/>
            <w:vAlign w:val="top"/>
          </w:tcPr>
          <w:p w14:paraId="05F31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19.946</w:t>
            </w:r>
          </w:p>
        </w:tc>
      </w:tr>
      <w:tr w14:paraId="166D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06CE8FF">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4" w:type="pct"/>
            <w:shd w:val="clear" w:color="auto" w:fill="auto"/>
            <w:vAlign w:val="top"/>
          </w:tcPr>
          <w:p w14:paraId="3159C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19.532</w:t>
            </w:r>
          </w:p>
        </w:tc>
        <w:tc>
          <w:tcPr>
            <w:tcW w:w="625" w:type="pct"/>
            <w:shd w:val="clear" w:color="auto" w:fill="auto"/>
            <w:vAlign w:val="top"/>
          </w:tcPr>
          <w:p w14:paraId="06904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6.089</w:t>
            </w:r>
          </w:p>
        </w:tc>
        <w:tc>
          <w:tcPr>
            <w:tcW w:w="625" w:type="pct"/>
            <w:shd w:val="clear" w:color="auto" w:fill="auto"/>
            <w:vAlign w:val="top"/>
          </w:tcPr>
          <w:p w14:paraId="19DA6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20.459</w:t>
            </w:r>
          </w:p>
        </w:tc>
        <w:tc>
          <w:tcPr>
            <w:tcW w:w="625" w:type="pct"/>
            <w:vAlign w:val="center"/>
          </w:tcPr>
          <w:p w14:paraId="69796A23">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7</w:t>
            </w:r>
          </w:p>
        </w:tc>
        <w:tc>
          <w:tcPr>
            <w:tcW w:w="625" w:type="pct"/>
            <w:shd w:val="clear" w:color="auto" w:fill="auto"/>
            <w:vAlign w:val="top"/>
          </w:tcPr>
          <w:p w14:paraId="55E88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18.811</w:t>
            </w:r>
          </w:p>
        </w:tc>
        <w:tc>
          <w:tcPr>
            <w:tcW w:w="625" w:type="pct"/>
            <w:shd w:val="clear" w:color="auto" w:fill="auto"/>
            <w:vAlign w:val="top"/>
          </w:tcPr>
          <w:p w14:paraId="6E42F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7.462</w:t>
            </w:r>
          </w:p>
        </w:tc>
        <w:tc>
          <w:tcPr>
            <w:tcW w:w="626" w:type="pct"/>
            <w:shd w:val="clear" w:color="auto" w:fill="auto"/>
            <w:vAlign w:val="top"/>
          </w:tcPr>
          <w:p w14:paraId="14F75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20.237</w:t>
            </w:r>
          </w:p>
        </w:tc>
      </w:tr>
      <w:tr w14:paraId="3F47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F57FAED">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4" w:type="pct"/>
            <w:shd w:val="clear" w:color="auto" w:fill="auto"/>
            <w:vAlign w:val="top"/>
          </w:tcPr>
          <w:p w14:paraId="3040A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19.897</w:t>
            </w:r>
          </w:p>
        </w:tc>
        <w:tc>
          <w:tcPr>
            <w:tcW w:w="625" w:type="pct"/>
            <w:shd w:val="clear" w:color="auto" w:fill="auto"/>
            <w:vAlign w:val="top"/>
          </w:tcPr>
          <w:p w14:paraId="20205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4.996</w:t>
            </w:r>
          </w:p>
        </w:tc>
        <w:tc>
          <w:tcPr>
            <w:tcW w:w="625" w:type="pct"/>
            <w:shd w:val="clear" w:color="auto" w:fill="auto"/>
            <w:vAlign w:val="top"/>
          </w:tcPr>
          <w:p w14:paraId="2BE3F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20.515</w:t>
            </w:r>
          </w:p>
        </w:tc>
        <w:tc>
          <w:tcPr>
            <w:tcW w:w="625" w:type="pct"/>
            <w:vAlign w:val="center"/>
          </w:tcPr>
          <w:p w14:paraId="2EF8078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6</w:t>
            </w:r>
          </w:p>
        </w:tc>
        <w:tc>
          <w:tcPr>
            <w:tcW w:w="625" w:type="pct"/>
            <w:shd w:val="clear" w:color="auto" w:fill="auto"/>
            <w:vAlign w:val="top"/>
          </w:tcPr>
          <w:p w14:paraId="6DD99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19.39</w:t>
            </w:r>
          </w:p>
        </w:tc>
        <w:tc>
          <w:tcPr>
            <w:tcW w:w="625" w:type="pct"/>
            <w:shd w:val="clear" w:color="auto" w:fill="auto"/>
            <w:vAlign w:val="top"/>
          </w:tcPr>
          <w:p w14:paraId="6C3BA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6.414</w:t>
            </w:r>
          </w:p>
        </w:tc>
        <w:tc>
          <w:tcPr>
            <w:tcW w:w="626" w:type="pct"/>
            <w:shd w:val="clear" w:color="auto" w:fill="auto"/>
            <w:vAlign w:val="top"/>
          </w:tcPr>
          <w:p w14:paraId="73B0A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20.424</w:t>
            </w:r>
          </w:p>
        </w:tc>
      </w:tr>
      <w:tr w14:paraId="3653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19566A2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4" w:type="pct"/>
            <w:shd w:val="clear" w:color="auto" w:fill="auto"/>
            <w:vAlign w:val="top"/>
          </w:tcPr>
          <w:p w14:paraId="49E7D0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20.112</w:t>
            </w:r>
          </w:p>
        </w:tc>
        <w:tc>
          <w:tcPr>
            <w:tcW w:w="625" w:type="pct"/>
            <w:shd w:val="clear" w:color="auto" w:fill="auto"/>
            <w:vAlign w:val="top"/>
          </w:tcPr>
          <w:p w14:paraId="375BA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3.925</w:t>
            </w:r>
          </w:p>
        </w:tc>
        <w:tc>
          <w:tcPr>
            <w:tcW w:w="625" w:type="pct"/>
            <w:shd w:val="clear" w:color="auto" w:fill="auto"/>
            <w:vAlign w:val="top"/>
          </w:tcPr>
          <w:p w14:paraId="3E0EE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20.491</w:t>
            </w:r>
          </w:p>
        </w:tc>
        <w:tc>
          <w:tcPr>
            <w:tcW w:w="625" w:type="pct"/>
            <w:vAlign w:val="center"/>
          </w:tcPr>
          <w:p w14:paraId="63470F2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5</w:t>
            </w:r>
          </w:p>
        </w:tc>
        <w:tc>
          <w:tcPr>
            <w:tcW w:w="625" w:type="pct"/>
            <w:shd w:val="clear" w:color="auto" w:fill="auto"/>
            <w:vAlign w:val="top"/>
          </w:tcPr>
          <w:p w14:paraId="01CFC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19.805</w:t>
            </w:r>
          </w:p>
        </w:tc>
        <w:tc>
          <w:tcPr>
            <w:tcW w:w="625" w:type="pct"/>
            <w:shd w:val="clear" w:color="auto" w:fill="auto"/>
            <w:vAlign w:val="top"/>
          </w:tcPr>
          <w:p w14:paraId="01A606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5.324</w:t>
            </w:r>
          </w:p>
        </w:tc>
        <w:tc>
          <w:tcPr>
            <w:tcW w:w="626" w:type="pct"/>
            <w:shd w:val="clear" w:color="auto" w:fill="auto"/>
            <w:vAlign w:val="top"/>
          </w:tcPr>
          <w:p w14:paraId="7FCAB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20.508</w:t>
            </w:r>
          </w:p>
        </w:tc>
      </w:tr>
      <w:tr w14:paraId="5706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4F97C44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4" w:type="pct"/>
            <w:shd w:val="clear" w:color="auto" w:fill="auto"/>
            <w:vAlign w:val="top"/>
          </w:tcPr>
          <w:p w14:paraId="0C3B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20.209</w:t>
            </w:r>
          </w:p>
        </w:tc>
        <w:tc>
          <w:tcPr>
            <w:tcW w:w="625" w:type="pct"/>
            <w:shd w:val="clear" w:color="auto" w:fill="auto"/>
            <w:vAlign w:val="top"/>
          </w:tcPr>
          <w:p w14:paraId="11B4D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2.913</w:t>
            </w:r>
          </w:p>
        </w:tc>
        <w:tc>
          <w:tcPr>
            <w:tcW w:w="625" w:type="pct"/>
            <w:shd w:val="clear" w:color="auto" w:fill="auto"/>
            <w:vAlign w:val="top"/>
          </w:tcPr>
          <w:p w14:paraId="2C21C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20.418</w:t>
            </w:r>
          </w:p>
        </w:tc>
        <w:tc>
          <w:tcPr>
            <w:tcW w:w="625" w:type="pct"/>
            <w:vAlign w:val="center"/>
          </w:tcPr>
          <w:p w14:paraId="49EAD83A">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4</w:t>
            </w:r>
          </w:p>
        </w:tc>
        <w:tc>
          <w:tcPr>
            <w:tcW w:w="625" w:type="pct"/>
            <w:shd w:val="clear" w:color="auto" w:fill="auto"/>
            <w:vAlign w:val="top"/>
          </w:tcPr>
          <w:p w14:paraId="6F234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20.062</w:t>
            </w:r>
          </w:p>
        </w:tc>
        <w:tc>
          <w:tcPr>
            <w:tcW w:w="625" w:type="pct"/>
            <w:shd w:val="clear" w:color="auto" w:fill="auto"/>
            <w:vAlign w:val="top"/>
          </w:tcPr>
          <w:p w14:paraId="21C54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4.242</w:t>
            </w:r>
          </w:p>
        </w:tc>
        <w:tc>
          <w:tcPr>
            <w:tcW w:w="626" w:type="pct"/>
            <w:shd w:val="clear" w:color="auto" w:fill="auto"/>
            <w:vAlign w:val="top"/>
          </w:tcPr>
          <w:p w14:paraId="106507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20.505</w:t>
            </w:r>
          </w:p>
        </w:tc>
      </w:tr>
      <w:tr w14:paraId="32A8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0548AC7E">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4" w:type="pct"/>
            <w:shd w:val="clear" w:color="auto" w:fill="auto"/>
            <w:vAlign w:val="top"/>
          </w:tcPr>
          <w:p w14:paraId="6536B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20.231</w:t>
            </w:r>
          </w:p>
        </w:tc>
        <w:tc>
          <w:tcPr>
            <w:tcW w:w="625" w:type="pct"/>
            <w:shd w:val="clear" w:color="auto" w:fill="auto"/>
            <w:vAlign w:val="top"/>
          </w:tcPr>
          <w:p w14:paraId="0C849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1.975</w:t>
            </w:r>
          </w:p>
        </w:tc>
        <w:tc>
          <w:tcPr>
            <w:tcW w:w="625" w:type="pct"/>
            <w:shd w:val="clear" w:color="auto" w:fill="auto"/>
            <w:vAlign w:val="top"/>
          </w:tcPr>
          <w:p w14:paraId="11383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20.327</w:t>
            </w:r>
          </w:p>
        </w:tc>
        <w:tc>
          <w:tcPr>
            <w:tcW w:w="625" w:type="pct"/>
            <w:vAlign w:val="center"/>
          </w:tcPr>
          <w:p w14:paraId="63663CC1">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3</w:t>
            </w:r>
          </w:p>
        </w:tc>
        <w:tc>
          <w:tcPr>
            <w:tcW w:w="625" w:type="pct"/>
            <w:shd w:val="clear" w:color="auto" w:fill="auto"/>
            <w:vAlign w:val="top"/>
          </w:tcPr>
          <w:p w14:paraId="57224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20.19</w:t>
            </w:r>
          </w:p>
        </w:tc>
        <w:tc>
          <w:tcPr>
            <w:tcW w:w="625" w:type="pct"/>
            <w:shd w:val="clear" w:color="auto" w:fill="auto"/>
            <w:vAlign w:val="top"/>
          </w:tcPr>
          <w:p w14:paraId="35BCB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3.209</w:t>
            </w:r>
          </w:p>
        </w:tc>
        <w:tc>
          <w:tcPr>
            <w:tcW w:w="626" w:type="pct"/>
            <w:shd w:val="clear" w:color="auto" w:fill="auto"/>
            <w:vAlign w:val="top"/>
          </w:tcPr>
          <w:p w14:paraId="7E20F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20.443</w:t>
            </w:r>
          </w:p>
        </w:tc>
      </w:tr>
      <w:tr w14:paraId="149E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6FE7DA75">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4" w:type="pct"/>
            <w:shd w:val="clear" w:color="auto" w:fill="auto"/>
            <w:vAlign w:val="top"/>
          </w:tcPr>
          <w:p w14:paraId="6593BB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shd w:val="clear" w:color="auto" w:fill="auto"/>
            <w:vAlign w:val="top"/>
          </w:tcPr>
          <w:p w14:paraId="7DDB9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1.106</w:t>
            </w:r>
          </w:p>
        </w:tc>
        <w:tc>
          <w:tcPr>
            <w:tcW w:w="625" w:type="pct"/>
            <w:shd w:val="clear" w:color="auto" w:fill="auto"/>
            <w:vAlign w:val="top"/>
          </w:tcPr>
          <w:p w14:paraId="2A539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20.25</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1A2E8288">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2</w:t>
            </w:r>
          </w:p>
        </w:tc>
        <w:tc>
          <w:tcPr>
            <w:tcW w:w="625" w:type="pct"/>
            <w:shd w:val="clear" w:color="auto" w:fill="auto"/>
            <w:vAlign w:val="top"/>
          </w:tcPr>
          <w:p w14:paraId="6923E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20.229</w:t>
            </w:r>
          </w:p>
        </w:tc>
        <w:tc>
          <w:tcPr>
            <w:tcW w:w="625" w:type="pct"/>
            <w:shd w:val="clear" w:color="auto" w:fill="auto"/>
            <w:vAlign w:val="top"/>
          </w:tcPr>
          <w:p w14:paraId="0F706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2.248</w:t>
            </w:r>
          </w:p>
        </w:tc>
        <w:tc>
          <w:tcPr>
            <w:tcW w:w="626" w:type="pct"/>
            <w:shd w:val="clear" w:color="auto" w:fill="auto"/>
            <w:vAlign w:val="top"/>
          </w:tcPr>
          <w:p w14:paraId="232BAD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20.354</w:t>
            </w:r>
          </w:p>
        </w:tc>
      </w:tr>
      <w:tr w14:paraId="773A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26B8D27">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4" w:type="pct"/>
            <w:shd w:val="clear" w:color="auto" w:fill="auto"/>
            <w:vAlign w:val="top"/>
          </w:tcPr>
          <w:p w14:paraId="3C8F0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20.208</w:t>
            </w:r>
          </w:p>
        </w:tc>
        <w:tc>
          <w:tcPr>
            <w:tcW w:w="625" w:type="pct"/>
            <w:shd w:val="clear" w:color="auto" w:fill="auto"/>
            <w:vAlign w:val="top"/>
          </w:tcPr>
          <w:p w14:paraId="52614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0.283</w:t>
            </w:r>
          </w:p>
        </w:tc>
        <w:tc>
          <w:tcPr>
            <w:tcW w:w="625" w:type="pct"/>
            <w:shd w:val="clear" w:color="auto" w:fill="auto"/>
            <w:vAlign w:val="top"/>
          </w:tcPr>
          <w:p w14:paraId="34E29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20.21</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vAlign w:val="center"/>
          </w:tcPr>
          <w:p w14:paraId="7DB79B4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1</w:t>
            </w:r>
          </w:p>
        </w:tc>
        <w:tc>
          <w:tcPr>
            <w:tcW w:w="625" w:type="pct"/>
            <w:shd w:val="clear" w:color="auto" w:fill="auto"/>
            <w:vAlign w:val="top"/>
          </w:tcPr>
          <w:p w14:paraId="0B430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20.225</w:t>
            </w:r>
          </w:p>
        </w:tc>
        <w:tc>
          <w:tcPr>
            <w:tcW w:w="625" w:type="pct"/>
            <w:shd w:val="clear" w:color="auto" w:fill="auto"/>
            <w:vAlign w:val="top"/>
          </w:tcPr>
          <w:p w14:paraId="627B3B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1.36</w:t>
            </w:r>
            <w:r>
              <w:rPr>
                <w:rFonts w:hint="eastAsia" w:ascii="Times New Roman" w:hAnsi="Times New Roman" w:eastAsia="宋体" w:cs="Times New Roman"/>
                <w:i w:val="0"/>
                <w:iCs w:val="0"/>
                <w:color w:val="auto"/>
                <w:kern w:val="0"/>
                <w:sz w:val="21"/>
                <w:szCs w:val="21"/>
                <w:u w:val="none"/>
                <w:lang w:val="en-US" w:eastAsia="zh-CN" w:bidi="ar"/>
              </w:rPr>
              <w:t>0</w:t>
            </w:r>
          </w:p>
        </w:tc>
        <w:tc>
          <w:tcPr>
            <w:tcW w:w="626" w:type="pct"/>
            <w:shd w:val="clear" w:color="auto" w:fill="auto"/>
            <w:vAlign w:val="top"/>
          </w:tcPr>
          <w:p w14:paraId="631E6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20.27</w:t>
            </w:r>
            <w:r>
              <w:rPr>
                <w:rFonts w:hint="eastAsia" w:ascii="Times New Roman" w:hAnsi="Times New Roman" w:eastAsia="宋体" w:cs="Times New Roman"/>
                <w:i w:val="0"/>
                <w:iCs w:val="0"/>
                <w:color w:val="auto"/>
                <w:kern w:val="0"/>
                <w:sz w:val="21"/>
                <w:szCs w:val="21"/>
                <w:u w:val="none"/>
                <w:lang w:val="en-US" w:eastAsia="zh-CN" w:bidi="ar"/>
              </w:rPr>
              <w:t>0</w:t>
            </w:r>
          </w:p>
        </w:tc>
      </w:tr>
      <w:tr w14:paraId="4B89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0" w:type="pct"/>
            <w:vAlign w:val="center"/>
          </w:tcPr>
          <w:p w14:paraId="78199B22">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4" w:type="pct"/>
            <w:shd w:val="clear" w:color="auto" w:fill="auto"/>
            <w:vAlign w:val="top"/>
          </w:tcPr>
          <w:p w14:paraId="38DB7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20.21</w:t>
            </w:r>
            <w:r>
              <w:rPr>
                <w:rFonts w:hint="eastAsia" w:ascii="Times New Roman" w:hAnsi="Times New Roman" w:eastAsia="宋体" w:cs="Times New Roman"/>
                <w:i w:val="0"/>
                <w:iCs w:val="0"/>
                <w:color w:val="auto"/>
                <w:kern w:val="0"/>
                <w:sz w:val="21"/>
                <w:szCs w:val="21"/>
                <w:u w:val="none"/>
                <w:lang w:val="en-US" w:eastAsia="zh-CN" w:bidi="ar"/>
              </w:rPr>
              <w:t>0</w:t>
            </w:r>
          </w:p>
        </w:tc>
        <w:tc>
          <w:tcPr>
            <w:tcW w:w="625" w:type="pct"/>
            <w:shd w:val="clear" w:color="auto" w:fill="auto"/>
            <w:vAlign w:val="top"/>
          </w:tcPr>
          <w:p w14:paraId="05E8B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0.527</w:t>
            </w:r>
          </w:p>
        </w:tc>
        <w:tc>
          <w:tcPr>
            <w:tcW w:w="625" w:type="pct"/>
            <w:shd w:val="clear" w:color="auto" w:fill="auto"/>
            <w:vAlign w:val="top"/>
          </w:tcPr>
          <w:p w14:paraId="22A32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20.217</w:t>
            </w:r>
          </w:p>
        </w:tc>
        <w:tc>
          <w:tcPr>
            <w:tcW w:w="625" w:type="pct"/>
            <w:vAlign w:val="center"/>
          </w:tcPr>
          <w:p w14:paraId="52855D6B">
            <w:pPr>
              <w:widowControl/>
              <w:snapToGrid w:val="0"/>
              <w:spacing w:line="240" w:lineRule="auto"/>
              <w:ind w:firstLine="0" w:firstLineChars="0"/>
              <w:jc w:val="center"/>
              <w:rPr>
                <w:rFonts w:eastAsia="宋体" w:cs="Times New Roman"/>
                <w:color w:val="auto"/>
                <w:kern w:val="0"/>
                <w:sz w:val="21"/>
                <w:szCs w:val="21"/>
                <w:highlight w:val="none"/>
              </w:rPr>
            </w:pPr>
            <w:r>
              <w:rPr>
                <w:rFonts w:eastAsia="宋体" w:cs="Times New Roman"/>
                <w:color w:val="auto"/>
                <w:kern w:val="0"/>
                <w:sz w:val="21"/>
                <w:szCs w:val="21"/>
                <w:highlight w:val="none"/>
              </w:rPr>
              <w:t>0</w:t>
            </w:r>
          </w:p>
        </w:tc>
        <w:tc>
          <w:tcPr>
            <w:tcW w:w="625" w:type="pct"/>
            <w:shd w:val="clear" w:color="auto" w:fill="auto"/>
            <w:vAlign w:val="top"/>
          </w:tcPr>
          <w:p w14:paraId="587F42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20.21</w:t>
            </w:r>
          </w:p>
        </w:tc>
        <w:tc>
          <w:tcPr>
            <w:tcW w:w="625" w:type="pct"/>
            <w:shd w:val="clear" w:color="auto" w:fill="auto"/>
            <w:vAlign w:val="top"/>
          </w:tcPr>
          <w:p w14:paraId="030BB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0.527</w:t>
            </w:r>
          </w:p>
        </w:tc>
        <w:tc>
          <w:tcPr>
            <w:tcW w:w="626" w:type="pct"/>
            <w:shd w:val="clear" w:color="auto" w:fill="auto"/>
            <w:vAlign w:val="top"/>
          </w:tcPr>
          <w:p w14:paraId="31C71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20.217</w:t>
            </w:r>
          </w:p>
        </w:tc>
      </w:tr>
    </w:tbl>
    <w:p w14:paraId="1C824F65">
      <w:pPr>
        <w:tabs>
          <w:tab w:val="left" w:pos="700"/>
        </w:tabs>
        <w:spacing w:before="156" w:beforeLines="50" w:line="240" w:lineRule="auto"/>
        <w:ind w:firstLine="0" w:firstLineChars="0"/>
        <w:jc w:val="center"/>
        <w:rPr>
          <w:rFonts w:eastAsia="宋体" w:cs="Times New Roman"/>
          <w:b/>
          <w:color w:val="auto"/>
          <w:sz w:val="21"/>
          <w:szCs w:val="21"/>
          <w:highlight w:val="none"/>
        </w:rPr>
      </w:pPr>
      <w:r>
        <w:rPr>
          <w:color w:val="auto"/>
        </w:rPr>
        <w:drawing>
          <wp:inline distT="0" distB="0" distL="114300" distR="114300">
            <wp:extent cx="5269230" cy="3183255"/>
            <wp:effectExtent l="6350" t="6350" r="20320" b="10795"/>
            <wp:docPr id="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eastAsia="宋体" w:cs="Times New Roman"/>
          <w:b/>
          <w:color w:val="auto"/>
          <w:sz w:val="21"/>
          <w:szCs w:val="21"/>
          <w:highlight w:val="none"/>
        </w:rPr>
        <w:t>图5-</w:t>
      </w:r>
      <w:r>
        <w:rPr>
          <w:rFonts w:hint="eastAsia" w:eastAsia="宋体" w:cs="Times New Roman"/>
          <w:b/>
          <w:color w:val="auto"/>
          <w:sz w:val="21"/>
          <w:szCs w:val="21"/>
          <w:highlight w:val="none"/>
        </w:rPr>
        <w:t>6</w:t>
      </w:r>
      <w:r>
        <w:rPr>
          <w:rFonts w:eastAsia="宋体" w:cs="Times New Roman"/>
          <w:b/>
          <w:color w:val="auto"/>
          <w:sz w:val="21"/>
          <w:szCs w:val="21"/>
          <w:highlight w:val="none"/>
        </w:rPr>
        <w:t xml:space="preserve">  </w:t>
      </w:r>
      <w:r>
        <w:rPr>
          <w:rFonts w:hint="eastAsia" w:eastAsia="宋体" w:cs="Times New Roman"/>
          <w:b/>
          <w:color w:val="auto"/>
          <w:sz w:val="21"/>
          <w:szCs w:val="21"/>
          <w:highlight w:val="none"/>
        </w:rPr>
        <w:t>双回路塔型</w:t>
      </w:r>
      <w:r>
        <w:rPr>
          <w:rFonts w:eastAsia="宋体" w:cs="Times New Roman"/>
          <w:b/>
          <w:color w:val="auto"/>
          <w:sz w:val="21"/>
          <w:szCs w:val="21"/>
          <w:highlight w:val="none"/>
        </w:rPr>
        <w:t>工频磁感应强度的总体分布情况</w:t>
      </w:r>
    </w:p>
    <w:p w14:paraId="661769FF">
      <w:pPr>
        <w:ind w:firstLine="480"/>
        <w:rPr>
          <w:rFonts w:eastAsia="宋体" w:cs="Times New Roman"/>
          <w:color w:val="auto"/>
          <w:highlight w:val="none"/>
        </w:rPr>
      </w:pPr>
      <w:r>
        <w:rPr>
          <w:rFonts w:eastAsia="宋体" w:cs="Times New Roman"/>
          <w:color w:val="auto"/>
          <w:highlight w:val="none"/>
        </w:rPr>
        <w:t>由表5-</w:t>
      </w:r>
      <w:r>
        <w:rPr>
          <w:rFonts w:hint="eastAsia" w:eastAsia="宋体" w:cs="Times New Roman"/>
          <w:color w:val="auto"/>
          <w:highlight w:val="none"/>
        </w:rPr>
        <w:t>4~表5-5</w:t>
      </w:r>
      <w:r>
        <w:rPr>
          <w:rFonts w:eastAsia="宋体" w:cs="Times New Roman"/>
          <w:color w:val="auto"/>
          <w:highlight w:val="none"/>
        </w:rPr>
        <w:t>及图5-</w:t>
      </w:r>
      <w:r>
        <w:rPr>
          <w:rFonts w:hint="eastAsia" w:eastAsia="宋体" w:cs="Times New Roman"/>
          <w:color w:val="auto"/>
          <w:highlight w:val="none"/>
        </w:rPr>
        <w:t>5~图5-6</w:t>
      </w:r>
      <w:r>
        <w:rPr>
          <w:rFonts w:eastAsia="宋体" w:cs="Times New Roman"/>
          <w:color w:val="auto"/>
          <w:highlight w:val="none"/>
        </w:rPr>
        <w:t>可以看出，</w:t>
      </w:r>
      <w:r>
        <w:rPr>
          <w:rFonts w:hint="eastAsia" w:eastAsia="宋体" w:cs="Times New Roman"/>
          <w:color w:val="auto"/>
          <w:highlight w:val="none"/>
        </w:rPr>
        <w:t>设计最低弧垂</w:t>
      </w:r>
      <w:r>
        <w:rPr>
          <w:rFonts w:hint="eastAsia" w:eastAsia="宋体" w:cs="Times New Roman"/>
          <w:color w:val="auto"/>
          <w:highlight w:val="none"/>
          <w:lang w:val="en-US" w:eastAsia="zh-CN"/>
        </w:rPr>
        <w:t>11.35</w:t>
      </w:r>
      <w:r>
        <w:rPr>
          <w:rFonts w:hint="eastAsia" w:eastAsia="宋体" w:cs="Times New Roman"/>
          <w:color w:val="auto"/>
          <w:highlight w:val="none"/>
        </w:rPr>
        <w:t>m架线高度时，</w:t>
      </w:r>
      <w:r>
        <w:rPr>
          <w:rFonts w:eastAsia="宋体" w:cs="Times New Roman"/>
          <w:color w:val="auto"/>
          <w:highlight w:val="none"/>
        </w:rPr>
        <w:t>工频磁感应强度综合量最大值出现在距线路中心线投影</w:t>
      </w:r>
      <w:r>
        <w:rPr>
          <w:rFonts w:hint="eastAsia" w:eastAsia="宋体" w:cs="Times New Roman"/>
          <w:color w:val="auto"/>
          <w:highlight w:val="none"/>
          <w:lang w:val="en-US" w:eastAsia="zh-CN"/>
        </w:rPr>
        <w:t>5</w:t>
      </w:r>
      <w:r>
        <w:rPr>
          <w:rFonts w:eastAsia="宋体" w:cs="Times New Roman"/>
          <w:color w:val="auto"/>
          <w:highlight w:val="none"/>
        </w:rPr>
        <w:t>m处，为</w:t>
      </w:r>
      <w:r>
        <w:rPr>
          <w:rFonts w:hint="eastAsia" w:eastAsia="宋体" w:cs="Times New Roman"/>
          <w:color w:val="auto"/>
          <w:highlight w:val="none"/>
          <w:lang w:val="en-US" w:eastAsia="zh-CN"/>
        </w:rPr>
        <w:t>20.508</w:t>
      </w:r>
      <w:r>
        <w:rPr>
          <w:rFonts w:eastAsia="宋体" w:cs="Times New Roman"/>
          <w:color w:val="auto"/>
          <w:highlight w:val="none"/>
        </w:rPr>
        <w:t>μT，之后随与此点距离的增加，其值逐步降低，所有点位的工频磁感应强度均符合</w:t>
      </w:r>
      <w:r>
        <w:rPr>
          <w:rFonts w:eastAsia="宋体" w:cs="Times New Roman"/>
          <w:color w:val="auto"/>
          <w:szCs w:val="24"/>
          <w:highlight w:val="none"/>
        </w:rPr>
        <w:t>《电磁环境控制限值》(GB8702-2014）中规定</w:t>
      </w:r>
      <w:r>
        <w:rPr>
          <w:rFonts w:eastAsia="宋体" w:cs="Times New Roman"/>
          <w:color w:val="auto"/>
          <w:highlight w:val="none"/>
        </w:rPr>
        <w:t>100μT的评价标准。</w:t>
      </w:r>
    </w:p>
    <w:p w14:paraId="4434D372">
      <w:pPr>
        <w:pStyle w:val="2"/>
        <w:tabs>
          <w:tab w:val="left" w:pos="2520"/>
        </w:tabs>
        <w:spacing w:line="360" w:lineRule="auto"/>
        <w:rPr>
          <w:rFonts w:ascii="Times New Roman" w:hAnsi="Times New Roman" w:eastAsia="宋体" w:cs="Times New Roman"/>
          <w:color w:val="auto"/>
          <w:sz w:val="24"/>
          <w:szCs w:val="24"/>
          <w:highlight w:val="none"/>
        </w:rPr>
      </w:pPr>
    </w:p>
    <w:p w14:paraId="55B7D741">
      <w:pPr>
        <w:pStyle w:val="2"/>
        <w:rPr>
          <w:color w:val="auto"/>
          <w:highlight w:val="none"/>
        </w:rPr>
      </w:pPr>
    </w:p>
    <w:p w14:paraId="129AB240">
      <w:pPr>
        <w:tabs>
          <w:tab w:val="left" w:pos="700"/>
        </w:tabs>
        <w:spacing w:line="312" w:lineRule="auto"/>
        <w:ind w:firstLine="480"/>
        <w:rPr>
          <w:rFonts w:eastAsia="宋体" w:cs="Times New Roman"/>
          <w:color w:val="auto"/>
          <w:szCs w:val="24"/>
          <w:highlight w:val="none"/>
        </w:rPr>
      </w:pPr>
    </w:p>
    <w:p w14:paraId="008992A7">
      <w:pPr>
        <w:ind w:firstLine="480"/>
        <w:rPr>
          <w:color w:val="auto"/>
          <w:highlight w:val="none"/>
        </w:rPr>
        <w:sectPr>
          <w:pgSz w:w="11906" w:h="16838"/>
          <w:pgMar w:top="1440" w:right="1800" w:bottom="1440" w:left="1800" w:header="851" w:footer="992" w:gutter="0"/>
          <w:cols w:space="425" w:num="1"/>
          <w:docGrid w:type="lines" w:linePitch="312" w:charSpace="0"/>
        </w:sectPr>
      </w:pPr>
    </w:p>
    <w:p w14:paraId="1ECA0C74">
      <w:pPr>
        <w:pStyle w:val="7"/>
        <w:rPr>
          <w:rFonts w:cs="Times New Roman"/>
          <w:color w:val="auto"/>
          <w:highlight w:val="none"/>
        </w:rPr>
      </w:pPr>
      <w:bookmarkStart w:id="34" w:name="_Toc24227"/>
      <w:r>
        <w:rPr>
          <w:rFonts w:cs="Times New Roman"/>
          <w:color w:val="auto"/>
          <w:highlight w:val="none"/>
        </w:rPr>
        <w:t>6 电磁环境保护措施</w:t>
      </w:r>
      <w:bookmarkEnd w:id="34"/>
    </w:p>
    <w:p w14:paraId="2EF28EE5">
      <w:pPr>
        <w:ind w:firstLine="480"/>
        <w:rPr>
          <w:rFonts w:eastAsia="宋体" w:cs="Times New Roman"/>
          <w:color w:val="auto"/>
          <w:szCs w:val="24"/>
          <w:highlight w:val="none"/>
        </w:rPr>
      </w:pPr>
      <w:r>
        <w:rPr>
          <w:rFonts w:hint="eastAsia" w:eastAsia="宋体" w:cs="Times New Roman"/>
          <w:color w:val="auto"/>
          <w:szCs w:val="24"/>
          <w:highlight w:val="none"/>
        </w:rPr>
        <w:t>1</w:t>
      </w:r>
      <w:r>
        <w:rPr>
          <w:rFonts w:eastAsia="宋体" w:cs="Times New Roman"/>
          <w:color w:val="auto"/>
          <w:szCs w:val="24"/>
          <w:highlight w:val="none"/>
        </w:rPr>
        <w:t>、加强运行期</w:t>
      </w:r>
      <w:r>
        <w:rPr>
          <w:rFonts w:hint="eastAsia" w:eastAsia="宋体" w:cs="Times New Roman"/>
          <w:color w:val="auto"/>
          <w:szCs w:val="24"/>
          <w:highlight w:val="none"/>
        </w:rPr>
        <w:t>输电线路</w:t>
      </w:r>
      <w:r>
        <w:rPr>
          <w:rFonts w:eastAsia="宋体" w:cs="Times New Roman"/>
          <w:color w:val="auto"/>
          <w:szCs w:val="24"/>
          <w:highlight w:val="none"/>
        </w:rPr>
        <w:t>运行维护检查，保证正常运行；</w:t>
      </w:r>
    </w:p>
    <w:p w14:paraId="18E6A67E">
      <w:pPr>
        <w:ind w:firstLine="480"/>
        <w:rPr>
          <w:rFonts w:eastAsia="宋体" w:cs="Times New Roman"/>
          <w:color w:val="auto"/>
          <w:szCs w:val="24"/>
          <w:highlight w:val="none"/>
        </w:rPr>
      </w:pPr>
      <w:r>
        <w:rPr>
          <w:rFonts w:hint="eastAsia" w:eastAsia="宋体" w:cs="Times New Roman"/>
          <w:color w:val="auto"/>
          <w:szCs w:val="24"/>
          <w:highlight w:val="none"/>
        </w:rPr>
        <w:t>2</w:t>
      </w:r>
      <w:r>
        <w:rPr>
          <w:rFonts w:eastAsia="宋体" w:cs="Times New Roman"/>
          <w:color w:val="auto"/>
          <w:szCs w:val="24"/>
          <w:highlight w:val="none"/>
        </w:rPr>
        <w:t>、开展运行期电磁环境监测和管理工作，切实减少对周围环境的电磁影响；</w:t>
      </w:r>
    </w:p>
    <w:p w14:paraId="13DB3B85">
      <w:pPr>
        <w:ind w:firstLine="480"/>
        <w:rPr>
          <w:rFonts w:eastAsia="宋体" w:cs="Times New Roman"/>
          <w:color w:val="auto"/>
          <w:szCs w:val="24"/>
          <w:highlight w:val="none"/>
        </w:rPr>
      </w:pPr>
      <w:r>
        <w:rPr>
          <w:rFonts w:hint="eastAsia" w:eastAsia="宋体" w:cs="Times New Roman"/>
          <w:color w:val="auto"/>
          <w:szCs w:val="24"/>
          <w:highlight w:val="none"/>
        </w:rPr>
        <w:t>3</w:t>
      </w:r>
      <w:r>
        <w:rPr>
          <w:rFonts w:eastAsia="宋体" w:cs="Times New Roman"/>
          <w:color w:val="auto"/>
          <w:szCs w:val="24"/>
          <w:highlight w:val="none"/>
        </w:rPr>
        <w:t>、建立健全环保管理机构，做好项目的环保竣工验收工作。</w:t>
      </w:r>
    </w:p>
    <w:p w14:paraId="0660DDB9">
      <w:pPr>
        <w:ind w:firstLine="480"/>
        <w:rPr>
          <w:rFonts w:cs="Times New Roman"/>
          <w:color w:val="auto"/>
          <w:highlight w:val="none"/>
        </w:rPr>
      </w:pPr>
      <w:bookmarkStart w:id="35" w:name="_Toc317"/>
      <w:r>
        <w:rPr>
          <w:rFonts w:cs="Times New Roman"/>
          <w:color w:val="auto"/>
          <w:highlight w:val="none"/>
        </w:rPr>
        <w:br w:type="page"/>
      </w:r>
    </w:p>
    <w:p w14:paraId="344B79EF">
      <w:pPr>
        <w:pStyle w:val="7"/>
        <w:rPr>
          <w:rFonts w:cs="Times New Roman"/>
          <w:color w:val="auto"/>
          <w:highlight w:val="none"/>
        </w:rPr>
      </w:pPr>
      <w:r>
        <w:rPr>
          <w:rFonts w:cs="Times New Roman"/>
          <w:color w:val="auto"/>
          <w:highlight w:val="none"/>
        </w:rPr>
        <w:t>7电磁环境管理与监测计划</w:t>
      </w:r>
      <w:bookmarkEnd w:id="35"/>
    </w:p>
    <w:p w14:paraId="69B81F78">
      <w:pPr>
        <w:ind w:firstLine="480"/>
        <w:rPr>
          <w:rFonts w:eastAsia="宋体" w:cs="Times New Roman"/>
          <w:color w:val="auto"/>
          <w:szCs w:val="24"/>
          <w:highlight w:val="none"/>
        </w:rPr>
      </w:pPr>
      <w:r>
        <w:rPr>
          <w:rFonts w:eastAsia="宋体" w:cs="Times New Roman"/>
          <w:color w:val="auto"/>
          <w:szCs w:val="24"/>
          <w:highlight w:val="none"/>
        </w:rPr>
        <w:t>1、环境管理</w:t>
      </w:r>
    </w:p>
    <w:p w14:paraId="5FA5C9D0">
      <w:pPr>
        <w:ind w:firstLine="480"/>
        <w:rPr>
          <w:rFonts w:eastAsia="宋体" w:cs="Times New Roman"/>
          <w:color w:val="auto"/>
          <w:szCs w:val="24"/>
          <w:highlight w:val="none"/>
        </w:rPr>
      </w:pPr>
      <w:r>
        <w:rPr>
          <w:rFonts w:eastAsia="宋体" w:cs="Times New Roman"/>
          <w:color w:val="auto"/>
          <w:szCs w:val="24"/>
          <w:highlight w:val="none"/>
        </w:rPr>
        <w:t>建设单位设置环境管理体制、管理机构和人员。加强施工期环境管理，及时组织竣工环境保护验收并加强运行期环境管理。开展环境保护培训。</w:t>
      </w:r>
    </w:p>
    <w:p w14:paraId="773979DB">
      <w:pPr>
        <w:ind w:firstLine="480"/>
        <w:rPr>
          <w:rFonts w:eastAsia="宋体" w:cs="Times New Roman"/>
          <w:color w:val="auto"/>
          <w:szCs w:val="24"/>
          <w:highlight w:val="none"/>
        </w:rPr>
      </w:pPr>
      <w:r>
        <w:rPr>
          <w:rFonts w:eastAsia="宋体" w:cs="Times New Roman"/>
          <w:color w:val="auto"/>
          <w:szCs w:val="24"/>
          <w:highlight w:val="none"/>
        </w:rPr>
        <w:t>严格环境保护法规、政策的执行，编制环境管理计划并落实环境保护措施的实施。</w:t>
      </w:r>
    </w:p>
    <w:p w14:paraId="27A8BEDC">
      <w:pPr>
        <w:ind w:firstLine="480"/>
        <w:rPr>
          <w:rFonts w:eastAsia="宋体" w:cs="Times New Roman"/>
          <w:color w:val="auto"/>
          <w:szCs w:val="24"/>
          <w:highlight w:val="none"/>
        </w:rPr>
      </w:pPr>
      <w:r>
        <w:rPr>
          <w:rFonts w:eastAsia="宋体" w:cs="Times New Roman"/>
          <w:color w:val="auto"/>
          <w:szCs w:val="24"/>
          <w:highlight w:val="none"/>
        </w:rPr>
        <w:t>①公司运维检修部负责运行期相关环境管理。</w:t>
      </w:r>
    </w:p>
    <w:p w14:paraId="4C94A6BF">
      <w:pPr>
        <w:ind w:firstLine="480"/>
        <w:rPr>
          <w:rFonts w:eastAsia="宋体" w:cs="Times New Roman"/>
          <w:color w:val="auto"/>
          <w:szCs w:val="24"/>
          <w:highlight w:val="none"/>
        </w:rPr>
      </w:pPr>
      <w:r>
        <w:rPr>
          <w:rFonts w:eastAsia="宋体" w:cs="Times New Roman"/>
          <w:color w:val="auto"/>
          <w:szCs w:val="24"/>
          <w:highlight w:val="none"/>
        </w:rPr>
        <w:t>②运行期做好环境保护设施的维护和运行管理，加强巡查和检查，保障发挥环境保护作用。</w:t>
      </w:r>
    </w:p>
    <w:p w14:paraId="0E80D624">
      <w:pPr>
        <w:ind w:firstLine="480"/>
        <w:rPr>
          <w:rFonts w:eastAsia="宋体" w:cs="Times New Roman"/>
          <w:color w:val="auto"/>
          <w:szCs w:val="24"/>
          <w:highlight w:val="none"/>
        </w:rPr>
      </w:pPr>
      <w:r>
        <w:rPr>
          <w:rFonts w:eastAsia="宋体" w:cs="Times New Roman"/>
          <w:color w:val="auto"/>
          <w:szCs w:val="24"/>
          <w:highlight w:val="none"/>
        </w:rPr>
        <w:t>2、培训管理</w:t>
      </w:r>
    </w:p>
    <w:p w14:paraId="2FB4F554">
      <w:pPr>
        <w:spacing w:line="360" w:lineRule="auto"/>
        <w:ind w:firstLine="480"/>
        <w:rPr>
          <w:rFonts w:eastAsia="宋体" w:cs="Times New Roman"/>
          <w:color w:val="auto"/>
          <w:szCs w:val="24"/>
          <w:highlight w:val="none"/>
        </w:rPr>
      </w:pPr>
      <w:r>
        <w:rPr>
          <w:rFonts w:eastAsia="宋体" w:cs="Times New Roman"/>
          <w:color w:val="auto"/>
          <w:szCs w:val="24"/>
          <w:highlight w:val="none"/>
        </w:rPr>
        <w:t>本项目运行期对与工程项目有关的人员，进行一次环境保护技术和政策方面的培训与宣传，培训内容主要为</w:t>
      </w:r>
      <w:r>
        <w:rPr>
          <w:rFonts w:eastAsia="宋体" w:cs="Times New Roman"/>
          <w:bCs/>
          <w:color w:val="auto"/>
          <w:szCs w:val="24"/>
          <w:highlight w:val="none"/>
        </w:rPr>
        <w:t>《中华人民共和国环境保护法</w:t>
      </w:r>
      <w:r>
        <w:rPr>
          <w:rFonts w:hint="eastAsia" w:eastAsia="宋体" w:cs="Times New Roman"/>
          <w:bCs/>
          <w:color w:val="auto"/>
          <w:szCs w:val="24"/>
          <w:highlight w:val="none"/>
        </w:rPr>
        <w:t>》、《</w:t>
      </w:r>
      <w:r>
        <w:rPr>
          <w:rFonts w:eastAsia="宋体" w:cs="Times New Roman"/>
          <w:bCs/>
          <w:color w:val="auto"/>
          <w:szCs w:val="24"/>
          <w:highlight w:val="none"/>
        </w:rPr>
        <w:t>中华人民共和国电力法</w:t>
      </w:r>
      <w:r>
        <w:rPr>
          <w:rFonts w:hint="eastAsia" w:eastAsia="宋体" w:cs="Times New Roman"/>
          <w:bCs/>
          <w:color w:val="auto"/>
          <w:szCs w:val="24"/>
          <w:highlight w:val="none"/>
        </w:rPr>
        <w:t>》《</w:t>
      </w:r>
      <w:r>
        <w:rPr>
          <w:rFonts w:eastAsia="宋体" w:cs="Times New Roman"/>
          <w:bCs/>
          <w:color w:val="auto"/>
          <w:szCs w:val="24"/>
          <w:highlight w:val="none"/>
        </w:rPr>
        <w:t>电力设施保护条例</w:t>
      </w:r>
      <w:r>
        <w:rPr>
          <w:rFonts w:hint="eastAsia" w:eastAsia="宋体" w:cs="Times New Roman"/>
          <w:bCs/>
          <w:color w:val="auto"/>
          <w:szCs w:val="24"/>
          <w:highlight w:val="none"/>
        </w:rPr>
        <w:t>》《</w:t>
      </w:r>
      <w:r>
        <w:rPr>
          <w:rFonts w:eastAsia="宋体" w:cs="Times New Roman"/>
          <w:bCs/>
          <w:color w:val="auto"/>
          <w:szCs w:val="24"/>
          <w:highlight w:val="none"/>
        </w:rPr>
        <w:t>电力设施保护条例实施细则</w:t>
      </w:r>
      <w:r>
        <w:rPr>
          <w:rFonts w:hint="eastAsia" w:eastAsia="宋体" w:cs="Times New Roman"/>
          <w:bCs/>
          <w:color w:val="auto"/>
          <w:szCs w:val="24"/>
          <w:highlight w:val="none"/>
        </w:rPr>
        <w:t>》《</w:t>
      </w:r>
      <w:r>
        <w:rPr>
          <w:rFonts w:eastAsia="宋体" w:cs="Times New Roman"/>
          <w:bCs/>
          <w:color w:val="auto"/>
          <w:szCs w:val="24"/>
          <w:highlight w:val="none"/>
        </w:rPr>
        <w:t>河北省电力条例</w:t>
      </w:r>
      <w:r>
        <w:rPr>
          <w:rFonts w:hint="eastAsia" w:eastAsia="宋体" w:cs="Times New Roman"/>
          <w:bCs/>
          <w:color w:val="auto"/>
          <w:szCs w:val="24"/>
          <w:highlight w:val="none"/>
        </w:rPr>
        <w:t>》《</w:t>
      </w:r>
      <w:r>
        <w:rPr>
          <w:rFonts w:eastAsia="宋体" w:cs="Times New Roman"/>
          <w:bCs/>
          <w:color w:val="auto"/>
          <w:szCs w:val="24"/>
          <w:highlight w:val="none"/>
        </w:rPr>
        <w:t>河北省辐射污染防治条例</w:t>
      </w:r>
      <w:r>
        <w:rPr>
          <w:rFonts w:hint="eastAsia" w:eastAsia="宋体" w:cs="Times New Roman"/>
          <w:bCs/>
          <w:color w:val="auto"/>
          <w:szCs w:val="24"/>
          <w:highlight w:val="none"/>
        </w:rPr>
        <w:t>》《</w:t>
      </w:r>
      <w:r>
        <w:rPr>
          <w:rFonts w:eastAsia="宋体" w:cs="Times New Roman"/>
          <w:bCs/>
          <w:color w:val="auto"/>
          <w:szCs w:val="24"/>
          <w:highlight w:val="none"/>
        </w:rPr>
        <w:t>电磁环境控制限值</w:t>
      </w:r>
      <w:r>
        <w:rPr>
          <w:rFonts w:hint="eastAsia" w:eastAsia="宋体" w:cs="Times New Roman"/>
          <w:bCs/>
          <w:color w:val="auto"/>
          <w:szCs w:val="24"/>
          <w:highlight w:val="none"/>
        </w:rPr>
        <w:t>》《</w:t>
      </w:r>
      <w:r>
        <w:rPr>
          <w:rFonts w:eastAsia="宋体" w:cs="Times New Roman"/>
          <w:bCs/>
          <w:color w:val="auto"/>
          <w:szCs w:val="24"/>
          <w:highlight w:val="none"/>
        </w:rPr>
        <w:t>输变电建设项目环境保护技术要求》等法律法规、规范标准等文件。</w:t>
      </w:r>
      <w:r>
        <w:rPr>
          <w:rFonts w:eastAsia="宋体" w:cs="Times New Roman"/>
          <w:color w:val="auto"/>
          <w:szCs w:val="24"/>
          <w:highlight w:val="none"/>
        </w:rPr>
        <w:t>从而进一步增强</w:t>
      </w:r>
      <w:r>
        <w:rPr>
          <w:rFonts w:hint="eastAsia" w:eastAsia="宋体" w:cs="Times New Roman"/>
          <w:color w:val="auto"/>
          <w:szCs w:val="24"/>
          <w:highlight w:val="none"/>
        </w:rPr>
        <w:t>设</w:t>
      </w:r>
      <w:r>
        <w:rPr>
          <w:rFonts w:eastAsia="宋体" w:cs="Times New Roman"/>
          <w:color w:val="auto"/>
          <w:szCs w:val="24"/>
          <w:highlight w:val="none"/>
        </w:rPr>
        <w:t>施运行单位的环保管理的能力，减少运行产生的不利环境影响，并且能够更好地参与和监督本项目的环保管理；同时对附近居民进行相关环境保护技术及政策法规、电力安全防护知识宣传，提高公众的环境保护和自我保护意识。</w:t>
      </w:r>
    </w:p>
    <w:p w14:paraId="3DC38EBD">
      <w:pPr>
        <w:ind w:firstLine="480"/>
        <w:rPr>
          <w:rFonts w:eastAsia="宋体" w:cs="Times New Roman"/>
          <w:color w:val="auto"/>
          <w:szCs w:val="24"/>
          <w:highlight w:val="none"/>
        </w:rPr>
      </w:pPr>
      <w:r>
        <w:rPr>
          <w:rFonts w:eastAsia="宋体" w:cs="Times New Roman"/>
          <w:color w:val="auto"/>
          <w:szCs w:val="24"/>
          <w:highlight w:val="none"/>
        </w:rPr>
        <w:t>3、档案管理</w:t>
      </w:r>
    </w:p>
    <w:p w14:paraId="489DBE49">
      <w:pPr>
        <w:ind w:firstLine="480"/>
        <w:rPr>
          <w:rFonts w:eastAsia="宋体" w:cs="Times New Roman"/>
          <w:color w:val="auto"/>
          <w:szCs w:val="24"/>
          <w:highlight w:val="none"/>
        </w:rPr>
      </w:pPr>
      <w:r>
        <w:rPr>
          <w:rFonts w:eastAsia="宋体" w:cs="Times New Roman"/>
          <w:color w:val="auto"/>
          <w:szCs w:val="24"/>
          <w:highlight w:val="none"/>
        </w:rPr>
        <w:t>工程档案是指建设项目从立项审批、勘察设计、施工、安装调试、生产准备到竣工投产全过程形成的、应当归档保存的文字材料、图纸、图表、电子文件、声像等形式与载体的材料。</w:t>
      </w:r>
    </w:p>
    <w:p w14:paraId="7F7AEA8C">
      <w:pPr>
        <w:ind w:firstLine="480"/>
        <w:rPr>
          <w:rFonts w:eastAsia="宋体" w:cs="Times New Roman"/>
          <w:color w:val="auto"/>
          <w:szCs w:val="24"/>
          <w:highlight w:val="none"/>
        </w:rPr>
      </w:pPr>
      <w:r>
        <w:rPr>
          <w:rFonts w:eastAsia="宋体" w:cs="Times New Roman"/>
          <w:color w:val="auto"/>
          <w:szCs w:val="24"/>
          <w:highlight w:val="none"/>
        </w:rPr>
        <w:t>工程档案应由专人负责各阶段</w:t>
      </w:r>
      <w:r>
        <w:rPr>
          <w:rFonts w:hint="eastAsia" w:eastAsia="宋体" w:cs="Times New Roman"/>
          <w:color w:val="auto"/>
          <w:szCs w:val="24"/>
          <w:highlight w:val="none"/>
        </w:rPr>
        <w:t>（</w:t>
      </w:r>
      <w:r>
        <w:rPr>
          <w:rFonts w:eastAsia="宋体" w:cs="Times New Roman"/>
          <w:color w:val="auto"/>
          <w:szCs w:val="24"/>
          <w:highlight w:val="none"/>
        </w:rPr>
        <w:t>工程前期、启动验收及其以后</w:t>
      </w:r>
      <w:r>
        <w:rPr>
          <w:rFonts w:hint="eastAsia" w:eastAsia="宋体" w:cs="Times New Roman"/>
          <w:color w:val="auto"/>
          <w:szCs w:val="24"/>
          <w:highlight w:val="none"/>
        </w:rPr>
        <w:t>）</w:t>
      </w:r>
      <w:r>
        <w:rPr>
          <w:rFonts w:eastAsia="宋体" w:cs="Times New Roman"/>
          <w:color w:val="auto"/>
          <w:szCs w:val="24"/>
          <w:highlight w:val="none"/>
        </w:rPr>
        <w:t>档案材料的归档、立卷、管理工作。</w:t>
      </w:r>
    </w:p>
    <w:p w14:paraId="0CA3AB24">
      <w:pPr>
        <w:ind w:firstLine="480"/>
        <w:rPr>
          <w:rFonts w:eastAsia="宋体" w:cs="Times New Roman"/>
          <w:color w:val="auto"/>
          <w:szCs w:val="24"/>
          <w:highlight w:val="none"/>
        </w:rPr>
      </w:pPr>
      <w:r>
        <w:rPr>
          <w:rFonts w:eastAsia="宋体" w:cs="Times New Roman"/>
          <w:color w:val="auto"/>
          <w:szCs w:val="24"/>
          <w:highlight w:val="none"/>
        </w:rPr>
        <w:t>4、环境监测计划</w:t>
      </w:r>
    </w:p>
    <w:p w14:paraId="6BC0F388">
      <w:pPr>
        <w:ind w:firstLine="480"/>
        <w:rPr>
          <w:rFonts w:eastAsia="宋体" w:cs="Times New Roman"/>
          <w:color w:val="auto"/>
          <w:szCs w:val="24"/>
          <w:highlight w:val="none"/>
        </w:rPr>
      </w:pPr>
      <w:r>
        <w:rPr>
          <w:rFonts w:eastAsia="宋体" w:cs="Times New Roman"/>
          <w:color w:val="auto"/>
          <w:szCs w:val="24"/>
          <w:highlight w:val="none"/>
        </w:rPr>
        <w:t>为建立本工程对环境影响情况的档案，应对</w:t>
      </w:r>
      <w:r>
        <w:rPr>
          <w:rFonts w:eastAsia="宋体" w:cs="Times New Roman"/>
          <w:bCs/>
          <w:color w:val="auto"/>
          <w:szCs w:val="24"/>
          <w:highlight w:val="none"/>
        </w:rPr>
        <w:t>220kV</w:t>
      </w:r>
      <w:r>
        <w:rPr>
          <w:rFonts w:hint="eastAsia" w:eastAsia="宋体" w:cs="Times New Roman"/>
          <w:bCs/>
          <w:color w:val="auto"/>
          <w:szCs w:val="24"/>
          <w:highlight w:val="none"/>
        </w:rPr>
        <w:t>线路沿线</w:t>
      </w:r>
      <w:r>
        <w:rPr>
          <w:rFonts w:eastAsia="宋体" w:cs="Times New Roman"/>
          <w:color w:val="auto"/>
          <w:szCs w:val="24"/>
          <w:highlight w:val="none"/>
        </w:rPr>
        <w:t>进行监测或调查。监测内容如下：</w:t>
      </w:r>
    </w:p>
    <w:p w14:paraId="4CB6A46A">
      <w:pPr>
        <w:ind w:firstLine="480"/>
        <w:rPr>
          <w:rFonts w:eastAsia="宋体" w:cs="Times New Roman"/>
          <w:color w:val="auto"/>
          <w:szCs w:val="24"/>
          <w:highlight w:val="none"/>
        </w:rPr>
      </w:pPr>
      <w:r>
        <w:rPr>
          <w:rFonts w:eastAsia="宋体" w:cs="Times New Roman"/>
          <w:color w:val="auto"/>
          <w:szCs w:val="24"/>
          <w:highlight w:val="none"/>
        </w:rPr>
        <w:t>（1）监测项目：工频电场（V/m）、工频磁场（μT）。</w:t>
      </w:r>
    </w:p>
    <w:p w14:paraId="667BE8D4">
      <w:pPr>
        <w:ind w:firstLine="480"/>
        <w:rPr>
          <w:rFonts w:cs="Times New Roman"/>
          <w:color w:val="auto"/>
          <w:highlight w:val="none"/>
        </w:rPr>
      </w:pPr>
      <w:r>
        <w:rPr>
          <w:rFonts w:eastAsia="宋体" w:cs="Times New Roman"/>
          <w:color w:val="auto"/>
          <w:szCs w:val="24"/>
          <w:highlight w:val="none"/>
        </w:rPr>
        <w:t>（2）监测时间：环保验收监测一次，运行后按有关部门要求定期进行监测。</w:t>
      </w:r>
    </w:p>
    <w:p w14:paraId="27917771">
      <w:pPr>
        <w:ind w:firstLine="480"/>
        <w:rPr>
          <w:rFonts w:cs="Times New Roman"/>
          <w:color w:val="auto"/>
          <w:highlight w:val="none"/>
        </w:rPr>
        <w:sectPr>
          <w:pgSz w:w="11906" w:h="16838"/>
          <w:pgMar w:top="1440" w:right="1800" w:bottom="1440" w:left="1800" w:header="851" w:footer="992" w:gutter="0"/>
          <w:cols w:space="425" w:num="1"/>
          <w:docGrid w:type="lines" w:linePitch="312" w:charSpace="0"/>
        </w:sectPr>
      </w:pPr>
    </w:p>
    <w:p w14:paraId="19DA0300">
      <w:pPr>
        <w:pStyle w:val="7"/>
        <w:rPr>
          <w:rFonts w:cs="Times New Roman"/>
          <w:color w:val="auto"/>
          <w:highlight w:val="none"/>
        </w:rPr>
      </w:pPr>
      <w:bookmarkStart w:id="36" w:name="_Toc5912"/>
      <w:r>
        <w:rPr>
          <w:rFonts w:cs="Times New Roman"/>
          <w:color w:val="auto"/>
          <w:highlight w:val="none"/>
        </w:rPr>
        <w:t>8电磁环境影响评价结论</w:t>
      </w:r>
      <w:bookmarkEnd w:id="36"/>
    </w:p>
    <w:p w14:paraId="5F52D725">
      <w:pPr>
        <w:pStyle w:val="8"/>
        <w:rPr>
          <w:rFonts w:cs="Times New Roman"/>
          <w:color w:val="auto"/>
          <w:highlight w:val="none"/>
        </w:rPr>
      </w:pPr>
      <w:bookmarkStart w:id="37" w:name="_Toc10396"/>
      <w:r>
        <w:rPr>
          <w:rFonts w:cs="Times New Roman"/>
          <w:color w:val="auto"/>
          <w:highlight w:val="none"/>
        </w:rPr>
        <w:t>8.1项目建设内容及规模</w:t>
      </w:r>
      <w:bookmarkEnd w:id="37"/>
    </w:p>
    <w:p w14:paraId="1AED4AC2">
      <w:pPr>
        <w:pStyle w:val="23"/>
        <w:spacing w:line="480" w:lineRule="exact"/>
        <w:ind w:firstLine="480" w:firstLineChars="200"/>
        <w:jc w:val="both"/>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本工程起于华能围场风光储氢热一体化项目(光伏200MW)升压站，止于华能围场风光储氢热一体化项目(风电200MW)升压站，220kV送出线路长度约22.99km，新建铁塔总基数</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7基，其中单回路直线塔3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基、单回路耐张塔25基、双回路耐张塔1基，拟采用JL/G1A-300/40型号单导线及OPGW-17-150型号双光缆。</w:t>
      </w:r>
    </w:p>
    <w:p w14:paraId="5C94E99F">
      <w:pPr>
        <w:pStyle w:val="8"/>
        <w:rPr>
          <w:rFonts w:cs="Times New Roman"/>
          <w:color w:val="auto"/>
          <w:highlight w:val="none"/>
        </w:rPr>
      </w:pPr>
      <w:bookmarkStart w:id="38" w:name="_Toc18729"/>
      <w:r>
        <w:rPr>
          <w:rFonts w:cs="Times New Roman"/>
          <w:color w:val="auto"/>
          <w:highlight w:val="none"/>
        </w:rPr>
        <w:t>8.2电磁环境影响分析结论</w:t>
      </w:r>
      <w:bookmarkEnd w:id="38"/>
    </w:p>
    <w:p w14:paraId="5B1CCCAE">
      <w:pPr>
        <w:ind w:firstLine="482"/>
        <w:rPr>
          <w:rFonts w:cs="Times New Roman"/>
          <w:b/>
          <w:color w:val="auto"/>
          <w:highlight w:val="none"/>
        </w:rPr>
      </w:pPr>
      <w:r>
        <w:rPr>
          <w:rFonts w:cs="Times New Roman"/>
          <w:b/>
          <w:color w:val="auto"/>
          <w:highlight w:val="none"/>
        </w:rPr>
        <w:t>1、电磁环境现状评价结论</w:t>
      </w:r>
    </w:p>
    <w:p w14:paraId="51EACCCB">
      <w:pPr>
        <w:pStyle w:val="2"/>
        <w:tabs>
          <w:tab w:val="left" w:pos="2520"/>
        </w:tabs>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根据监测结果可知，</w:t>
      </w:r>
      <w:r>
        <w:rPr>
          <w:rFonts w:ascii="Times New Roman" w:hAnsi="Times New Roman" w:eastAsia="宋体" w:cs="Times New Roman"/>
          <w:color w:val="auto"/>
          <w:sz w:val="24"/>
          <w:szCs w:val="24"/>
          <w:highlight w:val="none"/>
        </w:rPr>
        <w:t>拟建线路下方工频电场强度</w:t>
      </w:r>
      <w:r>
        <w:rPr>
          <w:rFonts w:hint="eastAsia" w:ascii="Times New Roman" w:hAnsi="Times New Roman" w:eastAsia="宋体" w:cs="Times New Roman"/>
          <w:color w:val="auto"/>
          <w:sz w:val="24"/>
          <w:szCs w:val="24"/>
          <w:highlight w:val="none"/>
        </w:rPr>
        <w:t>和</w:t>
      </w:r>
      <w:r>
        <w:rPr>
          <w:rFonts w:ascii="Times New Roman" w:hAnsi="Times New Roman" w:eastAsia="宋体" w:cs="Times New Roman"/>
          <w:color w:val="auto"/>
          <w:sz w:val="24"/>
          <w:szCs w:val="24"/>
          <w:highlight w:val="none"/>
        </w:rPr>
        <w:t>工频磁感应强度均符合《电磁环境控制限值》(GB8702-2014）中规定的4kV/m和100μT公众曝露控制限值要求。</w:t>
      </w:r>
    </w:p>
    <w:p w14:paraId="36EA5B4B">
      <w:pPr>
        <w:ind w:firstLine="482"/>
        <w:rPr>
          <w:rFonts w:cs="Times New Roman"/>
          <w:b/>
          <w:color w:val="auto"/>
          <w:highlight w:val="none"/>
        </w:rPr>
      </w:pPr>
      <w:r>
        <w:rPr>
          <w:rFonts w:cs="Times New Roman"/>
          <w:b/>
          <w:color w:val="auto"/>
          <w:highlight w:val="none"/>
        </w:rPr>
        <w:t>2、电磁环境影响评价结论</w:t>
      </w:r>
    </w:p>
    <w:p w14:paraId="41AAA0B3">
      <w:pPr>
        <w:spacing w:line="480" w:lineRule="atLeast"/>
        <w:ind w:firstLine="480"/>
        <w:rPr>
          <w:color w:val="auto"/>
          <w:highlight w:val="none"/>
        </w:rPr>
      </w:pPr>
      <w:r>
        <w:rPr>
          <w:rFonts w:hint="eastAsia"/>
          <w:color w:val="auto"/>
          <w:highlight w:val="none"/>
        </w:rPr>
        <w:t>经模型预测，当本项目架空线路投入运行后，</w:t>
      </w:r>
      <w:r>
        <w:rPr>
          <w:rFonts w:eastAsia="宋体" w:cs="Times New Roman"/>
          <w:color w:val="auto"/>
          <w:highlight w:val="none"/>
        </w:rPr>
        <w:t>工频电场</w:t>
      </w:r>
      <w:r>
        <w:rPr>
          <w:rFonts w:hint="eastAsia" w:eastAsia="宋体" w:cs="Times New Roman"/>
          <w:color w:val="auto"/>
          <w:highlight w:val="none"/>
        </w:rPr>
        <w:t>强度、工频磁感应强度满足</w:t>
      </w:r>
      <w:r>
        <w:rPr>
          <w:rFonts w:eastAsia="宋体" w:cs="Times New Roman"/>
          <w:color w:val="auto"/>
          <w:szCs w:val="24"/>
          <w:highlight w:val="none"/>
        </w:rPr>
        <w:t>《电磁环境控制限值》(GB8702-2014）中规定</w:t>
      </w:r>
      <w:r>
        <w:rPr>
          <w:rFonts w:eastAsia="宋体" w:cs="Times New Roman"/>
          <w:color w:val="auto"/>
          <w:highlight w:val="none"/>
        </w:rPr>
        <w:t>4kV/m</w:t>
      </w:r>
      <w:r>
        <w:rPr>
          <w:rFonts w:hint="eastAsia" w:eastAsia="宋体" w:cs="Times New Roman"/>
          <w:color w:val="auto"/>
          <w:highlight w:val="none"/>
        </w:rPr>
        <w:t>和</w:t>
      </w:r>
      <w:r>
        <w:rPr>
          <w:rFonts w:hint="eastAsia"/>
          <w:color w:val="auto"/>
          <w:highlight w:val="none"/>
        </w:rPr>
        <w:t>100μT公众曝露控制限值要求，</w:t>
      </w:r>
      <w:r>
        <w:rPr>
          <w:rFonts w:hint="eastAsia" w:eastAsia="宋体" w:cs="Times New Roman"/>
          <w:color w:val="auto"/>
          <w:szCs w:val="24"/>
          <w:highlight w:val="none"/>
        </w:rPr>
        <w:t>其中</w:t>
      </w:r>
      <w:r>
        <w:rPr>
          <w:rFonts w:eastAsia="宋体" w:cs="Times New Roman"/>
          <w:color w:val="auto"/>
          <w:szCs w:val="24"/>
          <w:highlight w:val="none"/>
        </w:rPr>
        <w:t>架空输电线路线下的耕地、园地、牧草地、畜禽饲养地、养殖水面、道路等场所，电场强度</w:t>
      </w:r>
      <w:r>
        <w:rPr>
          <w:rFonts w:hint="eastAsia" w:eastAsia="宋体" w:cs="Times New Roman"/>
          <w:color w:val="auto"/>
          <w:szCs w:val="24"/>
          <w:highlight w:val="none"/>
        </w:rPr>
        <w:t>满足</w:t>
      </w:r>
      <w:r>
        <w:rPr>
          <w:rFonts w:eastAsia="宋体" w:cs="Times New Roman"/>
          <w:color w:val="auto"/>
          <w:szCs w:val="24"/>
          <w:highlight w:val="none"/>
        </w:rPr>
        <w:t>10kV/m</w:t>
      </w:r>
      <w:r>
        <w:rPr>
          <w:rFonts w:hint="eastAsia"/>
          <w:color w:val="auto"/>
          <w:highlight w:val="none"/>
        </w:rPr>
        <w:t>公众曝露控制限值要求</w:t>
      </w:r>
      <w:r>
        <w:rPr>
          <w:rFonts w:eastAsia="宋体" w:cs="Times New Roman"/>
          <w:color w:val="auto"/>
          <w:szCs w:val="24"/>
          <w:highlight w:val="none"/>
        </w:rPr>
        <w:t>。</w:t>
      </w:r>
    </w:p>
    <w:p w14:paraId="5F2917A0">
      <w:pPr>
        <w:pStyle w:val="8"/>
        <w:rPr>
          <w:rFonts w:cs="Times New Roman"/>
          <w:color w:val="auto"/>
          <w:highlight w:val="none"/>
        </w:rPr>
      </w:pPr>
      <w:r>
        <w:rPr>
          <w:rFonts w:cs="Times New Roman"/>
          <w:color w:val="auto"/>
          <w:highlight w:val="none"/>
        </w:rPr>
        <w:t>8.3电磁环境保护措施可行性结论</w:t>
      </w:r>
    </w:p>
    <w:p w14:paraId="4752A048">
      <w:pPr>
        <w:ind w:firstLine="480"/>
        <w:rPr>
          <w:rFonts w:cs="Times New Roman"/>
          <w:color w:val="auto"/>
          <w:szCs w:val="24"/>
          <w:highlight w:val="none"/>
        </w:rPr>
      </w:pPr>
      <w:r>
        <w:rPr>
          <w:rFonts w:cs="Times New Roman"/>
          <w:color w:val="auto"/>
          <w:highlight w:val="none"/>
        </w:rPr>
        <w:t>项目符合国家产业政策，</w:t>
      </w:r>
      <w:r>
        <w:rPr>
          <w:rFonts w:hint="eastAsia" w:cs="Times New Roman"/>
          <w:color w:val="auto"/>
          <w:highlight w:val="none"/>
        </w:rPr>
        <w:t>线路路径</w:t>
      </w:r>
      <w:r>
        <w:rPr>
          <w:rFonts w:cs="Times New Roman"/>
          <w:color w:val="auto"/>
          <w:highlight w:val="none"/>
        </w:rPr>
        <w:t>选择可行，工程采取了较为完善的污染防治措施，可确保达标排放，项目的建设不会对周围环境产生明显影响。在加强监督管理，严格执行“三同时”前提下，从电磁环境保护角度分析，</w:t>
      </w:r>
      <w:r>
        <w:rPr>
          <w:rFonts w:eastAsia="宋体" w:cs="Times New Roman"/>
          <w:color w:val="auto"/>
          <w:szCs w:val="24"/>
          <w:highlight w:val="none"/>
        </w:rPr>
        <w:t>华能围场“风光储氢热一体化”项目（光伏200MW）项目220kV送出线路工程项目</w:t>
      </w:r>
      <w:r>
        <w:rPr>
          <w:rFonts w:cs="Times New Roman"/>
          <w:color w:val="auto"/>
          <w:highlight w:val="none"/>
        </w:rPr>
        <w:t>的建设可行。</w:t>
      </w:r>
    </w:p>
    <w:p w14:paraId="4D947A8E">
      <w:pPr>
        <w:ind w:firstLine="880"/>
        <w:jc w:val="center"/>
        <w:rPr>
          <w:rFonts w:cs="Times New Roman"/>
          <w:color w:val="auto"/>
          <w:kern w:val="0"/>
          <w:sz w:val="44"/>
          <w:szCs w:val="44"/>
          <w:highlight w:val="none"/>
        </w:rPr>
        <w:sectPr>
          <w:headerReference r:id="rId15" w:type="first"/>
          <w:footerReference r:id="rId17" w:type="first"/>
          <w:headerReference r:id="rId14" w:type="even"/>
          <w:footerReference r:id="rId16" w:type="even"/>
          <w:pgSz w:w="11906" w:h="16838"/>
          <w:pgMar w:top="1440" w:right="1800" w:bottom="1440" w:left="1800" w:header="851" w:footer="992" w:gutter="0"/>
          <w:cols w:space="425" w:num="1"/>
          <w:docGrid w:type="lines" w:linePitch="312" w:charSpace="0"/>
        </w:sectPr>
      </w:pPr>
    </w:p>
    <w:p w14:paraId="1F8C275F">
      <w:pPr>
        <w:pStyle w:val="2"/>
      </w:pPr>
    </w:p>
    <w:p w14:paraId="49F1E2BF">
      <w:pPr>
        <w:tabs>
          <w:tab w:val="right" w:pos="8306"/>
        </w:tabs>
        <w:spacing w:before="936" w:beforeLines="300" w:after="936" w:afterLines="300" w:line="240" w:lineRule="auto"/>
        <w:ind w:firstLine="0" w:firstLineChars="0"/>
        <w:jc w:val="center"/>
        <w:rPr>
          <w:rFonts w:cs="Times New Roman"/>
          <w:color w:val="auto"/>
          <w:spacing w:val="-20"/>
          <w:kern w:val="0"/>
          <w:sz w:val="36"/>
          <w:szCs w:val="36"/>
          <w:highlight w:val="none"/>
        </w:rPr>
      </w:pPr>
      <w:r>
        <w:rPr>
          <w:rFonts w:cs="Times New Roman"/>
          <w:color w:val="auto"/>
          <w:spacing w:val="-20"/>
          <w:kern w:val="0"/>
          <w:sz w:val="36"/>
          <w:szCs w:val="36"/>
          <w:highlight w:val="none"/>
        </w:rPr>
        <w:t>华能围场“风光储氢热一体化”项目（光伏200MW）项目220kV送出线路工程项目</w:t>
      </w:r>
    </w:p>
    <w:p w14:paraId="6AFC9640">
      <w:pPr>
        <w:tabs>
          <w:tab w:val="right" w:pos="8306"/>
        </w:tabs>
        <w:spacing w:before="936" w:beforeLines="300" w:after="936" w:afterLines="300" w:line="240" w:lineRule="auto"/>
        <w:ind w:firstLine="0" w:firstLineChars="0"/>
        <w:jc w:val="center"/>
        <w:rPr>
          <w:rFonts w:cs="Times New Roman"/>
          <w:color w:val="auto"/>
          <w:kern w:val="0"/>
          <w:sz w:val="72"/>
          <w:szCs w:val="72"/>
          <w:highlight w:val="none"/>
        </w:rPr>
      </w:pPr>
      <w:r>
        <w:rPr>
          <w:rFonts w:hint="eastAsia" w:cs="Times New Roman"/>
          <w:color w:val="auto"/>
          <w:kern w:val="0"/>
          <w:sz w:val="72"/>
          <w:szCs w:val="72"/>
          <w:highlight w:val="none"/>
          <w:lang w:eastAsia="zh-CN"/>
        </w:rPr>
        <w:t>生态</w:t>
      </w:r>
      <w:r>
        <w:rPr>
          <w:rFonts w:cs="Times New Roman"/>
          <w:color w:val="auto"/>
          <w:kern w:val="0"/>
          <w:sz w:val="72"/>
          <w:szCs w:val="72"/>
          <w:highlight w:val="none"/>
        </w:rPr>
        <w:t>环境影响专项评价</w:t>
      </w:r>
    </w:p>
    <w:p w14:paraId="463B15E3">
      <w:pPr>
        <w:tabs>
          <w:tab w:val="right" w:pos="8306"/>
        </w:tabs>
        <w:ind w:firstLine="1440"/>
        <w:jc w:val="center"/>
        <w:rPr>
          <w:rFonts w:cs="Times New Roman"/>
          <w:color w:val="auto"/>
          <w:kern w:val="0"/>
          <w:sz w:val="72"/>
          <w:szCs w:val="72"/>
          <w:highlight w:val="none"/>
        </w:rPr>
      </w:pPr>
    </w:p>
    <w:p w14:paraId="1F05D6BF">
      <w:pPr>
        <w:tabs>
          <w:tab w:val="right" w:pos="8306"/>
        </w:tabs>
        <w:ind w:firstLine="1440"/>
        <w:jc w:val="center"/>
        <w:rPr>
          <w:rFonts w:cs="Times New Roman"/>
          <w:color w:val="auto"/>
          <w:kern w:val="0"/>
          <w:sz w:val="72"/>
          <w:szCs w:val="72"/>
          <w:highlight w:val="none"/>
        </w:rPr>
      </w:pPr>
    </w:p>
    <w:p w14:paraId="36CA5064">
      <w:pPr>
        <w:tabs>
          <w:tab w:val="right" w:pos="8306"/>
        </w:tabs>
        <w:ind w:firstLine="1440"/>
        <w:jc w:val="center"/>
        <w:rPr>
          <w:rFonts w:cs="Times New Roman"/>
          <w:color w:val="auto"/>
          <w:kern w:val="0"/>
          <w:sz w:val="72"/>
          <w:szCs w:val="72"/>
          <w:highlight w:val="none"/>
        </w:rPr>
      </w:pPr>
    </w:p>
    <w:p w14:paraId="3CD367E8">
      <w:pPr>
        <w:tabs>
          <w:tab w:val="right" w:pos="8306"/>
        </w:tabs>
        <w:ind w:firstLine="1440"/>
        <w:jc w:val="center"/>
        <w:rPr>
          <w:rFonts w:cs="Times New Roman"/>
          <w:color w:val="auto"/>
          <w:kern w:val="0"/>
          <w:sz w:val="72"/>
          <w:szCs w:val="72"/>
          <w:highlight w:val="none"/>
        </w:rPr>
      </w:pPr>
    </w:p>
    <w:p w14:paraId="0FECBA57">
      <w:pPr>
        <w:tabs>
          <w:tab w:val="right" w:pos="8306"/>
        </w:tabs>
        <w:ind w:firstLine="1440"/>
        <w:jc w:val="center"/>
        <w:rPr>
          <w:rFonts w:cs="Times New Roman"/>
          <w:color w:val="auto"/>
          <w:kern w:val="0"/>
          <w:sz w:val="72"/>
          <w:szCs w:val="72"/>
          <w:highlight w:val="none"/>
        </w:rPr>
      </w:pPr>
    </w:p>
    <w:p w14:paraId="4D0C903C">
      <w:pPr>
        <w:tabs>
          <w:tab w:val="right" w:pos="8306"/>
        </w:tabs>
        <w:spacing w:line="480" w:lineRule="auto"/>
        <w:ind w:firstLine="0" w:firstLineChars="0"/>
        <w:jc w:val="center"/>
        <w:rPr>
          <w:rFonts w:cs="Times New Roman"/>
          <w:color w:val="auto"/>
          <w:spacing w:val="-11"/>
          <w:kern w:val="0"/>
          <w:sz w:val="32"/>
          <w:szCs w:val="32"/>
          <w:highlight w:val="none"/>
        </w:rPr>
      </w:pPr>
      <w:r>
        <w:rPr>
          <w:rFonts w:cs="Times New Roman"/>
          <w:color w:val="auto"/>
          <w:spacing w:val="-11"/>
          <w:kern w:val="0"/>
          <w:sz w:val="32"/>
          <w:szCs w:val="32"/>
          <w:highlight w:val="none"/>
        </w:rPr>
        <w:t>建设单位：围场满族蒙古族自治县阳洁光伏发电有限责任公司</w:t>
      </w:r>
    </w:p>
    <w:p w14:paraId="599E7EEA">
      <w:pPr>
        <w:tabs>
          <w:tab w:val="right" w:pos="8306"/>
        </w:tabs>
        <w:spacing w:line="480" w:lineRule="auto"/>
        <w:ind w:firstLine="0" w:firstLineChars="0"/>
        <w:jc w:val="center"/>
        <w:rPr>
          <w:rFonts w:cs="Times New Roman"/>
          <w:color w:val="auto"/>
          <w:kern w:val="0"/>
          <w:sz w:val="32"/>
          <w:szCs w:val="32"/>
          <w:highlight w:val="none"/>
        </w:rPr>
      </w:pPr>
      <w:r>
        <w:rPr>
          <w:rFonts w:cs="Times New Roman"/>
          <w:color w:val="auto"/>
          <w:kern w:val="0"/>
          <w:sz w:val="32"/>
          <w:szCs w:val="32"/>
          <w:highlight w:val="none"/>
        </w:rPr>
        <w:t>编制单位：河北冀跃工程咨询有限公司</w:t>
      </w:r>
    </w:p>
    <w:p w14:paraId="0DD4173A">
      <w:pPr>
        <w:tabs>
          <w:tab w:val="right" w:pos="8306"/>
        </w:tabs>
        <w:spacing w:line="480" w:lineRule="auto"/>
        <w:ind w:firstLine="0" w:firstLineChars="0"/>
        <w:jc w:val="center"/>
        <w:rPr>
          <w:rFonts w:cs="Times New Roman"/>
          <w:color w:val="auto"/>
          <w:sz w:val="32"/>
          <w:szCs w:val="32"/>
          <w:highlight w:val="none"/>
        </w:rPr>
      </w:pPr>
      <w:r>
        <w:rPr>
          <w:rFonts w:cs="Times New Roman"/>
          <w:color w:val="auto"/>
          <w:sz w:val="32"/>
          <w:szCs w:val="32"/>
          <w:highlight w:val="none"/>
        </w:rPr>
        <w:t>二〇二</w:t>
      </w:r>
      <w:r>
        <w:rPr>
          <w:rFonts w:hint="eastAsia" w:cs="Times New Roman"/>
          <w:color w:val="auto"/>
          <w:sz w:val="32"/>
          <w:szCs w:val="32"/>
          <w:highlight w:val="none"/>
        </w:rPr>
        <w:t>四</w:t>
      </w:r>
      <w:r>
        <w:rPr>
          <w:rFonts w:cs="Times New Roman"/>
          <w:color w:val="auto"/>
          <w:sz w:val="32"/>
          <w:szCs w:val="32"/>
          <w:highlight w:val="none"/>
        </w:rPr>
        <w:t>年</w:t>
      </w:r>
      <w:r>
        <w:rPr>
          <w:rFonts w:hint="eastAsia" w:cs="Times New Roman"/>
          <w:color w:val="auto"/>
          <w:sz w:val="32"/>
          <w:szCs w:val="32"/>
          <w:highlight w:val="none"/>
          <w:lang w:eastAsia="zh-CN"/>
        </w:rPr>
        <w:t>十一</w:t>
      </w:r>
      <w:r>
        <w:rPr>
          <w:rFonts w:cs="Times New Roman"/>
          <w:color w:val="auto"/>
          <w:sz w:val="32"/>
          <w:szCs w:val="32"/>
          <w:highlight w:val="none"/>
        </w:rPr>
        <w:t>月</w:t>
      </w:r>
    </w:p>
    <w:p w14:paraId="69320E9B">
      <w:pPr>
        <w:ind w:firstLine="640"/>
        <w:rPr>
          <w:rFonts w:cs="Times New Roman"/>
          <w:color w:val="auto"/>
          <w:highlight w:val="none"/>
        </w:rPr>
      </w:pPr>
      <w:r>
        <w:rPr>
          <w:rFonts w:cs="Times New Roman"/>
          <w:color w:val="auto"/>
          <w:sz w:val="32"/>
          <w:szCs w:val="32"/>
          <w:highlight w:val="none"/>
        </w:rPr>
        <w:br w:type="page"/>
      </w:r>
    </w:p>
    <w:p w14:paraId="43DC98C3">
      <w:pPr>
        <w:pStyle w:val="2"/>
        <w:rPr>
          <w:rFonts w:ascii="Times New Roman" w:hAnsi="Times New Roman" w:cs="Times New Roman"/>
          <w:color w:val="auto"/>
          <w:highlight w:val="none"/>
        </w:rPr>
        <w:sectPr>
          <w:footerReference r:id="rId18" w:type="default"/>
          <w:pgSz w:w="11906" w:h="16838"/>
          <w:pgMar w:top="1440" w:right="1800" w:bottom="1440" w:left="1800" w:header="851" w:footer="992" w:gutter="0"/>
          <w:cols w:space="425" w:num="1"/>
          <w:docGrid w:type="lines" w:linePitch="312" w:charSpace="0"/>
        </w:sectPr>
      </w:pPr>
    </w:p>
    <w:sdt>
      <w:sdtPr>
        <w:rPr>
          <w:rFonts w:eastAsia="宋体" w:cs="Times New Roman"/>
          <w:color w:val="auto"/>
          <w:sz w:val="21"/>
          <w:highlight w:val="none"/>
        </w:rPr>
        <w:id w:val="147471520"/>
        <w15:color w:val="DBDBDB"/>
        <w:docPartObj>
          <w:docPartGallery w:val="Table of Contents"/>
          <w:docPartUnique/>
        </w:docPartObj>
      </w:sdtPr>
      <w:sdtEndPr>
        <w:rPr>
          <w:rFonts w:cs="Times New Roman" w:eastAsiaTheme="minorEastAsia"/>
          <w:color w:val="auto"/>
          <w:kern w:val="0"/>
          <w:sz w:val="24"/>
          <w:szCs w:val="30"/>
          <w:highlight w:val="none"/>
        </w:rPr>
      </w:sdtEndPr>
      <w:sdtContent>
        <w:p w14:paraId="60DFC358">
          <w:pPr>
            <w:spacing w:line="240" w:lineRule="auto"/>
            <w:ind w:firstLine="0" w:firstLineChars="0"/>
            <w:jc w:val="center"/>
            <w:rPr>
              <w:rFonts w:cs="Times New Roman"/>
              <w:color w:val="auto"/>
              <w:highlight w:val="none"/>
            </w:rPr>
          </w:pPr>
          <w:r>
            <w:rPr>
              <w:rFonts w:eastAsia="宋体" w:cs="Times New Roman"/>
              <w:b/>
              <w:bCs/>
              <w:color w:val="auto"/>
              <w:sz w:val="28"/>
              <w:szCs w:val="28"/>
              <w:highlight w:val="none"/>
            </w:rPr>
            <w:t>目  录</w:t>
          </w:r>
        </w:p>
        <w:p w14:paraId="784FAA3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TOC \o "1-1" \h \u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_Toc22281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sz w:val="28"/>
              <w:szCs w:val="28"/>
              <w:highlight w:val="none"/>
            </w:rPr>
            <w:t>1前言</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_Toc22281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1878B6C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_Toc23438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kern w:val="0"/>
              <w:sz w:val="28"/>
              <w:szCs w:val="28"/>
              <w:highlight w:val="none"/>
            </w:rPr>
            <w:t>2总则</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_Toc23438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4</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3BB5E5B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_Toc13939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kern w:val="0"/>
              <w:sz w:val="28"/>
              <w:szCs w:val="28"/>
              <w:highlight w:val="none"/>
            </w:rPr>
            <w:t>3项目概况与分析</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_Toc13939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10</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60ADB7C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_Toc26197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kern w:val="0"/>
              <w:sz w:val="28"/>
              <w:szCs w:val="28"/>
              <w:highlight w:val="none"/>
            </w:rPr>
            <w:t>4区域生态环境现状调查与评价</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_Toc26197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25</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54DB958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_Toc26419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kern w:val="0"/>
              <w:sz w:val="28"/>
              <w:szCs w:val="28"/>
              <w:highlight w:val="none"/>
            </w:rPr>
            <w:t>5</w:t>
          </w:r>
          <w:r>
            <w:rPr>
              <w:rFonts w:hint="default" w:ascii="Times New Roman" w:hAnsi="Times New Roman" w:eastAsia="宋体" w:cs="Times New Roman"/>
              <w:b/>
              <w:bCs/>
              <w:color w:val="auto"/>
              <w:kern w:val="0"/>
              <w:sz w:val="28"/>
              <w:szCs w:val="28"/>
              <w:highlight w:val="none"/>
              <w:lang w:eastAsia="zh-CN"/>
            </w:rPr>
            <w:t>生态</w:t>
          </w:r>
          <w:r>
            <w:rPr>
              <w:rFonts w:hint="default" w:ascii="Times New Roman" w:hAnsi="Times New Roman" w:eastAsia="宋体" w:cs="Times New Roman"/>
              <w:b/>
              <w:bCs/>
              <w:color w:val="auto"/>
              <w:kern w:val="0"/>
              <w:sz w:val="28"/>
              <w:szCs w:val="28"/>
              <w:highlight w:val="none"/>
            </w:rPr>
            <w:t>环境影响评价</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_Toc26419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52</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29E2C9B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_Toc31869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sz w:val="28"/>
              <w:szCs w:val="28"/>
              <w:highlight w:val="none"/>
            </w:rPr>
            <w:t>6</w:t>
          </w:r>
          <w:r>
            <w:rPr>
              <w:rFonts w:hint="default" w:ascii="Times New Roman" w:hAnsi="Times New Roman" w:eastAsia="宋体" w:cs="Times New Roman"/>
              <w:b/>
              <w:bCs/>
              <w:color w:val="auto"/>
              <w:sz w:val="28"/>
              <w:szCs w:val="28"/>
              <w:highlight w:val="none"/>
              <w:lang w:eastAsia="zh-CN"/>
            </w:rPr>
            <w:t>生态</w:t>
          </w:r>
          <w:r>
            <w:rPr>
              <w:rFonts w:hint="default" w:ascii="Times New Roman" w:hAnsi="Times New Roman" w:eastAsia="宋体" w:cs="Times New Roman"/>
              <w:b/>
              <w:bCs/>
              <w:color w:val="auto"/>
              <w:sz w:val="28"/>
              <w:szCs w:val="28"/>
              <w:highlight w:val="none"/>
            </w:rPr>
            <w:t>环境保护措施</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_Toc31869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67</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6B87516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kern w:val="0"/>
              <w:sz w:val="28"/>
              <w:szCs w:val="28"/>
              <w:highlight w:val="none"/>
            </w:rPr>
            <w:fldChar w:fldCharType="begin"/>
          </w:r>
          <w:r>
            <w:rPr>
              <w:rFonts w:hint="default" w:ascii="Times New Roman" w:hAnsi="Times New Roman" w:eastAsia="宋体" w:cs="Times New Roman"/>
              <w:b/>
              <w:bCs/>
              <w:color w:val="auto"/>
              <w:kern w:val="0"/>
              <w:sz w:val="28"/>
              <w:szCs w:val="28"/>
              <w:highlight w:val="none"/>
            </w:rPr>
            <w:instrText xml:space="preserve"> HYPERLINK \l _Toc22688 </w:instrText>
          </w:r>
          <w:r>
            <w:rPr>
              <w:rFonts w:hint="default" w:ascii="Times New Roman" w:hAnsi="Times New Roman" w:eastAsia="宋体" w:cs="Times New Roman"/>
              <w:b/>
              <w:bCs/>
              <w:color w:val="auto"/>
              <w:kern w:val="0"/>
              <w:sz w:val="28"/>
              <w:szCs w:val="28"/>
              <w:highlight w:val="none"/>
            </w:rPr>
            <w:fldChar w:fldCharType="separate"/>
          </w:r>
          <w:r>
            <w:rPr>
              <w:rFonts w:hint="default" w:ascii="Times New Roman" w:hAnsi="Times New Roman" w:eastAsia="宋体" w:cs="Times New Roman"/>
              <w:b/>
              <w:bCs/>
              <w:color w:val="auto"/>
              <w:sz w:val="28"/>
              <w:szCs w:val="28"/>
              <w:highlight w:val="none"/>
              <w:lang w:val="en-US" w:eastAsia="zh-CN"/>
            </w:rPr>
            <w:t>7</w:t>
          </w:r>
          <w:r>
            <w:rPr>
              <w:rFonts w:hint="default" w:ascii="Times New Roman" w:hAnsi="Times New Roman" w:eastAsia="宋体" w:cs="Times New Roman"/>
              <w:b/>
              <w:bCs/>
              <w:color w:val="auto"/>
              <w:sz w:val="28"/>
              <w:szCs w:val="28"/>
              <w:highlight w:val="none"/>
              <w:lang w:eastAsia="zh-CN"/>
            </w:rPr>
            <w:t>生态</w:t>
          </w:r>
          <w:r>
            <w:rPr>
              <w:rFonts w:hint="default" w:ascii="Times New Roman" w:hAnsi="Times New Roman" w:eastAsia="宋体" w:cs="Times New Roman"/>
              <w:b/>
              <w:bCs/>
              <w:color w:val="auto"/>
              <w:sz w:val="28"/>
              <w:szCs w:val="28"/>
              <w:highlight w:val="none"/>
            </w:rPr>
            <w:t>环境影响评价结论</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_Toc22688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84</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kern w:val="0"/>
              <w:sz w:val="28"/>
              <w:szCs w:val="28"/>
              <w:highlight w:val="none"/>
            </w:rPr>
            <w:fldChar w:fldCharType="end"/>
          </w:r>
        </w:p>
        <w:p w14:paraId="7A3E5150">
          <w:pPr>
            <w:keepNext w:val="0"/>
            <w:keepLines w:val="0"/>
            <w:pageBreakBefore w:val="0"/>
            <w:widowControl w:val="0"/>
            <w:tabs>
              <w:tab w:val="right" w:pos="8306"/>
            </w:tabs>
            <w:kinsoku/>
            <w:wordWrap/>
            <w:overflowPunct/>
            <w:topLinePunct w:val="0"/>
            <w:autoSpaceDE/>
            <w:autoSpaceDN/>
            <w:bidi w:val="0"/>
            <w:adjustRightInd/>
            <w:snapToGrid/>
            <w:spacing w:line="360" w:lineRule="auto"/>
            <w:ind w:firstLine="0" w:firstLineChars="0"/>
            <w:jc w:val="both"/>
            <w:textAlignment w:val="auto"/>
            <w:rPr>
              <w:rFonts w:cs="Times New Roman"/>
              <w:color w:val="auto"/>
              <w:highlight w:val="none"/>
            </w:rPr>
            <w:sectPr>
              <w:footerReference r:id="rId19" w:type="default"/>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color w:val="auto"/>
              <w:kern w:val="0"/>
              <w:sz w:val="28"/>
              <w:szCs w:val="28"/>
              <w:highlight w:val="none"/>
            </w:rPr>
            <w:fldChar w:fldCharType="end"/>
          </w:r>
        </w:p>
      </w:sdtContent>
    </w:sdt>
    <w:p w14:paraId="33FF93FD">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highlight w:val="none"/>
        </w:rPr>
      </w:pPr>
      <w:bookmarkStart w:id="39" w:name="_Toc22281"/>
      <w:r>
        <w:rPr>
          <w:rFonts w:cs="Times New Roman"/>
          <w:color w:val="auto"/>
          <w:highlight w:val="none"/>
        </w:rPr>
        <w:t>1前言</w:t>
      </w:r>
      <w:bookmarkEnd w:id="39"/>
    </w:p>
    <w:p w14:paraId="578B0A90">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1.1 本项目建设的必要性</w:t>
      </w:r>
    </w:p>
    <w:p w14:paraId="242C7C2F">
      <w:pPr>
        <w:pStyle w:val="23"/>
        <w:spacing w:line="480" w:lineRule="exact"/>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1、项目由来</w:t>
      </w:r>
    </w:p>
    <w:p w14:paraId="54F188EC">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近年来，我国以风电、光伏发电为代表的新能源发展成效显著，“十四五”规划提出全面推进风电和太阳能发电大规模开发和高质量发展，因地制宜发展其他可再生能源。</w:t>
      </w:r>
    </w:p>
    <w:p w14:paraId="0BE5D947">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承德地区太阳能资源比较丰富，适合建设光伏电站开发利用太阳能。围场满族蒙古族自治县阳洁光伏发电有限责任公司投资</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，项目位于河北省承德市</w:t>
      </w:r>
      <w:r>
        <w:rPr>
          <w:rFonts w:hint="default" w:ascii="Times New Roman" w:hAnsi="Times New Roman" w:eastAsia="宋体" w:cs="Times New Roman"/>
          <w:color w:val="auto"/>
          <w:sz w:val="24"/>
          <w:szCs w:val="24"/>
          <w:highlight w:val="none"/>
        </w:rPr>
        <w:t>围场满族蒙古族自治县老窝铺乡</w:t>
      </w:r>
      <w:r>
        <w:rPr>
          <w:rFonts w:hint="default" w:ascii="Times New Roman" w:hAnsi="Times New Roman" w:eastAsia="宋体" w:cs="Times New Roman"/>
          <w:bCs/>
          <w:color w:val="auto"/>
          <w:sz w:val="24"/>
          <w:szCs w:val="24"/>
          <w:highlight w:val="none"/>
        </w:rPr>
        <w:t>。</w:t>
      </w:r>
    </w:p>
    <w:p w14:paraId="29B324FE">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2022年委托编制了《</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环境影响报告表》，2022年9月20日本项目环境影响报告表已取得承德市生态环境局围场满族蒙古族自治县分局关于《</w:t>
      </w:r>
      <w:r>
        <w:rPr>
          <w:rFonts w:hint="default" w:ascii="Times New Roman" w:hAnsi="Times New Roman" w:eastAsia="宋体" w:cs="Times New Roman"/>
          <w:color w:val="auto"/>
          <w:sz w:val="24"/>
          <w:szCs w:val="24"/>
          <w:highlight w:val="none"/>
        </w:rPr>
        <w:t>华能围场“风光储氢热一体化”项目（光伏200MW）项目</w:t>
      </w:r>
      <w:r>
        <w:rPr>
          <w:rFonts w:hint="default" w:ascii="Times New Roman" w:hAnsi="Times New Roman" w:eastAsia="宋体" w:cs="Times New Roman"/>
          <w:bCs/>
          <w:color w:val="auto"/>
          <w:sz w:val="24"/>
          <w:szCs w:val="24"/>
          <w:highlight w:val="none"/>
        </w:rPr>
        <w:t>环境影响报告表》的批复，批复文号：围环评〔2022〕20号。</w:t>
      </w:r>
    </w:p>
    <w:p w14:paraId="106E642F">
      <w:pPr>
        <w:pStyle w:val="23"/>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围场满族蒙古族自治县阳洁光伏发电有限责任公司在围场满族蒙古族自治县境内拟建设“华能围场“风光储氢热一体化”项目（风电200MW）项目”，</w:t>
      </w:r>
      <w:r>
        <w:rPr>
          <w:rFonts w:hint="eastAsia" w:ascii="Times New Roman" w:hAnsi="Times New Roman" w:eastAsia="宋体" w:cs="Times New Roman"/>
          <w:bCs/>
          <w:color w:val="auto"/>
          <w:sz w:val="24"/>
          <w:szCs w:val="24"/>
          <w:highlight w:val="none"/>
          <w:lang w:eastAsia="zh-CN"/>
        </w:rPr>
        <w:t>该</w:t>
      </w:r>
      <w:r>
        <w:rPr>
          <w:rFonts w:hint="default" w:ascii="Times New Roman" w:hAnsi="Times New Roman" w:eastAsia="宋体" w:cs="Times New Roman"/>
          <w:bCs/>
          <w:color w:val="auto"/>
          <w:sz w:val="24"/>
          <w:szCs w:val="24"/>
          <w:highlight w:val="none"/>
        </w:rPr>
        <w:t>项目已于2023年1月5日取得承德市行政审批局的核准批复（承审批核字[2023]3号），于2023年1月17日取得承德市生态环境局围场满族蒙古族自治县分局出具的环评审批意见(围环评[2023]4号)。</w:t>
      </w:r>
    </w:p>
    <w:p w14:paraId="7916122D">
      <w:pPr>
        <w:pStyle w:val="23"/>
        <w:spacing w:line="480" w:lineRule="exact"/>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2023年8月22日国网冀北电力有限公司经济技术研究院出具关于华能围场“风光储氢热一体化”项目（光伏200兆瓦）接入系统设计的评审意见（冀北经研〔2023〕300号），根据接入系统设计：新建华能光伏220千伏升压站，新建1台200兆伏安主变，华能光伏220千伏升压站升压后通过华能光伏220千伏升压站~华能风电220千伏升压站~牌楼500千伏变电站的220千伏线路并网运行。新建华能光伏220千伏升压站~华能风电220千伏升压站220千伏线路长度约24千米</w:t>
      </w:r>
      <w:r>
        <w:rPr>
          <w:rFonts w:hint="eastAsia" w:ascii="Times New Roman" w:hAnsi="Times New Roman" w:eastAsia="宋体" w:cs="Times New Roman"/>
          <w:color w:val="auto"/>
          <w:sz w:val="24"/>
          <w:szCs w:val="24"/>
          <w:highlight w:val="none"/>
          <w:lang w:eastAsia="zh-CN"/>
        </w:rPr>
        <w:t>，本项目属于</w:t>
      </w:r>
      <w:r>
        <w:rPr>
          <w:rFonts w:hint="default" w:ascii="Times New Roman" w:hAnsi="Times New Roman" w:eastAsia="宋体" w:cs="Times New Roman"/>
          <w:color w:val="auto"/>
          <w:sz w:val="24"/>
          <w:szCs w:val="24"/>
          <w:highlight w:val="none"/>
        </w:rPr>
        <w:t>“风光储氢热一体化”项目（光伏200MW）项目</w:t>
      </w:r>
      <w:r>
        <w:rPr>
          <w:rFonts w:hint="eastAsia" w:ascii="Times New Roman" w:hAnsi="Times New Roman" w:eastAsia="宋体" w:cs="Times New Roman"/>
          <w:color w:val="auto"/>
          <w:sz w:val="24"/>
          <w:szCs w:val="24"/>
          <w:highlight w:val="none"/>
          <w:lang w:eastAsia="zh-CN"/>
        </w:rPr>
        <w:t>光伏</w:t>
      </w:r>
      <w:r>
        <w:rPr>
          <w:rFonts w:hint="eastAsia" w:ascii="Times New Roman" w:hAnsi="Times New Roman" w:eastAsia="宋体" w:cs="Times New Roman"/>
          <w:color w:val="auto"/>
          <w:sz w:val="24"/>
          <w:szCs w:val="24"/>
          <w:highlight w:val="none"/>
          <w:lang w:val="en-US" w:eastAsia="zh-CN"/>
        </w:rPr>
        <w:t>220kV升压站到</w:t>
      </w:r>
      <w:r>
        <w:rPr>
          <w:rFonts w:hint="default" w:ascii="Times New Roman" w:hAnsi="Times New Roman" w:eastAsia="宋体" w:cs="Times New Roman"/>
          <w:bCs/>
          <w:color w:val="auto"/>
          <w:sz w:val="24"/>
          <w:szCs w:val="24"/>
          <w:highlight w:val="none"/>
        </w:rPr>
        <w:t>华能围场“风光储氢热一体化”项目（风电200MW）项目</w:t>
      </w:r>
      <w:r>
        <w:rPr>
          <w:rFonts w:hint="eastAsia" w:ascii="Times New Roman" w:hAnsi="Times New Roman" w:eastAsia="宋体" w:cs="Times New Roman"/>
          <w:bCs/>
          <w:color w:val="auto"/>
          <w:sz w:val="24"/>
          <w:szCs w:val="24"/>
          <w:highlight w:val="none"/>
          <w:lang w:eastAsia="zh-CN"/>
        </w:rPr>
        <w:t>风电</w:t>
      </w:r>
      <w:r>
        <w:rPr>
          <w:rFonts w:hint="eastAsia" w:ascii="Times New Roman" w:hAnsi="Times New Roman" w:eastAsia="宋体" w:cs="Times New Roman"/>
          <w:bCs/>
          <w:color w:val="auto"/>
          <w:sz w:val="24"/>
          <w:szCs w:val="24"/>
          <w:highlight w:val="none"/>
          <w:lang w:val="en-US" w:eastAsia="zh-CN"/>
        </w:rPr>
        <w:t>220kV升压站的联络线工程。本项目依托两端的升压站，待两端升压站运行后本项目才可正常运行。</w:t>
      </w:r>
    </w:p>
    <w:p w14:paraId="644AFA18">
      <w:pPr>
        <w:pStyle w:val="23"/>
        <w:spacing w:line="480" w:lineRule="exact"/>
        <w:ind w:firstLine="480" w:firstLineChars="200"/>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委托河北冀跃工程咨询有限公司正在编制《</w:t>
      </w:r>
      <w:r>
        <w:rPr>
          <w:rFonts w:hint="default" w:ascii="Times New Roman" w:hAnsi="Times New Roman" w:eastAsia="宋体" w:cs="Times New Roman"/>
          <w:color w:val="auto"/>
          <w:sz w:val="24"/>
          <w:szCs w:val="24"/>
          <w:highlight w:val="none"/>
        </w:rPr>
        <w:t>华能围场“风光储氢热一体化”项目（光伏200MW）项目</w:t>
      </w:r>
      <w:r>
        <w:rPr>
          <w:rFonts w:hint="eastAsia" w:ascii="Times New Roman" w:hAnsi="Times New Roman" w:eastAsia="宋体" w:cs="Times New Roman"/>
          <w:color w:val="auto"/>
          <w:sz w:val="24"/>
          <w:szCs w:val="24"/>
          <w:highlight w:val="none"/>
          <w:lang w:val="en-US" w:eastAsia="zh-CN"/>
        </w:rPr>
        <w:t>220kV升压站工程环境影响报告表</w:t>
      </w:r>
      <w:r>
        <w:rPr>
          <w:rFonts w:hint="eastAsia" w:ascii="Times New Roman" w:hAnsi="Times New Roman" w:eastAsia="宋体" w:cs="Times New Roman"/>
          <w:bCs/>
          <w:color w:val="auto"/>
          <w:sz w:val="24"/>
          <w:szCs w:val="24"/>
          <w:highlight w:val="none"/>
          <w:lang w:eastAsia="zh-CN"/>
        </w:rPr>
        <w:t>》（协议见附件），</w:t>
      </w:r>
      <w:r>
        <w:rPr>
          <w:rFonts w:hint="default" w:ascii="Times New Roman" w:hAnsi="Times New Roman" w:eastAsia="宋体" w:cs="Times New Roman"/>
          <w:bCs/>
          <w:color w:val="auto"/>
          <w:sz w:val="24"/>
          <w:szCs w:val="24"/>
          <w:highlight w:val="none"/>
        </w:rPr>
        <w:t>围场满族蒙古族自治县阳洁光伏发电有限责任公司</w:t>
      </w:r>
      <w:r>
        <w:rPr>
          <w:rFonts w:hint="eastAsia" w:ascii="Times New Roman" w:hAnsi="Times New Roman" w:eastAsia="宋体" w:cs="Times New Roman"/>
          <w:bCs/>
          <w:color w:val="auto"/>
          <w:sz w:val="24"/>
          <w:szCs w:val="24"/>
          <w:highlight w:val="none"/>
          <w:lang w:eastAsia="zh-CN"/>
        </w:rPr>
        <w:t>委托《华能围场“风光储氢热一体化”项目（风电200MW）项目220kV升压站工程环境影响报告表》，该报告表已上报承德市数据和政务服务局审批，线路依托的两端升压站内容合法合规</w:t>
      </w:r>
      <w:r>
        <w:rPr>
          <w:rFonts w:hint="default" w:ascii="Times New Roman" w:hAnsi="Times New Roman" w:eastAsia="宋体" w:cs="Times New Roman"/>
          <w:color w:val="auto"/>
          <w:sz w:val="24"/>
          <w:szCs w:val="24"/>
          <w:highlight w:val="none"/>
        </w:rPr>
        <w:t>。</w:t>
      </w:r>
    </w:p>
    <w:p w14:paraId="014EFA3A">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本项目为</w:t>
      </w:r>
      <w:r>
        <w:rPr>
          <w:rFonts w:ascii="Times New Roman" w:hAnsi="Times New Roman" w:eastAsia="宋体" w:cs="Times New Roman"/>
          <w:color w:val="auto"/>
          <w:sz w:val="24"/>
          <w:szCs w:val="24"/>
          <w:highlight w:val="none"/>
        </w:rPr>
        <w:t>华能围场“风光储氢热一体化”项目（光伏200MW）项目</w:t>
      </w:r>
      <w:r>
        <w:rPr>
          <w:rFonts w:ascii="Times New Roman" w:hAnsi="Times New Roman" w:eastAsia="宋体" w:cs="Times New Roman"/>
          <w:bCs/>
          <w:color w:val="auto"/>
          <w:sz w:val="24"/>
          <w:szCs w:val="24"/>
          <w:highlight w:val="none"/>
        </w:rPr>
        <w:t>配套建设的</w:t>
      </w:r>
      <w:r>
        <w:rPr>
          <w:rFonts w:hint="eastAsia" w:ascii="Times New Roman" w:hAnsi="Times New Roman" w:eastAsia="宋体" w:cs="Times New Roman"/>
          <w:bCs/>
          <w:color w:val="auto"/>
          <w:sz w:val="24"/>
          <w:szCs w:val="24"/>
          <w:highlight w:val="none"/>
        </w:rPr>
        <w:t>输电线路</w:t>
      </w:r>
      <w:r>
        <w:rPr>
          <w:rFonts w:ascii="Times New Roman" w:hAnsi="Times New Roman" w:eastAsia="宋体" w:cs="Times New Roman"/>
          <w:bCs/>
          <w:color w:val="auto"/>
          <w:sz w:val="24"/>
          <w:szCs w:val="24"/>
          <w:highlight w:val="none"/>
        </w:rPr>
        <w:t>工程，为满足</w:t>
      </w:r>
      <w:r>
        <w:rPr>
          <w:rFonts w:ascii="Times New Roman" w:hAnsi="Times New Roman" w:eastAsia="宋体" w:cs="Times New Roman"/>
          <w:color w:val="auto"/>
          <w:sz w:val="24"/>
          <w:szCs w:val="24"/>
          <w:highlight w:val="none"/>
        </w:rPr>
        <w:t>华能围场“风光储氢热一体化”项目（光伏200MW）项目</w:t>
      </w:r>
      <w:r>
        <w:rPr>
          <w:rFonts w:ascii="Times New Roman" w:hAnsi="Times New Roman" w:eastAsia="宋体" w:cs="Times New Roman"/>
          <w:bCs/>
          <w:color w:val="auto"/>
          <w:sz w:val="24"/>
          <w:szCs w:val="24"/>
          <w:highlight w:val="none"/>
        </w:rPr>
        <w:t>输变电需求，</w:t>
      </w:r>
      <w:r>
        <w:rPr>
          <w:rFonts w:ascii="Times New Roman" w:hAnsi="Times New Roman" w:eastAsia="宋体" w:cs="Times New Roman"/>
          <w:color w:val="auto"/>
          <w:sz w:val="24"/>
          <w:szCs w:val="24"/>
          <w:highlight w:val="none"/>
        </w:rPr>
        <w:t>华能围场“风光储氢热一体化”项目（光伏200MW）项目220kV送出线路工程项目</w:t>
      </w:r>
      <w:r>
        <w:rPr>
          <w:rFonts w:ascii="Times New Roman" w:hAnsi="Times New Roman" w:eastAsia="宋体" w:cs="Times New Roman"/>
          <w:bCs/>
          <w:color w:val="auto"/>
          <w:sz w:val="24"/>
          <w:szCs w:val="24"/>
          <w:highlight w:val="none"/>
        </w:rPr>
        <w:t>是必要的。</w:t>
      </w:r>
    </w:p>
    <w:p w14:paraId="3D2733C2">
      <w:pPr>
        <w:pStyle w:val="23"/>
        <w:spacing w:line="480" w:lineRule="exact"/>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、接入系统和项目立项情况</w:t>
      </w:r>
    </w:p>
    <w:p w14:paraId="5BFD2D67">
      <w:pPr>
        <w:pStyle w:val="23"/>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2023年</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rPr>
        <w:t>22</w:t>
      </w:r>
      <w:r>
        <w:rPr>
          <w:rFonts w:ascii="Times New Roman" w:hAnsi="Times New Roman" w:eastAsia="宋体" w:cs="Times New Roman"/>
          <w:color w:val="auto"/>
          <w:sz w:val="24"/>
          <w:szCs w:val="24"/>
          <w:highlight w:val="none"/>
        </w:rPr>
        <w:t>日，国网冀北电力有限公司</w:t>
      </w:r>
      <w:r>
        <w:rPr>
          <w:rFonts w:hint="eastAsia" w:ascii="Times New Roman" w:hAnsi="Times New Roman" w:eastAsia="宋体" w:cs="Times New Roman"/>
          <w:color w:val="auto"/>
          <w:sz w:val="24"/>
          <w:szCs w:val="24"/>
          <w:highlight w:val="none"/>
        </w:rPr>
        <w:t>经济技术研究院出具关于</w:t>
      </w:r>
      <w:r>
        <w:rPr>
          <w:rFonts w:ascii="Times New Roman" w:hAnsi="Times New Roman" w:eastAsia="宋体" w:cs="Times New Roman"/>
          <w:color w:val="auto"/>
          <w:sz w:val="24"/>
          <w:szCs w:val="24"/>
          <w:highlight w:val="none"/>
        </w:rPr>
        <w:t>华能围场“风光储氢热一体化”项目（光伏200</w:t>
      </w:r>
      <w:r>
        <w:rPr>
          <w:rFonts w:hint="eastAsia" w:ascii="Times New Roman" w:hAnsi="Times New Roman" w:eastAsia="宋体" w:cs="Times New Roman"/>
          <w:color w:val="auto"/>
          <w:sz w:val="24"/>
          <w:szCs w:val="24"/>
          <w:highlight w:val="none"/>
        </w:rPr>
        <w:t>兆瓦</w:t>
      </w:r>
      <w:r>
        <w:rPr>
          <w:rFonts w:ascii="Times New Roman" w:hAnsi="Times New Roman" w:eastAsia="宋体" w:cs="Times New Roman"/>
          <w:color w:val="auto"/>
          <w:sz w:val="24"/>
          <w:szCs w:val="24"/>
          <w:highlight w:val="none"/>
        </w:rPr>
        <w:t>）接入系统</w:t>
      </w:r>
      <w:r>
        <w:rPr>
          <w:rFonts w:hint="eastAsia" w:ascii="Times New Roman" w:hAnsi="Times New Roman" w:eastAsia="宋体" w:cs="Times New Roman"/>
          <w:color w:val="auto"/>
          <w:sz w:val="24"/>
          <w:szCs w:val="24"/>
          <w:highlight w:val="none"/>
        </w:rPr>
        <w:t>设计的评审意见</w:t>
      </w:r>
      <w:r>
        <w:rPr>
          <w:rFonts w:ascii="Times New Roman" w:hAnsi="Times New Roman" w:eastAsia="宋体" w:cs="Times New Roman"/>
          <w:color w:val="auto"/>
          <w:sz w:val="24"/>
          <w:szCs w:val="24"/>
          <w:highlight w:val="none"/>
        </w:rPr>
        <w:t>（冀北</w:t>
      </w:r>
      <w:r>
        <w:rPr>
          <w:rFonts w:hint="eastAsia" w:ascii="Times New Roman" w:hAnsi="Times New Roman" w:eastAsia="宋体" w:cs="Times New Roman"/>
          <w:color w:val="auto"/>
          <w:sz w:val="24"/>
          <w:szCs w:val="24"/>
          <w:highlight w:val="none"/>
        </w:rPr>
        <w:t>经研</w:t>
      </w:r>
      <w:r>
        <w:rPr>
          <w:rFonts w:ascii="Times New Roman" w:hAnsi="Times New Roman" w:eastAsia="宋体" w:cs="Times New Roman"/>
          <w:color w:val="auto"/>
          <w:sz w:val="24"/>
          <w:szCs w:val="24"/>
          <w:highlight w:val="none"/>
        </w:rPr>
        <w:t>〔2023〕</w:t>
      </w:r>
      <w:r>
        <w:rPr>
          <w:rFonts w:hint="eastAsia" w:ascii="Times New Roman" w:hAnsi="Times New Roman" w:eastAsia="宋体" w:cs="Times New Roman"/>
          <w:color w:val="auto"/>
          <w:sz w:val="24"/>
          <w:szCs w:val="24"/>
          <w:highlight w:val="none"/>
        </w:rPr>
        <w:t>300</w:t>
      </w:r>
      <w:r>
        <w:rPr>
          <w:rFonts w:ascii="Times New Roman" w:hAnsi="Times New Roman" w:eastAsia="宋体" w:cs="Times New Roman"/>
          <w:color w:val="auto"/>
          <w:sz w:val="24"/>
          <w:szCs w:val="24"/>
          <w:highlight w:val="none"/>
        </w:rPr>
        <w:t>号），根据接入系统设计</w:t>
      </w:r>
      <w:r>
        <w:rPr>
          <w:rFonts w:hint="eastAsia" w:ascii="Times New Roman" w:hAnsi="Times New Roman" w:eastAsia="宋体" w:cs="Times New Roman"/>
          <w:color w:val="auto"/>
          <w:sz w:val="24"/>
          <w:szCs w:val="24"/>
          <w:highlight w:val="none"/>
        </w:rPr>
        <w:t>：新建华能光伏220千伏升压站，新建1台200兆伏安主变，电压等级220/35千伏。本工程200兆瓦光伏、30兆瓦/60兆瓦时储能系统分别通过8回、2回35千伏集电线路接入华能光伏220千伏升压站主变低压侧，升压后通过华能光伏220千伏升压站~华能风电220千伏升压站~牌楼500千伏变电站的220千伏线路并网运行。新建华能光伏220千伏升压站~华能风电220千伏升压站220千伏线路长度约24千米，导线型号不低于JL/G1A-240。</w:t>
      </w:r>
    </w:p>
    <w:p w14:paraId="34716053">
      <w:pPr>
        <w:pStyle w:val="23"/>
        <w:spacing w:line="48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本项目已于2024年</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月5日取得</w:t>
      </w:r>
      <w:r>
        <w:rPr>
          <w:rFonts w:hint="eastAsia" w:ascii="Times New Roman" w:hAnsi="Times New Roman" w:eastAsia="宋体" w:cs="Times New Roman"/>
          <w:color w:val="auto"/>
          <w:sz w:val="24"/>
          <w:szCs w:val="24"/>
          <w:highlight w:val="none"/>
        </w:rPr>
        <w:t>承德</w:t>
      </w:r>
      <w:r>
        <w:rPr>
          <w:rFonts w:ascii="Times New Roman" w:hAnsi="Times New Roman" w:eastAsia="宋体" w:cs="Times New Roman"/>
          <w:color w:val="auto"/>
          <w:sz w:val="24"/>
          <w:szCs w:val="24"/>
          <w:highlight w:val="none"/>
        </w:rPr>
        <w:t>市行政审批局关于华能围场“风光储氢热一体化”项目（光伏200MW）项目220kV送出线路工程项目核准的批复（</w:t>
      </w:r>
      <w:r>
        <w:rPr>
          <w:rFonts w:hint="eastAsia" w:ascii="Times New Roman" w:hAnsi="Times New Roman" w:eastAsia="宋体" w:cs="Times New Roman"/>
          <w:color w:val="auto"/>
          <w:sz w:val="24"/>
          <w:szCs w:val="24"/>
          <w:highlight w:val="none"/>
        </w:rPr>
        <w:t>承审批核</w:t>
      </w:r>
      <w:r>
        <w:rPr>
          <w:rFonts w:ascii="Times New Roman" w:hAnsi="Times New Roman" w:eastAsia="宋体" w:cs="Times New Roman"/>
          <w:color w:val="auto"/>
          <w:sz w:val="24"/>
          <w:szCs w:val="24"/>
          <w:highlight w:val="none"/>
        </w:rPr>
        <w:t>字〔2024〕1</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号），项目代码240</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-130</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00-89-01-</w:t>
      </w:r>
      <w:r>
        <w:rPr>
          <w:rFonts w:hint="eastAsia" w:ascii="Times New Roman" w:hAnsi="Times New Roman" w:eastAsia="宋体" w:cs="Times New Roman"/>
          <w:color w:val="auto"/>
          <w:sz w:val="24"/>
          <w:szCs w:val="24"/>
          <w:highlight w:val="none"/>
        </w:rPr>
        <w:t>759066</w:t>
      </w:r>
      <w:r>
        <w:rPr>
          <w:rFonts w:ascii="Times New Roman" w:hAnsi="Times New Roman" w:eastAsia="宋体" w:cs="Times New Roman"/>
          <w:color w:val="auto"/>
          <w:sz w:val="24"/>
          <w:szCs w:val="24"/>
          <w:highlight w:val="none"/>
        </w:rPr>
        <w:t>。</w:t>
      </w:r>
    </w:p>
    <w:p w14:paraId="77D8318E">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1.2 评价工作过程</w:t>
      </w:r>
    </w:p>
    <w:p w14:paraId="51865BA4">
      <w:pPr>
        <w:ind w:firstLine="480"/>
        <w:rPr>
          <w:rFonts w:cs="Times New Roman"/>
          <w:color w:val="auto"/>
          <w:highlight w:val="none"/>
        </w:rPr>
      </w:pPr>
      <w:r>
        <w:rPr>
          <w:rFonts w:eastAsia="宋体" w:cs="Times New Roman"/>
          <w:bCs/>
          <w:color w:val="auto"/>
          <w:szCs w:val="24"/>
          <w:highlight w:val="none"/>
        </w:rPr>
        <w:t>本项目电压等级为220kV，按照《建设项目环境影响评价分类管理名录》的有关规定，本项目类别属于“五十五、核与辐射”中“161输变电工程”，需编制环境影响报告表，202</w:t>
      </w:r>
      <w:r>
        <w:rPr>
          <w:rFonts w:hint="eastAsia" w:eastAsia="宋体" w:cs="Times New Roman"/>
          <w:bCs/>
          <w:color w:val="auto"/>
          <w:szCs w:val="24"/>
          <w:highlight w:val="none"/>
          <w:lang w:val="en-US" w:eastAsia="zh-CN"/>
        </w:rPr>
        <w:t>3</w:t>
      </w:r>
      <w:r>
        <w:rPr>
          <w:rFonts w:eastAsia="宋体" w:cs="Times New Roman"/>
          <w:bCs/>
          <w:color w:val="auto"/>
          <w:szCs w:val="24"/>
          <w:highlight w:val="none"/>
        </w:rPr>
        <w:t>年</w:t>
      </w:r>
      <w:r>
        <w:rPr>
          <w:rFonts w:hint="eastAsia" w:eastAsia="宋体" w:cs="Times New Roman"/>
          <w:bCs/>
          <w:color w:val="auto"/>
          <w:szCs w:val="24"/>
          <w:highlight w:val="none"/>
          <w:lang w:val="en-US" w:eastAsia="zh-CN"/>
        </w:rPr>
        <w:t>8</w:t>
      </w:r>
      <w:r>
        <w:rPr>
          <w:rFonts w:eastAsia="宋体" w:cs="Times New Roman"/>
          <w:bCs/>
          <w:color w:val="auto"/>
          <w:szCs w:val="24"/>
          <w:highlight w:val="none"/>
        </w:rPr>
        <w:t>月，委托河北冀跃工程咨询有限公司开展</w:t>
      </w:r>
      <w:r>
        <w:rPr>
          <w:rFonts w:eastAsia="宋体" w:cs="Times New Roman"/>
          <w:color w:val="auto"/>
          <w:szCs w:val="24"/>
          <w:highlight w:val="none"/>
        </w:rPr>
        <w:t>华能围场</w:t>
      </w:r>
      <w:r>
        <w:rPr>
          <w:rFonts w:hint="eastAsia" w:eastAsia="宋体" w:cs="Times New Roman"/>
          <w:color w:val="auto"/>
          <w:szCs w:val="24"/>
          <w:highlight w:val="none"/>
        </w:rPr>
        <w:t>“</w:t>
      </w:r>
      <w:r>
        <w:rPr>
          <w:rFonts w:eastAsia="宋体" w:cs="Times New Roman"/>
          <w:color w:val="auto"/>
          <w:szCs w:val="24"/>
          <w:highlight w:val="none"/>
        </w:rPr>
        <w:t>风光储氢热一体化</w:t>
      </w:r>
      <w:r>
        <w:rPr>
          <w:rFonts w:hint="eastAsia" w:eastAsia="宋体" w:cs="Times New Roman"/>
          <w:color w:val="auto"/>
          <w:szCs w:val="24"/>
          <w:highlight w:val="none"/>
        </w:rPr>
        <w:t>”</w:t>
      </w:r>
      <w:r>
        <w:rPr>
          <w:rFonts w:eastAsia="宋体" w:cs="Times New Roman"/>
          <w:color w:val="auto"/>
          <w:szCs w:val="24"/>
          <w:highlight w:val="none"/>
        </w:rPr>
        <w:t>项目（光伏200MW）项目220kV送出线路工程项目</w:t>
      </w:r>
      <w:r>
        <w:rPr>
          <w:rFonts w:eastAsia="宋体" w:cs="Times New Roman"/>
          <w:bCs/>
          <w:color w:val="auto"/>
          <w:szCs w:val="24"/>
          <w:highlight w:val="none"/>
        </w:rPr>
        <w:t>的环境影响评价工作（详见附件1），我单位对本工程进行了实地踏勘和调查，收集了环境质量现状及有关工程资料，</w:t>
      </w:r>
      <w:r>
        <w:rPr>
          <w:rFonts w:cs="Times New Roman"/>
          <w:color w:val="auto"/>
          <w:highlight w:val="none"/>
        </w:rPr>
        <w:t>在此基础上，对收集的资料和数据处理分析，对工程区及评价范围的</w:t>
      </w:r>
      <w:r>
        <w:rPr>
          <w:rFonts w:hint="eastAsia" w:cs="Times New Roman"/>
          <w:color w:val="auto"/>
          <w:highlight w:val="none"/>
          <w:lang w:eastAsia="zh-CN"/>
        </w:rPr>
        <w:t>生态</w:t>
      </w:r>
      <w:r>
        <w:rPr>
          <w:rFonts w:cs="Times New Roman"/>
          <w:color w:val="auto"/>
          <w:highlight w:val="none"/>
        </w:rPr>
        <w:t>环境现状进行了评价，针对工程建设中可能存在的环保问题提出了相应的环保措施，并从环境保护的角度论证了工程建设的可行性。编制完成了《</w:t>
      </w:r>
      <w:r>
        <w:rPr>
          <w:rFonts w:eastAsia="宋体" w:cs="Times New Roman"/>
          <w:color w:val="auto"/>
          <w:szCs w:val="24"/>
          <w:highlight w:val="none"/>
        </w:rPr>
        <w:t>华能围场</w:t>
      </w:r>
      <w:r>
        <w:rPr>
          <w:rFonts w:hint="eastAsia" w:eastAsia="宋体" w:cs="Times New Roman"/>
          <w:color w:val="auto"/>
          <w:szCs w:val="24"/>
          <w:highlight w:val="none"/>
        </w:rPr>
        <w:t>“</w:t>
      </w:r>
      <w:r>
        <w:rPr>
          <w:rFonts w:eastAsia="宋体" w:cs="Times New Roman"/>
          <w:color w:val="auto"/>
          <w:szCs w:val="24"/>
          <w:highlight w:val="none"/>
        </w:rPr>
        <w:t>风光储氢热一体化</w:t>
      </w:r>
      <w:r>
        <w:rPr>
          <w:rFonts w:hint="eastAsia" w:eastAsia="宋体" w:cs="Times New Roman"/>
          <w:color w:val="auto"/>
          <w:szCs w:val="24"/>
          <w:highlight w:val="none"/>
        </w:rPr>
        <w:t>”</w:t>
      </w:r>
      <w:r>
        <w:rPr>
          <w:rFonts w:eastAsia="宋体" w:cs="Times New Roman"/>
          <w:color w:val="auto"/>
          <w:szCs w:val="24"/>
          <w:highlight w:val="none"/>
        </w:rPr>
        <w:t>项目（光伏200MW）项目220kV送出线路工程项目</w:t>
      </w:r>
      <w:r>
        <w:rPr>
          <w:rFonts w:hint="eastAsia" w:eastAsia="宋体" w:cs="Times New Roman"/>
          <w:color w:val="auto"/>
          <w:szCs w:val="24"/>
          <w:highlight w:val="none"/>
          <w:lang w:eastAsia="zh-CN"/>
        </w:rPr>
        <w:t>生态</w:t>
      </w:r>
      <w:r>
        <w:rPr>
          <w:rFonts w:cs="Times New Roman"/>
          <w:color w:val="auto"/>
          <w:highlight w:val="none"/>
        </w:rPr>
        <w:t>环境影响专项评价》。</w:t>
      </w:r>
    </w:p>
    <w:p w14:paraId="2F0B4758">
      <w:pPr>
        <w:pStyle w:val="23"/>
        <w:spacing w:line="480" w:lineRule="exact"/>
        <w:ind w:firstLine="480" w:firstLineChars="200"/>
        <w:rPr>
          <w:rFonts w:ascii="Times New Roman" w:hAnsi="Times New Roman" w:eastAsia="宋体" w:cs="Times New Roman"/>
          <w:bCs/>
          <w:color w:val="auto"/>
          <w:sz w:val="24"/>
          <w:szCs w:val="24"/>
          <w:highlight w:val="none"/>
        </w:rPr>
      </w:pPr>
    </w:p>
    <w:p w14:paraId="276DB0AF">
      <w:pPr>
        <w:ind w:firstLine="480"/>
        <w:rPr>
          <w:rFonts w:cs="Times New Roman"/>
          <w:color w:val="auto"/>
          <w:highlight w:val="none"/>
        </w:rPr>
      </w:pPr>
    </w:p>
    <w:p w14:paraId="4636C265">
      <w:pPr>
        <w:ind w:firstLine="480"/>
        <w:rPr>
          <w:rFonts w:cs="Times New Roman"/>
          <w:color w:val="auto"/>
          <w:highlight w:val="none"/>
        </w:rPr>
      </w:pPr>
      <w:r>
        <w:rPr>
          <w:rFonts w:cs="Times New Roman"/>
          <w:color w:val="auto"/>
          <w:highlight w:val="none"/>
        </w:rPr>
        <w:br w:type="page"/>
      </w:r>
    </w:p>
    <w:p w14:paraId="7648E59A">
      <w:pPr>
        <w:ind w:firstLine="480"/>
        <w:rPr>
          <w:rFonts w:cs="Times New Roman"/>
          <w:color w:val="auto"/>
          <w:highlight w:val="none"/>
        </w:rPr>
      </w:pPr>
    </w:p>
    <w:p w14:paraId="462D4769">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kern w:val="0"/>
          <w:highlight w:val="none"/>
        </w:rPr>
      </w:pPr>
      <w:bookmarkStart w:id="40" w:name="_Toc23438"/>
      <w:r>
        <w:rPr>
          <w:rFonts w:cs="Times New Roman"/>
          <w:color w:val="auto"/>
          <w:kern w:val="0"/>
          <w:highlight w:val="none"/>
        </w:rPr>
        <w:t>2总则</w:t>
      </w:r>
      <w:bookmarkEnd w:id="40"/>
    </w:p>
    <w:p w14:paraId="2251E02E">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2.1编制依据</w:t>
      </w:r>
    </w:p>
    <w:p w14:paraId="23E63DB7">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1、</w:t>
      </w:r>
      <w:r>
        <w:rPr>
          <w:rFonts w:hint="eastAsia" w:eastAsia="宋体" w:cs="Times New Roman"/>
          <w:bCs/>
          <w:color w:val="auto"/>
          <w:szCs w:val="24"/>
          <w:highlight w:val="none"/>
        </w:rPr>
        <w:t>法律法规</w:t>
      </w:r>
    </w:p>
    <w:p w14:paraId="75D528BD">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w:t>
      </w:r>
      <w:r>
        <w:rPr>
          <w:rFonts w:hint="eastAsia" w:eastAsia="宋体" w:cs="Times New Roman"/>
          <w:bCs/>
          <w:color w:val="auto"/>
          <w:szCs w:val="24"/>
          <w:highlight w:val="none"/>
          <w:lang w:eastAsia="zh-CN"/>
        </w:rPr>
        <w:t>）</w:t>
      </w:r>
      <w:r>
        <w:rPr>
          <w:rFonts w:eastAsia="宋体" w:cs="Times New Roman"/>
          <w:bCs/>
          <w:color w:val="auto"/>
          <w:szCs w:val="24"/>
          <w:highlight w:val="none"/>
        </w:rPr>
        <w:t>《中华人民共和国环境保护法》(2014年4月24日发布，2015年1月1日实施）；</w:t>
      </w:r>
    </w:p>
    <w:p w14:paraId="2569062F">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2</w:t>
      </w:r>
      <w:r>
        <w:rPr>
          <w:rFonts w:hint="eastAsia" w:eastAsia="宋体" w:cs="Times New Roman"/>
          <w:bCs/>
          <w:color w:val="auto"/>
          <w:szCs w:val="24"/>
          <w:highlight w:val="none"/>
          <w:lang w:eastAsia="zh-CN"/>
        </w:rPr>
        <w:t>）</w:t>
      </w:r>
      <w:r>
        <w:rPr>
          <w:rFonts w:eastAsia="宋体" w:cs="Times New Roman"/>
          <w:bCs/>
          <w:color w:val="auto"/>
          <w:szCs w:val="24"/>
          <w:highlight w:val="none"/>
        </w:rPr>
        <w:t>《中华人民共和国环境影响评价法》（修订）(2018年12月29日修订并</w:t>
      </w:r>
      <w:r>
        <w:rPr>
          <w:rFonts w:hint="eastAsia" w:eastAsia="宋体" w:cs="Times New Roman"/>
          <w:bCs/>
          <w:color w:val="auto"/>
          <w:szCs w:val="24"/>
          <w:highlight w:val="none"/>
        </w:rPr>
        <w:t>实施</w:t>
      </w:r>
      <w:r>
        <w:rPr>
          <w:rFonts w:eastAsia="宋体" w:cs="Times New Roman"/>
          <w:bCs/>
          <w:color w:val="auto"/>
          <w:szCs w:val="24"/>
          <w:highlight w:val="none"/>
        </w:rPr>
        <w:t>）；</w:t>
      </w:r>
    </w:p>
    <w:p w14:paraId="0C085025">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3</w:t>
      </w:r>
      <w:r>
        <w:rPr>
          <w:rFonts w:hint="eastAsia" w:eastAsia="宋体" w:cs="Times New Roman"/>
          <w:bCs/>
          <w:color w:val="auto"/>
          <w:szCs w:val="24"/>
          <w:highlight w:val="none"/>
          <w:lang w:eastAsia="zh-CN"/>
        </w:rPr>
        <w:t>）</w:t>
      </w:r>
      <w:r>
        <w:rPr>
          <w:rFonts w:eastAsia="宋体" w:cs="Times New Roman"/>
          <w:bCs/>
          <w:color w:val="auto"/>
          <w:szCs w:val="24"/>
          <w:highlight w:val="none"/>
        </w:rPr>
        <w:t>《中华人民共和国电力法》(2018年12月29日修订并实施）；</w:t>
      </w:r>
    </w:p>
    <w:p w14:paraId="45E0871E">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4</w:t>
      </w:r>
      <w:r>
        <w:rPr>
          <w:rFonts w:hint="eastAsia" w:eastAsia="宋体" w:cs="Times New Roman"/>
          <w:bCs/>
          <w:color w:val="auto"/>
          <w:szCs w:val="24"/>
          <w:highlight w:val="none"/>
          <w:lang w:eastAsia="zh-CN"/>
        </w:rPr>
        <w:t>）</w:t>
      </w:r>
      <w:r>
        <w:rPr>
          <w:rFonts w:eastAsia="宋体" w:cs="Times New Roman"/>
          <w:bCs/>
          <w:color w:val="auto"/>
          <w:szCs w:val="24"/>
          <w:highlight w:val="none"/>
        </w:rPr>
        <w:t>《建设项目环境保护管理条例》（国务院令第682号，2017年7月16日公布，2017年10月1日实施）；</w:t>
      </w:r>
    </w:p>
    <w:p w14:paraId="5D18BB03">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5</w:t>
      </w:r>
      <w:r>
        <w:rPr>
          <w:rFonts w:hint="eastAsia" w:eastAsia="宋体" w:cs="Times New Roman"/>
          <w:bCs/>
          <w:color w:val="auto"/>
          <w:szCs w:val="24"/>
          <w:highlight w:val="none"/>
        </w:rPr>
        <w:t>）《中华人民共和国野生植物保护条例》（2017年修订）；</w:t>
      </w:r>
    </w:p>
    <w:p w14:paraId="3466076B">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6</w:t>
      </w:r>
      <w:r>
        <w:rPr>
          <w:rFonts w:hint="eastAsia" w:eastAsia="宋体" w:cs="Times New Roman"/>
          <w:bCs/>
          <w:color w:val="auto"/>
          <w:szCs w:val="24"/>
          <w:highlight w:val="none"/>
        </w:rPr>
        <w:t>）《中华人民共和国陆生野生动物保护实施条例》（2016年修订）；</w:t>
      </w:r>
    </w:p>
    <w:p w14:paraId="2D828A29">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7</w:t>
      </w:r>
      <w:r>
        <w:rPr>
          <w:rFonts w:hint="eastAsia" w:eastAsia="宋体" w:cs="Times New Roman"/>
          <w:bCs/>
          <w:color w:val="auto"/>
          <w:szCs w:val="24"/>
          <w:highlight w:val="none"/>
        </w:rPr>
        <w:t>）《中华人民共和国水生野生动物保护实施条例》（2013年修订）；</w:t>
      </w:r>
    </w:p>
    <w:p w14:paraId="76282FAE">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8</w:t>
      </w:r>
      <w:r>
        <w:rPr>
          <w:rFonts w:hint="eastAsia" w:eastAsia="宋体" w:cs="Times New Roman"/>
          <w:bCs/>
          <w:color w:val="auto"/>
          <w:szCs w:val="24"/>
          <w:highlight w:val="none"/>
        </w:rPr>
        <w:t>）《中华人民共和国自然保护区条例》（2017年修订）；</w:t>
      </w:r>
    </w:p>
    <w:p w14:paraId="2CD7950A">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9</w:t>
      </w:r>
      <w:r>
        <w:rPr>
          <w:rFonts w:hint="eastAsia" w:eastAsia="宋体" w:cs="Times New Roman"/>
          <w:bCs/>
          <w:color w:val="auto"/>
          <w:szCs w:val="24"/>
          <w:highlight w:val="none"/>
        </w:rPr>
        <w:t>）《河北省生态环境保护条例》（2020年修订）；</w:t>
      </w:r>
    </w:p>
    <w:p w14:paraId="06EF28CD">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10</w:t>
      </w:r>
      <w:r>
        <w:rPr>
          <w:rFonts w:hint="eastAsia" w:eastAsia="宋体" w:cs="Times New Roman"/>
          <w:bCs/>
          <w:color w:val="auto"/>
          <w:szCs w:val="24"/>
          <w:highlight w:val="none"/>
        </w:rPr>
        <w:t>）《河北省陆生野生动物保护条例》（2016年修正）；</w:t>
      </w:r>
    </w:p>
    <w:p w14:paraId="1DED5AF1">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11</w:t>
      </w:r>
      <w:r>
        <w:rPr>
          <w:rFonts w:hint="eastAsia" w:eastAsia="宋体" w:cs="Times New Roman"/>
          <w:bCs/>
          <w:color w:val="auto"/>
          <w:szCs w:val="24"/>
          <w:highlight w:val="none"/>
        </w:rPr>
        <w:t>）《河北省植物保护条例》（2010年修正）</w:t>
      </w:r>
      <w:r>
        <w:rPr>
          <w:rFonts w:hint="eastAsia" w:eastAsia="宋体" w:cs="Times New Roman"/>
          <w:bCs/>
          <w:color w:val="auto"/>
          <w:szCs w:val="24"/>
          <w:highlight w:val="none"/>
          <w:lang w:eastAsia="zh-CN"/>
        </w:rPr>
        <w:t>；</w:t>
      </w:r>
    </w:p>
    <w:p w14:paraId="72A4E93E">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12</w:t>
      </w:r>
      <w:r>
        <w:rPr>
          <w:rFonts w:hint="eastAsia" w:eastAsia="宋体" w:cs="Times New Roman"/>
          <w:bCs/>
          <w:color w:val="auto"/>
          <w:szCs w:val="24"/>
          <w:highlight w:val="none"/>
          <w:lang w:eastAsia="zh-CN"/>
        </w:rPr>
        <w:t>）</w:t>
      </w:r>
      <w:r>
        <w:rPr>
          <w:rFonts w:eastAsia="宋体" w:cs="Times New Roman"/>
          <w:bCs/>
          <w:color w:val="auto"/>
          <w:szCs w:val="24"/>
          <w:highlight w:val="none"/>
        </w:rPr>
        <w:t>《电力设施保护条例》(2011年1月8日修订并实施）；</w:t>
      </w:r>
    </w:p>
    <w:p w14:paraId="607ABBF0">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13</w:t>
      </w:r>
      <w:r>
        <w:rPr>
          <w:rFonts w:hint="eastAsia" w:eastAsia="宋体" w:cs="Times New Roman"/>
          <w:bCs/>
          <w:color w:val="auto"/>
          <w:szCs w:val="24"/>
          <w:highlight w:val="none"/>
          <w:lang w:eastAsia="zh-CN"/>
        </w:rPr>
        <w:t>）</w:t>
      </w:r>
      <w:r>
        <w:rPr>
          <w:rFonts w:eastAsia="宋体" w:cs="Times New Roman"/>
          <w:bCs/>
          <w:color w:val="auto"/>
          <w:szCs w:val="24"/>
          <w:highlight w:val="none"/>
        </w:rPr>
        <w:t>《电力设施保护条例实施细则》(2011年6月30日修订并实施）；</w:t>
      </w:r>
    </w:p>
    <w:p w14:paraId="5E30DA24">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14</w:t>
      </w:r>
      <w:r>
        <w:rPr>
          <w:rFonts w:hint="eastAsia" w:eastAsia="宋体" w:cs="Times New Roman"/>
          <w:bCs/>
          <w:color w:val="auto"/>
          <w:szCs w:val="24"/>
          <w:highlight w:val="none"/>
          <w:lang w:eastAsia="zh-CN"/>
        </w:rPr>
        <w:t>）</w:t>
      </w:r>
      <w:r>
        <w:rPr>
          <w:rFonts w:eastAsia="宋体" w:cs="Times New Roman"/>
          <w:bCs/>
          <w:color w:val="auto"/>
          <w:szCs w:val="24"/>
          <w:highlight w:val="none"/>
        </w:rPr>
        <w:t>《建设项目环境影响评价分类管理名录（2021年本）》(2021年1月1日实施）；</w:t>
      </w:r>
    </w:p>
    <w:p w14:paraId="0873CC0C">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15</w:t>
      </w:r>
      <w:r>
        <w:rPr>
          <w:rFonts w:hint="eastAsia" w:eastAsia="宋体" w:cs="Times New Roman"/>
          <w:bCs/>
          <w:color w:val="auto"/>
          <w:szCs w:val="24"/>
          <w:highlight w:val="none"/>
          <w:lang w:eastAsia="zh-CN"/>
        </w:rPr>
        <w:t>）</w:t>
      </w:r>
      <w:r>
        <w:rPr>
          <w:rFonts w:eastAsia="宋体" w:cs="Times New Roman"/>
          <w:bCs/>
          <w:color w:val="auto"/>
          <w:szCs w:val="24"/>
          <w:highlight w:val="none"/>
        </w:rPr>
        <w:t>《关于进一步加强输变电类建设项目环境保护监管工作的通知》（环办[2012]131号）；</w:t>
      </w:r>
    </w:p>
    <w:p w14:paraId="7FDD4E9B">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16</w:t>
      </w:r>
      <w:r>
        <w:rPr>
          <w:rFonts w:hint="eastAsia" w:eastAsia="宋体" w:cs="Times New Roman"/>
          <w:bCs/>
          <w:color w:val="auto"/>
          <w:szCs w:val="24"/>
          <w:highlight w:val="none"/>
          <w:lang w:eastAsia="zh-CN"/>
        </w:rPr>
        <w:t>）</w:t>
      </w:r>
      <w:r>
        <w:rPr>
          <w:rFonts w:eastAsia="宋体" w:cs="Times New Roman"/>
          <w:bCs/>
          <w:color w:val="auto"/>
          <w:szCs w:val="24"/>
          <w:highlight w:val="none"/>
        </w:rPr>
        <w:t>《河北省电力条例》（河北省第十四届人民代表大会常务委员会第八次会议于2024年3月28日修订通过，2024年5月1日起施行）</w:t>
      </w:r>
      <w:r>
        <w:rPr>
          <w:rFonts w:hint="eastAsia" w:eastAsia="宋体" w:cs="Times New Roman"/>
          <w:bCs/>
          <w:color w:val="auto"/>
          <w:szCs w:val="24"/>
          <w:highlight w:val="none"/>
          <w:lang w:eastAsia="zh-CN"/>
        </w:rPr>
        <w:t>；</w:t>
      </w:r>
    </w:p>
    <w:p w14:paraId="0F5A4A92">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（1</w:t>
      </w:r>
      <w:r>
        <w:rPr>
          <w:rFonts w:hint="eastAsia" w:eastAsia="宋体" w:cs="Times New Roman"/>
          <w:bCs/>
          <w:color w:val="auto"/>
          <w:szCs w:val="24"/>
          <w:highlight w:val="none"/>
          <w:lang w:val="en-US" w:eastAsia="zh-CN"/>
        </w:rPr>
        <w:t>7</w:t>
      </w:r>
      <w:r>
        <w:rPr>
          <w:rFonts w:hint="eastAsia" w:eastAsia="宋体" w:cs="Times New Roman"/>
          <w:bCs/>
          <w:color w:val="auto"/>
          <w:szCs w:val="24"/>
          <w:highlight w:val="none"/>
          <w:lang w:eastAsia="zh-CN"/>
        </w:rPr>
        <w:t>）《森林和野生动物类型自然保护区管理办法》（1985年</w:t>
      </w:r>
      <w:r>
        <w:rPr>
          <w:rFonts w:hint="eastAsia" w:eastAsia="宋体" w:cs="Times New Roman"/>
          <w:bCs/>
          <w:color w:val="auto"/>
          <w:szCs w:val="24"/>
          <w:highlight w:val="none"/>
          <w:lang w:val="en-US" w:eastAsia="zh-CN"/>
        </w:rPr>
        <w:t>7月6日实施</w:t>
      </w:r>
      <w:r>
        <w:rPr>
          <w:rFonts w:hint="eastAsia" w:eastAsia="宋体" w:cs="Times New Roman"/>
          <w:bCs/>
          <w:color w:val="auto"/>
          <w:szCs w:val="24"/>
          <w:highlight w:val="none"/>
          <w:lang w:eastAsia="zh-CN"/>
        </w:rPr>
        <w:t>）；</w:t>
      </w:r>
    </w:p>
    <w:p w14:paraId="4CF7CD32">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18</w:t>
      </w:r>
      <w:r>
        <w:rPr>
          <w:rFonts w:hint="eastAsia" w:eastAsia="宋体" w:cs="Times New Roman"/>
          <w:bCs/>
          <w:color w:val="auto"/>
          <w:szCs w:val="24"/>
          <w:highlight w:val="none"/>
          <w:lang w:eastAsia="zh-CN"/>
        </w:rPr>
        <w:t>）《在国家级自然保护区修筑设施审批管理暂行办法》（国家林业局令 第50号，2018年</w:t>
      </w:r>
      <w:r>
        <w:rPr>
          <w:rFonts w:hint="eastAsia" w:eastAsia="宋体" w:cs="Times New Roman"/>
          <w:bCs/>
          <w:color w:val="auto"/>
          <w:szCs w:val="24"/>
          <w:highlight w:val="none"/>
          <w:lang w:val="en-US" w:eastAsia="zh-CN"/>
        </w:rPr>
        <w:t>4月15日施行</w:t>
      </w:r>
      <w:r>
        <w:rPr>
          <w:rFonts w:hint="eastAsia" w:eastAsia="宋体" w:cs="Times New Roman"/>
          <w:bCs/>
          <w:color w:val="auto"/>
          <w:szCs w:val="24"/>
          <w:highlight w:val="none"/>
          <w:lang w:eastAsia="zh-CN"/>
        </w:rPr>
        <w:t>）；</w:t>
      </w:r>
    </w:p>
    <w:p w14:paraId="39DB16B7">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19</w:t>
      </w:r>
      <w:r>
        <w:rPr>
          <w:rFonts w:hint="eastAsia" w:eastAsia="宋体" w:cs="Times New Roman"/>
          <w:bCs/>
          <w:color w:val="auto"/>
          <w:szCs w:val="24"/>
          <w:highlight w:val="none"/>
          <w:lang w:eastAsia="zh-CN"/>
        </w:rPr>
        <w:t>）《国家林业和草原局关于加强生态保护红线管理的通知（试行）》（自然资发〔2022〕142号）；</w:t>
      </w:r>
    </w:p>
    <w:p w14:paraId="1A9FBA32">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20</w:t>
      </w:r>
      <w:r>
        <w:rPr>
          <w:rFonts w:hint="eastAsia" w:eastAsia="宋体" w:cs="Times New Roman"/>
          <w:bCs/>
          <w:color w:val="auto"/>
          <w:szCs w:val="24"/>
          <w:highlight w:val="none"/>
          <w:lang w:eastAsia="zh-CN"/>
        </w:rPr>
        <w:t>）《国务院办公厅关于做好自然保护区管理有关工作的通知》（国办发〔2010〕63号）；</w:t>
      </w:r>
    </w:p>
    <w:p w14:paraId="14CE951B">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21</w:t>
      </w:r>
      <w:r>
        <w:rPr>
          <w:rFonts w:hint="eastAsia" w:eastAsia="宋体" w:cs="Times New Roman"/>
          <w:bCs/>
          <w:color w:val="auto"/>
          <w:szCs w:val="24"/>
          <w:highlight w:val="none"/>
          <w:lang w:eastAsia="zh-CN"/>
        </w:rPr>
        <w:t>）《关于印发国家级自然保护区规范化建设和管理导则（试行）的函》（环函〔2009〕195号）；</w:t>
      </w:r>
    </w:p>
    <w:p w14:paraId="11D14132">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22</w:t>
      </w:r>
      <w:r>
        <w:rPr>
          <w:rFonts w:hint="eastAsia" w:eastAsia="宋体" w:cs="Times New Roman"/>
          <w:bCs/>
          <w:color w:val="auto"/>
          <w:szCs w:val="24"/>
          <w:highlight w:val="none"/>
          <w:lang w:eastAsia="zh-CN"/>
        </w:rPr>
        <w:t>）《国家林业局办公室关于进一步加强林业自然保护区监督管理工作的通知》（办护字〔2017〕64号）。</w:t>
      </w:r>
    </w:p>
    <w:p w14:paraId="0A736551">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2、标准、技术导则</w:t>
      </w:r>
    </w:p>
    <w:p w14:paraId="7B758A72">
      <w:pPr>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1</w:t>
      </w:r>
      <w:r>
        <w:rPr>
          <w:rFonts w:hint="eastAsia" w:eastAsia="宋体" w:cs="Times New Roman"/>
          <w:bCs/>
          <w:color w:val="auto"/>
          <w:szCs w:val="24"/>
          <w:highlight w:val="none"/>
          <w:lang w:eastAsia="zh-CN"/>
        </w:rPr>
        <w:t>）</w:t>
      </w:r>
      <w:r>
        <w:rPr>
          <w:rFonts w:eastAsia="宋体" w:cs="Times New Roman"/>
          <w:bCs/>
          <w:color w:val="auto"/>
          <w:szCs w:val="24"/>
          <w:highlight w:val="none"/>
        </w:rPr>
        <w:t>《建设项目环境影响评价技术导则 总纲》(HJ2.1-2016)；</w:t>
      </w:r>
    </w:p>
    <w:p w14:paraId="02155BA0">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2</w:t>
      </w:r>
      <w:r>
        <w:rPr>
          <w:rFonts w:hint="eastAsia" w:eastAsia="宋体" w:cs="Times New Roman"/>
          <w:bCs/>
          <w:color w:val="auto"/>
          <w:szCs w:val="24"/>
          <w:highlight w:val="none"/>
          <w:lang w:eastAsia="zh-CN"/>
        </w:rPr>
        <w:t>）</w:t>
      </w:r>
      <w:r>
        <w:rPr>
          <w:rFonts w:hint="eastAsia" w:eastAsia="宋体" w:cs="Times New Roman"/>
          <w:bCs/>
          <w:color w:val="auto"/>
          <w:szCs w:val="24"/>
          <w:highlight w:val="none"/>
        </w:rPr>
        <w:t>《自然保护区建设项目生物多样性影响评价技术规范》（LY/T2242-2014）；</w:t>
      </w:r>
    </w:p>
    <w:p w14:paraId="4EA6E83C">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3</w:t>
      </w:r>
      <w:r>
        <w:rPr>
          <w:rFonts w:hint="eastAsia" w:eastAsia="宋体" w:cs="Times New Roman"/>
          <w:bCs/>
          <w:color w:val="auto"/>
          <w:szCs w:val="24"/>
          <w:highlight w:val="none"/>
        </w:rPr>
        <w:t>）《自然保护区生物多样性调查规范》（LY/T1814-2009）；</w:t>
      </w:r>
    </w:p>
    <w:p w14:paraId="200F7DCE">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4</w:t>
      </w:r>
      <w:r>
        <w:rPr>
          <w:rFonts w:hint="eastAsia" w:eastAsia="宋体" w:cs="Times New Roman"/>
          <w:bCs/>
          <w:color w:val="auto"/>
          <w:szCs w:val="24"/>
          <w:highlight w:val="none"/>
        </w:rPr>
        <w:t>）《环境影响评价技术导则 输变电》（HJ 24-2020）；</w:t>
      </w:r>
    </w:p>
    <w:p w14:paraId="3D1DF0FE">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5</w:t>
      </w:r>
      <w:r>
        <w:rPr>
          <w:rFonts w:hint="eastAsia" w:eastAsia="宋体" w:cs="Times New Roman"/>
          <w:bCs/>
          <w:color w:val="auto"/>
          <w:szCs w:val="24"/>
          <w:highlight w:val="none"/>
        </w:rPr>
        <w:t>）《环境影响评价技术导则 生态影响》（HJ 19-2022）</w:t>
      </w:r>
    </w:p>
    <w:p w14:paraId="5FD150BD">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6</w:t>
      </w:r>
      <w:r>
        <w:rPr>
          <w:rFonts w:hint="eastAsia" w:eastAsia="宋体" w:cs="Times New Roman"/>
          <w:bCs/>
          <w:color w:val="auto"/>
          <w:szCs w:val="24"/>
          <w:highlight w:val="none"/>
        </w:rPr>
        <w:t>）《国家重点保护野生植物名录》（2021年）；</w:t>
      </w:r>
    </w:p>
    <w:p w14:paraId="000881C6">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7</w:t>
      </w:r>
      <w:r>
        <w:rPr>
          <w:rFonts w:hint="eastAsia" w:eastAsia="宋体" w:cs="Times New Roman"/>
          <w:bCs/>
          <w:color w:val="auto"/>
          <w:szCs w:val="24"/>
          <w:highlight w:val="none"/>
        </w:rPr>
        <w:t>）《国家重点保护野生动物名录》（2021年）；</w:t>
      </w:r>
    </w:p>
    <w:p w14:paraId="06732A1D">
      <w:pPr>
        <w:autoSpaceDE w:val="0"/>
        <w:autoSpaceDN w:val="0"/>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8</w:t>
      </w:r>
      <w:r>
        <w:rPr>
          <w:rFonts w:hint="eastAsia" w:eastAsia="宋体" w:cs="Times New Roman"/>
          <w:bCs/>
          <w:color w:val="auto"/>
          <w:szCs w:val="24"/>
          <w:highlight w:val="none"/>
        </w:rPr>
        <w:t>）《河北省重点保护野生植物名录（第一批）》（2010年）；</w:t>
      </w:r>
    </w:p>
    <w:p w14:paraId="1895D973">
      <w:pPr>
        <w:autoSpaceDE w:val="0"/>
        <w:autoSpaceDN w:val="0"/>
        <w:spacing w:line="360" w:lineRule="auto"/>
        <w:ind w:firstLine="480"/>
        <w:rPr>
          <w:rFonts w:eastAsia="宋体" w:cs="Times New Roman"/>
          <w:bCs/>
          <w:color w:val="auto"/>
          <w:szCs w:val="24"/>
          <w:highlight w:val="none"/>
        </w:rPr>
      </w:pPr>
      <w:r>
        <w:rPr>
          <w:rFonts w:hint="eastAsia" w:eastAsia="宋体" w:cs="Times New Roman"/>
          <w:bCs/>
          <w:color w:val="auto"/>
          <w:szCs w:val="24"/>
          <w:highlight w:val="none"/>
        </w:rPr>
        <w:t>（</w:t>
      </w:r>
      <w:r>
        <w:rPr>
          <w:rFonts w:hint="eastAsia" w:eastAsia="宋体" w:cs="Times New Roman"/>
          <w:bCs/>
          <w:color w:val="auto"/>
          <w:szCs w:val="24"/>
          <w:highlight w:val="none"/>
          <w:lang w:val="en-US" w:eastAsia="zh-CN"/>
        </w:rPr>
        <w:t>9</w:t>
      </w:r>
      <w:r>
        <w:rPr>
          <w:rFonts w:hint="eastAsia" w:eastAsia="宋体" w:cs="Times New Roman"/>
          <w:bCs/>
          <w:color w:val="auto"/>
          <w:szCs w:val="24"/>
          <w:highlight w:val="none"/>
        </w:rPr>
        <w:t>）《河北省重点保护陆生野生动物名录》（2022年）</w:t>
      </w:r>
      <w:r>
        <w:rPr>
          <w:rFonts w:eastAsia="宋体" w:cs="Times New Roman"/>
          <w:bCs/>
          <w:color w:val="auto"/>
          <w:szCs w:val="24"/>
          <w:highlight w:val="none"/>
        </w:rPr>
        <w:t>。</w:t>
      </w:r>
    </w:p>
    <w:p w14:paraId="2A2E898B">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3、与项目有关的文件和资料</w:t>
      </w:r>
    </w:p>
    <w:p w14:paraId="25216FA9">
      <w:pPr>
        <w:spacing w:line="360" w:lineRule="auto"/>
        <w:ind w:firstLine="480"/>
        <w:rPr>
          <w:rFonts w:hint="eastAsia" w:eastAsia="宋体" w:cs="Times New Roman"/>
          <w:bCs/>
          <w:color w:val="auto"/>
          <w:szCs w:val="24"/>
          <w:highlight w:val="none"/>
        </w:rPr>
      </w:pPr>
      <w:r>
        <w:rPr>
          <w:rFonts w:hint="eastAsia" w:eastAsia="宋体" w:cs="Times New Roman"/>
          <w:bCs/>
          <w:color w:val="auto"/>
          <w:szCs w:val="24"/>
          <w:highlight w:val="none"/>
        </w:rPr>
        <w:t>（1）《河北滦河上游国家级自然保护区总体规划（2008~2015 年）》；</w:t>
      </w:r>
    </w:p>
    <w:p w14:paraId="7D3C8FB2">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rPr>
        <w:t>（2）《河北滦河上游国家级自然保护区科学考察报告（2019 年）》</w:t>
      </w:r>
      <w:r>
        <w:rPr>
          <w:rFonts w:hint="eastAsia" w:eastAsia="宋体" w:cs="Times New Roman"/>
          <w:bCs/>
          <w:color w:val="auto"/>
          <w:szCs w:val="24"/>
          <w:highlight w:val="none"/>
          <w:lang w:eastAsia="zh-CN"/>
        </w:rPr>
        <w:t>；</w:t>
      </w:r>
    </w:p>
    <w:p w14:paraId="219A9E17">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lang w:val="en-US" w:eastAsia="zh-CN"/>
        </w:rPr>
        <w:t>3</w:t>
      </w:r>
      <w:r>
        <w:rPr>
          <w:rFonts w:eastAsia="宋体" w:cs="Times New Roman"/>
          <w:bCs/>
          <w:color w:val="auto"/>
          <w:szCs w:val="24"/>
          <w:highlight w:val="none"/>
        </w:rPr>
        <w:t>）</w:t>
      </w:r>
      <w:r>
        <w:rPr>
          <w:rFonts w:hint="eastAsia" w:eastAsia="宋体" w:cs="Times New Roman"/>
          <w:color w:val="auto"/>
          <w:szCs w:val="24"/>
          <w:highlight w:val="none"/>
        </w:rPr>
        <w:t>承德</w:t>
      </w:r>
      <w:r>
        <w:rPr>
          <w:rFonts w:eastAsia="宋体" w:cs="Times New Roman"/>
          <w:color w:val="auto"/>
          <w:szCs w:val="24"/>
          <w:highlight w:val="none"/>
        </w:rPr>
        <w:t>市行政审批局关于华能围场“风光储氢热一体化”项目（光伏200MW）项目220kV送出线路工程项目核准的批复（</w:t>
      </w:r>
      <w:r>
        <w:rPr>
          <w:rFonts w:hint="eastAsia" w:eastAsia="宋体" w:cs="Times New Roman"/>
          <w:color w:val="auto"/>
          <w:szCs w:val="24"/>
          <w:highlight w:val="none"/>
        </w:rPr>
        <w:t>承审批核</w:t>
      </w:r>
      <w:r>
        <w:rPr>
          <w:rFonts w:eastAsia="宋体" w:cs="Times New Roman"/>
          <w:color w:val="auto"/>
          <w:szCs w:val="24"/>
          <w:highlight w:val="none"/>
        </w:rPr>
        <w:t>字〔2024〕1</w:t>
      </w:r>
      <w:r>
        <w:rPr>
          <w:rFonts w:hint="eastAsia" w:eastAsia="宋体" w:cs="Times New Roman"/>
          <w:color w:val="auto"/>
          <w:szCs w:val="24"/>
          <w:highlight w:val="none"/>
        </w:rPr>
        <w:t>1</w:t>
      </w:r>
      <w:r>
        <w:rPr>
          <w:rFonts w:eastAsia="宋体" w:cs="Times New Roman"/>
          <w:color w:val="auto"/>
          <w:szCs w:val="24"/>
          <w:highlight w:val="none"/>
        </w:rPr>
        <w:t>号）</w:t>
      </w:r>
      <w:r>
        <w:rPr>
          <w:rFonts w:eastAsia="宋体" w:cs="Times New Roman"/>
          <w:bCs/>
          <w:color w:val="auto"/>
          <w:szCs w:val="24"/>
          <w:highlight w:val="none"/>
        </w:rPr>
        <w:t>；</w:t>
      </w:r>
    </w:p>
    <w:p w14:paraId="3013C842">
      <w:pPr>
        <w:spacing w:line="360" w:lineRule="auto"/>
        <w:ind w:firstLine="480"/>
        <w:rPr>
          <w:rFonts w:eastAsia="宋体" w:cs="Times New Roman"/>
          <w:color w:val="auto"/>
          <w:szCs w:val="24"/>
          <w:highlight w:val="none"/>
        </w:rPr>
      </w:pPr>
      <w:r>
        <w:rPr>
          <w:rFonts w:eastAsia="宋体" w:cs="Times New Roman"/>
          <w:bCs/>
          <w:color w:val="auto"/>
          <w:szCs w:val="24"/>
          <w:highlight w:val="none"/>
        </w:rPr>
        <w:t>（</w:t>
      </w:r>
      <w:r>
        <w:rPr>
          <w:rFonts w:hint="eastAsia" w:eastAsia="宋体" w:cs="Times New Roman"/>
          <w:bCs/>
          <w:color w:val="auto"/>
          <w:szCs w:val="24"/>
          <w:highlight w:val="none"/>
          <w:lang w:val="en-US" w:eastAsia="zh-CN"/>
        </w:rPr>
        <w:t>4</w:t>
      </w:r>
      <w:r>
        <w:rPr>
          <w:rFonts w:eastAsia="宋体" w:cs="Times New Roman"/>
          <w:bCs/>
          <w:color w:val="auto"/>
          <w:szCs w:val="24"/>
          <w:highlight w:val="none"/>
        </w:rPr>
        <w:t>）</w:t>
      </w:r>
      <w:r>
        <w:rPr>
          <w:rFonts w:eastAsia="宋体" w:cs="Times New Roman"/>
          <w:color w:val="auto"/>
          <w:szCs w:val="24"/>
          <w:highlight w:val="none"/>
        </w:rPr>
        <w:t>国网冀北电力有限公司</w:t>
      </w:r>
      <w:r>
        <w:rPr>
          <w:rFonts w:hint="eastAsia" w:eastAsia="宋体" w:cs="Times New Roman"/>
          <w:color w:val="auto"/>
          <w:szCs w:val="24"/>
          <w:highlight w:val="none"/>
        </w:rPr>
        <w:t>经济技术研究院出具关于</w:t>
      </w:r>
      <w:r>
        <w:rPr>
          <w:rFonts w:eastAsia="宋体" w:cs="Times New Roman"/>
          <w:color w:val="auto"/>
          <w:szCs w:val="24"/>
          <w:highlight w:val="none"/>
        </w:rPr>
        <w:t>华能围场“风光储氢热一体化”项目（光伏200</w:t>
      </w:r>
      <w:r>
        <w:rPr>
          <w:rFonts w:hint="eastAsia" w:eastAsia="宋体" w:cs="Times New Roman"/>
          <w:color w:val="auto"/>
          <w:szCs w:val="24"/>
          <w:highlight w:val="none"/>
        </w:rPr>
        <w:t>兆瓦</w:t>
      </w:r>
      <w:r>
        <w:rPr>
          <w:rFonts w:eastAsia="宋体" w:cs="Times New Roman"/>
          <w:color w:val="auto"/>
          <w:szCs w:val="24"/>
          <w:highlight w:val="none"/>
        </w:rPr>
        <w:t>）接入系统</w:t>
      </w:r>
      <w:r>
        <w:rPr>
          <w:rFonts w:hint="eastAsia" w:eastAsia="宋体" w:cs="Times New Roman"/>
          <w:color w:val="auto"/>
          <w:szCs w:val="24"/>
          <w:highlight w:val="none"/>
        </w:rPr>
        <w:t>设计的评审意见</w:t>
      </w:r>
      <w:r>
        <w:rPr>
          <w:rFonts w:eastAsia="宋体" w:cs="Times New Roman"/>
          <w:color w:val="auto"/>
          <w:szCs w:val="24"/>
          <w:highlight w:val="none"/>
        </w:rPr>
        <w:t>（冀北</w:t>
      </w:r>
      <w:r>
        <w:rPr>
          <w:rFonts w:hint="eastAsia" w:eastAsia="宋体" w:cs="Times New Roman"/>
          <w:color w:val="auto"/>
          <w:szCs w:val="24"/>
          <w:highlight w:val="none"/>
        </w:rPr>
        <w:t>经研</w:t>
      </w:r>
      <w:r>
        <w:rPr>
          <w:rFonts w:eastAsia="宋体" w:cs="Times New Roman"/>
          <w:color w:val="auto"/>
          <w:szCs w:val="24"/>
          <w:highlight w:val="none"/>
        </w:rPr>
        <w:t>〔2023〕</w:t>
      </w:r>
      <w:r>
        <w:rPr>
          <w:rFonts w:hint="eastAsia" w:eastAsia="宋体" w:cs="Times New Roman"/>
          <w:color w:val="auto"/>
          <w:szCs w:val="24"/>
          <w:highlight w:val="none"/>
        </w:rPr>
        <w:t>300</w:t>
      </w:r>
      <w:r>
        <w:rPr>
          <w:rFonts w:eastAsia="宋体" w:cs="Times New Roman"/>
          <w:color w:val="auto"/>
          <w:szCs w:val="24"/>
          <w:highlight w:val="none"/>
        </w:rPr>
        <w:t>号）</w:t>
      </w:r>
      <w:r>
        <w:rPr>
          <w:rFonts w:hint="eastAsia" w:eastAsia="宋体" w:cs="Times New Roman"/>
          <w:color w:val="auto"/>
          <w:szCs w:val="24"/>
          <w:highlight w:val="none"/>
        </w:rPr>
        <w:t>；</w:t>
      </w:r>
    </w:p>
    <w:p w14:paraId="78C1DC45">
      <w:pPr>
        <w:spacing w:line="360" w:lineRule="auto"/>
        <w:ind w:firstLine="480"/>
        <w:rPr>
          <w:rFonts w:hint="eastAsia" w:eastAsia="宋体" w:cs="Times New Roman"/>
          <w:bCs/>
          <w:color w:val="auto"/>
          <w:szCs w:val="24"/>
          <w:highlight w:val="none"/>
          <w:lang w:eastAsia="zh-CN"/>
        </w:rPr>
      </w:pPr>
      <w:r>
        <w:rPr>
          <w:rFonts w:hint="eastAsia" w:eastAsia="宋体" w:cs="Times New Roman"/>
          <w:color w:val="auto"/>
          <w:szCs w:val="24"/>
          <w:highlight w:val="none"/>
        </w:rPr>
        <w:t>（</w:t>
      </w:r>
      <w:r>
        <w:rPr>
          <w:rFonts w:hint="eastAsia" w:eastAsia="宋体" w:cs="Times New Roman"/>
          <w:color w:val="auto"/>
          <w:szCs w:val="24"/>
          <w:highlight w:val="none"/>
          <w:lang w:val="en-US" w:eastAsia="zh-CN"/>
        </w:rPr>
        <w:t>5</w:t>
      </w:r>
      <w:r>
        <w:rPr>
          <w:rFonts w:hint="eastAsia" w:eastAsia="宋体" w:cs="Times New Roman"/>
          <w:color w:val="auto"/>
          <w:szCs w:val="24"/>
          <w:highlight w:val="none"/>
        </w:rPr>
        <w:t>）</w:t>
      </w:r>
      <w:r>
        <w:rPr>
          <w:rFonts w:eastAsia="宋体" w:cs="Times New Roman"/>
          <w:color w:val="auto"/>
          <w:szCs w:val="24"/>
          <w:highlight w:val="none"/>
        </w:rPr>
        <w:t>华能围场“风光储氢热一体化”项目（光伏200MW）项目220kV送出线路工程</w:t>
      </w:r>
      <w:r>
        <w:rPr>
          <w:rFonts w:eastAsia="宋体" w:cs="Times New Roman"/>
          <w:bCs/>
          <w:color w:val="auto"/>
          <w:szCs w:val="24"/>
          <w:highlight w:val="none"/>
        </w:rPr>
        <w:t>初步设计说明书</w:t>
      </w:r>
      <w:r>
        <w:rPr>
          <w:rFonts w:hint="eastAsia" w:eastAsia="宋体" w:cs="Times New Roman"/>
          <w:bCs/>
          <w:color w:val="auto"/>
          <w:szCs w:val="24"/>
          <w:highlight w:val="none"/>
          <w:lang w:eastAsia="zh-CN"/>
        </w:rPr>
        <w:t>；</w:t>
      </w:r>
    </w:p>
    <w:p w14:paraId="46C2A064">
      <w:pPr>
        <w:spacing w:line="360" w:lineRule="auto"/>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6</w:t>
      </w:r>
      <w:r>
        <w:rPr>
          <w:rFonts w:hint="eastAsia" w:eastAsia="宋体" w:cs="Times New Roman"/>
          <w:bCs/>
          <w:color w:val="auto"/>
          <w:szCs w:val="24"/>
          <w:highlight w:val="none"/>
          <w:lang w:eastAsia="zh-CN"/>
        </w:rPr>
        <w:t>）华能围场“风光储氢热一体化”项目（光伏200MW）项目220kV送出线路工程对河北滦河上游国家级自然保护区生物多样性影响评价报告；</w:t>
      </w:r>
    </w:p>
    <w:p w14:paraId="524C6535">
      <w:pPr>
        <w:spacing w:line="360" w:lineRule="auto"/>
        <w:ind w:firstLine="480"/>
        <w:rPr>
          <w:rFonts w:hint="eastAsia" w:ascii="Times New Roman" w:hAnsi="Times New Roman" w:eastAsia="宋体" w:cs="Times New Roman"/>
          <w:color w:val="auto"/>
          <w:sz w:val="24"/>
          <w:highlight w:val="none"/>
          <w:lang w:eastAsia="zh-CN"/>
        </w:rPr>
      </w:pPr>
      <w:r>
        <w:rPr>
          <w:rFonts w:hint="eastAsia" w:eastAsia="宋体" w:cs="Times New Roman"/>
          <w:bCs/>
          <w:color w:val="auto"/>
          <w:szCs w:val="24"/>
          <w:highlight w:val="none"/>
          <w:lang w:eastAsia="zh-CN"/>
        </w:rPr>
        <w:t>（</w:t>
      </w:r>
      <w:r>
        <w:rPr>
          <w:rFonts w:hint="eastAsia" w:eastAsia="宋体" w:cs="Times New Roman"/>
          <w:bCs/>
          <w:color w:val="auto"/>
          <w:szCs w:val="24"/>
          <w:highlight w:val="none"/>
          <w:lang w:val="en-US" w:eastAsia="zh-CN"/>
        </w:rPr>
        <w:t>7</w:t>
      </w:r>
      <w:r>
        <w:rPr>
          <w:rFonts w:hint="eastAsia" w:eastAsia="宋体" w:cs="Times New Roman"/>
          <w:bCs/>
          <w:color w:val="auto"/>
          <w:szCs w:val="24"/>
          <w:highlight w:val="none"/>
          <w:lang w:eastAsia="zh-CN"/>
        </w:rPr>
        <w:t>）</w:t>
      </w:r>
      <w:r>
        <w:rPr>
          <w:rFonts w:hint="eastAsia" w:ascii="Times New Roman" w:hAnsi="Times New Roman" w:eastAsia="宋体" w:cs="Times New Roman"/>
          <w:color w:val="auto"/>
          <w:sz w:val="24"/>
          <w:highlight w:val="none"/>
        </w:rPr>
        <w:t>国家林业和草原局出具</w:t>
      </w:r>
      <w:r>
        <w:rPr>
          <w:rFonts w:hint="eastAsia" w:ascii="Times New Roman" w:hAnsi="Times New Roman" w:eastAsia="宋体" w:cs="Times New Roman"/>
          <w:color w:val="auto"/>
          <w:sz w:val="24"/>
          <w:highlight w:val="none"/>
          <w:lang w:eastAsia="zh-CN"/>
        </w:rPr>
        <w:t>的</w:t>
      </w:r>
      <w:r>
        <w:rPr>
          <w:rFonts w:hint="eastAsia" w:ascii="Times New Roman" w:hAnsi="Times New Roman" w:eastAsia="宋体" w:cs="Times New Roman"/>
          <w:color w:val="auto"/>
          <w:sz w:val="24"/>
          <w:highlight w:val="none"/>
        </w:rPr>
        <w:t>《关于同意</w:t>
      </w:r>
      <w:r>
        <w:rPr>
          <w:rFonts w:ascii="Times New Roman" w:hAnsi="Times New Roman" w:eastAsia="宋体" w:cs="Times New Roman"/>
          <w:color w:val="auto"/>
          <w:sz w:val="24"/>
          <w:szCs w:val="24"/>
          <w:highlight w:val="none"/>
        </w:rPr>
        <w:t>华能围场“风光储氢热一体化”项目（光伏200MW）项目220kV送出线路工程</w:t>
      </w:r>
      <w:r>
        <w:rPr>
          <w:rFonts w:hint="eastAsia" w:ascii="Times New Roman" w:hAnsi="Times New Roman" w:eastAsia="宋体" w:cs="Times New Roman"/>
          <w:color w:val="auto"/>
          <w:sz w:val="24"/>
          <w:szCs w:val="24"/>
          <w:highlight w:val="none"/>
        </w:rPr>
        <w:t>穿越河北滦河上游国家级自然保护区实验区的行政许可决定</w:t>
      </w:r>
      <w:r>
        <w:rPr>
          <w:rFonts w:hint="eastAsia" w:ascii="Times New Roman" w:hAnsi="Times New Roman" w:eastAsia="宋体" w:cs="Times New Roman"/>
          <w:color w:val="auto"/>
          <w:sz w:val="24"/>
          <w:highlight w:val="none"/>
        </w:rPr>
        <w:t>》（林保许准（冀）[2024]10号）</w:t>
      </w:r>
      <w:r>
        <w:rPr>
          <w:rFonts w:hint="eastAsia" w:ascii="Times New Roman" w:hAnsi="Times New Roman" w:eastAsia="宋体" w:cs="Times New Roman"/>
          <w:color w:val="auto"/>
          <w:sz w:val="24"/>
          <w:highlight w:val="none"/>
          <w:lang w:eastAsia="zh-CN"/>
        </w:rPr>
        <w:t>；</w:t>
      </w:r>
    </w:p>
    <w:p w14:paraId="3EBED361">
      <w:pPr>
        <w:spacing w:line="360" w:lineRule="auto"/>
        <w:ind w:firstLine="480"/>
        <w:rPr>
          <w:rFonts w:eastAsia="宋体" w:cs="Times New Roman"/>
          <w:bCs/>
          <w:color w:val="auto"/>
          <w:szCs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围场满族蒙古族自治县自然资源和规划局出具《</w:t>
      </w:r>
      <w:r>
        <w:rPr>
          <w:rFonts w:ascii="Times New Roman" w:hAnsi="Times New Roman" w:eastAsia="宋体" w:cs="Times New Roman"/>
          <w:color w:val="auto"/>
          <w:sz w:val="24"/>
          <w:szCs w:val="24"/>
          <w:highlight w:val="none"/>
        </w:rPr>
        <w:t>华能围场“风光储氢热一体化”项目（光伏200MW）项目220kV送出线路工程</w:t>
      </w:r>
      <w:r>
        <w:rPr>
          <w:rFonts w:hint="eastAsia" w:ascii="Times New Roman" w:hAnsi="Times New Roman" w:eastAsia="宋体" w:cs="Times New Roman"/>
          <w:color w:val="auto"/>
          <w:sz w:val="24"/>
          <w:szCs w:val="24"/>
          <w:highlight w:val="none"/>
        </w:rPr>
        <w:t>不可避让生态保护红线报告</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及</w:t>
      </w:r>
      <w:r>
        <w:rPr>
          <w:rFonts w:hint="eastAsia" w:ascii="Times New Roman" w:hAnsi="Times New Roman" w:eastAsia="宋体" w:cs="Times New Roman"/>
          <w:color w:val="auto"/>
          <w:sz w:val="24"/>
          <w:highlight w:val="none"/>
        </w:rPr>
        <w:t>审查意见</w:t>
      </w:r>
      <w:r>
        <w:rPr>
          <w:rFonts w:eastAsia="宋体" w:cs="Times New Roman"/>
          <w:bCs/>
          <w:color w:val="auto"/>
          <w:szCs w:val="24"/>
          <w:highlight w:val="none"/>
        </w:rPr>
        <w:t>。</w:t>
      </w:r>
    </w:p>
    <w:p w14:paraId="3FCC9067">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2.2评价内容</w:t>
      </w:r>
    </w:p>
    <w:p w14:paraId="0481531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根据本项目建设内容、工程特点，确定本次环境影响评价的内容为：</w:t>
      </w:r>
      <w:r>
        <w:rPr>
          <w:rFonts w:hint="eastAsia" w:ascii="Times New Roman" w:hAnsi="Times New Roman" w:eastAsia="宋体" w:cs="Times New Roman"/>
          <w:color w:val="auto"/>
          <w:spacing w:val="0"/>
          <w:w w:val="100"/>
          <w:position w:val="0"/>
          <w:sz w:val="24"/>
          <w:szCs w:val="24"/>
          <w:highlight w:val="none"/>
          <w:lang w:eastAsia="zh-CN"/>
        </w:rPr>
        <w:t>前言</w:t>
      </w:r>
      <w:r>
        <w:rPr>
          <w:rFonts w:hint="default" w:ascii="Times New Roman" w:hAnsi="Times New Roman" w:eastAsia="宋体" w:cs="Times New Roman"/>
          <w:color w:val="auto"/>
          <w:spacing w:val="0"/>
          <w:w w:val="100"/>
          <w:position w:val="0"/>
          <w:sz w:val="24"/>
          <w:szCs w:val="24"/>
          <w:highlight w:val="none"/>
        </w:rPr>
        <w:t>、总则、项目工程</w:t>
      </w:r>
      <w:r>
        <w:rPr>
          <w:rFonts w:hint="eastAsia" w:ascii="Times New Roman" w:hAnsi="Times New Roman" w:eastAsia="宋体" w:cs="Times New Roman"/>
          <w:color w:val="auto"/>
          <w:spacing w:val="0"/>
          <w:w w:val="100"/>
          <w:position w:val="0"/>
          <w:sz w:val="24"/>
          <w:szCs w:val="24"/>
          <w:highlight w:val="none"/>
          <w:lang w:eastAsia="zh-CN"/>
        </w:rPr>
        <w:t>与</w:t>
      </w:r>
      <w:r>
        <w:rPr>
          <w:rFonts w:hint="default" w:ascii="Times New Roman" w:hAnsi="Times New Roman" w:eastAsia="宋体" w:cs="Times New Roman"/>
          <w:color w:val="auto"/>
          <w:spacing w:val="0"/>
          <w:w w:val="100"/>
          <w:position w:val="0"/>
          <w:sz w:val="24"/>
          <w:szCs w:val="24"/>
          <w:highlight w:val="none"/>
        </w:rPr>
        <w:t>分析、</w:t>
      </w:r>
      <w:r>
        <w:rPr>
          <w:rFonts w:hint="eastAsia" w:ascii="Times New Roman" w:hAnsi="Times New Roman" w:eastAsia="宋体" w:cs="Times New Roman"/>
          <w:color w:val="auto"/>
          <w:spacing w:val="0"/>
          <w:w w:val="100"/>
          <w:position w:val="0"/>
          <w:sz w:val="24"/>
          <w:szCs w:val="24"/>
          <w:highlight w:val="none"/>
          <w:lang w:eastAsia="zh-CN"/>
        </w:rPr>
        <w:t>生</w:t>
      </w:r>
      <w:r>
        <w:rPr>
          <w:rFonts w:hint="default" w:ascii="Times New Roman" w:hAnsi="Times New Roman" w:eastAsia="宋体" w:cs="Times New Roman"/>
          <w:color w:val="auto"/>
          <w:spacing w:val="0"/>
          <w:w w:val="100"/>
          <w:position w:val="0"/>
          <w:sz w:val="24"/>
          <w:szCs w:val="24"/>
          <w:highlight w:val="none"/>
        </w:rPr>
        <w:t>区域</w:t>
      </w:r>
      <w:r>
        <w:rPr>
          <w:rFonts w:hint="eastAsia" w:ascii="Times New Roman" w:hAnsi="Times New Roman" w:eastAsia="宋体" w:cs="Times New Roman"/>
          <w:color w:val="auto"/>
          <w:spacing w:val="0"/>
          <w:w w:val="100"/>
          <w:position w:val="0"/>
          <w:sz w:val="24"/>
          <w:szCs w:val="24"/>
          <w:highlight w:val="none"/>
          <w:lang w:eastAsia="zh-CN"/>
        </w:rPr>
        <w:t>态</w:t>
      </w:r>
      <w:r>
        <w:rPr>
          <w:rFonts w:hint="default" w:ascii="Times New Roman" w:hAnsi="Times New Roman" w:eastAsia="宋体" w:cs="Times New Roman"/>
          <w:color w:val="auto"/>
          <w:spacing w:val="0"/>
          <w:w w:val="100"/>
          <w:position w:val="0"/>
          <w:sz w:val="24"/>
          <w:szCs w:val="24"/>
          <w:highlight w:val="none"/>
        </w:rPr>
        <w:t>环境现状调查与评价、</w:t>
      </w:r>
      <w:r>
        <w:rPr>
          <w:rFonts w:hint="eastAsia" w:ascii="Times New Roman" w:hAnsi="Times New Roman" w:eastAsia="宋体" w:cs="Times New Roman"/>
          <w:color w:val="auto"/>
          <w:spacing w:val="0"/>
          <w:w w:val="100"/>
          <w:position w:val="0"/>
          <w:sz w:val="24"/>
          <w:szCs w:val="24"/>
          <w:highlight w:val="none"/>
          <w:lang w:eastAsia="zh-CN"/>
        </w:rPr>
        <w:t>生态环境影响评价、生态环境保护措施</w:t>
      </w:r>
      <w:r>
        <w:rPr>
          <w:rFonts w:hint="default" w:ascii="Times New Roman" w:hAnsi="Times New Roman" w:eastAsia="宋体" w:cs="Times New Roman"/>
          <w:color w:val="auto"/>
          <w:spacing w:val="0"/>
          <w:w w:val="100"/>
          <w:position w:val="0"/>
          <w:sz w:val="24"/>
          <w:szCs w:val="24"/>
          <w:highlight w:val="none"/>
        </w:rPr>
        <w:t>、污染防治措施可行性分析、环境影响经济损益分析、环境管理与监测计划、环境影响评价结论等。评价内容见表2-1。</w:t>
      </w:r>
    </w:p>
    <w:p w14:paraId="73776417">
      <w:pPr>
        <w:pStyle w:val="35"/>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color w:val="auto"/>
          <w:spacing w:val="0"/>
          <w:w w:val="100"/>
          <w:position w:val="0"/>
          <w:sz w:val="21"/>
          <w:szCs w:val="21"/>
          <w:highlight w:val="none"/>
        </w:rPr>
      </w:pPr>
      <w:r>
        <w:rPr>
          <w:rFonts w:hint="default" w:ascii="Times New Roman" w:hAnsi="Times New Roman" w:eastAsia="宋体" w:cs="Times New Roman"/>
          <w:b/>
          <w:color w:val="auto"/>
          <w:spacing w:val="0"/>
          <w:w w:val="100"/>
          <w:position w:val="0"/>
          <w:sz w:val="21"/>
          <w:szCs w:val="21"/>
          <w:highlight w:val="none"/>
        </w:rPr>
        <w:t>表2-1  评价内容一览表</w:t>
      </w:r>
    </w:p>
    <w:tbl>
      <w:tblPr>
        <w:tblStyle w:val="1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0"/>
        <w:gridCol w:w="1890"/>
        <w:gridCol w:w="5342"/>
        <w:gridCol w:w="713"/>
      </w:tblGrid>
      <w:tr w14:paraId="45D45E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auto"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707110FC">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序号</w:t>
            </w:r>
          </w:p>
        </w:tc>
        <w:tc>
          <w:tcPr>
            <w:tcW w:w="1124" w:type="pct"/>
            <w:tcBorders>
              <w:top w:val="single" w:color="auto"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3C57A97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项目</w:t>
            </w:r>
          </w:p>
        </w:tc>
        <w:tc>
          <w:tcPr>
            <w:tcW w:w="3177" w:type="pct"/>
            <w:tcBorders>
              <w:top w:val="single" w:color="auto" w:sz="4" w:space="0"/>
              <w:left w:val="single" w:color="000000" w:sz="4" w:space="0"/>
              <w:bottom w:val="single" w:color="000000" w:sz="4" w:space="0"/>
              <w:right w:val="nil"/>
            </w:tcBorders>
            <w:tcMar>
              <w:top w:w="0" w:type="dxa"/>
              <w:left w:w="51" w:type="dxa"/>
              <w:bottom w:w="0" w:type="dxa"/>
              <w:right w:w="51" w:type="dxa"/>
            </w:tcMar>
            <w:vAlign w:val="center"/>
          </w:tcPr>
          <w:p w14:paraId="7C209D36">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评价内容</w:t>
            </w:r>
          </w:p>
        </w:tc>
        <w:tc>
          <w:tcPr>
            <w:tcW w:w="424" w:type="pct"/>
            <w:tcBorders>
              <w:top w:val="single" w:color="auto"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63E6C254">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评价重点</w:t>
            </w:r>
          </w:p>
        </w:tc>
      </w:tr>
      <w:tr w14:paraId="2FC68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36EEB34A">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1</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3398C75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pacing w:val="0"/>
                <w:w w:val="100"/>
                <w:position w:val="0"/>
                <w:highlight w:val="none"/>
                <w:lang w:eastAsia="zh-CN"/>
              </w:rPr>
            </w:pPr>
            <w:r>
              <w:rPr>
                <w:rFonts w:hint="eastAsia" w:cs="Times New Roman"/>
                <w:color w:val="auto"/>
                <w:spacing w:val="0"/>
                <w:w w:val="100"/>
                <w:position w:val="0"/>
                <w:highlight w:val="none"/>
                <w:lang w:eastAsia="zh-CN"/>
              </w:rPr>
              <w:t>前言</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337D214E">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项目</w:t>
            </w:r>
            <w:r>
              <w:rPr>
                <w:rFonts w:hint="eastAsia" w:cs="Times New Roman"/>
                <w:color w:val="auto"/>
                <w:spacing w:val="0"/>
                <w:w w:val="100"/>
                <w:position w:val="0"/>
                <w:highlight w:val="none"/>
                <w:lang w:eastAsia="zh-CN"/>
              </w:rPr>
              <w:t>建设的必要性</w:t>
            </w:r>
            <w:r>
              <w:rPr>
                <w:rFonts w:hint="default" w:ascii="Times New Roman" w:hAnsi="Times New Roman" w:eastAsia="宋体" w:cs="Times New Roman"/>
                <w:color w:val="auto"/>
                <w:spacing w:val="0"/>
                <w:w w:val="100"/>
                <w:position w:val="0"/>
                <w:highlight w:val="none"/>
              </w:rPr>
              <w:t>及工作过程</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6DB3F70E">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r>
      <w:tr w14:paraId="15A44A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6750120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2</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3128D0A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总则</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4D86A3C6">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编制依据、评价</w:t>
            </w:r>
            <w:r>
              <w:rPr>
                <w:rFonts w:hint="eastAsia" w:cs="Times New Roman"/>
                <w:color w:val="auto"/>
                <w:spacing w:val="0"/>
                <w:w w:val="100"/>
                <w:position w:val="0"/>
                <w:highlight w:val="none"/>
                <w:lang w:eastAsia="zh-CN"/>
              </w:rPr>
              <w:t>内容、评价因子、评价工作等级、评价范围、评价方法、生态环境保护目标</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4DCFF1D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r>
      <w:tr w14:paraId="49A7E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119F269A">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3</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213E3CED">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建设项目工程分析</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1B7A4F8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val="en-US" w:eastAsia="zh-CN"/>
              </w:rPr>
              <w:t>项目概况、主体工程、辅助工程、环保工程、依托工程和临时工程，工程占地及土石方平衡、线路比选工程</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4B0DB00D">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w:t>
            </w:r>
          </w:p>
        </w:tc>
      </w:tr>
      <w:tr w14:paraId="48557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05BF51A4">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4</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26BF47CA">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eastAsia="zh-CN"/>
              </w:rPr>
              <w:t>区域生态</w:t>
            </w:r>
            <w:r>
              <w:rPr>
                <w:rFonts w:hint="default" w:ascii="Times New Roman" w:hAnsi="Times New Roman" w:eastAsia="宋体" w:cs="Times New Roman"/>
                <w:color w:val="auto"/>
                <w:spacing w:val="0"/>
                <w:w w:val="100"/>
                <w:position w:val="0"/>
                <w:highlight w:val="none"/>
              </w:rPr>
              <w:t>环境现状调查与评价</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717159D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lang w:val="en-US" w:eastAsia="zh-CN"/>
              </w:rPr>
            </w:pPr>
            <w:r>
              <w:rPr>
                <w:rFonts w:hint="default" w:ascii="Times New Roman" w:hAnsi="Times New Roman" w:eastAsia="宋体" w:cs="Times New Roman"/>
                <w:color w:val="auto"/>
                <w:spacing w:val="0"/>
                <w:w w:val="100"/>
                <w:position w:val="0"/>
                <w:highlight w:val="none"/>
              </w:rPr>
              <w:t>自然保护区概况</w:t>
            </w:r>
            <w:r>
              <w:rPr>
                <w:rFonts w:hint="eastAsia" w:cs="Times New Roman"/>
                <w:color w:val="auto"/>
                <w:spacing w:val="0"/>
                <w:w w:val="100"/>
                <w:position w:val="0"/>
                <w:highlight w:val="none"/>
                <w:lang w:eastAsia="zh-CN"/>
              </w:rPr>
              <w:t>、区域</w:t>
            </w:r>
            <w:r>
              <w:rPr>
                <w:rFonts w:hint="default" w:ascii="Times New Roman" w:hAnsi="Times New Roman" w:eastAsia="宋体" w:cs="Times New Roman"/>
                <w:color w:val="auto"/>
                <w:spacing w:val="0"/>
                <w:w w:val="100"/>
                <w:position w:val="0"/>
                <w:highlight w:val="none"/>
              </w:rPr>
              <w:t>自然环境概况、</w:t>
            </w:r>
            <w:r>
              <w:rPr>
                <w:rFonts w:hint="eastAsia" w:cs="Times New Roman"/>
                <w:color w:val="auto"/>
                <w:spacing w:val="0"/>
                <w:w w:val="100"/>
                <w:position w:val="0"/>
                <w:highlight w:val="none"/>
                <w:lang w:val="en-US" w:eastAsia="zh-CN"/>
              </w:rPr>
              <w:t>生态环境现状调查与评价</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1AFCD55B">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w:t>
            </w:r>
          </w:p>
        </w:tc>
      </w:tr>
      <w:tr w14:paraId="16CFB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vMerge w:val="restart"/>
            <w:tcBorders>
              <w:top w:val="single" w:color="000000" w:sz="4" w:space="0"/>
              <w:left w:val="single" w:color="auto" w:sz="4" w:space="0"/>
              <w:right w:val="single" w:color="000000" w:sz="4" w:space="0"/>
            </w:tcBorders>
            <w:tcMar>
              <w:top w:w="0" w:type="dxa"/>
              <w:left w:w="51" w:type="dxa"/>
              <w:bottom w:w="0" w:type="dxa"/>
              <w:right w:w="51" w:type="dxa"/>
            </w:tcMar>
            <w:vAlign w:val="center"/>
          </w:tcPr>
          <w:p w14:paraId="72620A4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5</w:t>
            </w:r>
          </w:p>
        </w:tc>
        <w:tc>
          <w:tcPr>
            <w:tcW w:w="1124" w:type="pct"/>
            <w:vMerge w:val="restart"/>
            <w:tcBorders>
              <w:top w:val="single" w:color="000000" w:sz="4" w:space="0"/>
              <w:left w:val="single" w:color="000000" w:sz="4" w:space="0"/>
              <w:right w:val="single" w:color="000000" w:sz="4" w:space="0"/>
            </w:tcBorders>
            <w:tcMar>
              <w:top w:w="0" w:type="dxa"/>
              <w:left w:w="51" w:type="dxa"/>
              <w:bottom w:w="0" w:type="dxa"/>
              <w:right w:w="51" w:type="dxa"/>
            </w:tcMar>
            <w:vAlign w:val="center"/>
          </w:tcPr>
          <w:p w14:paraId="2345733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val="en-US" w:eastAsia="zh-CN"/>
              </w:rPr>
              <w:t>生态环境影响评价</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2E89B99F">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施工期对生态环境影响分析</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2B76AD36">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w:t>
            </w:r>
          </w:p>
        </w:tc>
      </w:tr>
      <w:tr w14:paraId="0A57F9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vMerge w:val="continue"/>
            <w:tcBorders>
              <w:left w:val="single" w:color="auto" w:sz="4" w:space="0"/>
              <w:bottom w:val="single" w:color="000000" w:sz="4" w:space="0"/>
              <w:right w:val="single" w:color="000000" w:sz="4" w:space="0"/>
            </w:tcBorders>
            <w:tcMar>
              <w:top w:w="0" w:type="dxa"/>
              <w:left w:w="51" w:type="dxa"/>
              <w:bottom w:w="0" w:type="dxa"/>
              <w:right w:w="51" w:type="dxa"/>
            </w:tcMar>
            <w:vAlign w:val="center"/>
          </w:tcPr>
          <w:p w14:paraId="61735519">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c>
          <w:tcPr>
            <w:tcW w:w="1124" w:type="pct"/>
            <w:vMerge w:val="continue"/>
            <w:tcBorders>
              <w:left w:val="single" w:color="000000" w:sz="4" w:space="0"/>
              <w:bottom w:val="single" w:color="000000" w:sz="4" w:space="0"/>
              <w:right w:val="single" w:color="000000" w:sz="4" w:space="0"/>
            </w:tcBorders>
            <w:tcMar>
              <w:top w:w="0" w:type="dxa"/>
              <w:left w:w="51" w:type="dxa"/>
              <w:bottom w:w="0" w:type="dxa"/>
              <w:right w:w="51" w:type="dxa"/>
            </w:tcMar>
            <w:vAlign w:val="center"/>
          </w:tcPr>
          <w:p w14:paraId="12E1FB3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091B1A44">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运营期对生态环境影响分析与评价</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0BB40882">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w:t>
            </w:r>
          </w:p>
        </w:tc>
      </w:tr>
      <w:tr w14:paraId="1B06B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632998A9">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pacing w:val="0"/>
                <w:w w:val="100"/>
                <w:position w:val="0"/>
                <w:highlight w:val="none"/>
                <w:lang w:eastAsia="zh-CN"/>
              </w:rPr>
            </w:pPr>
            <w:r>
              <w:rPr>
                <w:rFonts w:hint="eastAsia" w:cs="Times New Roman"/>
                <w:color w:val="auto"/>
                <w:spacing w:val="0"/>
                <w:w w:val="100"/>
                <w:position w:val="0"/>
                <w:highlight w:val="none"/>
                <w:lang w:val="en-US" w:eastAsia="zh-CN"/>
              </w:rPr>
              <w:t>6</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5CBEF7E7">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lang w:val="en-US" w:eastAsia="zh-CN"/>
              </w:rPr>
            </w:pPr>
            <w:r>
              <w:rPr>
                <w:rFonts w:hint="eastAsia" w:cs="Times New Roman"/>
                <w:color w:val="auto"/>
                <w:spacing w:val="0"/>
                <w:w w:val="100"/>
                <w:position w:val="0"/>
                <w:highlight w:val="none"/>
                <w:lang w:val="en-US" w:eastAsia="zh-CN"/>
              </w:rPr>
              <w:t>生态环境保护措施</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4478E4CE">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pacing w:val="0"/>
                <w:w w:val="100"/>
                <w:position w:val="0"/>
                <w:highlight w:val="none"/>
                <w:lang w:eastAsia="zh-CN"/>
              </w:rPr>
            </w:pPr>
            <w:r>
              <w:rPr>
                <w:rFonts w:hint="default" w:ascii="Times New Roman" w:hAnsi="Times New Roman" w:eastAsia="宋体" w:cs="Times New Roman"/>
                <w:color w:val="auto"/>
                <w:spacing w:val="0"/>
                <w:w w:val="100"/>
                <w:position w:val="0"/>
                <w:highlight w:val="none"/>
              </w:rPr>
              <w:t>大气环境、水环境、声环境、固体废物污染防治措施可行性分析、生态恢复措施</w:t>
            </w:r>
            <w:r>
              <w:rPr>
                <w:rFonts w:hint="eastAsia" w:cs="Times New Roman"/>
                <w:color w:val="auto"/>
                <w:spacing w:val="0"/>
                <w:w w:val="100"/>
                <w:position w:val="0"/>
                <w:highlight w:val="none"/>
                <w:lang w:val="en-US" w:eastAsia="zh-CN"/>
              </w:rPr>
              <w:t>等</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3517A8E4">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w:t>
            </w:r>
          </w:p>
        </w:tc>
      </w:tr>
      <w:tr w14:paraId="0EDEB7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38F5F10E">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pacing w:val="0"/>
                <w:w w:val="100"/>
                <w:position w:val="0"/>
                <w:highlight w:val="none"/>
                <w:lang w:eastAsia="zh-CN"/>
              </w:rPr>
            </w:pPr>
            <w:r>
              <w:rPr>
                <w:rFonts w:hint="eastAsia" w:cs="Times New Roman"/>
                <w:color w:val="auto"/>
                <w:spacing w:val="0"/>
                <w:w w:val="100"/>
                <w:position w:val="0"/>
                <w:highlight w:val="none"/>
                <w:lang w:val="en-US" w:eastAsia="zh-CN"/>
              </w:rPr>
              <w:t>8</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54C68DC5">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eastAsia="zh-CN"/>
              </w:rPr>
              <w:t>生态</w:t>
            </w:r>
            <w:r>
              <w:rPr>
                <w:rFonts w:hint="default" w:ascii="Times New Roman" w:hAnsi="Times New Roman" w:eastAsia="宋体" w:cs="Times New Roman"/>
                <w:color w:val="auto"/>
                <w:spacing w:val="0"/>
                <w:w w:val="100"/>
                <w:position w:val="0"/>
                <w:highlight w:val="none"/>
              </w:rPr>
              <w:t>环境管理与监测计划</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0D257633">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default" w:ascii="Times New Roman" w:hAnsi="Times New Roman" w:eastAsia="宋体" w:cs="Times New Roman"/>
                <w:color w:val="auto"/>
                <w:spacing w:val="0"/>
                <w:w w:val="100"/>
                <w:position w:val="0"/>
                <w:highlight w:val="none"/>
              </w:rPr>
              <w:t>施工期环境管理</w:t>
            </w:r>
            <w:r>
              <w:rPr>
                <w:rFonts w:hint="eastAsia" w:cs="Times New Roman"/>
                <w:color w:val="auto"/>
                <w:spacing w:val="0"/>
                <w:w w:val="100"/>
                <w:position w:val="0"/>
                <w:highlight w:val="none"/>
                <w:lang w:val="en-US" w:eastAsia="zh-CN"/>
              </w:rPr>
              <w:t>与监测、运营期环境管理与监测</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7F2272C5">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r>
      <w:tr w14:paraId="62B456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4" w:type="pct"/>
            <w:tcBorders>
              <w:top w:val="single" w:color="000000" w:sz="4" w:space="0"/>
              <w:left w:val="single" w:color="auto" w:sz="4" w:space="0"/>
              <w:bottom w:val="single" w:color="000000" w:sz="4" w:space="0"/>
              <w:right w:val="single" w:color="000000" w:sz="4" w:space="0"/>
            </w:tcBorders>
            <w:tcMar>
              <w:top w:w="0" w:type="dxa"/>
              <w:left w:w="51" w:type="dxa"/>
              <w:bottom w:w="0" w:type="dxa"/>
              <w:right w:w="51" w:type="dxa"/>
            </w:tcMar>
            <w:vAlign w:val="center"/>
          </w:tcPr>
          <w:p w14:paraId="0F456B79">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pacing w:val="0"/>
                <w:w w:val="100"/>
                <w:position w:val="0"/>
                <w:highlight w:val="none"/>
                <w:lang w:eastAsia="zh-CN"/>
              </w:rPr>
            </w:pPr>
            <w:r>
              <w:rPr>
                <w:rFonts w:hint="eastAsia" w:cs="Times New Roman"/>
                <w:color w:val="auto"/>
                <w:spacing w:val="0"/>
                <w:w w:val="100"/>
                <w:position w:val="0"/>
                <w:highlight w:val="none"/>
                <w:lang w:val="en-US" w:eastAsia="zh-CN"/>
              </w:rPr>
              <w:t>9</w:t>
            </w:r>
          </w:p>
        </w:tc>
        <w:tc>
          <w:tcPr>
            <w:tcW w:w="1124" w:type="pct"/>
            <w:tcBorders>
              <w:top w:val="single" w:color="000000" w:sz="4" w:space="0"/>
              <w:left w:val="single" w:color="000000" w:sz="4" w:space="0"/>
              <w:bottom w:val="single" w:color="000000" w:sz="4" w:space="0"/>
              <w:right w:val="single" w:color="000000" w:sz="4" w:space="0"/>
            </w:tcBorders>
            <w:tcMar>
              <w:top w:w="0" w:type="dxa"/>
              <w:left w:w="51" w:type="dxa"/>
              <w:bottom w:w="0" w:type="dxa"/>
              <w:right w:w="51" w:type="dxa"/>
            </w:tcMar>
            <w:vAlign w:val="center"/>
          </w:tcPr>
          <w:p w14:paraId="45EED814">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eastAsia="zh-CN"/>
              </w:rPr>
              <w:t>生态</w:t>
            </w:r>
            <w:r>
              <w:rPr>
                <w:rFonts w:hint="default" w:ascii="Times New Roman" w:hAnsi="Times New Roman" w:eastAsia="宋体" w:cs="Times New Roman"/>
                <w:color w:val="auto"/>
                <w:spacing w:val="0"/>
                <w:w w:val="100"/>
                <w:position w:val="0"/>
                <w:highlight w:val="none"/>
              </w:rPr>
              <w:t>环境影响评价结论</w:t>
            </w:r>
          </w:p>
        </w:tc>
        <w:tc>
          <w:tcPr>
            <w:tcW w:w="3177" w:type="pct"/>
            <w:tcBorders>
              <w:top w:val="single" w:color="000000" w:sz="4" w:space="0"/>
              <w:left w:val="single" w:color="000000" w:sz="4" w:space="0"/>
              <w:bottom w:val="single" w:color="000000" w:sz="4" w:space="0"/>
              <w:right w:val="nil"/>
            </w:tcBorders>
            <w:tcMar>
              <w:top w:w="0" w:type="dxa"/>
              <w:left w:w="51" w:type="dxa"/>
              <w:bottom w:w="0" w:type="dxa"/>
              <w:right w:w="51" w:type="dxa"/>
            </w:tcMar>
            <w:vAlign w:val="center"/>
          </w:tcPr>
          <w:p w14:paraId="02E71155">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r>
              <w:rPr>
                <w:rFonts w:hint="eastAsia" w:cs="Times New Roman"/>
                <w:color w:val="auto"/>
                <w:spacing w:val="0"/>
                <w:w w:val="100"/>
                <w:position w:val="0"/>
                <w:highlight w:val="none"/>
                <w:lang w:eastAsia="zh-CN"/>
              </w:rPr>
              <w:t>生态环境可行性</w:t>
            </w:r>
            <w:r>
              <w:rPr>
                <w:rFonts w:hint="default" w:ascii="Times New Roman" w:hAnsi="Times New Roman" w:eastAsia="宋体" w:cs="Times New Roman"/>
                <w:color w:val="auto"/>
                <w:spacing w:val="0"/>
                <w:w w:val="100"/>
                <w:position w:val="0"/>
                <w:highlight w:val="none"/>
              </w:rPr>
              <w:t>结论、建议</w:t>
            </w:r>
          </w:p>
        </w:tc>
        <w:tc>
          <w:tcPr>
            <w:tcW w:w="424" w:type="pct"/>
            <w:tcBorders>
              <w:top w:val="single" w:color="000000" w:sz="4" w:space="0"/>
              <w:left w:val="single" w:color="000000" w:sz="4" w:space="0"/>
              <w:bottom w:val="single" w:color="000000" w:sz="4" w:space="0"/>
              <w:right w:val="single" w:color="auto" w:sz="4" w:space="0"/>
            </w:tcBorders>
            <w:tcMar>
              <w:top w:w="0" w:type="dxa"/>
              <w:left w:w="51" w:type="dxa"/>
              <w:bottom w:w="0" w:type="dxa"/>
              <w:right w:w="51" w:type="dxa"/>
            </w:tcMar>
            <w:vAlign w:val="center"/>
          </w:tcPr>
          <w:p w14:paraId="6EF1AE66">
            <w:pPr>
              <w:pStyle w:val="3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pacing w:val="0"/>
                <w:w w:val="100"/>
                <w:position w:val="0"/>
                <w:highlight w:val="none"/>
              </w:rPr>
            </w:pPr>
          </w:p>
        </w:tc>
      </w:tr>
    </w:tbl>
    <w:p w14:paraId="73103AA0">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2.3评价因子</w:t>
      </w:r>
    </w:p>
    <w:p w14:paraId="6BDD1FF4">
      <w:pPr>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根据环境影响要素识别结果，结合周围区域环境质量现状及本项目的工艺特点、污染物排放特征，通过筛选分析，确定本项目评价因子见表2-2。</w:t>
      </w:r>
    </w:p>
    <w:p w14:paraId="65380991">
      <w:pPr>
        <w:pStyle w:val="35"/>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color w:val="auto"/>
          <w:spacing w:val="0"/>
          <w:w w:val="100"/>
          <w:position w:val="0"/>
          <w:sz w:val="21"/>
          <w:szCs w:val="21"/>
          <w:highlight w:val="none"/>
        </w:rPr>
      </w:pPr>
    </w:p>
    <w:p w14:paraId="70AA74DF">
      <w:pPr>
        <w:pStyle w:val="35"/>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color w:val="auto"/>
          <w:spacing w:val="0"/>
          <w:w w:val="100"/>
          <w:position w:val="0"/>
          <w:sz w:val="21"/>
          <w:szCs w:val="21"/>
          <w:highlight w:val="none"/>
        </w:rPr>
      </w:pPr>
    </w:p>
    <w:p w14:paraId="41F2C762">
      <w:pPr>
        <w:pStyle w:val="35"/>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cs="Times New Roman"/>
          <w:b/>
          <w:color w:val="auto"/>
          <w:spacing w:val="0"/>
          <w:w w:val="100"/>
          <w:position w:val="0"/>
          <w:sz w:val="21"/>
          <w:szCs w:val="21"/>
          <w:highlight w:val="none"/>
        </w:rPr>
      </w:pPr>
      <w:r>
        <w:rPr>
          <w:rFonts w:hint="default" w:ascii="Times New Roman" w:hAnsi="Times New Roman" w:eastAsia="宋体" w:cs="Times New Roman"/>
          <w:b/>
          <w:color w:val="auto"/>
          <w:spacing w:val="0"/>
          <w:w w:val="100"/>
          <w:position w:val="0"/>
          <w:sz w:val="21"/>
          <w:szCs w:val="21"/>
          <w:highlight w:val="none"/>
        </w:rPr>
        <w:t>表2-2  评价因子一览表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7761"/>
      </w:tblGrid>
      <w:tr w14:paraId="712B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62B684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项目</w:t>
            </w:r>
          </w:p>
        </w:tc>
        <w:tc>
          <w:tcPr>
            <w:tcW w:w="4554" w:type="pct"/>
            <w:vAlign w:val="center"/>
          </w:tcPr>
          <w:p w14:paraId="25FE07F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评价因子</w:t>
            </w:r>
          </w:p>
        </w:tc>
      </w:tr>
      <w:tr w14:paraId="1298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FA0C12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现状调查</w:t>
            </w:r>
          </w:p>
        </w:tc>
        <w:tc>
          <w:tcPr>
            <w:tcW w:w="4554" w:type="pct"/>
            <w:vAlign w:val="center"/>
          </w:tcPr>
          <w:p w14:paraId="5F2D5A4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pPr>
            <w:r>
              <w:rPr>
                <w:rFonts w:hint="eastAsia" w:cs="Times New Roman"/>
                <w:b w:val="0"/>
                <w:bCs w:val="0"/>
                <w:color w:val="auto"/>
                <w:spacing w:val="0"/>
                <w:w w:val="100"/>
                <w:position w:val="0"/>
                <w:sz w:val="21"/>
                <w:szCs w:val="21"/>
                <w:highlight w:val="none"/>
                <w:vertAlign w:val="baseline"/>
                <w:lang w:val="en-US" w:eastAsia="zh-CN"/>
              </w:rPr>
              <w:t>分布范围、种群数量、种群结构、行为等，生境面积、质量、连通性等，物种组成、群落结构等，植被覆盖度、生产力、生物量、生态系统功能等，物种丰富度、均匀度、优势度等，主要保护对象、生态功能等。景观多样性、完整性等</w:t>
            </w:r>
          </w:p>
        </w:tc>
      </w:tr>
      <w:tr w14:paraId="53AE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F6B4971">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kern w:val="2"/>
                <w:positio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影响评价</w:t>
            </w:r>
          </w:p>
        </w:tc>
        <w:tc>
          <w:tcPr>
            <w:tcW w:w="4554" w:type="pct"/>
            <w:vAlign w:val="center"/>
          </w:tcPr>
          <w:p w14:paraId="39D7A75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pP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对景观/生态系统的影响</w:t>
            </w:r>
            <w:r>
              <w:rPr>
                <w:rFonts w:hint="eastAsia" w:ascii="Times New Roman" w:hAnsi="Times New Roman" w:eastAsia="宋体" w:cs="Times New Roman"/>
                <w:b w:val="0"/>
                <w:bCs w:val="0"/>
                <w:color w:val="auto"/>
                <w:spacing w:val="0"/>
                <w:w w:val="100"/>
                <w:position w:val="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对生物群落的影响</w:t>
            </w:r>
            <w:r>
              <w:rPr>
                <w:rFonts w:hint="eastAsia" w:ascii="Times New Roman" w:hAnsi="Times New Roman" w:eastAsia="宋体" w:cs="Times New Roman"/>
                <w:b w:val="0"/>
                <w:bCs w:val="0"/>
                <w:color w:val="auto"/>
                <w:spacing w:val="0"/>
                <w:w w:val="100"/>
                <w:position w:val="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对种群/物种的影响</w:t>
            </w:r>
            <w:r>
              <w:rPr>
                <w:rFonts w:hint="eastAsia" w:ascii="Times New Roman" w:hAnsi="Times New Roman" w:eastAsia="宋体" w:cs="Times New Roman"/>
                <w:b w:val="0"/>
                <w:bCs w:val="0"/>
                <w:color w:val="auto"/>
                <w:spacing w:val="0"/>
                <w:w w:val="100"/>
                <w:position w:val="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对主要保护对象的影响</w:t>
            </w:r>
            <w:r>
              <w:rPr>
                <w:rFonts w:hint="eastAsia" w:ascii="Times New Roman" w:hAnsi="Times New Roman" w:eastAsia="宋体" w:cs="Times New Roman"/>
                <w:b w:val="0"/>
                <w:bCs w:val="0"/>
                <w:color w:val="auto"/>
                <w:spacing w:val="0"/>
                <w:w w:val="100"/>
                <w:position w:val="0"/>
                <w:sz w:val="21"/>
                <w:szCs w:val="21"/>
                <w:highlight w:val="none"/>
                <w:vertAlign w:val="baseline"/>
                <w:lang w:val="en-US" w:eastAsia="zh-CN"/>
              </w:rPr>
              <w:t>、</w:t>
            </w:r>
            <w:r>
              <w:rPr>
                <w:rFonts w:hint="default" w:ascii="Times New Roman" w:hAnsi="Times New Roman" w:eastAsia="宋体" w:cs="Times New Roman"/>
                <w:b w:val="0"/>
                <w:bCs w:val="0"/>
                <w:color w:val="auto"/>
                <w:spacing w:val="0"/>
                <w:w w:val="100"/>
                <w:position w:val="0"/>
                <w:sz w:val="21"/>
                <w:szCs w:val="21"/>
                <w:highlight w:val="none"/>
                <w:vertAlign w:val="baseline"/>
                <w:lang w:val="en-US" w:eastAsia="zh-CN"/>
              </w:rPr>
              <w:t>对生物安全的影响</w:t>
            </w:r>
            <w:r>
              <w:rPr>
                <w:rFonts w:hint="eastAsia" w:eastAsia="宋体" w:cs="Times New Roman"/>
                <w:b w:val="0"/>
                <w:bCs w:val="0"/>
                <w:color w:val="auto"/>
                <w:spacing w:val="0"/>
                <w:w w:val="100"/>
                <w:position w:val="0"/>
                <w:sz w:val="21"/>
                <w:szCs w:val="21"/>
                <w:highlight w:val="none"/>
                <w:vertAlign w:val="baseline"/>
                <w:lang w:val="en-US" w:eastAsia="zh-CN"/>
              </w:rPr>
              <w:t>、水土流失、土壤沙化</w:t>
            </w:r>
          </w:p>
        </w:tc>
      </w:tr>
    </w:tbl>
    <w:p w14:paraId="6FE54AA1">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2.4评价工作等级</w:t>
      </w:r>
    </w:p>
    <w:p w14:paraId="7F23683E">
      <w:pPr>
        <w:adjustRightInd w:val="0"/>
        <w:snapToGrid w:val="0"/>
        <w:spacing w:line="440" w:lineRule="exact"/>
        <w:ind w:firstLine="456"/>
        <w:jc w:val="left"/>
        <w:rPr>
          <w:rFonts w:hint="eastAsia" w:eastAsia="宋体" w:cs="Times New Roman"/>
          <w:bCs/>
          <w:color w:val="auto"/>
          <w:szCs w:val="24"/>
          <w:highlight w:val="none"/>
          <w:lang w:eastAsia="zh-CN"/>
        </w:rPr>
      </w:pPr>
      <w:r>
        <w:rPr>
          <w:rFonts w:cs="Times New Roman"/>
          <w:color w:val="auto"/>
          <w:spacing w:val="-6"/>
          <w:szCs w:val="24"/>
          <w:highlight w:val="none"/>
        </w:rPr>
        <w:t>根据《</w:t>
      </w:r>
      <w:r>
        <w:rPr>
          <w:rFonts w:hint="eastAsia" w:cs="Times New Roman"/>
          <w:color w:val="auto"/>
          <w:spacing w:val="-6"/>
          <w:szCs w:val="24"/>
          <w:highlight w:val="none"/>
        </w:rPr>
        <w:t>环境影响评价技术导则 生态影响</w:t>
      </w:r>
      <w:r>
        <w:rPr>
          <w:rFonts w:cs="Times New Roman"/>
          <w:color w:val="auto"/>
          <w:spacing w:val="-6"/>
          <w:szCs w:val="24"/>
          <w:highlight w:val="none"/>
        </w:rPr>
        <w:t>》（HJ</w:t>
      </w:r>
      <w:r>
        <w:rPr>
          <w:rFonts w:hint="eastAsia" w:cs="Times New Roman"/>
          <w:color w:val="auto"/>
          <w:spacing w:val="-6"/>
          <w:szCs w:val="24"/>
          <w:highlight w:val="none"/>
          <w:lang w:val="en-US" w:eastAsia="zh-CN"/>
        </w:rPr>
        <w:t>19</w:t>
      </w:r>
      <w:r>
        <w:rPr>
          <w:rFonts w:cs="Times New Roman"/>
          <w:color w:val="auto"/>
          <w:spacing w:val="-6"/>
          <w:szCs w:val="24"/>
          <w:highlight w:val="none"/>
        </w:rPr>
        <w:t>-202</w:t>
      </w:r>
      <w:r>
        <w:rPr>
          <w:rFonts w:hint="eastAsia" w:cs="Times New Roman"/>
          <w:color w:val="auto"/>
          <w:spacing w:val="-6"/>
          <w:szCs w:val="24"/>
          <w:highlight w:val="none"/>
          <w:lang w:val="en-US" w:eastAsia="zh-CN"/>
        </w:rPr>
        <w:t>2</w:t>
      </w:r>
      <w:r>
        <w:rPr>
          <w:rFonts w:cs="Times New Roman"/>
          <w:color w:val="auto"/>
          <w:spacing w:val="-6"/>
          <w:szCs w:val="24"/>
          <w:highlight w:val="none"/>
        </w:rPr>
        <w:t>）中</w:t>
      </w:r>
      <w:r>
        <w:rPr>
          <w:rFonts w:hint="eastAsia" w:eastAsia="宋体" w:cs="Times New Roman"/>
          <w:bCs/>
          <w:color w:val="auto"/>
          <w:szCs w:val="24"/>
          <w:highlight w:val="none"/>
        </w:rPr>
        <w:t>6.1评价等级判定</w:t>
      </w:r>
      <w:r>
        <w:rPr>
          <w:rFonts w:hint="eastAsia" w:eastAsia="宋体" w:cs="Times New Roman"/>
          <w:bCs/>
          <w:color w:val="auto"/>
          <w:szCs w:val="24"/>
          <w:highlight w:val="none"/>
          <w:lang w:eastAsia="zh-CN"/>
        </w:rPr>
        <w:t>：</w:t>
      </w:r>
    </w:p>
    <w:p w14:paraId="43E4A8AE">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6.1.1依据建设项目影响区域的生态敏感性和影响程度，评价等级划分为一级、二级和三级。</w:t>
      </w:r>
    </w:p>
    <w:p w14:paraId="6F16148D">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6.1.2按以下原则确定评价等级：</w:t>
      </w:r>
    </w:p>
    <w:p w14:paraId="7CF50C66">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a）涉及国家公园、自然保护区、世界自然遗产、重要生境时，评价等级为一级；</w:t>
      </w:r>
    </w:p>
    <w:p w14:paraId="0666C192">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b）涉及自然公园时，评价等级为二级；</w:t>
      </w:r>
    </w:p>
    <w:p w14:paraId="1F0C81F4">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c）涉及生态保护红线时，评价等级不低于二级；</w:t>
      </w:r>
    </w:p>
    <w:p w14:paraId="2068A2C6">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d）根据HJ2.3判断属于水文要素影响型且地表水评价等级不低于二级的建设项目，生态影响评价等级不低于二级；</w:t>
      </w:r>
    </w:p>
    <w:p w14:paraId="3665B042">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e）根据HJ610、HJ964判断地下水水位或土壤影响范围内分布有天然林、公益林、湿地等生态保护目标的建设项目，生态影响评价等级不低于二级；</w:t>
      </w:r>
    </w:p>
    <w:p w14:paraId="3CADD30B">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f）当工程占地规模大于20km</w:t>
      </w:r>
      <w:r>
        <w:rPr>
          <w:rFonts w:hint="eastAsia" w:eastAsia="宋体" w:cs="Times New Roman"/>
          <w:bCs/>
          <w:color w:val="auto"/>
          <w:szCs w:val="24"/>
          <w:highlight w:val="none"/>
          <w:vertAlign w:val="superscript"/>
        </w:rPr>
        <w:t>2</w:t>
      </w:r>
      <w:r>
        <w:rPr>
          <w:rFonts w:hint="eastAsia" w:eastAsia="宋体" w:cs="Times New Roman"/>
          <w:bCs/>
          <w:color w:val="auto"/>
          <w:szCs w:val="24"/>
          <w:highlight w:val="none"/>
        </w:rPr>
        <w:t>时（包括永久和临时占用陆域和水域），评价等级不低于二级；改扩建项目的占地范围以新增占地（包括陆域和水域）确定；</w:t>
      </w:r>
    </w:p>
    <w:p w14:paraId="5E20A96C">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g）除本条a）、b）、c）、d）、e）、f）以外的情况，评价等级为三级；</w:t>
      </w:r>
    </w:p>
    <w:p w14:paraId="07E7EA73">
      <w:pPr>
        <w:adjustRightInd w:val="0"/>
        <w:snapToGrid w:val="0"/>
        <w:spacing w:line="440" w:lineRule="exact"/>
        <w:ind w:firstLine="456"/>
        <w:jc w:val="left"/>
        <w:rPr>
          <w:rFonts w:hint="eastAsia" w:eastAsia="宋体" w:cs="Times New Roman"/>
          <w:bCs/>
          <w:color w:val="auto"/>
          <w:szCs w:val="24"/>
          <w:highlight w:val="none"/>
        </w:rPr>
      </w:pPr>
      <w:r>
        <w:rPr>
          <w:rFonts w:hint="eastAsia" w:eastAsia="宋体" w:cs="Times New Roman"/>
          <w:bCs/>
          <w:color w:val="auto"/>
          <w:szCs w:val="24"/>
          <w:highlight w:val="none"/>
        </w:rPr>
        <w:t>h）当评价等级判定同时符合上述多种情况时，应采用其中最高的评价等级。</w:t>
      </w:r>
    </w:p>
    <w:p w14:paraId="48383BF3">
      <w:pPr>
        <w:adjustRightInd w:val="0"/>
        <w:snapToGrid w:val="0"/>
        <w:spacing w:line="440" w:lineRule="exact"/>
        <w:ind w:firstLine="456"/>
        <w:jc w:val="left"/>
        <w:rPr>
          <w:rFonts w:eastAsia="宋体" w:cs="Times New Roman"/>
          <w:bCs/>
          <w:color w:val="auto"/>
          <w:szCs w:val="24"/>
          <w:highlight w:val="none"/>
        </w:rPr>
      </w:pPr>
      <w:r>
        <w:rPr>
          <w:rFonts w:cs="Times New Roman"/>
          <w:color w:val="auto"/>
          <w:spacing w:val="-6"/>
          <w:szCs w:val="24"/>
          <w:highlight w:val="none"/>
        </w:rPr>
        <w:t>本项目输电线路电压等级为</w:t>
      </w:r>
      <w:r>
        <w:rPr>
          <w:rFonts w:hint="eastAsia" w:cs="Times New Roman"/>
          <w:color w:val="auto"/>
          <w:spacing w:val="-6"/>
          <w:szCs w:val="24"/>
          <w:highlight w:val="none"/>
        </w:rPr>
        <w:t>22</w:t>
      </w:r>
      <w:r>
        <w:rPr>
          <w:rFonts w:cs="Times New Roman"/>
          <w:color w:val="auto"/>
          <w:spacing w:val="-6"/>
          <w:szCs w:val="24"/>
          <w:highlight w:val="none"/>
        </w:rPr>
        <w:t>0kV，</w:t>
      </w:r>
      <w:r>
        <w:rPr>
          <w:rFonts w:hint="eastAsia" w:cs="Times New Roman"/>
          <w:color w:val="auto"/>
          <w:spacing w:val="-6"/>
          <w:szCs w:val="24"/>
          <w:highlight w:val="none"/>
          <w:lang w:eastAsia="zh-CN"/>
        </w:rPr>
        <w:t>线路穿越河北滦河上游国家级自然保护区</w:t>
      </w:r>
      <w:r>
        <w:rPr>
          <w:rFonts w:hint="eastAsia" w:cs="Times New Roman"/>
          <w:color w:val="auto"/>
          <w:spacing w:val="-6"/>
          <w:szCs w:val="24"/>
          <w:highlight w:val="none"/>
        </w:rPr>
        <w:t>实验区9094.58m，</w:t>
      </w:r>
      <w:r>
        <w:rPr>
          <w:rFonts w:hint="eastAsia" w:cs="Times New Roman"/>
          <w:color w:val="auto"/>
          <w:spacing w:val="-6"/>
          <w:szCs w:val="24"/>
          <w:highlight w:val="none"/>
          <w:lang w:eastAsia="zh-CN"/>
        </w:rPr>
        <w:t>塔基</w:t>
      </w:r>
      <w:r>
        <w:rPr>
          <w:rFonts w:hint="eastAsia" w:cs="Times New Roman"/>
          <w:color w:val="auto"/>
          <w:spacing w:val="-6"/>
          <w:szCs w:val="24"/>
          <w:highlight w:val="none"/>
          <w:lang w:val="en-US" w:eastAsia="zh-CN"/>
        </w:rPr>
        <w:t>23基，</w:t>
      </w:r>
      <w:r>
        <w:rPr>
          <w:rFonts w:hint="eastAsia" w:cs="Times New Roman"/>
          <w:color w:val="auto"/>
          <w:spacing w:val="-6"/>
          <w:szCs w:val="24"/>
          <w:highlight w:val="none"/>
          <w:lang w:eastAsia="zh-CN"/>
        </w:rPr>
        <w:t>本</w:t>
      </w:r>
      <w:r>
        <w:rPr>
          <w:rFonts w:hint="eastAsia" w:cs="Times New Roman"/>
          <w:color w:val="auto"/>
          <w:spacing w:val="-6"/>
          <w:szCs w:val="24"/>
          <w:highlight w:val="none"/>
        </w:rPr>
        <w:t>工程</w:t>
      </w:r>
      <w:r>
        <w:rPr>
          <w:rFonts w:hint="eastAsia" w:cs="Times New Roman"/>
          <w:color w:val="auto"/>
          <w:spacing w:val="-6"/>
          <w:szCs w:val="24"/>
          <w:highlight w:val="none"/>
          <w:lang w:eastAsia="zh-CN"/>
        </w:rPr>
        <w:t>保护区范围内</w:t>
      </w:r>
      <w:r>
        <w:rPr>
          <w:rFonts w:hint="eastAsia" w:cs="Times New Roman"/>
          <w:color w:val="auto"/>
          <w:spacing w:val="-6"/>
          <w:szCs w:val="24"/>
          <w:highlight w:val="none"/>
        </w:rPr>
        <w:t>永久性占地包括线路塔基占地面积2438m</w:t>
      </w:r>
      <w:r>
        <w:rPr>
          <w:rFonts w:hint="eastAsia" w:cs="Times New Roman"/>
          <w:color w:val="auto"/>
          <w:spacing w:val="-6"/>
          <w:szCs w:val="24"/>
          <w:highlight w:val="none"/>
          <w:vertAlign w:val="superscript"/>
        </w:rPr>
        <w:t>2</w:t>
      </w:r>
      <w:r>
        <w:rPr>
          <w:rFonts w:hint="eastAsia" w:cs="Times New Roman"/>
          <w:color w:val="auto"/>
          <w:spacing w:val="-6"/>
          <w:szCs w:val="24"/>
          <w:highlight w:val="none"/>
          <w:lang w:eastAsia="zh-CN"/>
        </w:rPr>
        <w:t>，评价等级为一级；线路穿越生态保护红线</w:t>
      </w:r>
      <w:r>
        <w:rPr>
          <w:rFonts w:hint="eastAsia" w:cs="Times New Roman"/>
          <w:color w:val="auto"/>
          <w:spacing w:val="-6"/>
          <w:szCs w:val="24"/>
          <w:highlight w:val="none"/>
          <w:lang w:val="en-US" w:eastAsia="zh-CN"/>
        </w:rPr>
        <w:t>12967m，塔基36基，</w:t>
      </w:r>
      <w:r>
        <w:rPr>
          <w:rFonts w:hint="eastAsia" w:cs="Times New Roman"/>
          <w:color w:val="auto"/>
          <w:spacing w:val="-6"/>
          <w:szCs w:val="24"/>
          <w:highlight w:val="none"/>
          <w:lang w:eastAsia="zh-CN"/>
        </w:rPr>
        <w:t>本</w:t>
      </w:r>
      <w:r>
        <w:rPr>
          <w:rFonts w:hint="eastAsia" w:cs="Times New Roman"/>
          <w:color w:val="auto"/>
          <w:spacing w:val="-6"/>
          <w:szCs w:val="24"/>
          <w:highlight w:val="none"/>
        </w:rPr>
        <w:t>工程</w:t>
      </w:r>
      <w:r>
        <w:rPr>
          <w:rFonts w:hint="eastAsia" w:cs="Times New Roman"/>
          <w:color w:val="auto"/>
          <w:spacing w:val="-6"/>
          <w:szCs w:val="24"/>
          <w:highlight w:val="none"/>
          <w:lang w:eastAsia="zh-CN"/>
        </w:rPr>
        <w:t>生态保护红线范围内</w:t>
      </w:r>
      <w:r>
        <w:rPr>
          <w:rFonts w:hint="eastAsia" w:cs="Times New Roman"/>
          <w:color w:val="auto"/>
          <w:spacing w:val="-6"/>
          <w:szCs w:val="24"/>
          <w:highlight w:val="none"/>
        </w:rPr>
        <w:t>永久性占地包括线路塔基占地面积</w:t>
      </w:r>
      <w:r>
        <w:rPr>
          <w:rFonts w:hint="eastAsia" w:cs="Times New Roman"/>
          <w:color w:val="auto"/>
          <w:spacing w:val="-6"/>
          <w:szCs w:val="24"/>
          <w:highlight w:val="none"/>
          <w:lang w:val="en-US" w:eastAsia="zh-CN"/>
        </w:rPr>
        <w:t>3920</w:t>
      </w:r>
      <w:r>
        <w:rPr>
          <w:rFonts w:hint="eastAsia" w:cs="Times New Roman"/>
          <w:color w:val="auto"/>
          <w:spacing w:val="-6"/>
          <w:szCs w:val="24"/>
          <w:highlight w:val="none"/>
        </w:rPr>
        <w:t>m</w:t>
      </w:r>
      <w:r>
        <w:rPr>
          <w:rFonts w:hint="eastAsia" w:cs="Times New Roman"/>
          <w:color w:val="auto"/>
          <w:spacing w:val="-6"/>
          <w:szCs w:val="24"/>
          <w:highlight w:val="none"/>
          <w:vertAlign w:val="superscript"/>
        </w:rPr>
        <w:t>2</w:t>
      </w:r>
      <w:r>
        <w:rPr>
          <w:rFonts w:hint="eastAsia" w:cs="Times New Roman"/>
          <w:color w:val="auto"/>
          <w:spacing w:val="-6"/>
          <w:szCs w:val="24"/>
          <w:highlight w:val="none"/>
          <w:lang w:eastAsia="zh-CN"/>
        </w:rPr>
        <w:t>，评价等级不低于二级，</w:t>
      </w:r>
      <w:r>
        <w:rPr>
          <w:rFonts w:hint="default" w:ascii="Times New Roman" w:hAnsi="Times New Roman" w:eastAsia="宋体" w:cs="Times New Roman"/>
          <w:color w:val="auto"/>
          <w:spacing w:val="0"/>
          <w:w w:val="100"/>
          <w:position w:val="0"/>
          <w:highlight w:val="none"/>
        </w:rPr>
        <w:t>因此</w:t>
      </w:r>
      <w:r>
        <w:rPr>
          <w:rFonts w:hint="eastAsia" w:eastAsia="宋体" w:cs="Times New Roman"/>
          <w:color w:val="auto"/>
          <w:spacing w:val="0"/>
          <w:w w:val="100"/>
          <w:position w:val="0"/>
          <w:highlight w:val="none"/>
          <w:lang w:eastAsia="zh-CN"/>
        </w:rPr>
        <w:t>根据评价等级判定原则，应采用其中最高的评价等级</w:t>
      </w:r>
      <w:r>
        <w:rPr>
          <w:rFonts w:hint="default" w:ascii="Times New Roman" w:hAnsi="Times New Roman" w:eastAsia="宋体" w:cs="Times New Roman"/>
          <w:color w:val="auto"/>
          <w:spacing w:val="0"/>
          <w:w w:val="100"/>
          <w:position w:val="0"/>
          <w:highlight w:val="none"/>
        </w:rPr>
        <w:t>，</w:t>
      </w:r>
      <w:r>
        <w:rPr>
          <w:rFonts w:hint="default" w:ascii="Times New Roman" w:hAnsi="Times New Roman" w:eastAsia="宋体" w:cs="Times New Roman"/>
          <w:color w:val="auto"/>
          <w:spacing w:val="0"/>
          <w:w w:val="100"/>
          <w:kern w:val="0"/>
          <w:position w:val="0"/>
          <w:highlight w:val="none"/>
        </w:rPr>
        <w:t>确定本项目生态环境影响评价工作等级为</w:t>
      </w:r>
      <w:r>
        <w:rPr>
          <w:rFonts w:hint="eastAsia" w:ascii="Times New Roman" w:hAnsi="Times New Roman" w:eastAsia="宋体" w:cs="Times New Roman"/>
          <w:color w:val="auto"/>
          <w:spacing w:val="0"/>
          <w:w w:val="100"/>
          <w:kern w:val="0"/>
          <w:position w:val="0"/>
          <w:highlight w:val="none"/>
          <w:lang w:eastAsia="zh-CN"/>
        </w:rPr>
        <w:t>一</w:t>
      </w:r>
      <w:r>
        <w:rPr>
          <w:rFonts w:hint="default" w:ascii="Times New Roman" w:hAnsi="Times New Roman" w:eastAsia="宋体" w:cs="Times New Roman"/>
          <w:color w:val="auto"/>
          <w:spacing w:val="0"/>
          <w:w w:val="100"/>
          <w:kern w:val="0"/>
          <w:position w:val="0"/>
          <w:highlight w:val="none"/>
        </w:rPr>
        <w:t>级。</w:t>
      </w:r>
    </w:p>
    <w:p w14:paraId="61A5E1C6">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2.5评价范围</w:t>
      </w:r>
    </w:p>
    <w:p w14:paraId="621334E6">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根据</w:t>
      </w:r>
      <w:r>
        <w:rPr>
          <w:rFonts w:cs="Times New Roman"/>
          <w:color w:val="auto"/>
          <w:spacing w:val="-6"/>
          <w:szCs w:val="24"/>
          <w:highlight w:val="none"/>
        </w:rPr>
        <w:t>《</w:t>
      </w:r>
      <w:r>
        <w:rPr>
          <w:rFonts w:hint="eastAsia" w:cs="Times New Roman"/>
          <w:color w:val="auto"/>
          <w:spacing w:val="-6"/>
          <w:szCs w:val="24"/>
          <w:highlight w:val="none"/>
        </w:rPr>
        <w:t>环境影响评价技术导则 生态影响</w:t>
      </w:r>
      <w:r>
        <w:rPr>
          <w:rFonts w:cs="Times New Roman"/>
          <w:color w:val="auto"/>
          <w:spacing w:val="-6"/>
          <w:szCs w:val="24"/>
          <w:highlight w:val="none"/>
        </w:rPr>
        <w:t>》（HJ</w:t>
      </w:r>
      <w:r>
        <w:rPr>
          <w:rFonts w:hint="eastAsia" w:cs="Times New Roman"/>
          <w:color w:val="auto"/>
          <w:spacing w:val="-6"/>
          <w:szCs w:val="24"/>
          <w:highlight w:val="none"/>
          <w:lang w:val="en-US" w:eastAsia="zh-CN"/>
        </w:rPr>
        <w:t>19</w:t>
      </w:r>
      <w:r>
        <w:rPr>
          <w:rFonts w:cs="Times New Roman"/>
          <w:color w:val="auto"/>
          <w:spacing w:val="-6"/>
          <w:szCs w:val="24"/>
          <w:highlight w:val="none"/>
        </w:rPr>
        <w:t>-202</w:t>
      </w:r>
      <w:r>
        <w:rPr>
          <w:rFonts w:hint="eastAsia" w:cs="Times New Roman"/>
          <w:color w:val="auto"/>
          <w:spacing w:val="-6"/>
          <w:szCs w:val="24"/>
          <w:highlight w:val="none"/>
          <w:lang w:val="en-US" w:eastAsia="zh-CN"/>
        </w:rPr>
        <w:t>2</w:t>
      </w:r>
      <w:r>
        <w:rPr>
          <w:rFonts w:cs="Times New Roman"/>
          <w:color w:val="auto"/>
          <w:spacing w:val="-6"/>
          <w:szCs w:val="24"/>
          <w:highlight w:val="none"/>
        </w:rPr>
        <w:t>）中</w:t>
      </w:r>
      <w:r>
        <w:rPr>
          <w:rFonts w:hint="eastAsia" w:eastAsia="宋体" w:cs="Times New Roman"/>
          <w:bCs/>
          <w:color w:val="auto"/>
          <w:szCs w:val="24"/>
          <w:highlight w:val="none"/>
          <w:lang w:eastAsia="zh-CN"/>
        </w:rPr>
        <w:t>6.2评价范围确定：</w:t>
      </w:r>
    </w:p>
    <w:p w14:paraId="27E2EAB6">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6.2.1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14:paraId="370434F2">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6.2.2涉及占用或穿（跨）越生态敏感区时，应考虑生态敏感区的结构、功能及主要保护对象合理确定评价范围。</w:t>
      </w:r>
    </w:p>
    <w:p w14:paraId="790E3BF6">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6.2.3矿山开采项目评价范围应涵盖开采区及其影响范围、各类场地及运输系统占地以及施工临时占地范围等。</w:t>
      </w:r>
    </w:p>
    <w:p w14:paraId="02C38F3A">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6.2.4水利水电项目评价范围应涵盖枢纽工程建筑物、水库淹没、移民安置等永久占地、施工临时占地以及库区坝上、坝下地表地下、水文水质影响河段及区域、受水区、退水影响区、输水沿线影响区等。</w:t>
      </w:r>
    </w:p>
    <w:p w14:paraId="38B9CFDD">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6.2.5线性工程穿越生态敏感区时，以线路穿越段向两端外延1km、线路中心线向两侧外延1km为参考评价范围，实际确定时应结合生态敏感区主要保护对象的分布、生态学特征、项目的穿越方式、周边地形地貌等适当调整，主要保护对象为野生动物及其栖息地时，应进一步扩大评价范围，涉及迁徙、洄游物种的，其评价范围应涵盖工程影响的迁徙洄游通道范围；穿越非生态敏感区时，以线路中心线向两侧外延300m为参考评价范围。</w:t>
      </w:r>
    </w:p>
    <w:p w14:paraId="5FD7A9A2">
      <w:pPr>
        <w:autoSpaceDE w:val="0"/>
        <w:autoSpaceDN w:val="0"/>
        <w:ind w:firstLine="480"/>
        <w:rPr>
          <w:rFonts w:eastAsia="宋体" w:cs="Times New Roman"/>
          <w:bCs/>
          <w:color w:val="auto"/>
          <w:szCs w:val="24"/>
          <w:highlight w:val="none"/>
        </w:rPr>
      </w:pPr>
      <w:r>
        <w:rPr>
          <w:rFonts w:cs="Times New Roman"/>
          <w:color w:val="auto"/>
          <w:spacing w:val="-6"/>
          <w:szCs w:val="24"/>
          <w:highlight w:val="none"/>
        </w:rPr>
        <w:t>本项目输电线路电压等级为</w:t>
      </w:r>
      <w:r>
        <w:rPr>
          <w:rFonts w:hint="eastAsia" w:cs="Times New Roman"/>
          <w:color w:val="auto"/>
          <w:spacing w:val="-6"/>
          <w:szCs w:val="24"/>
          <w:highlight w:val="none"/>
        </w:rPr>
        <w:t>22</w:t>
      </w:r>
      <w:r>
        <w:rPr>
          <w:rFonts w:cs="Times New Roman"/>
          <w:color w:val="auto"/>
          <w:spacing w:val="-6"/>
          <w:szCs w:val="24"/>
          <w:highlight w:val="none"/>
        </w:rPr>
        <w:t>0kV，</w:t>
      </w:r>
      <w:r>
        <w:rPr>
          <w:rFonts w:hint="eastAsia" w:cs="Times New Roman"/>
          <w:color w:val="auto"/>
          <w:spacing w:val="-6"/>
          <w:szCs w:val="24"/>
          <w:highlight w:val="none"/>
          <w:lang w:eastAsia="zh-CN"/>
        </w:rPr>
        <w:t>线路穿越河北滦河上游国家级自然保护区</w:t>
      </w:r>
      <w:r>
        <w:rPr>
          <w:rFonts w:hint="eastAsia" w:cs="Times New Roman"/>
          <w:color w:val="auto"/>
          <w:spacing w:val="-6"/>
          <w:szCs w:val="24"/>
          <w:highlight w:val="none"/>
        </w:rPr>
        <w:t>实验区9094.58m，</w:t>
      </w:r>
      <w:r>
        <w:rPr>
          <w:rFonts w:hint="eastAsia" w:cs="Times New Roman"/>
          <w:color w:val="auto"/>
          <w:spacing w:val="-6"/>
          <w:szCs w:val="24"/>
          <w:highlight w:val="none"/>
          <w:lang w:eastAsia="zh-CN"/>
        </w:rPr>
        <w:t>穿越生态保护红线</w:t>
      </w:r>
      <w:r>
        <w:rPr>
          <w:rFonts w:hint="eastAsia" w:cs="Times New Roman"/>
          <w:color w:val="auto"/>
          <w:spacing w:val="-6"/>
          <w:szCs w:val="24"/>
          <w:highlight w:val="none"/>
          <w:lang w:val="en-US" w:eastAsia="zh-CN"/>
        </w:rPr>
        <w:t>12967m</w:t>
      </w:r>
      <w:r>
        <w:rPr>
          <w:rFonts w:hint="eastAsia" w:cs="Times New Roman"/>
          <w:color w:val="auto"/>
          <w:spacing w:val="-6"/>
          <w:szCs w:val="24"/>
          <w:highlight w:val="none"/>
          <w:lang w:eastAsia="zh-CN"/>
        </w:rPr>
        <w:t>，</w:t>
      </w:r>
      <w:r>
        <w:rPr>
          <w:rFonts w:hint="default" w:ascii="Times New Roman" w:hAnsi="Times New Roman" w:eastAsia="宋体" w:cs="Times New Roman"/>
          <w:color w:val="auto"/>
          <w:spacing w:val="0"/>
          <w:w w:val="100"/>
          <w:position w:val="0"/>
          <w:highlight w:val="none"/>
        </w:rPr>
        <w:t>因此，</w:t>
      </w:r>
      <w:r>
        <w:rPr>
          <w:rFonts w:hint="default" w:ascii="Times New Roman" w:hAnsi="Times New Roman" w:eastAsia="宋体" w:cs="Times New Roman"/>
          <w:color w:val="auto"/>
          <w:spacing w:val="0"/>
          <w:w w:val="100"/>
          <w:kern w:val="0"/>
          <w:position w:val="0"/>
          <w:highlight w:val="none"/>
        </w:rPr>
        <w:t>确定本项目生态环境影响评价</w:t>
      </w:r>
      <w:r>
        <w:rPr>
          <w:rFonts w:hint="eastAsia" w:ascii="Times New Roman" w:hAnsi="Times New Roman" w:eastAsia="宋体" w:cs="Times New Roman"/>
          <w:color w:val="auto"/>
          <w:spacing w:val="0"/>
          <w:w w:val="100"/>
          <w:kern w:val="0"/>
          <w:position w:val="0"/>
          <w:highlight w:val="none"/>
          <w:lang w:eastAsia="zh-CN"/>
        </w:rPr>
        <w:t>范围为</w:t>
      </w:r>
      <w:r>
        <w:rPr>
          <w:rFonts w:eastAsia="宋体" w:cs="Times New Roman"/>
          <w:bCs/>
          <w:color w:val="auto"/>
          <w:szCs w:val="24"/>
          <w:highlight w:val="none"/>
        </w:rPr>
        <w:t>架空线路</w:t>
      </w:r>
      <w:r>
        <w:rPr>
          <w:rFonts w:hint="eastAsia" w:eastAsia="宋体" w:cs="Times New Roman"/>
          <w:bCs/>
          <w:color w:val="auto"/>
          <w:szCs w:val="24"/>
          <w:highlight w:val="none"/>
          <w:lang w:eastAsia="zh-CN"/>
        </w:rPr>
        <w:t>向两端外延1km、线路中心线向两侧外延1km为评价范围，评价范围面积</w:t>
      </w:r>
      <w:r>
        <w:rPr>
          <w:rFonts w:hint="eastAsia" w:eastAsia="宋体" w:cs="Times New Roman"/>
          <w:bCs/>
          <w:color w:val="auto"/>
          <w:szCs w:val="24"/>
          <w:highlight w:val="none"/>
          <w:lang w:val="en-US" w:eastAsia="zh-CN"/>
        </w:rPr>
        <w:t>4798.65hm</w:t>
      </w:r>
      <w:r>
        <w:rPr>
          <w:rFonts w:hint="eastAsia" w:eastAsia="宋体" w:cs="Times New Roman"/>
          <w:bCs/>
          <w:color w:val="auto"/>
          <w:szCs w:val="24"/>
          <w:highlight w:val="none"/>
          <w:vertAlign w:val="superscript"/>
          <w:lang w:val="en-US" w:eastAsia="zh-CN"/>
        </w:rPr>
        <w:t>2</w:t>
      </w:r>
      <w:r>
        <w:rPr>
          <w:rFonts w:eastAsia="宋体" w:cs="Times New Roman"/>
          <w:bCs/>
          <w:color w:val="auto"/>
          <w:szCs w:val="24"/>
          <w:highlight w:val="none"/>
        </w:rPr>
        <w:t>。</w:t>
      </w:r>
    </w:p>
    <w:p w14:paraId="1B0FDB7D">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2.6评价方法</w:t>
      </w:r>
    </w:p>
    <w:p w14:paraId="21F340CA">
      <w:pPr>
        <w:spacing w:line="360" w:lineRule="auto"/>
        <w:ind w:firstLine="480"/>
        <w:rPr>
          <w:rFonts w:eastAsia="宋体" w:cs="Times New Roman"/>
          <w:bCs/>
          <w:color w:val="auto"/>
          <w:szCs w:val="24"/>
          <w:highlight w:val="none"/>
        </w:rPr>
      </w:pPr>
      <w:r>
        <w:rPr>
          <w:rFonts w:eastAsia="宋体" w:cs="Times New Roman"/>
          <w:bCs/>
          <w:color w:val="auto"/>
          <w:szCs w:val="24"/>
          <w:highlight w:val="none"/>
        </w:rPr>
        <w:t>架空线路</w:t>
      </w:r>
      <w:r>
        <w:rPr>
          <w:rFonts w:hint="eastAsia" w:eastAsia="宋体" w:cs="Times New Roman"/>
          <w:bCs/>
          <w:color w:val="auto"/>
          <w:szCs w:val="24"/>
          <w:highlight w:val="none"/>
          <w:lang w:eastAsia="zh-CN"/>
        </w:rPr>
        <w:t>生态环境影响采用定性与定量的评价方法进行</w:t>
      </w:r>
      <w:r>
        <w:rPr>
          <w:rFonts w:eastAsia="宋体" w:cs="Times New Roman"/>
          <w:bCs/>
          <w:color w:val="auto"/>
          <w:szCs w:val="24"/>
          <w:highlight w:val="none"/>
        </w:rPr>
        <w:t>评价。</w:t>
      </w:r>
    </w:p>
    <w:p w14:paraId="0F2A0CEF">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cs="Times New Roman"/>
          <w:color w:val="auto"/>
          <w:highlight w:val="none"/>
        </w:rPr>
        <w:t>2.</w:t>
      </w:r>
      <w:r>
        <w:rPr>
          <w:rFonts w:hint="eastAsia" w:cs="Times New Roman"/>
          <w:color w:val="auto"/>
          <w:highlight w:val="none"/>
          <w:lang w:val="en-US" w:eastAsia="zh-CN"/>
        </w:rPr>
        <w:t>7</w:t>
      </w:r>
      <w:r>
        <w:rPr>
          <w:rFonts w:hint="eastAsia" w:cs="Times New Roman"/>
          <w:color w:val="auto"/>
          <w:highlight w:val="none"/>
          <w:lang w:eastAsia="zh-CN"/>
        </w:rPr>
        <w:t>生态</w:t>
      </w:r>
      <w:r>
        <w:rPr>
          <w:rFonts w:cs="Times New Roman"/>
          <w:color w:val="auto"/>
          <w:highlight w:val="none"/>
        </w:rPr>
        <w:t>环境</w:t>
      </w:r>
      <w:r>
        <w:rPr>
          <w:rFonts w:hint="eastAsia" w:cs="Times New Roman"/>
          <w:color w:val="auto"/>
          <w:highlight w:val="none"/>
        </w:rPr>
        <w:t>保护</w:t>
      </w:r>
      <w:r>
        <w:rPr>
          <w:rFonts w:cs="Times New Roman"/>
          <w:color w:val="auto"/>
          <w:highlight w:val="none"/>
        </w:rPr>
        <w:t>目标</w:t>
      </w:r>
    </w:p>
    <w:p w14:paraId="3D1026BB">
      <w:pPr>
        <w:pStyle w:val="23"/>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根据现状调查，本项目</w:t>
      </w:r>
      <w:r>
        <w:rPr>
          <w:rFonts w:hint="eastAsia" w:ascii="Times New Roman" w:hAnsi="Times New Roman" w:eastAsia="宋体" w:cs="Times New Roman"/>
          <w:color w:val="auto"/>
          <w:sz w:val="24"/>
          <w:szCs w:val="24"/>
          <w:highlight w:val="none"/>
        </w:rPr>
        <w:t>架空线路向两端外延1km、线路中心线向两侧外延1km评价范围</w:t>
      </w:r>
      <w:r>
        <w:rPr>
          <w:rFonts w:hint="eastAsia" w:ascii="Times New Roman" w:hAnsi="Times New Roman" w:eastAsia="宋体" w:cs="Times New Roman"/>
          <w:color w:val="auto"/>
          <w:sz w:val="24"/>
          <w:szCs w:val="24"/>
          <w:highlight w:val="none"/>
          <w:lang w:eastAsia="zh-CN"/>
        </w:rPr>
        <w:t>内生态环境保护目标为河北滦河上游国家级自然保护区和燕山水源涵养-生物多样性维护生态保护红线、坝上高原防风固沙生态保护红线</w:t>
      </w:r>
      <w:r>
        <w:rPr>
          <w:rFonts w:ascii="Times New Roman" w:hAnsi="Times New Roman" w:eastAsia="宋体" w:cs="Times New Roman"/>
          <w:color w:val="auto"/>
          <w:sz w:val="24"/>
          <w:szCs w:val="24"/>
          <w:highlight w:val="none"/>
        </w:rPr>
        <w:t>。</w:t>
      </w:r>
    </w:p>
    <w:p w14:paraId="0C7A45F5">
      <w:pPr>
        <w:adjustRightInd w:val="0"/>
        <w:snapToGrid w:val="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eastAsia="宋体" w:cs="Times New Roman"/>
          <w:b/>
          <w:bCs/>
          <w:color w:val="auto"/>
          <w:sz w:val="21"/>
          <w:szCs w:val="21"/>
          <w:highlight w:val="none"/>
          <w:lang w:val="en-US" w:eastAsia="zh-CN"/>
        </w:rPr>
        <w:t>2-3</w:t>
      </w:r>
      <w:r>
        <w:rPr>
          <w:rFonts w:ascii="Times New Roman" w:hAnsi="Times New Roman" w:eastAsia="宋体" w:cs="Times New Roman"/>
          <w:b/>
          <w:bCs/>
          <w:color w:val="auto"/>
          <w:sz w:val="21"/>
          <w:szCs w:val="21"/>
          <w:highlight w:val="none"/>
        </w:rPr>
        <w:t>　主要环境保护目标一览表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83"/>
        <w:gridCol w:w="1649"/>
        <w:gridCol w:w="1266"/>
        <w:gridCol w:w="717"/>
        <w:gridCol w:w="800"/>
        <w:gridCol w:w="750"/>
        <w:gridCol w:w="717"/>
        <w:gridCol w:w="894"/>
        <w:gridCol w:w="427"/>
      </w:tblGrid>
      <w:tr w14:paraId="6993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restart"/>
            <w:vAlign w:val="center"/>
          </w:tcPr>
          <w:p w14:paraId="672889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环境要素</w:t>
            </w:r>
          </w:p>
        </w:tc>
        <w:tc>
          <w:tcPr>
            <w:tcW w:w="518" w:type="pct"/>
            <w:vMerge w:val="restart"/>
            <w:vAlign w:val="center"/>
          </w:tcPr>
          <w:p w14:paraId="1191D5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评价范围</w:t>
            </w:r>
          </w:p>
        </w:tc>
        <w:tc>
          <w:tcPr>
            <w:tcW w:w="3985" w:type="pct"/>
            <w:gridSpan w:val="7"/>
            <w:vAlign w:val="center"/>
          </w:tcPr>
          <w:p w14:paraId="5FF47B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保护目标</w:t>
            </w:r>
          </w:p>
        </w:tc>
        <w:tc>
          <w:tcPr>
            <w:tcW w:w="250" w:type="pct"/>
            <w:vMerge w:val="restart"/>
            <w:vAlign w:val="center"/>
          </w:tcPr>
          <w:p w14:paraId="1F6181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保护</w:t>
            </w:r>
          </w:p>
          <w:p w14:paraId="5956F2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级别</w:t>
            </w:r>
          </w:p>
        </w:tc>
      </w:tr>
      <w:tr w14:paraId="188E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continue"/>
            <w:vAlign w:val="center"/>
          </w:tcPr>
          <w:p w14:paraId="4B79D4D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p>
        </w:tc>
        <w:tc>
          <w:tcPr>
            <w:tcW w:w="518" w:type="pct"/>
            <w:vMerge w:val="continue"/>
            <w:vAlign w:val="center"/>
          </w:tcPr>
          <w:p w14:paraId="6EB2A7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p>
        </w:tc>
        <w:tc>
          <w:tcPr>
            <w:tcW w:w="967" w:type="pct"/>
            <w:vAlign w:val="center"/>
          </w:tcPr>
          <w:p w14:paraId="4D6D3C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名称</w:t>
            </w:r>
          </w:p>
        </w:tc>
        <w:tc>
          <w:tcPr>
            <w:tcW w:w="742" w:type="pct"/>
            <w:vAlign w:val="center"/>
          </w:tcPr>
          <w:p w14:paraId="66E4388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保护对象</w:t>
            </w:r>
          </w:p>
        </w:tc>
        <w:tc>
          <w:tcPr>
            <w:tcW w:w="420" w:type="pct"/>
            <w:vAlign w:val="center"/>
          </w:tcPr>
          <w:p w14:paraId="298AA3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塔基数量（基）</w:t>
            </w:r>
          </w:p>
        </w:tc>
        <w:tc>
          <w:tcPr>
            <w:tcW w:w="469" w:type="pct"/>
            <w:vAlign w:val="center"/>
          </w:tcPr>
          <w:p w14:paraId="7E1849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塔基编号</w:t>
            </w:r>
          </w:p>
        </w:tc>
        <w:tc>
          <w:tcPr>
            <w:tcW w:w="440" w:type="pct"/>
            <w:vAlign w:val="center"/>
          </w:tcPr>
          <w:p w14:paraId="598141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穿越方式</w:t>
            </w:r>
          </w:p>
        </w:tc>
        <w:tc>
          <w:tcPr>
            <w:tcW w:w="420" w:type="pct"/>
            <w:vAlign w:val="center"/>
          </w:tcPr>
          <w:p w14:paraId="4EB7B1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穿越长度（m）</w:t>
            </w:r>
          </w:p>
        </w:tc>
        <w:tc>
          <w:tcPr>
            <w:tcW w:w="524" w:type="pct"/>
            <w:vAlign w:val="center"/>
          </w:tcPr>
          <w:p w14:paraId="1A996D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塔基</w:t>
            </w:r>
            <w:r>
              <w:rPr>
                <w:rFonts w:hint="eastAsia" w:ascii="Times New Roman" w:hAnsi="Times New Roman" w:eastAsia="宋体" w:cs="Times New Roman"/>
                <w:color w:val="auto"/>
                <w:sz w:val="21"/>
                <w:szCs w:val="21"/>
                <w:highlight w:val="none"/>
              </w:rPr>
              <w:t>占地面积（m</w:t>
            </w:r>
            <w:r>
              <w:rPr>
                <w:rFonts w:hint="eastAsia"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rPr>
              <w:t>）</w:t>
            </w:r>
          </w:p>
        </w:tc>
        <w:tc>
          <w:tcPr>
            <w:tcW w:w="250" w:type="pct"/>
            <w:vMerge w:val="continue"/>
            <w:vAlign w:val="center"/>
          </w:tcPr>
          <w:p w14:paraId="7F016A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p>
        </w:tc>
      </w:tr>
      <w:tr w14:paraId="35CD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restart"/>
            <w:vAlign w:val="center"/>
          </w:tcPr>
          <w:p w14:paraId="220C94B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生态</w:t>
            </w:r>
            <w:r>
              <w:rPr>
                <w:rFonts w:hint="eastAsia" w:eastAsia="宋体" w:cs="Times New Roman"/>
                <w:color w:val="auto"/>
                <w:sz w:val="21"/>
                <w:szCs w:val="21"/>
                <w:highlight w:val="none"/>
                <w:lang w:eastAsia="zh-CN"/>
              </w:rPr>
              <w:t>环境</w:t>
            </w:r>
          </w:p>
        </w:tc>
        <w:tc>
          <w:tcPr>
            <w:tcW w:w="518" w:type="pct"/>
            <w:vMerge w:val="restart"/>
            <w:vAlign w:val="center"/>
          </w:tcPr>
          <w:p w14:paraId="7AAD98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rPr>
              <w:t>架空线路向两端外延1km、线路中心线向两侧外延1km</w:t>
            </w:r>
            <w:r>
              <w:rPr>
                <w:rFonts w:ascii="Times New Roman" w:hAnsi="Times New Roman" w:eastAsia="宋体" w:cs="Times New Roman"/>
                <w:bCs/>
                <w:color w:val="auto"/>
                <w:sz w:val="21"/>
                <w:szCs w:val="21"/>
                <w:highlight w:val="none"/>
              </w:rPr>
              <w:t>带状区</w:t>
            </w:r>
          </w:p>
        </w:tc>
        <w:tc>
          <w:tcPr>
            <w:tcW w:w="967" w:type="pct"/>
            <w:vAlign w:val="center"/>
          </w:tcPr>
          <w:p w14:paraId="22A442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河北滦河上游国家级自然保护区</w:t>
            </w:r>
          </w:p>
        </w:tc>
        <w:tc>
          <w:tcPr>
            <w:tcW w:w="742" w:type="pct"/>
            <w:vAlign w:val="center"/>
          </w:tcPr>
          <w:p w14:paraId="44FC58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（1）多样、完整的森林生态系统</w:t>
            </w:r>
          </w:p>
          <w:p w14:paraId="72F09A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（2）珍稀野生动植物</w:t>
            </w:r>
          </w:p>
        </w:tc>
        <w:tc>
          <w:tcPr>
            <w:tcW w:w="420" w:type="pct"/>
            <w:vAlign w:val="center"/>
          </w:tcPr>
          <w:p w14:paraId="4E3B48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23</w:t>
            </w:r>
          </w:p>
        </w:tc>
        <w:tc>
          <w:tcPr>
            <w:tcW w:w="469" w:type="pct"/>
            <w:vAlign w:val="center"/>
          </w:tcPr>
          <w:p w14:paraId="52302F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N4~N26</w:t>
            </w:r>
          </w:p>
        </w:tc>
        <w:tc>
          <w:tcPr>
            <w:tcW w:w="440" w:type="pct"/>
            <w:vAlign w:val="center"/>
          </w:tcPr>
          <w:p w14:paraId="06988F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架空穿越</w:t>
            </w:r>
          </w:p>
        </w:tc>
        <w:tc>
          <w:tcPr>
            <w:tcW w:w="420" w:type="pct"/>
            <w:vAlign w:val="center"/>
          </w:tcPr>
          <w:p w14:paraId="74FF81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sz w:val="21"/>
                <w:szCs w:val="21"/>
                <w:highlight w:val="none"/>
              </w:rPr>
              <w:t>9094.58</w:t>
            </w:r>
          </w:p>
        </w:tc>
        <w:tc>
          <w:tcPr>
            <w:tcW w:w="524" w:type="pct"/>
            <w:vAlign w:val="center"/>
          </w:tcPr>
          <w:p w14:paraId="43F9F3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2438</w:t>
            </w:r>
          </w:p>
        </w:tc>
        <w:tc>
          <w:tcPr>
            <w:tcW w:w="250" w:type="pct"/>
            <w:vMerge w:val="restart"/>
            <w:vAlign w:val="center"/>
          </w:tcPr>
          <w:p w14:paraId="6692A6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区域生态环境功能不降低</w:t>
            </w:r>
          </w:p>
        </w:tc>
      </w:tr>
      <w:tr w14:paraId="43C2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continue"/>
            <w:vAlign w:val="center"/>
          </w:tcPr>
          <w:p w14:paraId="682FEA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p>
        </w:tc>
        <w:tc>
          <w:tcPr>
            <w:tcW w:w="518" w:type="pct"/>
            <w:vMerge w:val="continue"/>
            <w:vAlign w:val="center"/>
          </w:tcPr>
          <w:p w14:paraId="603911D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color w:val="auto"/>
                <w:sz w:val="21"/>
                <w:szCs w:val="21"/>
                <w:highlight w:val="none"/>
              </w:rPr>
            </w:pPr>
          </w:p>
        </w:tc>
        <w:tc>
          <w:tcPr>
            <w:tcW w:w="967" w:type="pct"/>
            <w:vAlign w:val="center"/>
          </w:tcPr>
          <w:p w14:paraId="4984A8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color w:val="auto"/>
                <w:sz w:val="21"/>
                <w:szCs w:val="21"/>
                <w:highlight w:val="none"/>
              </w:rPr>
              <w:t>燕山水源涵养-生物多样性维护生态保护红线、坝上高原防风固沙生态保护红线</w:t>
            </w:r>
          </w:p>
        </w:tc>
        <w:tc>
          <w:tcPr>
            <w:tcW w:w="742" w:type="pct"/>
            <w:vAlign w:val="center"/>
          </w:tcPr>
          <w:p w14:paraId="070BD9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水源涵养-生物多样性维护、防风固沙</w:t>
            </w:r>
          </w:p>
        </w:tc>
        <w:tc>
          <w:tcPr>
            <w:tcW w:w="420" w:type="pct"/>
            <w:vAlign w:val="center"/>
          </w:tcPr>
          <w:p w14:paraId="6416563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p>
        </w:tc>
        <w:tc>
          <w:tcPr>
            <w:tcW w:w="469" w:type="pct"/>
            <w:vAlign w:val="center"/>
          </w:tcPr>
          <w:p w14:paraId="114C34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N10~N39、N41、N47~N49、N52~N53</w:t>
            </w:r>
          </w:p>
        </w:tc>
        <w:tc>
          <w:tcPr>
            <w:tcW w:w="440" w:type="pct"/>
            <w:vAlign w:val="center"/>
          </w:tcPr>
          <w:p w14:paraId="554922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架空穿越</w:t>
            </w:r>
          </w:p>
        </w:tc>
        <w:tc>
          <w:tcPr>
            <w:tcW w:w="420" w:type="pct"/>
            <w:vAlign w:val="center"/>
          </w:tcPr>
          <w:p w14:paraId="1E2813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12967</w:t>
            </w:r>
          </w:p>
        </w:tc>
        <w:tc>
          <w:tcPr>
            <w:tcW w:w="524" w:type="pct"/>
            <w:vAlign w:val="center"/>
          </w:tcPr>
          <w:p w14:paraId="204403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3920</w:t>
            </w:r>
          </w:p>
        </w:tc>
        <w:tc>
          <w:tcPr>
            <w:tcW w:w="250" w:type="pct"/>
            <w:vMerge w:val="continue"/>
            <w:vAlign w:val="center"/>
          </w:tcPr>
          <w:p w14:paraId="13B596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sz w:val="21"/>
                <w:szCs w:val="21"/>
                <w:highlight w:val="none"/>
              </w:rPr>
            </w:pPr>
          </w:p>
        </w:tc>
      </w:tr>
      <w:tr w14:paraId="200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restart"/>
            <w:vAlign w:val="center"/>
          </w:tcPr>
          <w:p w14:paraId="75FA553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保护目标位置关系</w:t>
            </w:r>
          </w:p>
        </w:tc>
        <w:tc>
          <w:tcPr>
            <w:tcW w:w="518" w:type="pct"/>
            <w:vAlign w:val="center"/>
          </w:tcPr>
          <w:p w14:paraId="0ED74B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本项目与</w:t>
            </w:r>
            <w:r>
              <w:rPr>
                <w:rFonts w:ascii="Times New Roman" w:hAnsi="Times New Roman" w:eastAsia="宋体" w:cs="Times New Roman"/>
                <w:color w:val="auto"/>
                <w:sz w:val="21"/>
                <w:szCs w:val="21"/>
                <w:highlight w:val="none"/>
              </w:rPr>
              <w:t>河北滦河上游国家级自然保护区</w:t>
            </w:r>
            <w:r>
              <w:rPr>
                <w:rFonts w:hint="eastAsia" w:ascii="Times New Roman" w:hAnsi="Times New Roman" w:eastAsia="宋体" w:cs="Times New Roman"/>
                <w:color w:val="auto"/>
                <w:sz w:val="21"/>
                <w:szCs w:val="21"/>
                <w:highlight w:val="none"/>
              </w:rPr>
              <w:t>位置关系</w:t>
            </w:r>
          </w:p>
        </w:tc>
        <w:tc>
          <w:tcPr>
            <w:tcW w:w="4236" w:type="pct"/>
            <w:gridSpan w:val="8"/>
            <w:vAlign w:val="center"/>
          </w:tcPr>
          <w:p w14:paraId="7EE2591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drawing>
                <wp:inline distT="0" distB="0" distL="114300" distR="114300">
                  <wp:extent cx="4018915" cy="2516505"/>
                  <wp:effectExtent l="0" t="0" r="635" b="1714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92"/>
                          <a:stretch>
                            <a:fillRect/>
                          </a:stretch>
                        </pic:blipFill>
                        <pic:spPr>
                          <a:xfrm>
                            <a:off x="0" y="0"/>
                            <a:ext cx="4018915" cy="2516505"/>
                          </a:xfrm>
                          <a:prstGeom prst="rect">
                            <a:avLst/>
                          </a:prstGeom>
                          <a:noFill/>
                          <a:ln>
                            <a:noFill/>
                          </a:ln>
                        </pic:spPr>
                      </pic:pic>
                    </a:graphicData>
                  </a:graphic>
                </wp:inline>
              </w:drawing>
            </w:r>
          </w:p>
        </w:tc>
      </w:tr>
      <w:tr w14:paraId="55B8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45" w:type="pct"/>
            <w:vMerge w:val="continue"/>
            <w:vAlign w:val="center"/>
          </w:tcPr>
          <w:p w14:paraId="43530C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p>
        </w:tc>
        <w:tc>
          <w:tcPr>
            <w:tcW w:w="518" w:type="pct"/>
            <w:vAlign w:val="center"/>
          </w:tcPr>
          <w:p w14:paraId="12FCD7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本项目与生态保护红线位置关系</w:t>
            </w:r>
          </w:p>
        </w:tc>
        <w:tc>
          <w:tcPr>
            <w:tcW w:w="4236" w:type="pct"/>
            <w:gridSpan w:val="8"/>
            <w:vAlign w:val="center"/>
          </w:tcPr>
          <w:p w14:paraId="04D4DD1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highlight w:val="none"/>
              </w:rPr>
              <w:drawing>
                <wp:inline distT="0" distB="0" distL="114300" distR="114300">
                  <wp:extent cx="3930015" cy="2138680"/>
                  <wp:effectExtent l="0" t="0" r="13335"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3"/>
                          <a:stretch>
                            <a:fillRect/>
                          </a:stretch>
                        </pic:blipFill>
                        <pic:spPr>
                          <a:xfrm>
                            <a:off x="0" y="0"/>
                            <a:ext cx="3930015" cy="2138680"/>
                          </a:xfrm>
                          <a:prstGeom prst="rect">
                            <a:avLst/>
                          </a:prstGeom>
                          <a:noFill/>
                          <a:ln>
                            <a:noFill/>
                          </a:ln>
                        </pic:spPr>
                      </pic:pic>
                    </a:graphicData>
                  </a:graphic>
                </wp:inline>
              </w:drawing>
            </w:r>
          </w:p>
        </w:tc>
      </w:tr>
    </w:tbl>
    <w:p w14:paraId="3CE4FAB5">
      <w:pPr>
        <w:pStyle w:val="23"/>
        <w:spacing w:line="360" w:lineRule="auto"/>
        <w:ind w:firstLine="480" w:firstLineChars="200"/>
        <w:rPr>
          <w:rFonts w:ascii="Times New Roman" w:hAnsi="Times New Roman" w:eastAsia="宋体" w:cs="Times New Roman"/>
          <w:color w:val="auto"/>
          <w:sz w:val="24"/>
          <w:szCs w:val="24"/>
          <w:highlight w:val="none"/>
        </w:rPr>
      </w:pPr>
    </w:p>
    <w:p w14:paraId="18D64A3C">
      <w:pPr>
        <w:pStyle w:val="32"/>
        <w:ind w:left="480"/>
        <w:rPr>
          <w:color w:val="auto"/>
          <w:highlight w:val="none"/>
        </w:rPr>
        <w:sectPr>
          <w:footerReference r:id="rId20" w:type="default"/>
          <w:pgSz w:w="11906" w:h="16838"/>
          <w:pgMar w:top="1440" w:right="1800" w:bottom="1440" w:left="1800" w:header="851" w:footer="992" w:gutter="0"/>
          <w:pgNumType w:start="1"/>
          <w:cols w:space="425" w:num="1"/>
          <w:docGrid w:type="lines" w:linePitch="312" w:charSpace="0"/>
        </w:sectPr>
      </w:pPr>
    </w:p>
    <w:p w14:paraId="6E9D7C77">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kern w:val="0"/>
          <w:highlight w:val="none"/>
        </w:rPr>
      </w:pPr>
      <w:bookmarkStart w:id="41" w:name="_Toc13939"/>
      <w:r>
        <w:rPr>
          <w:rFonts w:cs="Times New Roman"/>
          <w:color w:val="auto"/>
          <w:kern w:val="0"/>
          <w:highlight w:val="none"/>
        </w:rPr>
        <w:t>3项目概况与分析</w:t>
      </w:r>
      <w:bookmarkEnd w:id="41"/>
    </w:p>
    <w:p w14:paraId="4940C256">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hint="eastAsia" w:cs="Times New Roman"/>
          <w:color w:val="auto"/>
          <w:kern w:val="0"/>
          <w:szCs w:val="30"/>
          <w:highlight w:val="none"/>
          <w:lang w:val="en-US" w:eastAsia="zh-CN"/>
        </w:rPr>
        <w:t>3</w:t>
      </w:r>
      <w:r>
        <w:rPr>
          <w:rFonts w:cs="Times New Roman"/>
          <w:color w:val="auto"/>
          <w:kern w:val="0"/>
          <w:szCs w:val="30"/>
          <w:highlight w:val="none"/>
        </w:rPr>
        <w:t>.1</w:t>
      </w:r>
      <w:r>
        <w:rPr>
          <w:rFonts w:hint="eastAsia" w:cs="Times New Roman"/>
          <w:color w:val="auto"/>
          <w:kern w:val="0"/>
          <w:szCs w:val="30"/>
          <w:highlight w:val="none"/>
        </w:rPr>
        <w:t>项目基本概况</w:t>
      </w:r>
    </w:p>
    <w:p w14:paraId="4C492D2C">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（1）工程名称：</w:t>
      </w:r>
      <w:r>
        <w:rPr>
          <w:rFonts w:ascii="Times New Roman" w:hAnsi="Times New Roman" w:eastAsia="宋体" w:cs="Times New Roman"/>
          <w:color w:val="auto"/>
          <w:sz w:val="24"/>
          <w:szCs w:val="24"/>
          <w:highlight w:val="none"/>
        </w:rPr>
        <w:t>华能围场“风光储氢热一体化”项目（光伏200MW）项目220kV送出线路工程项目</w:t>
      </w:r>
    </w:p>
    <w:p w14:paraId="510091B2">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（2）建设性质：新建</w:t>
      </w:r>
    </w:p>
    <w:p w14:paraId="727EE519">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（3）主要建设内容及建设规模：</w:t>
      </w:r>
    </w:p>
    <w:p w14:paraId="5EBD94F8">
      <w:pPr>
        <w:pStyle w:val="23"/>
        <w:spacing w:line="480" w:lineRule="exact"/>
        <w:ind w:firstLine="480" w:firstLineChars="200"/>
        <w:jc w:val="both"/>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本工程起于华能围场风光储氢热一体化项目(光伏200MW)升压站，止于华能围场风光储氢热一体化项目(风电200MW)升压站，220kV送出线路长度约22.99km，初步设计</w:t>
      </w:r>
      <w:r>
        <w:rPr>
          <w:rFonts w:hint="default" w:ascii="Times New Roman" w:hAnsi="Times New Roman" w:eastAsia="宋体" w:cs="Times New Roman"/>
          <w:bCs/>
          <w:color w:val="auto"/>
          <w:sz w:val="24"/>
          <w:szCs w:val="24"/>
          <w:highlight w:val="none"/>
          <w:lang w:eastAsia="zh-CN"/>
        </w:rPr>
        <w:t>阶段优化设计，</w:t>
      </w:r>
      <w:r>
        <w:rPr>
          <w:rFonts w:hint="eastAsia" w:ascii="Times New Roman" w:hAnsi="Times New Roman" w:eastAsia="宋体" w:cs="Times New Roman"/>
          <w:bCs/>
          <w:color w:val="auto"/>
          <w:sz w:val="24"/>
          <w:szCs w:val="24"/>
          <w:highlight w:val="none"/>
          <w:lang w:eastAsia="zh-CN"/>
        </w:rPr>
        <w:t>相对可研阶段，在原有线路上通过调整杆塔位置、提高塔高、长距离、大跨度跨越自然保护区和生态保护红线，共计减少塔基</w:t>
      </w:r>
      <w:r>
        <w:rPr>
          <w:rFonts w:hint="eastAsia" w:ascii="Times New Roman" w:hAnsi="Times New Roman" w:eastAsia="宋体" w:cs="Times New Roman"/>
          <w:bCs/>
          <w:color w:val="auto"/>
          <w:sz w:val="24"/>
          <w:szCs w:val="24"/>
          <w:highlight w:val="none"/>
          <w:lang w:val="en-US" w:eastAsia="zh-CN"/>
        </w:rPr>
        <w:t>10基，</w:t>
      </w:r>
      <w:r>
        <w:rPr>
          <w:rFonts w:hint="eastAsia" w:ascii="Times New Roman" w:hAnsi="Times New Roman" w:eastAsia="宋体" w:cs="Times New Roman"/>
          <w:bCs/>
          <w:color w:val="auto"/>
          <w:sz w:val="24"/>
          <w:szCs w:val="24"/>
          <w:highlight w:val="none"/>
          <w:lang w:eastAsia="zh-CN"/>
        </w:rPr>
        <w:t>其中保护内减少</w:t>
      </w:r>
      <w:r>
        <w:rPr>
          <w:rFonts w:hint="eastAsia" w:ascii="Times New Roman" w:hAnsi="Times New Roman" w:eastAsia="宋体" w:cs="Times New Roman"/>
          <w:bCs/>
          <w:color w:val="auto"/>
          <w:sz w:val="24"/>
          <w:szCs w:val="24"/>
          <w:highlight w:val="none"/>
          <w:lang w:val="en-US" w:eastAsia="zh-CN"/>
        </w:rPr>
        <w:t>4基，生态保护红线内减少塔基7基（含保护区塔基），</w:t>
      </w:r>
      <w:r>
        <w:rPr>
          <w:rFonts w:hint="default" w:ascii="Times New Roman" w:hAnsi="Times New Roman" w:eastAsia="宋体" w:cs="Times New Roman"/>
          <w:bCs/>
          <w:color w:val="auto"/>
          <w:sz w:val="24"/>
          <w:szCs w:val="24"/>
          <w:highlight w:val="none"/>
        </w:rPr>
        <w:t>新建铁塔总基数</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rPr>
        <w:t>7基，其中单回路直线塔3</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基、单回路耐张塔25基、双回路耐张塔1基，拟采用JL/G1A-300/40型号单导线及OPGW-17-150型号双光缆。</w:t>
      </w:r>
    </w:p>
    <w:p w14:paraId="6062E595">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（4）建设地点：</w:t>
      </w:r>
      <w:r>
        <w:rPr>
          <w:rFonts w:hint="default" w:ascii="Times New Roman" w:hAnsi="Times New Roman" w:eastAsia="宋体" w:cs="Times New Roman"/>
          <w:bCs/>
          <w:color w:val="auto"/>
          <w:sz w:val="24"/>
          <w:szCs w:val="24"/>
          <w:highlight w:val="none"/>
        </w:rPr>
        <w:t>本项目位于</w:t>
      </w:r>
      <w:r>
        <w:rPr>
          <w:rFonts w:hint="default" w:ascii="Times New Roman" w:hAnsi="Times New Roman" w:eastAsia="宋体" w:cs="Times New Roman"/>
          <w:color w:val="auto"/>
          <w:sz w:val="24"/>
          <w:szCs w:val="24"/>
          <w:highlight w:val="none"/>
        </w:rPr>
        <w:t>河北省承德市围场满族蒙古族自治县老窝铺乡、城子镇</w:t>
      </w:r>
      <w:r>
        <w:rPr>
          <w:rFonts w:hint="eastAsia" w:ascii="Times New Roman" w:hAnsi="Times New Roman" w:eastAsia="宋体" w:cs="Times New Roman"/>
          <w:color w:val="auto"/>
          <w:sz w:val="24"/>
          <w:szCs w:val="24"/>
          <w:highlight w:val="none"/>
          <w:lang w:eastAsia="zh-CN"/>
        </w:rPr>
        <w:t>、御道口镇</w:t>
      </w:r>
      <w:r>
        <w:rPr>
          <w:rFonts w:hint="default" w:ascii="Times New Roman" w:hAnsi="Times New Roman" w:eastAsia="宋体" w:cs="Times New Roman"/>
          <w:color w:val="auto"/>
          <w:sz w:val="24"/>
          <w:szCs w:val="24"/>
          <w:highlight w:val="none"/>
        </w:rPr>
        <w:t>境内，</w:t>
      </w:r>
      <w:r>
        <w:rPr>
          <w:rFonts w:hint="default" w:ascii="Times New Roman" w:hAnsi="Times New Roman" w:eastAsia="宋体" w:cs="Times New Roman"/>
          <w:bCs/>
          <w:color w:val="auto"/>
          <w:sz w:val="24"/>
          <w:szCs w:val="24"/>
          <w:highlight w:val="none"/>
        </w:rPr>
        <w:t>线路起点坐标</w:t>
      </w:r>
      <w:r>
        <w:rPr>
          <w:rFonts w:hint="default" w:ascii="Times New Roman" w:hAnsi="Times New Roman" w:eastAsia="宋体" w:cs="Times New Roman"/>
          <w:color w:val="auto"/>
          <w:sz w:val="24"/>
          <w:szCs w:val="24"/>
          <w:highlight w:val="none"/>
        </w:rPr>
        <w:t>东经117°0′39.</w:t>
      </w:r>
      <w:r>
        <w:rPr>
          <w:rFonts w:hint="eastAsia" w:ascii="Times New Roman" w:hAnsi="Times New Roman" w:eastAsia="宋体"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rPr>
        <w:t>″，北纬42°3′48.</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8″；线路终点坐标东经117°11′</w:t>
      </w:r>
      <w:r>
        <w:rPr>
          <w:rFonts w:hint="eastAsia" w:ascii="Times New Roman" w:hAnsi="Times New Roman" w:eastAsia="宋体" w:cs="Times New Roman"/>
          <w:color w:val="auto"/>
          <w:sz w:val="24"/>
          <w:szCs w:val="24"/>
          <w:highlight w:val="none"/>
          <w:lang w:val="en-US" w:eastAsia="zh-CN"/>
        </w:rPr>
        <w:t>7.199</w:t>
      </w:r>
      <w:r>
        <w:rPr>
          <w:rFonts w:hint="default" w:ascii="Times New Roman" w:hAnsi="Times New Roman" w:eastAsia="宋体" w:cs="Times New Roman"/>
          <w:color w:val="auto"/>
          <w:sz w:val="24"/>
          <w:szCs w:val="24"/>
          <w:highlight w:val="none"/>
        </w:rPr>
        <w:t>″，北纬41°58′</w:t>
      </w:r>
      <w:r>
        <w:rPr>
          <w:rFonts w:hint="eastAsia" w:ascii="Times New Roman" w:hAnsi="Times New Roman" w:eastAsia="宋体" w:cs="Times New Roman"/>
          <w:color w:val="auto"/>
          <w:sz w:val="24"/>
          <w:szCs w:val="24"/>
          <w:highlight w:val="none"/>
          <w:lang w:val="en-US" w:eastAsia="zh-CN"/>
        </w:rPr>
        <w:t>8.345</w:t>
      </w:r>
      <w:r>
        <w:rPr>
          <w:rFonts w:hint="default" w:ascii="Times New Roman" w:hAnsi="Times New Roman" w:eastAsia="宋体" w:cs="Times New Roman"/>
          <w:color w:val="auto"/>
          <w:sz w:val="24"/>
          <w:szCs w:val="24"/>
          <w:highlight w:val="none"/>
        </w:rPr>
        <w:t>″</w:t>
      </w:r>
      <w:r>
        <w:rPr>
          <w:rFonts w:ascii="Times New Roman" w:hAnsi="Times New Roman" w:eastAsia="宋体" w:cs="Times New Roman"/>
          <w:bCs/>
          <w:color w:val="auto"/>
          <w:sz w:val="24"/>
          <w:szCs w:val="24"/>
          <w:highlight w:val="none"/>
        </w:rPr>
        <w:t>。</w:t>
      </w:r>
    </w:p>
    <w:p w14:paraId="2ABCF771">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项目组成见表</w:t>
      </w:r>
      <w:r>
        <w:rPr>
          <w:rFonts w:hint="eastAsia" w:ascii="Times New Roman" w:hAnsi="Times New Roman" w:eastAsia="宋体" w:cs="Times New Roman"/>
          <w:bCs/>
          <w:color w:val="auto"/>
          <w:sz w:val="24"/>
          <w:szCs w:val="24"/>
          <w:highlight w:val="none"/>
        </w:rPr>
        <w:t>3</w:t>
      </w:r>
      <w:r>
        <w:rPr>
          <w:rFonts w:hint="eastAsia" w:ascii="Times New Roman" w:hAnsi="Times New Roman" w:eastAsia="宋体" w:cs="Times New Roman"/>
          <w:bCs/>
          <w:color w:val="auto"/>
          <w:sz w:val="24"/>
          <w:szCs w:val="24"/>
          <w:highlight w:val="none"/>
          <w:lang w:val="en-US" w:eastAsia="zh-CN"/>
        </w:rPr>
        <w:t>.1</w:t>
      </w:r>
      <w:r>
        <w:rPr>
          <w:rFonts w:ascii="Times New Roman" w:hAnsi="Times New Roman" w:eastAsia="宋体" w:cs="Times New Roman"/>
          <w:bCs/>
          <w:color w:val="auto"/>
          <w:sz w:val="24"/>
          <w:szCs w:val="24"/>
          <w:highlight w:val="none"/>
        </w:rPr>
        <w:t>-1。</w:t>
      </w:r>
    </w:p>
    <w:p w14:paraId="4ECAAA02">
      <w:pPr>
        <w:pStyle w:val="23"/>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rPr>
        <w:t>3</w:t>
      </w:r>
      <w:r>
        <w:rPr>
          <w:rFonts w:hint="eastAsia" w:ascii="Times New Roman" w:hAnsi="Times New Roman" w:eastAsia="宋体" w:cs="Times New Roman"/>
          <w:b/>
          <w:bCs/>
          <w:color w:val="auto"/>
          <w:sz w:val="21"/>
          <w:szCs w:val="21"/>
          <w:highlight w:val="none"/>
          <w:lang w:val="en-US" w:eastAsia="zh-CN"/>
        </w:rPr>
        <w:t>.1</w:t>
      </w:r>
      <w:r>
        <w:rPr>
          <w:rFonts w:ascii="Times New Roman" w:hAnsi="Times New Roman" w:eastAsia="宋体" w:cs="Times New Roman"/>
          <w:b/>
          <w:bCs/>
          <w:color w:val="auto"/>
          <w:sz w:val="21"/>
          <w:szCs w:val="21"/>
          <w:highlight w:val="none"/>
        </w:rPr>
        <w:t>-1  项目组成情况一览表</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48"/>
        <w:gridCol w:w="1009"/>
        <w:gridCol w:w="6822"/>
      </w:tblGrid>
      <w:tr w14:paraId="2E525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4" w:hRule="atLeast"/>
          <w:jc w:val="center"/>
        </w:trPr>
        <w:tc>
          <w:tcPr>
            <w:tcW w:w="436" w:type="pct"/>
            <w:tcBorders>
              <w:tl2br w:val="nil"/>
              <w:tr2bl w:val="nil"/>
            </w:tcBorders>
            <w:vAlign w:val="center"/>
          </w:tcPr>
          <w:p w14:paraId="332C07B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类别</w:t>
            </w:r>
          </w:p>
        </w:tc>
        <w:tc>
          <w:tcPr>
            <w:tcW w:w="588" w:type="pct"/>
            <w:tcBorders>
              <w:tl2br w:val="nil"/>
              <w:tr2bl w:val="nil"/>
            </w:tcBorders>
            <w:vAlign w:val="center"/>
          </w:tcPr>
          <w:p w14:paraId="7A7BCDE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名称</w:t>
            </w:r>
          </w:p>
        </w:tc>
        <w:tc>
          <w:tcPr>
            <w:tcW w:w="3975" w:type="pct"/>
            <w:tcBorders>
              <w:tl2br w:val="nil"/>
              <w:tr2bl w:val="nil"/>
            </w:tcBorders>
            <w:vAlign w:val="center"/>
          </w:tcPr>
          <w:p w14:paraId="45F105A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b/>
                <w:bCs/>
                <w:color w:val="auto"/>
                <w:sz w:val="21"/>
                <w:szCs w:val="24"/>
              </w:rPr>
            </w:pPr>
            <w:r>
              <w:rPr>
                <w:rFonts w:ascii="Times New Roman"/>
                <w:b/>
                <w:bCs/>
                <w:color w:val="auto"/>
                <w:sz w:val="21"/>
                <w:szCs w:val="24"/>
              </w:rPr>
              <w:t>工程内容</w:t>
            </w:r>
          </w:p>
        </w:tc>
      </w:tr>
      <w:tr w14:paraId="2234D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restart"/>
            <w:tcBorders>
              <w:tl2br w:val="nil"/>
              <w:tr2bl w:val="nil"/>
            </w:tcBorders>
            <w:vAlign w:val="center"/>
          </w:tcPr>
          <w:p w14:paraId="57F34A8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主体工程</w:t>
            </w:r>
          </w:p>
        </w:tc>
        <w:tc>
          <w:tcPr>
            <w:tcW w:w="588" w:type="pct"/>
            <w:tcBorders>
              <w:tl2br w:val="nil"/>
              <w:tr2bl w:val="nil"/>
            </w:tcBorders>
            <w:vAlign w:val="center"/>
          </w:tcPr>
          <w:p w14:paraId="3E77912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起点</w:t>
            </w:r>
          </w:p>
        </w:tc>
        <w:tc>
          <w:tcPr>
            <w:tcW w:w="3975" w:type="pct"/>
            <w:vAlign w:val="center"/>
          </w:tcPr>
          <w:p w14:paraId="4C49EB14">
            <w:pPr>
              <w:keepNext w:val="0"/>
              <w:keepLines w:val="0"/>
              <w:pageBreakBefore w:val="0"/>
              <w:widowControl/>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华能围场风光储氢热一体化项目(光伏200MW)升压站</w:t>
            </w:r>
            <w:r>
              <w:rPr>
                <w:rFonts w:hint="eastAsia" w:ascii="Times New Roman" w:eastAsia="宋体"/>
                <w:color w:val="auto"/>
                <w:sz w:val="21"/>
                <w:szCs w:val="21"/>
                <w:lang w:eastAsia="zh-CN"/>
              </w:rPr>
              <w:t>西</w:t>
            </w:r>
            <w:r>
              <w:rPr>
                <w:rFonts w:hint="eastAsia" w:ascii="Times New Roman"/>
                <w:color w:val="auto"/>
                <w:sz w:val="21"/>
                <w:szCs w:val="21"/>
              </w:rPr>
              <w:t>侧220kV架构</w:t>
            </w:r>
            <w:r>
              <w:rPr>
                <w:rFonts w:hint="eastAsia" w:ascii="Times New Roman" w:eastAsia="宋体"/>
                <w:color w:val="auto"/>
                <w:sz w:val="21"/>
                <w:szCs w:val="21"/>
                <w:lang w:eastAsia="zh-CN"/>
              </w:rPr>
              <w:t>仅有的</w:t>
            </w:r>
            <w:r>
              <w:rPr>
                <w:rFonts w:hint="eastAsia" w:ascii="Times New Roman" w:eastAsia="宋体"/>
                <w:color w:val="auto"/>
                <w:sz w:val="21"/>
                <w:szCs w:val="21"/>
                <w:lang w:val="en-US" w:eastAsia="zh-CN"/>
              </w:rPr>
              <w:t>1回</w:t>
            </w:r>
            <w:r>
              <w:rPr>
                <w:rFonts w:hint="eastAsia" w:ascii="Times New Roman"/>
                <w:color w:val="auto"/>
                <w:sz w:val="21"/>
                <w:szCs w:val="21"/>
              </w:rPr>
              <w:t>出线间隔，架空出线。</w:t>
            </w:r>
          </w:p>
        </w:tc>
      </w:tr>
      <w:tr w14:paraId="7EDD1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27D71F1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47C77CE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终点</w:t>
            </w:r>
          </w:p>
        </w:tc>
        <w:tc>
          <w:tcPr>
            <w:tcW w:w="3975" w:type="pct"/>
            <w:vAlign w:val="center"/>
          </w:tcPr>
          <w:p w14:paraId="241A02F2">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1"/>
              </w:rPr>
              <w:t>华能围场风光储氢热一体化项目(风电200MW)升压站</w:t>
            </w:r>
            <w:r>
              <w:rPr>
                <w:rFonts w:hint="eastAsia" w:ascii="Times New Roman" w:eastAsia="宋体"/>
                <w:color w:val="auto"/>
                <w:sz w:val="21"/>
                <w:szCs w:val="21"/>
                <w:lang w:eastAsia="zh-CN"/>
              </w:rPr>
              <w:t>南</w:t>
            </w:r>
            <w:r>
              <w:rPr>
                <w:rFonts w:hint="eastAsia" w:ascii="Times New Roman"/>
                <w:color w:val="auto"/>
                <w:sz w:val="21"/>
                <w:szCs w:val="21"/>
              </w:rPr>
              <w:t>侧220kV架构</w:t>
            </w:r>
            <w:r>
              <w:rPr>
                <w:rFonts w:hint="eastAsia" w:ascii="Times New Roman" w:eastAsia="宋体"/>
                <w:color w:val="auto"/>
                <w:sz w:val="21"/>
                <w:szCs w:val="21"/>
                <w:lang w:eastAsia="zh-CN"/>
              </w:rPr>
              <w:t>西</w:t>
            </w:r>
            <w:r>
              <w:rPr>
                <w:rFonts w:hint="eastAsia" w:ascii="Times New Roman"/>
                <w:color w:val="auto"/>
                <w:sz w:val="21"/>
                <w:szCs w:val="21"/>
              </w:rPr>
              <w:t>起第</w:t>
            </w:r>
            <w:r>
              <w:rPr>
                <w:rFonts w:hint="eastAsia" w:ascii="Times New Roman" w:eastAsia="宋体"/>
                <w:color w:val="auto"/>
                <w:sz w:val="21"/>
                <w:szCs w:val="21"/>
                <w:lang w:val="en-US" w:eastAsia="zh-CN"/>
              </w:rPr>
              <w:t>2</w:t>
            </w:r>
            <w:r>
              <w:rPr>
                <w:rFonts w:hint="eastAsia" w:ascii="Times New Roman"/>
                <w:color w:val="auto"/>
                <w:sz w:val="21"/>
                <w:szCs w:val="21"/>
              </w:rPr>
              <w:t>进线间隔，架空进线。</w:t>
            </w:r>
          </w:p>
        </w:tc>
      </w:tr>
      <w:tr w14:paraId="6EFDE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208944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19109C4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工程特点</w:t>
            </w:r>
          </w:p>
        </w:tc>
        <w:tc>
          <w:tcPr>
            <w:tcW w:w="3975" w:type="pct"/>
            <w:tcBorders>
              <w:tl2br w:val="nil"/>
              <w:tr2bl w:val="nil"/>
            </w:tcBorders>
            <w:vAlign w:val="center"/>
          </w:tcPr>
          <w:p w14:paraId="097D524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1"/>
              </w:rPr>
            </w:pPr>
            <w:r>
              <w:rPr>
                <w:rFonts w:ascii="Times New Roman"/>
                <w:color w:val="auto"/>
                <w:sz w:val="21"/>
                <w:szCs w:val="21"/>
              </w:rPr>
              <w:t>线路位于承德市</w:t>
            </w:r>
            <w:r>
              <w:rPr>
                <w:rFonts w:hint="eastAsia" w:ascii="Times New Roman"/>
                <w:color w:val="auto"/>
                <w:sz w:val="21"/>
                <w:szCs w:val="21"/>
              </w:rPr>
              <w:t>围场</w:t>
            </w:r>
            <w:r>
              <w:rPr>
                <w:rFonts w:ascii="Times New Roman"/>
                <w:color w:val="auto"/>
                <w:sz w:val="21"/>
                <w:szCs w:val="21"/>
              </w:rPr>
              <w:t>县</w:t>
            </w:r>
            <w:r>
              <w:rPr>
                <w:rFonts w:hint="eastAsia" w:ascii="Times New Roman"/>
                <w:color w:val="auto"/>
                <w:sz w:val="21"/>
                <w:szCs w:val="21"/>
              </w:rPr>
              <w:t>老窝铺乡、城子镇、御道口镇境内</w:t>
            </w:r>
            <w:r>
              <w:rPr>
                <w:rFonts w:ascii="Times New Roman"/>
                <w:color w:val="auto"/>
                <w:sz w:val="21"/>
                <w:szCs w:val="21"/>
              </w:rPr>
              <w:t>，</w:t>
            </w:r>
            <w:r>
              <w:rPr>
                <w:rFonts w:hint="eastAsia" w:ascii="Times New Roman"/>
                <w:color w:val="auto"/>
                <w:sz w:val="21"/>
                <w:szCs w:val="21"/>
              </w:rPr>
              <w:t>大致呈西北至东南走向。</w:t>
            </w:r>
            <w:r>
              <w:rPr>
                <w:rFonts w:ascii="Times New Roman"/>
                <w:color w:val="auto"/>
                <w:sz w:val="21"/>
                <w:szCs w:val="21"/>
              </w:rPr>
              <w:t>全线属低山、丘陵地貌，</w:t>
            </w:r>
            <w:r>
              <w:rPr>
                <w:rFonts w:hint="eastAsia" w:ascii="Times New Roman"/>
                <w:color w:val="auto"/>
                <w:sz w:val="21"/>
                <w:szCs w:val="21"/>
              </w:rPr>
              <w:t>海拔高度在1050m～1650m之间</w:t>
            </w:r>
            <w:r>
              <w:rPr>
                <w:rFonts w:ascii="Times New Roman"/>
                <w:color w:val="auto"/>
                <w:sz w:val="21"/>
                <w:szCs w:val="21"/>
              </w:rPr>
              <w:t>。</w:t>
            </w:r>
            <w:r>
              <w:rPr>
                <w:rFonts w:hint="eastAsia" w:ascii="Times New Roman"/>
                <w:color w:val="auto"/>
                <w:sz w:val="21"/>
                <w:szCs w:val="21"/>
              </w:rPr>
              <w:t>线路沿线地势起伏及高差变化较大，多为山区林地，部分为耕地。</w:t>
            </w:r>
            <w:r>
              <w:rPr>
                <w:rFonts w:ascii="Times New Roman"/>
                <w:color w:val="auto"/>
                <w:sz w:val="21"/>
                <w:szCs w:val="21"/>
              </w:rPr>
              <w:t>线路所经地区为非居民区，线路需</w:t>
            </w:r>
            <w:r>
              <w:rPr>
                <w:rFonts w:hint="eastAsia" w:ascii="Times New Roman"/>
                <w:color w:val="auto"/>
                <w:sz w:val="21"/>
                <w:szCs w:val="21"/>
              </w:rPr>
              <w:t>穿越河北滦河上游国家级自然保护区试验区及</w:t>
            </w:r>
            <w:r>
              <w:rPr>
                <w:rFonts w:ascii="Times New Roman"/>
                <w:color w:val="auto"/>
                <w:sz w:val="21"/>
                <w:szCs w:val="21"/>
              </w:rPr>
              <w:t>生态红线</w:t>
            </w:r>
            <w:r>
              <w:rPr>
                <w:rFonts w:hint="eastAsia" w:ascii="Times New Roman"/>
                <w:color w:val="auto"/>
                <w:sz w:val="21"/>
                <w:szCs w:val="21"/>
              </w:rPr>
              <w:t>区</w:t>
            </w:r>
            <w:r>
              <w:rPr>
                <w:rFonts w:ascii="Times New Roman"/>
                <w:color w:val="auto"/>
                <w:sz w:val="21"/>
                <w:szCs w:val="21"/>
              </w:rPr>
              <w:t>。</w:t>
            </w:r>
          </w:p>
        </w:tc>
      </w:tr>
      <w:tr w14:paraId="4C56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73AF563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2AD6F5A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额定电压</w:t>
            </w:r>
          </w:p>
        </w:tc>
        <w:tc>
          <w:tcPr>
            <w:tcW w:w="3975" w:type="pct"/>
            <w:tcBorders>
              <w:tl2br w:val="nil"/>
              <w:tr2bl w:val="nil"/>
            </w:tcBorders>
            <w:vAlign w:val="center"/>
          </w:tcPr>
          <w:p w14:paraId="387A1B8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kern w:val="0"/>
                <w:sz w:val="21"/>
                <w:szCs w:val="21"/>
              </w:rPr>
              <w:t>220kV</w:t>
            </w:r>
          </w:p>
        </w:tc>
      </w:tr>
      <w:tr w14:paraId="52101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873980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32B9F17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eastAsia="宋体"/>
                <w:color w:val="auto"/>
                <w:sz w:val="21"/>
                <w:szCs w:val="21"/>
                <w:lang w:eastAsia="zh-CN"/>
              </w:rPr>
            </w:pPr>
            <w:r>
              <w:rPr>
                <w:rFonts w:hint="eastAsia" w:ascii="Times New Roman" w:eastAsia="宋体"/>
                <w:color w:val="auto"/>
                <w:sz w:val="21"/>
                <w:szCs w:val="21"/>
                <w:lang w:eastAsia="zh-CN"/>
              </w:rPr>
              <w:t>输送容量</w:t>
            </w:r>
          </w:p>
        </w:tc>
        <w:tc>
          <w:tcPr>
            <w:tcW w:w="3975" w:type="pct"/>
            <w:tcBorders>
              <w:tl2br w:val="nil"/>
              <w:tr2bl w:val="nil"/>
            </w:tcBorders>
            <w:vAlign w:val="center"/>
          </w:tcPr>
          <w:p w14:paraId="75D6384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eastAsia="宋体"/>
                <w:color w:val="auto"/>
                <w:kern w:val="0"/>
                <w:sz w:val="21"/>
                <w:szCs w:val="21"/>
                <w:lang w:val="en-US" w:eastAsia="zh-CN"/>
              </w:rPr>
            </w:pPr>
            <w:r>
              <w:rPr>
                <w:rFonts w:hint="eastAsia" w:ascii="Times New Roman" w:eastAsia="宋体"/>
                <w:color w:val="auto"/>
                <w:kern w:val="0"/>
                <w:sz w:val="21"/>
                <w:szCs w:val="21"/>
                <w:lang w:val="en-US" w:eastAsia="zh-CN"/>
              </w:rPr>
              <w:t>200MW</w:t>
            </w:r>
          </w:p>
        </w:tc>
      </w:tr>
      <w:tr w14:paraId="707B1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7F54829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080919C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回路数</w:t>
            </w:r>
          </w:p>
        </w:tc>
        <w:tc>
          <w:tcPr>
            <w:tcW w:w="3975" w:type="pct"/>
            <w:tcBorders>
              <w:tl2br w:val="nil"/>
              <w:tr2bl w:val="nil"/>
            </w:tcBorders>
            <w:vAlign w:val="center"/>
          </w:tcPr>
          <w:p w14:paraId="4D202CE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单回</w:t>
            </w:r>
            <w:r>
              <w:rPr>
                <w:rFonts w:hint="eastAsia" w:ascii="Times New Roman"/>
                <w:color w:val="auto"/>
                <w:sz w:val="21"/>
                <w:szCs w:val="24"/>
              </w:rPr>
              <w:t>（在终点处使用1基双回塔</w:t>
            </w:r>
            <w:r>
              <w:rPr>
                <w:rFonts w:hint="eastAsia" w:ascii="Times New Roman" w:eastAsia="宋体"/>
                <w:color w:val="auto"/>
                <w:sz w:val="21"/>
                <w:szCs w:val="24"/>
                <w:lang w:eastAsia="zh-CN"/>
              </w:rPr>
              <w:t>，本项目</w:t>
            </w:r>
            <w:r>
              <w:rPr>
                <w:rFonts w:hint="eastAsia" w:ascii="Times New Roman"/>
                <w:color w:val="auto"/>
                <w:sz w:val="21"/>
                <w:szCs w:val="24"/>
              </w:rPr>
              <w:t>单侧挂线）</w:t>
            </w:r>
          </w:p>
        </w:tc>
      </w:tr>
      <w:tr w14:paraId="52750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5BA70C1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41D1D9E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线路长度</w:t>
            </w:r>
          </w:p>
        </w:tc>
        <w:tc>
          <w:tcPr>
            <w:tcW w:w="3975" w:type="pct"/>
            <w:tcBorders>
              <w:tl2br w:val="nil"/>
              <w:tr2bl w:val="nil"/>
            </w:tcBorders>
            <w:vAlign w:val="center"/>
          </w:tcPr>
          <w:p w14:paraId="7989DA4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kern w:val="0"/>
                <w:sz w:val="21"/>
                <w:szCs w:val="21"/>
              </w:rPr>
              <w:t>路径全长约22.99km，全部为单回路架空架设（风电200MW升压站进站塔基为双回塔单侧挂线），其中穿越河北滦河上游国家级自然保护区实验区长度9094.58m（塔基23基），生态保护红线范围内长度12967m（塔基36基）。</w:t>
            </w:r>
          </w:p>
        </w:tc>
      </w:tr>
      <w:tr w14:paraId="521C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F1F734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3F4BE98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曲折系数</w:t>
            </w:r>
          </w:p>
        </w:tc>
        <w:tc>
          <w:tcPr>
            <w:tcW w:w="3975" w:type="pct"/>
            <w:tcBorders>
              <w:tl2br w:val="nil"/>
              <w:tr2bl w:val="nil"/>
            </w:tcBorders>
            <w:vAlign w:val="center"/>
          </w:tcPr>
          <w:p w14:paraId="081D211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1</w:t>
            </w:r>
            <w:r>
              <w:rPr>
                <w:rFonts w:ascii="Times New Roman"/>
                <w:color w:val="auto"/>
                <w:sz w:val="21"/>
                <w:szCs w:val="24"/>
              </w:rPr>
              <w:t>.3</w:t>
            </w:r>
          </w:p>
        </w:tc>
      </w:tr>
      <w:tr w14:paraId="090FD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072FB6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3AA8EF6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导线型号</w:t>
            </w:r>
          </w:p>
        </w:tc>
        <w:tc>
          <w:tcPr>
            <w:tcW w:w="3975" w:type="pct"/>
            <w:tcBorders>
              <w:tl2br w:val="nil"/>
              <w:tr2bl w:val="nil"/>
            </w:tcBorders>
            <w:vAlign w:val="center"/>
          </w:tcPr>
          <w:p w14:paraId="6789B83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JL/G1A-300/40</w:t>
            </w:r>
          </w:p>
        </w:tc>
      </w:tr>
      <w:tr w14:paraId="0A24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7DC5BFC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201D98D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地线型号</w:t>
            </w:r>
          </w:p>
        </w:tc>
        <w:tc>
          <w:tcPr>
            <w:tcW w:w="3975" w:type="pct"/>
            <w:tcBorders>
              <w:tl2br w:val="nil"/>
              <w:tr2bl w:val="nil"/>
            </w:tcBorders>
            <w:vAlign w:val="center"/>
          </w:tcPr>
          <w:p w14:paraId="60345A6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snapToGrid w:val="0"/>
                <w:color w:val="auto"/>
                <w:kern w:val="0"/>
                <w:sz w:val="21"/>
                <w:szCs w:val="21"/>
              </w:rPr>
              <w:t>2根24芯</w:t>
            </w:r>
            <w:r>
              <w:rPr>
                <w:rFonts w:ascii="Times New Roman"/>
                <w:snapToGrid w:val="0"/>
                <w:color w:val="auto"/>
                <w:kern w:val="0"/>
                <w:sz w:val="21"/>
                <w:szCs w:val="21"/>
              </w:rPr>
              <w:t>OPGW-17-150</w:t>
            </w:r>
            <w:r>
              <w:rPr>
                <w:rFonts w:hint="eastAsia" w:ascii="Times New Roman"/>
                <w:snapToGrid w:val="0"/>
                <w:color w:val="auto"/>
                <w:kern w:val="0"/>
                <w:sz w:val="21"/>
                <w:szCs w:val="21"/>
              </w:rPr>
              <w:t>光缆</w:t>
            </w:r>
            <w:r>
              <w:rPr>
                <w:rFonts w:ascii="Times New Roman"/>
                <w:snapToGrid w:val="0"/>
                <w:color w:val="auto"/>
                <w:kern w:val="0"/>
                <w:sz w:val="21"/>
                <w:szCs w:val="21"/>
              </w:rPr>
              <w:t>。</w:t>
            </w:r>
          </w:p>
        </w:tc>
      </w:tr>
      <w:tr w14:paraId="364D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4D7E073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090D3E4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架设方式</w:t>
            </w:r>
          </w:p>
        </w:tc>
        <w:tc>
          <w:tcPr>
            <w:tcW w:w="3975" w:type="pct"/>
            <w:tcBorders>
              <w:tl2br w:val="nil"/>
              <w:tr2bl w:val="nil"/>
            </w:tcBorders>
            <w:vAlign w:val="center"/>
          </w:tcPr>
          <w:p w14:paraId="2B69F9E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架空挂线</w:t>
            </w:r>
          </w:p>
        </w:tc>
      </w:tr>
      <w:tr w14:paraId="6B4F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1E9FD70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63FDB389">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铁塔数量</w:t>
            </w:r>
          </w:p>
        </w:tc>
        <w:tc>
          <w:tcPr>
            <w:tcW w:w="3975" w:type="pct"/>
            <w:tcBorders>
              <w:tl2br w:val="nil"/>
              <w:tr2bl w:val="nil"/>
            </w:tcBorders>
            <w:vAlign w:val="center"/>
          </w:tcPr>
          <w:p w14:paraId="24B4A2D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kern w:val="0"/>
                <w:sz w:val="21"/>
                <w:szCs w:val="21"/>
              </w:rPr>
            </w:pPr>
            <w:r>
              <w:rPr>
                <w:rFonts w:hint="eastAsia" w:ascii="Times New Roman"/>
                <w:color w:val="auto"/>
                <w:kern w:val="0"/>
                <w:sz w:val="21"/>
                <w:szCs w:val="21"/>
              </w:rPr>
              <w:t>新建铁塔总基数57基，其中单回路直线塔31基、单回路耐张塔25基、双回路耐张塔1基。</w:t>
            </w:r>
          </w:p>
        </w:tc>
      </w:tr>
      <w:tr w14:paraId="520FC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EBCA5E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19A3AB43">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塔型</w:t>
            </w:r>
          </w:p>
        </w:tc>
        <w:tc>
          <w:tcPr>
            <w:tcW w:w="3975" w:type="pct"/>
            <w:tcBorders>
              <w:tl2br w:val="nil"/>
              <w:tr2bl w:val="nil"/>
            </w:tcBorders>
            <w:vAlign w:val="center"/>
          </w:tcPr>
          <w:p w14:paraId="6DBD795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left"/>
              <w:textAlignment w:val="auto"/>
              <w:rPr>
                <w:rFonts w:ascii="Times New Roman"/>
                <w:color w:val="auto"/>
                <w:kern w:val="0"/>
                <w:sz w:val="21"/>
                <w:szCs w:val="21"/>
              </w:rPr>
            </w:pPr>
            <w:r>
              <w:rPr>
                <w:rFonts w:hint="eastAsia" w:ascii="Times New Roman"/>
                <w:color w:val="auto"/>
                <w:kern w:val="0"/>
                <w:sz w:val="21"/>
                <w:szCs w:val="21"/>
              </w:rPr>
              <w:t>选用2A2模块的JC</w:t>
            </w:r>
            <w:r>
              <w:rPr>
                <w:rFonts w:ascii="Times New Roman"/>
                <w:color w:val="auto"/>
                <w:kern w:val="0"/>
                <w:sz w:val="21"/>
                <w:szCs w:val="21"/>
              </w:rPr>
              <w:t>1</w:t>
            </w:r>
            <w:r>
              <w:rPr>
                <w:rFonts w:hint="eastAsia" w:ascii="Times New Roman"/>
                <w:color w:val="auto"/>
                <w:kern w:val="0"/>
                <w:sz w:val="21"/>
                <w:szCs w:val="21"/>
              </w:rPr>
              <w:t>、JC</w:t>
            </w:r>
            <w:r>
              <w:rPr>
                <w:rFonts w:ascii="Times New Roman"/>
                <w:color w:val="auto"/>
                <w:kern w:val="0"/>
                <w:sz w:val="21"/>
                <w:szCs w:val="21"/>
              </w:rPr>
              <w:t>2</w:t>
            </w:r>
            <w:r>
              <w:rPr>
                <w:rFonts w:hint="eastAsia" w:ascii="Times New Roman"/>
                <w:color w:val="auto"/>
                <w:kern w:val="0"/>
                <w:sz w:val="21"/>
                <w:szCs w:val="21"/>
              </w:rPr>
              <w:t>、JC3、JC</w:t>
            </w:r>
            <w:r>
              <w:rPr>
                <w:rFonts w:ascii="Times New Roman"/>
                <w:color w:val="auto"/>
                <w:kern w:val="0"/>
                <w:sz w:val="21"/>
                <w:szCs w:val="21"/>
              </w:rPr>
              <w:t>4</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1、</w:t>
            </w:r>
            <w:r>
              <w:rPr>
                <w:rFonts w:hint="eastAsia" w:ascii="Times New Roman"/>
                <w:color w:val="auto"/>
                <w:kern w:val="0"/>
                <w:sz w:val="21"/>
                <w:szCs w:val="21"/>
              </w:rPr>
              <w:t>ZMC</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ZMC</w:t>
            </w:r>
            <w:r>
              <w:rPr>
                <w:rFonts w:ascii="Times New Roman"/>
                <w:color w:val="auto"/>
                <w:kern w:val="0"/>
                <w:sz w:val="21"/>
                <w:szCs w:val="21"/>
              </w:rPr>
              <w:t>3</w:t>
            </w:r>
            <w:r>
              <w:rPr>
                <w:rFonts w:hint="eastAsia" w:ascii="Times New Roman"/>
                <w:color w:val="auto"/>
                <w:kern w:val="0"/>
                <w:sz w:val="21"/>
                <w:szCs w:val="21"/>
              </w:rPr>
              <w:t>、ZMC</w:t>
            </w:r>
            <w:r>
              <w:rPr>
                <w:rFonts w:ascii="Times New Roman"/>
                <w:color w:val="auto"/>
                <w:kern w:val="0"/>
                <w:sz w:val="21"/>
                <w:szCs w:val="21"/>
              </w:rPr>
              <w:t>4</w:t>
            </w:r>
            <w:r>
              <w:rPr>
                <w:rFonts w:hint="eastAsia" w:ascii="Times New Roman"/>
                <w:color w:val="auto"/>
                <w:kern w:val="0"/>
                <w:sz w:val="21"/>
                <w:szCs w:val="21"/>
              </w:rPr>
              <w:t>、</w:t>
            </w:r>
            <w:r>
              <w:rPr>
                <w:rFonts w:ascii="Times New Roman"/>
                <w:color w:val="auto"/>
                <w:kern w:val="0"/>
                <w:sz w:val="21"/>
                <w:szCs w:val="21"/>
              </w:rPr>
              <w:t>ZMCK</w:t>
            </w:r>
            <w:r>
              <w:rPr>
                <w:rFonts w:hint="eastAsia" w:ascii="Times New Roman"/>
                <w:color w:val="auto"/>
                <w:kern w:val="0"/>
                <w:sz w:val="21"/>
                <w:szCs w:val="21"/>
              </w:rPr>
              <w:t>、DJC塔型及2E</w:t>
            </w:r>
            <w:r>
              <w:rPr>
                <w:rFonts w:ascii="Times New Roman"/>
                <w:color w:val="auto"/>
                <w:kern w:val="0"/>
                <w:sz w:val="21"/>
                <w:szCs w:val="21"/>
              </w:rPr>
              <w:t>6</w:t>
            </w:r>
            <w:r>
              <w:rPr>
                <w:rFonts w:hint="eastAsia" w:ascii="Times New Roman"/>
                <w:color w:val="auto"/>
                <w:kern w:val="0"/>
                <w:sz w:val="21"/>
                <w:szCs w:val="21"/>
              </w:rPr>
              <w:t>模块的SDJC塔型</w:t>
            </w:r>
          </w:p>
        </w:tc>
      </w:tr>
      <w:tr w14:paraId="13BB3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07F475E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06C1808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污区等级</w:t>
            </w:r>
          </w:p>
        </w:tc>
        <w:tc>
          <w:tcPr>
            <w:tcW w:w="3975" w:type="pct"/>
            <w:tcBorders>
              <w:tl2br w:val="nil"/>
              <w:tr2bl w:val="nil"/>
            </w:tcBorders>
            <w:vAlign w:val="center"/>
          </w:tcPr>
          <w:p w14:paraId="4451DC3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kern w:val="0"/>
                <w:sz w:val="21"/>
                <w:szCs w:val="21"/>
              </w:rPr>
              <w:t>全线按</w:t>
            </w:r>
            <w:r>
              <w:rPr>
                <w:rFonts w:hint="eastAsia" w:ascii="Times New Roman" w:eastAsia="宋体"/>
                <w:color w:val="auto"/>
                <w:kern w:val="0"/>
                <w:sz w:val="21"/>
                <w:szCs w:val="21"/>
                <w:lang w:val="en-US" w:eastAsia="zh-CN"/>
              </w:rPr>
              <w:t>c</w:t>
            </w:r>
            <w:r>
              <w:rPr>
                <w:rFonts w:ascii="Times New Roman"/>
                <w:color w:val="auto"/>
                <w:kern w:val="0"/>
                <w:sz w:val="21"/>
                <w:szCs w:val="21"/>
              </w:rPr>
              <w:t>级污秽上限配置绝缘</w:t>
            </w:r>
          </w:p>
        </w:tc>
      </w:tr>
      <w:tr w14:paraId="35F08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7C28316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5716F86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color w:val="auto"/>
                <w:sz w:val="21"/>
                <w:szCs w:val="21"/>
              </w:rPr>
              <w:t>地基形式</w:t>
            </w:r>
          </w:p>
        </w:tc>
        <w:tc>
          <w:tcPr>
            <w:tcW w:w="3975" w:type="pct"/>
            <w:tcBorders>
              <w:tl2br w:val="nil"/>
              <w:tr2bl w:val="nil"/>
            </w:tcBorders>
            <w:vAlign w:val="center"/>
          </w:tcPr>
          <w:p w14:paraId="1B8C57E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kern w:val="0"/>
                <w:sz w:val="21"/>
                <w:szCs w:val="21"/>
              </w:rPr>
            </w:pPr>
            <w:r>
              <w:rPr>
                <w:rFonts w:hint="eastAsia" w:ascii="Times New Roman"/>
                <w:color w:val="auto"/>
                <w:kern w:val="0"/>
                <w:sz w:val="21"/>
                <w:szCs w:val="21"/>
              </w:rPr>
              <w:t>掏挖基础及挖孔桩基础</w:t>
            </w:r>
          </w:p>
        </w:tc>
      </w:tr>
      <w:tr w14:paraId="7675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7" w:hRule="atLeast"/>
          <w:jc w:val="center"/>
        </w:trPr>
        <w:tc>
          <w:tcPr>
            <w:tcW w:w="436" w:type="pct"/>
            <w:vMerge w:val="continue"/>
            <w:tcBorders>
              <w:tl2br w:val="nil"/>
              <w:tr2bl w:val="nil"/>
            </w:tcBorders>
            <w:vAlign w:val="center"/>
          </w:tcPr>
          <w:p w14:paraId="6985A0A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tcBorders>
              <w:tl2br w:val="nil"/>
              <w:tr2bl w:val="nil"/>
            </w:tcBorders>
            <w:vAlign w:val="center"/>
          </w:tcPr>
          <w:p w14:paraId="5F3E5B0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长期</w:t>
            </w:r>
            <w:r>
              <w:rPr>
                <w:rFonts w:ascii="Times New Roman"/>
                <w:color w:val="auto"/>
                <w:sz w:val="21"/>
                <w:szCs w:val="24"/>
              </w:rPr>
              <w:t>占地</w:t>
            </w:r>
          </w:p>
        </w:tc>
        <w:tc>
          <w:tcPr>
            <w:tcW w:w="3975" w:type="pct"/>
            <w:tcBorders>
              <w:tl2br w:val="nil"/>
              <w:tr2bl w:val="nil"/>
            </w:tcBorders>
            <w:vAlign w:val="center"/>
          </w:tcPr>
          <w:p w14:paraId="7250156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塔基占地</w:t>
            </w:r>
            <w:r>
              <w:rPr>
                <w:rFonts w:hint="eastAsia" w:ascii="Times New Roman" w:eastAsia="宋体"/>
                <w:color w:val="auto"/>
                <w:kern w:val="0"/>
                <w:sz w:val="21"/>
                <w:szCs w:val="21"/>
                <w:lang w:val="en-US" w:eastAsia="zh-CN"/>
              </w:rPr>
              <w:t>0.4h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r>
              <w:rPr>
                <w:rFonts w:ascii="Times New Roman"/>
                <w:color w:val="auto"/>
                <w:sz w:val="21"/>
                <w:szCs w:val="24"/>
              </w:rPr>
              <w:t>主要占用林地</w:t>
            </w:r>
            <w:r>
              <w:rPr>
                <w:rFonts w:hint="eastAsia" w:ascii="Times New Roman"/>
                <w:color w:val="auto"/>
                <w:sz w:val="21"/>
                <w:szCs w:val="24"/>
              </w:rPr>
              <w:t>。</w:t>
            </w:r>
          </w:p>
        </w:tc>
      </w:tr>
      <w:tr w14:paraId="1B7E1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restart"/>
            <w:tcBorders>
              <w:tl2br w:val="nil"/>
              <w:tr2bl w:val="nil"/>
            </w:tcBorders>
            <w:vAlign w:val="center"/>
          </w:tcPr>
          <w:p w14:paraId="4256D6B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临时工程</w:t>
            </w:r>
          </w:p>
        </w:tc>
        <w:tc>
          <w:tcPr>
            <w:tcW w:w="588" w:type="pct"/>
            <w:tcBorders>
              <w:tl2br w:val="nil"/>
              <w:tr2bl w:val="nil"/>
            </w:tcBorders>
            <w:vAlign w:val="center"/>
          </w:tcPr>
          <w:p w14:paraId="43220A99">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施工营地</w:t>
            </w:r>
          </w:p>
        </w:tc>
        <w:tc>
          <w:tcPr>
            <w:tcW w:w="3975" w:type="pct"/>
            <w:tcBorders>
              <w:tl2br w:val="nil"/>
              <w:tr2bl w:val="nil"/>
            </w:tcBorders>
            <w:vAlign w:val="center"/>
          </w:tcPr>
          <w:p w14:paraId="6B1B66F6">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不设置施工人员食宿营地，设备与设施营地利用牵张场及塔基占地。</w:t>
            </w:r>
          </w:p>
        </w:tc>
      </w:tr>
      <w:tr w14:paraId="36E04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2280F69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1491803E">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hint="eastAsia" w:ascii="Times New Roman"/>
                <w:color w:val="auto"/>
                <w:sz w:val="21"/>
                <w:szCs w:val="21"/>
              </w:rPr>
              <w:t>塔基施工场地</w:t>
            </w:r>
          </w:p>
        </w:tc>
        <w:tc>
          <w:tcPr>
            <w:tcW w:w="3975" w:type="pct"/>
            <w:tcBorders>
              <w:tl2br w:val="nil"/>
              <w:tr2bl w:val="nil"/>
            </w:tcBorders>
            <w:vAlign w:val="center"/>
          </w:tcPr>
          <w:p w14:paraId="0EFD41EF">
            <w:pPr>
              <w:keepNext w:val="0"/>
              <w:keepLines w:val="0"/>
              <w:pageBreakBefore w:val="0"/>
              <w:widowControl/>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kern w:val="0"/>
                <w:sz w:val="21"/>
                <w:szCs w:val="21"/>
              </w:rPr>
            </w:pPr>
            <w:r>
              <w:rPr>
                <w:rFonts w:ascii="Times New Roman"/>
                <w:color w:val="auto"/>
                <w:kern w:val="0"/>
                <w:sz w:val="21"/>
                <w:szCs w:val="21"/>
              </w:rPr>
              <w:t>塔基施工临时占地包含铁塔作业面、基础施工作业面等，根据设计资料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，合计约</w:t>
            </w:r>
            <w:r>
              <w:rPr>
                <w:rFonts w:hint="eastAsia" w:ascii="Times New Roman" w:eastAsia="宋体"/>
                <w:color w:val="auto"/>
                <w:kern w:val="0"/>
                <w:sz w:val="21"/>
                <w:szCs w:val="21"/>
                <w:lang w:val="en-US" w:eastAsia="zh-CN"/>
              </w:rPr>
              <w:t>0.74h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p>
        </w:tc>
      </w:tr>
      <w:tr w14:paraId="2FE89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683F007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26A3DF12">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施工便道</w:t>
            </w:r>
          </w:p>
        </w:tc>
        <w:tc>
          <w:tcPr>
            <w:tcW w:w="3975" w:type="pct"/>
            <w:tcBorders>
              <w:tl2br w:val="nil"/>
              <w:tr2bl w:val="nil"/>
            </w:tcBorders>
            <w:vAlign w:val="center"/>
          </w:tcPr>
          <w:p w14:paraId="0263D7B6">
            <w:pPr>
              <w:keepNext w:val="0"/>
              <w:keepLines w:val="0"/>
              <w:pageBreakBefore w:val="0"/>
              <w:kinsoku/>
              <w:wordWrap/>
              <w:overflowPunct/>
              <w:topLinePunct w:val="0"/>
              <w:autoSpaceDE w:val="0"/>
              <w:autoSpaceDN w:val="0"/>
              <w:bidi w:val="0"/>
              <w:spacing w:line="240" w:lineRule="auto"/>
              <w:ind w:left="0" w:firstLine="0" w:firstLineChars="0"/>
              <w:jc w:val="left"/>
              <w:textAlignment w:val="auto"/>
              <w:rPr>
                <w:rFonts w:ascii="Times New Roman"/>
                <w:color w:val="auto"/>
                <w:sz w:val="21"/>
                <w:szCs w:val="24"/>
              </w:rPr>
            </w:pPr>
            <w:r>
              <w:rPr>
                <w:rFonts w:hint="eastAsia" w:ascii="Times New Roman"/>
                <w:color w:val="auto"/>
                <w:sz w:val="21"/>
                <w:szCs w:val="21"/>
              </w:rPr>
              <w:t>主要利用现有道路进行施工运输，河北滦河上游国家级自然保护区内采用骡马驮运，</w:t>
            </w:r>
            <w:r>
              <w:rPr>
                <w:rFonts w:ascii="Times New Roman"/>
                <w:color w:val="auto"/>
                <w:kern w:val="0"/>
                <w:sz w:val="21"/>
                <w:szCs w:val="21"/>
              </w:rPr>
              <w:t>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w:t>
            </w:r>
            <w:r>
              <w:rPr>
                <w:rFonts w:hint="eastAsia" w:ascii="Times New Roman"/>
                <w:color w:val="auto"/>
                <w:sz w:val="21"/>
                <w:szCs w:val="21"/>
              </w:rPr>
              <w:t>保护区外施工便道占地约</w:t>
            </w:r>
            <w:r>
              <w:rPr>
                <w:rFonts w:hint="eastAsia" w:ascii="Times New Roman" w:eastAsia="宋体"/>
                <w:color w:val="auto"/>
                <w:sz w:val="21"/>
                <w:szCs w:val="21"/>
                <w:lang w:val="en-US" w:eastAsia="zh-CN"/>
              </w:rPr>
              <w:t>3h</w:t>
            </w:r>
            <w:r>
              <w:rPr>
                <w:rFonts w:hint="eastAsia" w:ascii="Times New Roman"/>
                <w:color w:val="auto"/>
                <w:sz w:val="21"/>
                <w:szCs w:val="21"/>
              </w:rPr>
              <w:t>m</w:t>
            </w:r>
            <w:r>
              <w:rPr>
                <w:rFonts w:hint="eastAsia" w:ascii="Times New Roman"/>
                <w:color w:val="auto"/>
                <w:sz w:val="21"/>
                <w:szCs w:val="21"/>
                <w:vertAlign w:val="superscript"/>
              </w:rPr>
              <w:t>2</w:t>
            </w:r>
            <w:r>
              <w:rPr>
                <w:rFonts w:hint="eastAsia" w:ascii="Times New Roman"/>
                <w:color w:val="auto"/>
                <w:sz w:val="21"/>
                <w:szCs w:val="21"/>
              </w:rPr>
              <w:t>。</w:t>
            </w:r>
          </w:p>
        </w:tc>
      </w:tr>
      <w:tr w14:paraId="2805C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286618C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01AAF1BE">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弃土弃渣</w:t>
            </w:r>
          </w:p>
        </w:tc>
        <w:tc>
          <w:tcPr>
            <w:tcW w:w="3975" w:type="pct"/>
            <w:tcBorders>
              <w:tl2br w:val="nil"/>
              <w:tr2bl w:val="nil"/>
            </w:tcBorders>
            <w:vAlign w:val="center"/>
          </w:tcPr>
          <w:p w14:paraId="052CC14D">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4"/>
              </w:rPr>
            </w:pPr>
            <w:r>
              <w:rPr>
                <w:rFonts w:ascii="Times New Roman"/>
                <w:color w:val="auto"/>
                <w:kern w:val="0"/>
                <w:sz w:val="21"/>
                <w:szCs w:val="21"/>
              </w:rPr>
              <w:t>不设置弃土、弃渣场，弃土、弃渣依托当地地形地势就地平整堆砌。</w:t>
            </w:r>
          </w:p>
        </w:tc>
      </w:tr>
      <w:tr w14:paraId="51EE6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01" w:hRule="atLeast"/>
          <w:jc w:val="center"/>
        </w:trPr>
        <w:tc>
          <w:tcPr>
            <w:tcW w:w="436" w:type="pct"/>
            <w:vMerge w:val="continue"/>
            <w:tcBorders>
              <w:tl2br w:val="nil"/>
              <w:tr2bl w:val="nil"/>
            </w:tcBorders>
            <w:vAlign w:val="center"/>
          </w:tcPr>
          <w:p w14:paraId="2DD8CA9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464FD45C">
            <w:pPr>
              <w:keepNext w:val="0"/>
              <w:keepLines w:val="0"/>
              <w:pageBreakBefore w:val="0"/>
              <w:kinsoku/>
              <w:wordWrap/>
              <w:overflowPunct/>
              <w:topLinePunct w:val="0"/>
              <w:autoSpaceDE w:val="0"/>
              <w:autoSpaceDN w:val="0"/>
              <w:bidi w:val="0"/>
              <w:snapToGrid w:val="0"/>
              <w:spacing w:line="240" w:lineRule="auto"/>
              <w:ind w:left="0" w:firstLine="0" w:firstLineChars="0"/>
              <w:jc w:val="center"/>
              <w:textAlignment w:val="auto"/>
              <w:rPr>
                <w:rFonts w:ascii="Times New Roman"/>
                <w:color w:val="auto"/>
                <w:sz w:val="21"/>
                <w:szCs w:val="21"/>
              </w:rPr>
            </w:pPr>
            <w:r>
              <w:rPr>
                <w:rFonts w:ascii="Times New Roman"/>
                <w:color w:val="auto"/>
                <w:sz w:val="21"/>
                <w:szCs w:val="21"/>
              </w:rPr>
              <w:t>牵张场</w:t>
            </w:r>
          </w:p>
        </w:tc>
        <w:tc>
          <w:tcPr>
            <w:tcW w:w="3975" w:type="pct"/>
            <w:tcBorders>
              <w:tl2br w:val="nil"/>
              <w:tr2bl w:val="nil"/>
            </w:tcBorders>
          </w:tcPr>
          <w:p w14:paraId="3B0440BE">
            <w:pPr>
              <w:keepNext w:val="0"/>
              <w:keepLines w:val="0"/>
              <w:pageBreakBefore w:val="0"/>
              <w:widowControl/>
              <w:kinsoku/>
              <w:wordWrap/>
              <w:overflowPunct/>
              <w:topLinePunct w:val="0"/>
              <w:autoSpaceDE w:val="0"/>
              <w:autoSpaceDN w:val="0"/>
              <w:bidi w:val="0"/>
              <w:snapToGrid w:val="0"/>
              <w:spacing w:line="240" w:lineRule="auto"/>
              <w:ind w:left="0" w:firstLine="0" w:firstLineChars="0"/>
              <w:textAlignment w:val="auto"/>
              <w:rPr>
                <w:rFonts w:ascii="Times New Roman"/>
                <w:color w:val="auto"/>
                <w:sz w:val="21"/>
                <w:szCs w:val="24"/>
              </w:rPr>
            </w:pPr>
            <w:r>
              <w:rPr>
                <w:rFonts w:ascii="Times New Roman"/>
                <w:color w:val="auto"/>
                <w:kern w:val="0"/>
                <w:sz w:val="21"/>
                <w:szCs w:val="21"/>
              </w:rPr>
              <w:t>每处布置牵张机、铁塔金具、导线等设施与材料。根据设计资料</w:t>
            </w:r>
            <w:r>
              <w:rPr>
                <w:rFonts w:hint="eastAsia" w:ascii="Times New Roman" w:eastAsia="宋体"/>
                <w:color w:val="auto"/>
                <w:kern w:val="0"/>
                <w:sz w:val="21"/>
                <w:szCs w:val="21"/>
                <w:lang w:eastAsia="zh-CN"/>
              </w:rPr>
              <w:t>和水保批复</w:t>
            </w:r>
            <w:r>
              <w:rPr>
                <w:rFonts w:ascii="Times New Roman"/>
                <w:color w:val="auto"/>
                <w:kern w:val="0"/>
                <w:sz w:val="21"/>
                <w:szCs w:val="21"/>
              </w:rPr>
              <w:t>，本线路工程共设计导线</w:t>
            </w:r>
            <w:r>
              <w:rPr>
                <w:rFonts w:hint="eastAsia" w:ascii="Times New Roman"/>
                <w:color w:val="auto"/>
                <w:kern w:val="0"/>
                <w:sz w:val="21"/>
                <w:szCs w:val="21"/>
              </w:rPr>
              <w:t>（包括地线）</w:t>
            </w:r>
            <w:r>
              <w:rPr>
                <w:rFonts w:ascii="Times New Roman"/>
                <w:color w:val="auto"/>
                <w:kern w:val="0"/>
                <w:sz w:val="21"/>
                <w:szCs w:val="21"/>
              </w:rPr>
              <w:t>牵张场5处，</w:t>
            </w:r>
            <w:r>
              <w:rPr>
                <w:rFonts w:hint="eastAsia" w:ascii="Times New Roman"/>
                <w:color w:val="auto"/>
                <w:kern w:val="0"/>
                <w:sz w:val="21"/>
                <w:szCs w:val="21"/>
              </w:rPr>
              <w:t>每处占地约</w:t>
            </w:r>
            <w:r>
              <w:rPr>
                <w:rFonts w:hint="eastAsia" w:ascii="Times New Roman" w:eastAsia="宋体"/>
                <w:color w:val="auto"/>
                <w:kern w:val="0"/>
                <w:sz w:val="21"/>
                <w:szCs w:val="21"/>
                <w:lang w:val="en-US" w:eastAsia="zh-CN"/>
              </w:rPr>
              <w:t>0.12h</w:t>
            </w:r>
            <w:r>
              <w:rPr>
                <w:rFonts w:ascii="Times New Roman"/>
                <w:color w:val="auto"/>
                <w:kern w:val="0"/>
                <w:sz w:val="21"/>
                <w:szCs w:val="21"/>
              </w:rPr>
              <w:t>m</w:t>
            </w:r>
            <w:r>
              <w:rPr>
                <w:rFonts w:ascii="Times New Roman"/>
                <w:color w:val="auto"/>
                <w:kern w:val="0"/>
                <w:sz w:val="21"/>
                <w:szCs w:val="21"/>
                <w:vertAlign w:val="superscript"/>
              </w:rPr>
              <w:t>2</w:t>
            </w:r>
            <w:r>
              <w:rPr>
                <w:rFonts w:hint="eastAsia" w:ascii="Times New Roman"/>
                <w:color w:val="auto"/>
                <w:kern w:val="0"/>
                <w:sz w:val="21"/>
                <w:szCs w:val="21"/>
              </w:rPr>
              <w:t>，</w:t>
            </w:r>
            <w:r>
              <w:rPr>
                <w:rFonts w:ascii="Times New Roman"/>
                <w:color w:val="auto"/>
                <w:kern w:val="0"/>
                <w:sz w:val="21"/>
                <w:szCs w:val="21"/>
              </w:rPr>
              <w:t>牵张场总占地合计</w:t>
            </w:r>
            <w:r>
              <w:rPr>
                <w:rFonts w:hint="eastAsia" w:ascii="Times New Roman" w:eastAsia="宋体"/>
                <w:color w:val="auto"/>
                <w:kern w:val="0"/>
                <w:sz w:val="21"/>
                <w:szCs w:val="21"/>
                <w:lang w:val="en-US" w:eastAsia="zh-CN"/>
              </w:rPr>
              <w:t>0.6h</w:t>
            </w:r>
            <w:r>
              <w:rPr>
                <w:rFonts w:ascii="Times New Roman"/>
                <w:color w:val="auto"/>
                <w:kern w:val="0"/>
                <w:sz w:val="21"/>
                <w:szCs w:val="21"/>
              </w:rPr>
              <w:t>m</w:t>
            </w:r>
            <w:r>
              <w:rPr>
                <w:rFonts w:ascii="Times New Roman"/>
                <w:color w:val="auto"/>
                <w:kern w:val="0"/>
                <w:sz w:val="21"/>
                <w:szCs w:val="21"/>
                <w:vertAlign w:val="superscript"/>
              </w:rPr>
              <w:t>2</w:t>
            </w:r>
            <w:r>
              <w:rPr>
                <w:rFonts w:ascii="Times New Roman"/>
                <w:color w:val="auto"/>
                <w:kern w:val="0"/>
                <w:sz w:val="21"/>
                <w:szCs w:val="21"/>
              </w:rPr>
              <w:t>。</w:t>
            </w:r>
          </w:p>
        </w:tc>
      </w:tr>
      <w:tr w14:paraId="00F92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436" w:type="pct"/>
            <w:vMerge w:val="restart"/>
            <w:tcBorders>
              <w:tl2br w:val="nil"/>
              <w:tr2bl w:val="nil"/>
            </w:tcBorders>
            <w:vAlign w:val="center"/>
          </w:tcPr>
          <w:p w14:paraId="17B5F6D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公用工程</w:t>
            </w:r>
          </w:p>
        </w:tc>
        <w:tc>
          <w:tcPr>
            <w:tcW w:w="588" w:type="pct"/>
            <w:tcBorders>
              <w:tl2br w:val="nil"/>
              <w:tr2bl w:val="nil"/>
            </w:tcBorders>
            <w:vAlign w:val="center"/>
          </w:tcPr>
          <w:p w14:paraId="3A4F7EA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给水</w:t>
            </w:r>
          </w:p>
        </w:tc>
        <w:tc>
          <w:tcPr>
            <w:tcW w:w="3975" w:type="pct"/>
            <w:tcBorders>
              <w:tl2br w:val="nil"/>
              <w:tr2bl w:val="nil"/>
            </w:tcBorders>
            <w:vAlign w:val="center"/>
          </w:tcPr>
          <w:p w14:paraId="43F1ED1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引自附近村庄</w:t>
            </w:r>
          </w:p>
        </w:tc>
      </w:tr>
      <w:tr w14:paraId="06C4E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0C9EEA9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vMerge w:val="restart"/>
            <w:tcBorders>
              <w:tl2br w:val="nil"/>
              <w:tr2bl w:val="nil"/>
            </w:tcBorders>
            <w:vAlign w:val="center"/>
          </w:tcPr>
          <w:p w14:paraId="03CA6B20">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排水</w:t>
            </w:r>
          </w:p>
        </w:tc>
        <w:tc>
          <w:tcPr>
            <w:tcW w:w="3975" w:type="pct"/>
            <w:tcBorders>
              <w:tl2br w:val="nil"/>
              <w:tr2bl w:val="nil"/>
            </w:tcBorders>
            <w:vAlign w:val="center"/>
          </w:tcPr>
          <w:p w14:paraId="33CC7F0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施工期：施工生活废水依托当地居民的生活污水处理设施；生产废水经沉淀池处理后用于场地泼洒抑尘。</w:t>
            </w:r>
          </w:p>
        </w:tc>
      </w:tr>
      <w:tr w14:paraId="094F7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9" w:hRule="atLeast"/>
          <w:jc w:val="center"/>
        </w:trPr>
        <w:tc>
          <w:tcPr>
            <w:tcW w:w="436" w:type="pct"/>
            <w:vMerge w:val="continue"/>
            <w:tcBorders>
              <w:tl2br w:val="nil"/>
              <w:tr2bl w:val="nil"/>
            </w:tcBorders>
            <w:vAlign w:val="center"/>
          </w:tcPr>
          <w:p w14:paraId="4FFC029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588" w:type="pct"/>
            <w:vMerge w:val="continue"/>
            <w:tcBorders>
              <w:tl2br w:val="nil"/>
              <w:tr2bl w:val="nil"/>
            </w:tcBorders>
            <w:vAlign w:val="center"/>
          </w:tcPr>
          <w:p w14:paraId="7F0844A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p>
        </w:tc>
        <w:tc>
          <w:tcPr>
            <w:tcW w:w="3975" w:type="pct"/>
            <w:tcBorders>
              <w:tl2br w:val="nil"/>
              <w:tr2bl w:val="nil"/>
            </w:tcBorders>
            <w:vAlign w:val="center"/>
          </w:tcPr>
          <w:p w14:paraId="2DA0C68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运营期：无废水产生。</w:t>
            </w:r>
          </w:p>
        </w:tc>
      </w:tr>
      <w:tr w14:paraId="38A76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8" w:hRule="atLeast"/>
          <w:jc w:val="center"/>
        </w:trPr>
        <w:tc>
          <w:tcPr>
            <w:tcW w:w="436" w:type="pct"/>
            <w:vMerge w:val="continue"/>
            <w:tcBorders>
              <w:tl2br w:val="nil"/>
              <w:tr2bl w:val="nil"/>
            </w:tcBorders>
            <w:vAlign w:val="center"/>
          </w:tcPr>
          <w:p w14:paraId="08BA75E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32C8A71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供电</w:t>
            </w:r>
          </w:p>
        </w:tc>
        <w:tc>
          <w:tcPr>
            <w:tcW w:w="3975" w:type="pct"/>
            <w:tcBorders>
              <w:tl2br w:val="nil"/>
              <w:tr2bl w:val="nil"/>
            </w:tcBorders>
            <w:vAlign w:val="center"/>
          </w:tcPr>
          <w:p w14:paraId="79D10C16">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施工期临时用电引自附近线路；运营期项目区无人值守，定期巡查，无需供电</w:t>
            </w:r>
          </w:p>
        </w:tc>
      </w:tr>
      <w:tr w14:paraId="3C7FD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restart"/>
            <w:tcBorders>
              <w:tl2br w:val="nil"/>
              <w:tr2bl w:val="nil"/>
            </w:tcBorders>
            <w:vAlign w:val="center"/>
          </w:tcPr>
          <w:p w14:paraId="79D187F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环保工程</w:t>
            </w:r>
          </w:p>
        </w:tc>
        <w:tc>
          <w:tcPr>
            <w:tcW w:w="588" w:type="pct"/>
            <w:tcBorders>
              <w:tl2br w:val="nil"/>
              <w:tr2bl w:val="nil"/>
            </w:tcBorders>
            <w:vAlign w:val="center"/>
          </w:tcPr>
          <w:p w14:paraId="0BCE6F6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废气</w:t>
            </w:r>
          </w:p>
        </w:tc>
        <w:tc>
          <w:tcPr>
            <w:tcW w:w="3975" w:type="pct"/>
            <w:tcBorders>
              <w:tl2br w:val="nil"/>
              <w:tr2bl w:val="nil"/>
            </w:tcBorders>
            <w:vAlign w:val="center"/>
          </w:tcPr>
          <w:p w14:paraId="786B211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施工期：施工扬尘采用设置围挡、洒水降尘</w:t>
            </w:r>
            <w:r>
              <w:rPr>
                <w:rFonts w:hint="eastAsia" w:ascii="Times New Roman"/>
                <w:color w:val="auto"/>
                <w:sz w:val="21"/>
                <w:szCs w:val="24"/>
              </w:rPr>
              <w:t>、车辆冲洗等</w:t>
            </w:r>
            <w:r>
              <w:rPr>
                <w:rFonts w:ascii="Times New Roman"/>
                <w:color w:val="auto"/>
                <w:sz w:val="21"/>
                <w:szCs w:val="24"/>
              </w:rPr>
              <w:t>治理措施；物料运输篷布遮盖。</w:t>
            </w:r>
          </w:p>
          <w:p w14:paraId="5B54307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运营期：项目为输电线路运营期无废气产生。</w:t>
            </w:r>
          </w:p>
        </w:tc>
      </w:tr>
      <w:tr w14:paraId="4E27D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75331F8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0A21C26A">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废水</w:t>
            </w:r>
          </w:p>
        </w:tc>
        <w:tc>
          <w:tcPr>
            <w:tcW w:w="3975" w:type="pct"/>
            <w:tcBorders>
              <w:tl2br w:val="nil"/>
              <w:tr2bl w:val="nil"/>
            </w:tcBorders>
            <w:vAlign w:val="center"/>
          </w:tcPr>
          <w:p w14:paraId="62D961C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产生的废水主要为基础养护废水、车辆清洗废水和施工人员生活污水。本工程施工人员住宿租用当地民房解决，施工人员生活污水依托当地的生活污水处理设施处理。线路施工过程中产生的基础养护废水和车辆清洗废水，均经沉淀池沉淀处理后用于施工场地抑尘。</w:t>
            </w:r>
          </w:p>
          <w:p w14:paraId="676A6A2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运营期：无废水产生。</w:t>
            </w:r>
          </w:p>
        </w:tc>
      </w:tr>
      <w:tr w14:paraId="6D060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696EBE2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25DAEAC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噪声</w:t>
            </w:r>
          </w:p>
        </w:tc>
        <w:tc>
          <w:tcPr>
            <w:tcW w:w="3975" w:type="pct"/>
            <w:tcBorders>
              <w:tl2br w:val="nil"/>
              <w:tr2bl w:val="nil"/>
            </w:tcBorders>
            <w:vAlign w:val="center"/>
          </w:tcPr>
          <w:p w14:paraId="14CB588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施工期：施工期噪声主要为运输车辆交通噪声、挖掘机、装载机等施工、牵张场内牵张机等噪声；主要采取选用低噪声设备、注意设备维护保养合理操作；合理布置施工现场</w:t>
            </w:r>
            <w:r>
              <w:rPr>
                <w:rFonts w:hint="eastAsia" w:ascii="Times New Roman"/>
                <w:color w:val="auto"/>
                <w:sz w:val="21"/>
                <w:szCs w:val="24"/>
              </w:rPr>
              <w:t>，设置围挡</w:t>
            </w:r>
            <w:r>
              <w:rPr>
                <w:rFonts w:ascii="Times New Roman"/>
                <w:color w:val="auto"/>
                <w:sz w:val="21"/>
                <w:szCs w:val="24"/>
              </w:rPr>
              <w:t>；合理安排施工时间；运输车辆在穿越附近居民点时应控制车速、禁鸣，加强车辆维护；牵张场选择时应远离村庄。</w:t>
            </w:r>
          </w:p>
          <w:p w14:paraId="48E3F23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运营</w:t>
            </w:r>
            <w:r>
              <w:rPr>
                <w:rFonts w:ascii="Times New Roman"/>
                <w:color w:val="auto"/>
                <w:sz w:val="21"/>
                <w:szCs w:val="24"/>
              </w:rPr>
              <w:t>期：选用工艺好的导线来降低输电线运营过程产生的电晕噪声。</w:t>
            </w:r>
          </w:p>
        </w:tc>
      </w:tr>
      <w:tr w14:paraId="4234D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22" w:hRule="atLeast"/>
          <w:jc w:val="center"/>
        </w:trPr>
        <w:tc>
          <w:tcPr>
            <w:tcW w:w="436" w:type="pct"/>
            <w:vMerge w:val="continue"/>
            <w:tcBorders>
              <w:tl2br w:val="nil"/>
              <w:tr2bl w:val="nil"/>
            </w:tcBorders>
            <w:vAlign w:val="center"/>
          </w:tcPr>
          <w:p w14:paraId="1899AE8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61B5860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固废</w:t>
            </w:r>
          </w:p>
        </w:tc>
        <w:tc>
          <w:tcPr>
            <w:tcW w:w="3975" w:type="pct"/>
            <w:tcBorders>
              <w:tl2br w:val="nil"/>
              <w:tr2bl w:val="nil"/>
            </w:tcBorders>
            <w:vAlign w:val="center"/>
          </w:tcPr>
          <w:p w14:paraId="6F6F69F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施工期：生活垃圾集中收集后定期清运；建筑垃圾集中堆放，运至指定场所处理；施工的土石方尽量做到“挖填平衡”</w:t>
            </w:r>
            <w:r>
              <w:rPr>
                <w:rFonts w:hint="eastAsia" w:ascii="Times New Roman"/>
                <w:color w:val="auto"/>
                <w:sz w:val="21"/>
                <w:szCs w:val="24"/>
              </w:rPr>
              <w:t>；施工遮挡隔离措施。</w:t>
            </w:r>
          </w:p>
          <w:p w14:paraId="289CF44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运营期：无固废产生</w:t>
            </w:r>
          </w:p>
        </w:tc>
      </w:tr>
      <w:tr w14:paraId="7B32B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90" w:hRule="atLeast"/>
          <w:jc w:val="center"/>
        </w:trPr>
        <w:tc>
          <w:tcPr>
            <w:tcW w:w="436" w:type="pct"/>
            <w:vMerge w:val="continue"/>
            <w:tcBorders>
              <w:tl2br w:val="nil"/>
              <w:tr2bl w:val="nil"/>
            </w:tcBorders>
            <w:vAlign w:val="center"/>
          </w:tcPr>
          <w:p w14:paraId="5DCEDFE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6822C34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电磁</w:t>
            </w:r>
          </w:p>
        </w:tc>
        <w:tc>
          <w:tcPr>
            <w:tcW w:w="3975" w:type="pct"/>
            <w:tcBorders>
              <w:tl2br w:val="nil"/>
              <w:tr2bl w:val="nil"/>
            </w:tcBorders>
            <w:vAlign w:val="center"/>
          </w:tcPr>
          <w:p w14:paraId="01EAD52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施工期：无。</w:t>
            </w:r>
          </w:p>
          <w:p w14:paraId="424D1FA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运营期：在本项目在选线过程中，对沿线与环境有关的地方政府、军事、林业、矿业、通信、文物等部门进行了收资调研和路径协调工作，并根据有关部门的意见对线路进行了优化工作，避开了相关的环境敏感点。</w:t>
            </w:r>
            <w:r>
              <w:rPr>
                <w:rFonts w:hint="eastAsia" w:ascii="Times New Roman"/>
                <w:color w:val="auto"/>
                <w:kern w:val="0"/>
                <w:sz w:val="21"/>
                <w:szCs w:val="21"/>
              </w:rPr>
              <w:t>科学设置导线排列方式、选购光洁度高的导线。加强线路日常管理和维护，使线路保持良好的运行状态。导线的挂设高度</w:t>
            </w:r>
            <w:r>
              <w:rPr>
                <w:rFonts w:ascii="Times New Roman"/>
                <w:color w:val="auto"/>
                <w:kern w:val="0"/>
                <w:sz w:val="21"/>
                <w:szCs w:val="21"/>
              </w:rPr>
              <w:t>应确保与</w:t>
            </w:r>
            <w:r>
              <w:rPr>
                <w:rFonts w:hint="eastAsia" w:ascii="Times New Roman"/>
                <w:color w:val="auto"/>
                <w:kern w:val="0"/>
                <w:sz w:val="21"/>
                <w:szCs w:val="21"/>
              </w:rPr>
              <w:t>各种</w:t>
            </w:r>
            <w:r>
              <w:rPr>
                <w:rFonts w:ascii="Times New Roman"/>
                <w:color w:val="auto"/>
                <w:kern w:val="0"/>
                <w:sz w:val="21"/>
                <w:szCs w:val="21"/>
              </w:rPr>
              <w:t>跨越物留有足够净空距离</w:t>
            </w:r>
            <w:r>
              <w:rPr>
                <w:rFonts w:hint="eastAsia" w:ascii="Times New Roman"/>
                <w:color w:val="auto"/>
                <w:kern w:val="0"/>
                <w:sz w:val="21"/>
                <w:szCs w:val="21"/>
              </w:rPr>
              <w:t>。</w:t>
            </w:r>
          </w:p>
        </w:tc>
      </w:tr>
      <w:tr w14:paraId="1ECED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35" w:hRule="atLeast"/>
          <w:jc w:val="center"/>
        </w:trPr>
        <w:tc>
          <w:tcPr>
            <w:tcW w:w="436" w:type="pct"/>
            <w:vMerge w:val="continue"/>
            <w:tcBorders>
              <w:tl2br w:val="nil"/>
              <w:tr2bl w:val="nil"/>
            </w:tcBorders>
            <w:vAlign w:val="center"/>
          </w:tcPr>
          <w:p w14:paraId="6581278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5E6A31C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生态保护</w:t>
            </w:r>
          </w:p>
        </w:tc>
        <w:tc>
          <w:tcPr>
            <w:tcW w:w="3975" w:type="pct"/>
            <w:tcBorders>
              <w:tl2br w:val="nil"/>
              <w:tr2bl w:val="nil"/>
            </w:tcBorders>
            <w:vAlign w:val="center"/>
          </w:tcPr>
          <w:p w14:paraId="31DD7FF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设计期：优化选址选线，尽量避让生态环境敏感目标，线路工程按照土石方挖填平衡进行设计，经过林区应尽量采用架高杆塔跨越方式，山区铁塔采用高低脚设计。</w:t>
            </w:r>
          </w:p>
          <w:p w14:paraId="5C4824E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hint="default" w:ascii="Times New Roman" w:eastAsia="宋体"/>
                <w:color w:val="auto"/>
                <w:sz w:val="21"/>
                <w:szCs w:val="24"/>
                <w:lang w:val="en-US" w:eastAsia="zh-CN"/>
              </w:rPr>
            </w:pPr>
            <w:r>
              <w:rPr>
                <w:rFonts w:hint="eastAsia" w:ascii="Times New Roman" w:eastAsia="宋体"/>
                <w:color w:val="auto"/>
                <w:sz w:val="21"/>
                <w:szCs w:val="24"/>
                <w:lang w:eastAsia="zh-CN"/>
              </w:rPr>
              <w:t>施工期在河北省木兰围场国有林场内长度为</w:t>
            </w:r>
            <w:r>
              <w:rPr>
                <w:rFonts w:hint="eastAsia" w:ascii="Times New Roman" w:eastAsia="宋体"/>
                <w:color w:val="auto"/>
                <w:sz w:val="21"/>
                <w:szCs w:val="24"/>
                <w:lang w:val="en-US" w:eastAsia="zh-CN"/>
              </w:rPr>
              <w:t>1.8km，占地1.014亩（约676m</w:t>
            </w:r>
            <w:r>
              <w:rPr>
                <w:rFonts w:hint="eastAsia" w:ascii="Times New Roman" w:eastAsia="宋体"/>
                <w:color w:val="auto"/>
                <w:sz w:val="21"/>
                <w:szCs w:val="24"/>
                <w:vertAlign w:val="superscript"/>
                <w:lang w:val="en-US" w:eastAsia="zh-CN"/>
              </w:rPr>
              <w:t>2</w:t>
            </w:r>
            <w:r>
              <w:rPr>
                <w:rFonts w:hint="eastAsia" w:ascii="Times New Roman" w:eastAsia="宋体"/>
                <w:color w:val="auto"/>
                <w:sz w:val="21"/>
                <w:szCs w:val="24"/>
                <w:lang w:val="en-US" w:eastAsia="zh-CN"/>
              </w:rPr>
              <w:t>），并支付了补偿金，国有林场段林地恢复有</w:t>
            </w:r>
            <w:r>
              <w:rPr>
                <w:rFonts w:hint="eastAsia" w:ascii="Times New Roman" w:eastAsia="宋体"/>
                <w:color w:val="auto"/>
                <w:sz w:val="21"/>
                <w:szCs w:val="24"/>
                <w:lang w:eastAsia="zh-CN"/>
              </w:rPr>
              <w:t>河北省木兰围场国有林场进行实施。其余段有围场满族蒙古族自治县阳洁光伏发电有限责任公司进行生态恢复，目前正在进行施工完毕塔基的土地平整、覆土，并进行苫盖，待具体植被种植条件后进行植被恢复。</w:t>
            </w:r>
          </w:p>
          <w:p w14:paraId="1EADA901">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施工期：限制施工作业带范围，施工作业主要在远离生态红线的一侧，减少施工开挖面积和临时占地面积，表土分层堆放，分层回填；在施工区域设置警示牌，施工临时占地及时恢复，临时弃土、土石料场风季用苫布遮盖；优化土方平衡，弃土及时清运，减少二次倒运和堆放；施工结束后，及时对施工碾压过的土地进行人工洒水，使土壤自然疏松，按原来的地貌选择合适的草种或树木进行恢复性种植，在恢复期间注意保护，减少人畜和车辆的影响。</w:t>
            </w:r>
          </w:p>
          <w:p w14:paraId="5E05939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hint="eastAsia" w:ascii="Times New Roman"/>
                <w:color w:val="auto"/>
                <w:sz w:val="21"/>
                <w:szCs w:val="24"/>
              </w:rPr>
              <w:t>运营期：为降低鸟类撞击铁塔或导线造成的影响，需在塔基安装驱鸟器，在导线悬垂串及跳线串上方安装防鸟刺。</w:t>
            </w:r>
          </w:p>
        </w:tc>
      </w:tr>
      <w:tr w14:paraId="3063C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9" w:hRule="atLeast"/>
          <w:jc w:val="center"/>
        </w:trPr>
        <w:tc>
          <w:tcPr>
            <w:tcW w:w="436" w:type="pct"/>
            <w:vMerge w:val="continue"/>
            <w:tcBorders>
              <w:tl2br w:val="nil"/>
              <w:tr2bl w:val="nil"/>
            </w:tcBorders>
            <w:vAlign w:val="center"/>
          </w:tcPr>
          <w:p w14:paraId="5A35E37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756A6E4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ascii="Times New Roman"/>
                <w:color w:val="auto"/>
                <w:sz w:val="21"/>
                <w:szCs w:val="24"/>
              </w:rPr>
              <w:t>水土流失工程</w:t>
            </w:r>
          </w:p>
        </w:tc>
        <w:tc>
          <w:tcPr>
            <w:tcW w:w="3975" w:type="pct"/>
            <w:tcBorders>
              <w:tl2br w:val="nil"/>
              <w:tr2bl w:val="nil"/>
            </w:tcBorders>
            <w:vAlign w:val="center"/>
          </w:tcPr>
          <w:p w14:paraId="04A69F6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4"/>
              </w:rPr>
            </w:pPr>
            <w:r>
              <w:rPr>
                <w:rFonts w:ascii="Times New Roman"/>
                <w:color w:val="auto"/>
                <w:sz w:val="21"/>
                <w:szCs w:val="24"/>
              </w:rPr>
              <w:t>对因永久塔基占地的水土流失采取工程措施，对扰动的地表采取砾石覆盖措施，施工结束及时表土回填，并采取植被恢复措施；对于占用的林地、耕地已签订补偿协议；临时堆土场采用防护</w:t>
            </w:r>
            <w:r>
              <w:rPr>
                <w:rFonts w:hint="eastAsia" w:ascii="Times New Roman" w:eastAsia="宋体"/>
                <w:color w:val="auto"/>
                <w:sz w:val="21"/>
                <w:szCs w:val="24"/>
                <w:lang w:val="en-US" w:eastAsia="zh-CN"/>
              </w:rPr>
              <w:t>措施</w:t>
            </w:r>
            <w:r>
              <w:rPr>
                <w:rFonts w:ascii="Times New Roman"/>
                <w:color w:val="auto"/>
                <w:sz w:val="21"/>
                <w:szCs w:val="24"/>
              </w:rPr>
              <w:t>，及时回填，减少临时堆土量；</w:t>
            </w:r>
          </w:p>
        </w:tc>
      </w:tr>
      <w:tr w14:paraId="089CA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restart"/>
            <w:tcBorders>
              <w:tl2br w:val="nil"/>
              <w:tr2bl w:val="nil"/>
            </w:tcBorders>
            <w:vAlign w:val="center"/>
          </w:tcPr>
          <w:p w14:paraId="2503CAF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依托工程</w:t>
            </w:r>
          </w:p>
        </w:tc>
        <w:tc>
          <w:tcPr>
            <w:tcW w:w="588" w:type="pct"/>
            <w:tcBorders>
              <w:tl2br w:val="nil"/>
              <w:tr2bl w:val="nil"/>
            </w:tcBorders>
            <w:vAlign w:val="center"/>
          </w:tcPr>
          <w:p w14:paraId="1B0B15B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r>
              <w:rPr>
                <w:rFonts w:hint="eastAsia" w:ascii="Times New Roman"/>
                <w:color w:val="auto"/>
                <w:sz w:val="21"/>
                <w:szCs w:val="24"/>
              </w:rPr>
              <w:t>华能光伏起点升压站</w:t>
            </w:r>
          </w:p>
        </w:tc>
        <w:tc>
          <w:tcPr>
            <w:tcW w:w="3975" w:type="pct"/>
            <w:tcBorders>
              <w:tl2br w:val="nil"/>
              <w:tr2bl w:val="nil"/>
            </w:tcBorders>
            <w:vAlign w:val="center"/>
          </w:tcPr>
          <w:p w14:paraId="36C112CB">
            <w:pPr>
              <w:keepNext w:val="0"/>
              <w:keepLines w:val="0"/>
              <w:pageBreakBefore w:val="0"/>
              <w:kinsoku/>
              <w:wordWrap/>
              <w:overflowPunct/>
              <w:topLinePunct w:val="0"/>
              <w:autoSpaceDE w:val="0"/>
              <w:autoSpaceDN w:val="0"/>
              <w:bidi w:val="0"/>
              <w:snapToGrid w:val="0"/>
              <w:spacing w:line="240" w:lineRule="auto"/>
              <w:ind w:left="0" w:firstLine="0" w:firstLineChars="0"/>
              <w:jc w:val="left"/>
              <w:textAlignment w:val="auto"/>
              <w:rPr>
                <w:rFonts w:ascii="Times New Roman"/>
                <w:color w:val="auto"/>
                <w:kern w:val="0"/>
                <w:sz w:val="21"/>
                <w:szCs w:val="21"/>
              </w:rPr>
            </w:pPr>
            <w:r>
              <w:rPr>
                <w:rFonts w:hint="eastAsia" w:ascii="Times New Roman"/>
                <w:color w:val="auto"/>
                <w:kern w:val="0"/>
                <w:sz w:val="21"/>
                <w:szCs w:val="21"/>
              </w:rPr>
              <w:t>该站为建设单位建设，为220kV升压站。其设计：建设1台</w:t>
            </w:r>
            <w:r>
              <w:rPr>
                <w:rFonts w:hint="eastAsia" w:ascii="Times New Roman" w:eastAsia="宋体"/>
                <w:color w:val="auto"/>
                <w:kern w:val="0"/>
                <w:sz w:val="21"/>
                <w:szCs w:val="21"/>
                <w:lang w:val="en-US" w:eastAsia="zh-CN"/>
              </w:rPr>
              <w:t>2</w:t>
            </w:r>
            <w:r>
              <w:rPr>
                <w:rFonts w:hint="eastAsia" w:ascii="Times New Roman"/>
                <w:color w:val="auto"/>
                <w:kern w:val="0"/>
                <w:sz w:val="21"/>
                <w:szCs w:val="21"/>
              </w:rPr>
              <w:t>00MVA主变，电压等级为220/35kV。220kV出线1回，为架空出线；35kV规划出线</w:t>
            </w:r>
            <w:r>
              <w:rPr>
                <w:rFonts w:hint="eastAsia" w:ascii="Times New Roman" w:eastAsia="宋体"/>
                <w:color w:val="auto"/>
                <w:kern w:val="0"/>
                <w:sz w:val="21"/>
                <w:szCs w:val="21"/>
                <w:lang w:val="en-US" w:eastAsia="zh-CN"/>
              </w:rPr>
              <w:t>10</w:t>
            </w:r>
            <w:r>
              <w:rPr>
                <w:rFonts w:hint="eastAsia" w:ascii="Times New Roman"/>
                <w:color w:val="auto"/>
                <w:kern w:val="0"/>
                <w:sz w:val="21"/>
                <w:szCs w:val="21"/>
              </w:rPr>
              <w:t>回为电缆出线。</w:t>
            </w:r>
          </w:p>
          <w:p w14:paraId="6D942A1E">
            <w:pPr>
              <w:keepNext w:val="0"/>
              <w:keepLines w:val="0"/>
              <w:pageBreakBefore w:val="0"/>
              <w:kinsoku/>
              <w:wordWrap/>
              <w:overflowPunct/>
              <w:topLinePunct w:val="0"/>
              <w:autoSpaceDE w:val="0"/>
              <w:autoSpaceDN w:val="0"/>
              <w:bidi w:val="0"/>
              <w:snapToGrid w:val="0"/>
              <w:spacing w:line="240" w:lineRule="auto"/>
              <w:ind w:left="0" w:firstLine="0" w:firstLineChars="0"/>
              <w:jc w:val="left"/>
              <w:textAlignment w:val="auto"/>
              <w:rPr>
                <w:rFonts w:ascii="Times New Roman"/>
                <w:color w:val="auto"/>
                <w:sz w:val="21"/>
                <w:szCs w:val="24"/>
              </w:rPr>
            </w:pPr>
            <w:r>
              <w:rPr>
                <w:rFonts w:hint="eastAsia" w:ascii="Times New Roman"/>
                <w:color w:val="auto"/>
                <w:kern w:val="0"/>
                <w:sz w:val="21"/>
                <w:szCs w:val="21"/>
              </w:rPr>
              <w:t>其建设项目《</w:t>
            </w:r>
            <w:r>
              <w:rPr>
                <w:rFonts w:hint="default" w:ascii="Times New Roman" w:hAnsi="Times New Roman" w:eastAsia="宋体" w:cs="Times New Roman"/>
                <w:color w:val="auto"/>
                <w:kern w:val="2"/>
                <w:sz w:val="21"/>
                <w:szCs w:val="21"/>
                <w:highlight w:val="none"/>
              </w:rPr>
              <w:t>华能围场风光储氢热一体化项目(光伏200MW)</w:t>
            </w:r>
            <w:r>
              <w:rPr>
                <w:rFonts w:hint="eastAsia" w:ascii="Times New Roman"/>
                <w:color w:val="auto"/>
                <w:kern w:val="0"/>
                <w:sz w:val="21"/>
                <w:szCs w:val="21"/>
              </w:rPr>
              <w:t>220kV升压站工程环境影响报告表》</w:t>
            </w:r>
            <w:r>
              <w:rPr>
                <w:rFonts w:hint="eastAsia" w:ascii="Times New Roman" w:eastAsia="宋体"/>
                <w:color w:val="auto"/>
                <w:kern w:val="0"/>
                <w:sz w:val="21"/>
                <w:szCs w:val="21"/>
                <w:lang w:eastAsia="zh-CN"/>
              </w:rPr>
              <w:t>已委托编制</w:t>
            </w:r>
            <w:r>
              <w:rPr>
                <w:rFonts w:hint="eastAsia" w:ascii="Times New Roman"/>
                <w:color w:val="auto"/>
                <w:kern w:val="0"/>
                <w:sz w:val="21"/>
                <w:szCs w:val="21"/>
              </w:rPr>
              <w:t>。</w:t>
            </w:r>
          </w:p>
        </w:tc>
      </w:tr>
      <w:tr w14:paraId="216C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436" w:type="pct"/>
            <w:vMerge w:val="continue"/>
            <w:tcBorders>
              <w:tl2br w:val="nil"/>
              <w:tr2bl w:val="nil"/>
            </w:tcBorders>
            <w:vAlign w:val="center"/>
          </w:tcPr>
          <w:p w14:paraId="6C76ED4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4"/>
              </w:rPr>
            </w:pPr>
          </w:p>
        </w:tc>
        <w:tc>
          <w:tcPr>
            <w:tcW w:w="588" w:type="pct"/>
            <w:tcBorders>
              <w:tl2br w:val="nil"/>
              <w:tr2bl w:val="nil"/>
            </w:tcBorders>
            <w:vAlign w:val="center"/>
          </w:tcPr>
          <w:p w14:paraId="63FD701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color w:val="auto"/>
                <w:sz w:val="21"/>
                <w:szCs w:val="21"/>
              </w:rPr>
            </w:pPr>
            <w:r>
              <w:rPr>
                <w:rFonts w:hint="eastAsia" w:ascii="Times New Roman"/>
                <w:snapToGrid w:val="0"/>
                <w:color w:val="auto"/>
                <w:kern w:val="0"/>
                <w:sz w:val="21"/>
                <w:szCs w:val="21"/>
              </w:rPr>
              <w:t>华能风电终点升压站</w:t>
            </w:r>
          </w:p>
        </w:tc>
        <w:tc>
          <w:tcPr>
            <w:tcW w:w="3975" w:type="pct"/>
            <w:tcBorders>
              <w:tl2br w:val="nil"/>
              <w:tr2bl w:val="nil"/>
            </w:tcBorders>
            <w:vAlign w:val="center"/>
          </w:tcPr>
          <w:p w14:paraId="3DDFCF64">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ascii="Times New Roman"/>
                <w:color w:val="auto"/>
                <w:sz w:val="21"/>
                <w:szCs w:val="21"/>
              </w:rPr>
            </w:pPr>
            <w:r>
              <w:rPr>
                <w:rFonts w:hint="eastAsia" w:ascii="Times New Roman"/>
                <w:color w:val="auto"/>
                <w:sz w:val="21"/>
                <w:szCs w:val="21"/>
              </w:rPr>
              <w:t>该站为建设单位建设，为220kV升压站。其设计：建设1台</w:t>
            </w:r>
            <w:r>
              <w:rPr>
                <w:rFonts w:ascii="Times New Roman"/>
                <w:color w:val="auto"/>
                <w:sz w:val="21"/>
                <w:szCs w:val="21"/>
              </w:rPr>
              <w:t>2</w:t>
            </w:r>
            <w:r>
              <w:rPr>
                <w:rFonts w:hint="eastAsia" w:ascii="Times New Roman"/>
                <w:color w:val="auto"/>
                <w:sz w:val="21"/>
                <w:szCs w:val="21"/>
              </w:rPr>
              <w:t>00MVA主变，电压等级为220/35kV。220kV出线</w:t>
            </w:r>
            <w:r>
              <w:rPr>
                <w:rFonts w:ascii="Times New Roman"/>
                <w:color w:val="auto"/>
                <w:sz w:val="21"/>
                <w:szCs w:val="21"/>
              </w:rPr>
              <w:t>4</w:t>
            </w:r>
            <w:r>
              <w:rPr>
                <w:rFonts w:hint="eastAsia" w:ascii="Times New Roman"/>
                <w:color w:val="auto"/>
                <w:sz w:val="21"/>
                <w:szCs w:val="21"/>
              </w:rPr>
              <w:t>回，为架空出线。本项目接入该变电站</w:t>
            </w:r>
            <w:r>
              <w:rPr>
                <w:rFonts w:hint="eastAsia" w:ascii="Times New Roman" w:eastAsia="宋体"/>
                <w:color w:val="auto"/>
                <w:sz w:val="21"/>
                <w:szCs w:val="21"/>
                <w:lang w:eastAsia="zh-CN"/>
              </w:rPr>
              <w:t>南</w:t>
            </w:r>
            <w:r>
              <w:rPr>
                <w:rFonts w:hint="eastAsia" w:ascii="Times New Roman"/>
                <w:color w:val="auto"/>
                <w:sz w:val="21"/>
                <w:szCs w:val="21"/>
              </w:rPr>
              <w:t>侧220kV架构自</w:t>
            </w:r>
            <w:r>
              <w:rPr>
                <w:rFonts w:hint="eastAsia" w:ascii="Times New Roman" w:eastAsia="宋体"/>
                <w:color w:val="auto"/>
                <w:sz w:val="21"/>
                <w:szCs w:val="21"/>
                <w:lang w:eastAsia="zh-CN"/>
              </w:rPr>
              <w:t>西</w:t>
            </w:r>
            <w:r>
              <w:rPr>
                <w:rFonts w:hint="eastAsia" w:ascii="Times New Roman"/>
                <w:color w:val="auto"/>
                <w:sz w:val="21"/>
                <w:szCs w:val="21"/>
              </w:rPr>
              <w:t>向</w:t>
            </w:r>
            <w:r>
              <w:rPr>
                <w:rFonts w:hint="eastAsia" w:ascii="Times New Roman" w:eastAsia="宋体"/>
                <w:color w:val="auto"/>
                <w:sz w:val="21"/>
                <w:szCs w:val="21"/>
                <w:lang w:eastAsia="zh-CN"/>
              </w:rPr>
              <w:t>东</w:t>
            </w:r>
            <w:r>
              <w:rPr>
                <w:rFonts w:hint="eastAsia" w:ascii="Times New Roman"/>
                <w:color w:val="auto"/>
                <w:sz w:val="21"/>
                <w:szCs w:val="21"/>
              </w:rPr>
              <w:t>第</w:t>
            </w:r>
            <w:r>
              <w:rPr>
                <w:rFonts w:hint="eastAsia" w:ascii="Times New Roman" w:eastAsia="宋体"/>
                <w:color w:val="auto"/>
                <w:sz w:val="21"/>
                <w:szCs w:val="21"/>
                <w:lang w:val="en-US" w:eastAsia="zh-CN"/>
              </w:rPr>
              <w:t>2</w:t>
            </w:r>
            <w:r>
              <w:rPr>
                <w:rFonts w:hint="eastAsia" w:ascii="Times New Roman"/>
                <w:color w:val="auto"/>
                <w:sz w:val="21"/>
                <w:szCs w:val="21"/>
              </w:rPr>
              <w:t>出线间隔。目前项目正在建设。该升压站辐射环境影响评价与本项目环评审批同期进行。</w:t>
            </w:r>
          </w:p>
        </w:tc>
      </w:tr>
      <w:tr w14:paraId="62368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63" w:hRule="atLeast"/>
          <w:jc w:val="center"/>
        </w:trPr>
        <w:tc>
          <w:tcPr>
            <w:tcW w:w="1024" w:type="pct"/>
            <w:gridSpan w:val="2"/>
            <w:tcBorders>
              <w:tl2br w:val="nil"/>
              <w:tr2bl w:val="nil"/>
            </w:tcBorders>
            <w:vAlign w:val="center"/>
          </w:tcPr>
          <w:p w14:paraId="28CF6CC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eastAsia="宋体"/>
                <w:snapToGrid w:val="0"/>
                <w:color w:val="auto"/>
                <w:kern w:val="0"/>
                <w:sz w:val="21"/>
                <w:szCs w:val="21"/>
                <w:lang w:eastAsia="zh-CN"/>
              </w:rPr>
            </w:pPr>
            <w:r>
              <w:rPr>
                <w:rFonts w:hint="eastAsia" w:ascii="Times New Roman" w:eastAsia="宋体"/>
                <w:snapToGrid w:val="0"/>
                <w:color w:val="auto"/>
                <w:kern w:val="0"/>
                <w:sz w:val="21"/>
                <w:szCs w:val="21"/>
                <w:lang w:eastAsia="zh-CN"/>
              </w:rPr>
              <w:t>施工进度</w:t>
            </w:r>
          </w:p>
        </w:tc>
        <w:tc>
          <w:tcPr>
            <w:tcW w:w="3975" w:type="pct"/>
            <w:tcBorders>
              <w:tl2br w:val="nil"/>
              <w:tr2bl w:val="nil"/>
            </w:tcBorders>
            <w:vAlign w:val="center"/>
          </w:tcPr>
          <w:p w14:paraId="76E9422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textAlignment w:val="auto"/>
              <w:rPr>
                <w:rFonts w:hint="default" w:ascii="Times New Roman" w:eastAsia="宋体"/>
                <w:color w:val="auto"/>
                <w:sz w:val="21"/>
                <w:szCs w:val="21"/>
                <w:lang w:val="en-US" w:eastAsia="zh-CN"/>
              </w:rPr>
            </w:pPr>
            <w:r>
              <w:rPr>
                <w:rFonts w:hint="eastAsia" w:ascii="Times New Roman" w:eastAsia="宋体"/>
                <w:color w:val="auto"/>
                <w:sz w:val="21"/>
                <w:szCs w:val="21"/>
                <w:lang w:eastAsia="zh-CN"/>
              </w:rPr>
              <w:t>项目塔基塔身已施工完成，导线未架设完成，计划</w:t>
            </w:r>
            <w:r>
              <w:rPr>
                <w:rFonts w:hint="eastAsia" w:ascii="Times New Roman" w:eastAsia="宋体"/>
                <w:color w:val="auto"/>
                <w:sz w:val="21"/>
                <w:szCs w:val="21"/>
                <w:lang w:val="en-US" w:eastAsia="zh-CN"/>
              </w:rPr>
              <w:t>2024年12月导线架设完成，2025年6月之前完成生态恢复工作。</w:t>
            </w:r>
          </w:p>
        </w:tc>
      </w:tr>
    </w:tbl>
    <w:p w14:paraId="0ED46926">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（5）沿线环境状况</w:t>
      </w:r>
    </w:p>
    <w:p w14:paraId="10F549C0">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220kV线路工程全线位于</w:t>
      </w:r>
      <w:r>
        <w:rPr>
          <w:rFonts w:hint="eastAsia" w:ascii="Times New Roman" w:hAnsi="Times New Roman" w:eastAsia="宋体" w:cs="Times New Roman"/>
          <w:bCs/>
          <w:color w:val="auto"/>
          <w:sz w:val="24"/>
          <w:szCs w:val="24"/>
          <w:highlight w:val="none"/>
        </w:rPr>
        <w:t>承德市</w:t>
      </w:r>
      <w:r>
        <w:rPr>
          <w:rFonts w:ascii="Times New Roman" w:hAnsi="Times New Roman" w:eastAsia="宋体" w:cs="Times New Roman"/>
          <w:bCs/>
          <w:color w:val="auto"/>
          <w:sz w:val="24"/>
          <w:szCs w:val="24"/>
          <w:highlight w:val="none"/>
        </w:rPr>
        <w:t>围场满族蒙古族自治县老窝铺乡、城子镇</w:t>
      </w:r>
      <w:r>
        <w:rPr>
          <w:rFonts w:hint="eastAsia" w:ascii="Times New Roman" w:hAnsi="Times New Roman" w:eastAsia="宋体" w:cs="Times New Roman"/>
          <w:bCs/>
          <w:color w:val="auto"/>
          <w:sz w:val="24"/>
          <w:szCs w:val="24"/>
          <w:highlight w:val="none"/>
          <w:lang w:eastAsia="zh-CN"/>
        </w:rPr>
        <w:t>、御道口镇</w:t>
      </w:r>
      <w:r>
        <w:rPr>
          <w:rFonts w:ascii="Times New Roman" w:hAnsi="Times New Roman" w:eastAsia="宋体" w:cs="Times New Roman"/>
          <w:bCs/>
          <w:color w:val="auto"/>
          <w:sz w:val="24"/>
          <w:szCs w:val="24"/>
          <w:highlight w:val="none"/>
        </w:rPr>
        <w:t>，线路沿线地势起伏及高差变化较大，多为山区林地，部分为耕地。本项目路径图见附图2，周边关系图见附图3。</w:t>
      </w:r>
    </w:p>
    <w:p w14:paraId="79192F10">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（6）线路路径</w:t>
      </w:r>
    </w:p>
    <w:p w14:paraId="4582C3FC">
      <w:pPr>
        <w:pStyle w:val="23"/>
        <w:spacing w:line="480" w:lineRule="exact"/>
        <w:ind w:firstLine="480" w:firstLineChars="200"/>
        <w:rPr>
          <w:rFonts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自华能围场光伏220kV升压站架构出线后，向东南方向走线到达J3（</w:t>
      </w:r>
      <w:r>
        <w:rPr>
          <w:rFonts w:hint="eastAsia" w:ascii="Times New Roman" w:hAnsi="Times New Roman" w:eastAsia="宋体" w:cs="Times New Roman"/>
          <w:bCs/>
          <w:color w:val="auto"/>
          <w:sz w:val="24"/>
          <w:szCs w:val="24"/>
          <w:highlight w:val="none"/>
          <w:lang w:val="en-US" w:eastAsia="zh-CN"/>
        </w:rPr>
        <w:t>4号塔</w:t>
      </w:r>
      <w:r>
        <w:rPr>
          <w:rFonts w:hint="default" w:ascii="Times New Roman" w:hAnsi="Times New Roman" w:eastAsia="宋体" w:cs="Times New Roman"/>
          <w:bCs/>
          <w:color w:val="auto"/>
          <w:sz w:val="24"/>
          <w:szCs w:val="24"/>
          <w:highlight w:val="none"/>
        </w:rPr>
        <w:t>进入河北滦河上游国家级自然保护区实验区），至二道岔北山附近后左转向东偏北方向到达J5，右转向东南方向到达大台子北侧J8，之后送出线路架空穿越220kV点祥线到达J10，右转后线路呈东南方向到达三号沟东侧J13（出河北滦河上游国家级自然保护区实验区</w:t>
      </w:r>
      <w:r>
        <w:rPr>
          <w:rFonts w:hint="eastAsia" w:ascii="Times New Roman" w:hAnsi="Times New Roman" w:eastAsia="宋体" w:cs="Times New Roman"/>
          <w:bCs/>
          <w:color w:val="auto"/>
          <w:sz w:val="24"/>
          <w:szCs w:val="24"/>
          <w:highlight w:val="none"/>
          <w:lang w:eastAsia="zh-CN"/>
        </w:rPr>
        <w:t>，保护区内最后一基塔为</w:t>
      </w:r>
      <w:r>
        <w:rPr>
          <w:rFonts w:hint="eastAsia" w:ascii="Times New Roman" w:hAnsi="Times New Roman" w:eastAsia="宋体" w:cs="Times New Roman"/>
          <w:bCs/>
          <w:color w:val="auto"/>
          <w:sz w:val="24"/>
          <w:szCs w:val="24"/>
          <w:highlight w:val="none"/>
          <w:lang w:val="en-US" w:eastAsia="zh-CN"/>
        </w:rPr>
        <w:t>26号塔</w:t>
      </w:r>
      <w:r>
        <w:rPr>
          <w:rFonts w:hint="default" w:ascii="Times New Roman" w:hAnsi="Times New Roman" w:eastAsia="宋体" w:cs="Times New Roman"/>
          <w:bCs/>
          <w:color w:val="auto"/>
          <w:sz w:val="24"/>
          <w:szCs w:val="24"/>
          <w:highlight w:val="none"/>
        </w:rPr>
        <w:t>），继续向东南</w:t>
      </w:r>
      <w:r>
        <w:rPr>
          <w:rFonts w:hint="eastAsia" w:ascii="Times New Roman" w:hAnsi="Times New Roman" w:eastAsia="宋体" w:cs="Times New Roman"/>
          <w:bCs/>
          <w:color w:val="auto"/>
          <w:sz w:val="24"/>
          <w:szCs w:val="24"/>
          <w:highlight w:val="none"/>
          <w:lang w:eastAsia="zh-CN"/>
        </w:rPr>
        <w:t>至</w:t>
      </w:r>
      <w:r>
        <w:rPr>
          <w:rFonts w:hint="default" w:ascii="Times New Roman" w:hAnsi="Times New Roman" w:eastAsia="宋体" w:cs="Times New Roman"/>
          <w:bCs/>
          <w:color w:val="auto"/>
          <w:sz w:val="24"/>
          <w:szCs w:val="24"/>
          <w:highlight w:val="none"/>
        </w:rPr>
        <w:t>哈啦吗嘎沟西侧J14，右转跨越35kV牌后线和35kV牌老线后到达J15，左转向东南方向至J16，再左转跨越35kV牌老线后向东北方向架设至华能200兆瓦风电升压站西侧，建设一座双回路终端塔，</w:t>
      </w:r>
      <w:r>
        <w:rPr>
          <w:rFonts w:hint="default" w:ascii="Times New Roman" w:hAnsi="Times New Roman" w:eastAsia="宋体" w:cs="Times New Roman"/>
          <w:bCs/>
          <w:color w:val="auto"/>
          <w:sz w:val="24"/>
          <w:szCs w:val="24"/>
          <w:highlight w:val="none"/>
          <w:lang w:eastAsia="zh-CN"/>
        </w:rPr>
        <w:t>单侧挂线</w:t>
      </w:r>
      <w:r>
        <w:rPr>
          <w:rFonts w:hint="default" w:ascii="Times New Roman" w:hAnsi="Times New Roman" w:eastAsia="宋体" w:cs="Times New Roman"/>
          <w:bCs/>
          <w:color w:val="auto"/>
          <w:sz w:val="24"/>
          <w:szCs w:val="24"/>
          <w:highlight w:val="none"/>
        </w:rPr>
        <w:t>至风电进线架构。</w:t>
      </w:r>
    </w:p>
    <w:p w14:paraId="6AFB9E72">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（7）线路交叉跨越情况及塔型选型</w:t>
      </w:r>
    </w:p>
    <w:p w14:paraId="4D8A2272">
      <w:pPr>
        <w:pStyle w:val="23"/>
        <w:spacing w:line="480" w:lineRule="exact"/>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本项目线路整体走向为</w:t>
      </w:r>
      <w:r>
        <w:rPr>
          <w:rFonts w:hint="eastAsia" w:ascii="Times New Roman" w:hAnsi="Times New Roman" w:eastAsia="宋体" w:cs="Times New Roman"/>
          <w:bCs/>
          <w:color w:val="auto"/>
          <w:sz w:val="24"/>
          <w:szCs w:val="24"/>
          <w:highlight w:val="none"/>
        </w:rPr>
        <w:t>自西向东</w:t>
      </w:r>
      <w:r>
        <w:rPr>
          <w:rFonts w:ascii="Times New Roman" w:hAnsi="Times New Roman" w:eastAsia="宋体" w:cs="Times New Roman"/>
          <w:bCs/>
          <w:color w:val="auto"/>
          <w:sz w:val="24"/>
          <w:szCs w:val="24"/>
          <w:highlight w:val="none"/>
        </w:rPr>
        <w:t>。主要交叉钻跨越情况见表</w:t>
      </w:r>
      <w:r>
        <w:rPr>
          <w:rFonts w:hint="eastAsia" w:ascii="Times New Roman" w:hAnsi="Times New Roman" w:eastAsia="宋体" w:cs="Times New Roman"/>
          <w:bCs/>
          <w:color w:val="auto"/>
          <w:sz w:val="24"/>
          <w:szCs w:val="24"/>
          <w:highlight w:val="none"/>
        </w:rPr>
        <w:t>3</w:t>
      </w:r>
      <w:r>
        <w:rPr>
          <w:rFonts w:hint="eastAsia" w:ascii="Times New Roman" w:hAnsi="Times New Roman" w:eastAsia="宋体" w:cs="Times New Roman"/>
          <w:bCs/>
          <w:color w:val="auto"/>
          <w:sz w:val="24"/>
          <w:szCs w:val="24"/>
          <w:highlight w:val="none"/>
          <w:lang w:val="en-US" w:eastAsia="zh-CN"/>
        </w:rPr>
        <w:t>.1</w:t>
      </w:r>
      <w:r>
        <w:rPr>
          <w:rFonts w:ascii="Times New Roman" w:hAnsi="Times New Roman" w:eastAsia="宋体" w:cs="Times New Roman"/>
          <w:bCs/>
          <w:color w:val="auto"/>
          <w:sz w:val="24"/>
          <w:szCs w:val="24"/>
          <w:highlight w:val="none"/>
        </w:rPr>
        <w:t>-2。</w:t>
      </w:r>
    </w:p>
    <w:p w14:paraId="388F8AA3">
      <w:pPr>
        <w:autoSpaceDE w:val="0"/>
        <w:autoSpaceDN w:val="0"/>
        <w:spacing w:line="240" w:lineRule="auto"/>
        <w:ind w:firstLine="422"/>
        <w:jc w:val="center"/>
        <w:rPr>
          <w:rFonts w:eastAsia="宋体" w:cs="Times New Roman"/>
          <w:b/>
          <w:bCs/>
          <w:color w:val="auto"/>
          <w:sz w:val="21"/>
          <w:szCs w:val="21"/>
          <w:highlight w:val="none"/>
        </w:rPr>
      </w:pPr>
      <w:r>
        <w:rPr>
          <w:rFonts w:eastAsia="宋体" w:cs="Times New Roman"/>
          <w:b/>
          <w:bCs/>
          <w:color w:val="auto"/>
          <w:sz w:val="21"/>
          <w:szCs w:val="21"/>
          <w:highlight w:val="none"/>
        </w:rPr>
        <w:t>表</w:t>
      </w:r>
      <w:r>
        <w:rPr>
          <w:rFonts w:hint="eastAsia" w:eastAsia="宋体" w:cs="Times New Roman"/>
          <w:b/>
          <w:bCs/>
          <w:color w:val="auto"/>
          <w:sz w:val="21"/>
          <w:szCs w:val="21"/>
          <w:highlight w:val="none"/>
        </w:rPr>
        <w:t>3</w:t>
      </w:r>
      <w:r>
        <w:rPr>
          <w:rFonts w:hint="eastAsia" w:eastAsia="宋体" w:cs="Times New Roman"/>
          <w:b/>
          <w:bCs/>
          <w:color w:val="auto"/>
          <w:sz w:val="21"/>
          <w:szCs w:val="21"/>
          <w:highlight w:val="none"/>
          <w:lang w:val="en-US" w:eastAsia="zh-CN"/>
        </w:rPr>
        <w:t>.1</w:t>
      </w:r>
      <w:r>
        <w:rPr>
          <w:rFonts w:eastAsia="宋体" w:cs="Times New Roman"/>
          <w:b/>
          <w:bCs/>
          <w:color w:val="auto"/>
          <w:sz w:val="21"/>
          <w:szCs w:val="21"/>
          <w:highlight w:val="none"/>
        </w:rPr>
        <w:t>-2　本项目主要交叉钻跨越情况一览表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974"/>
        <w:gridCol w:w="899"/>
        <w:gridCol w:w="4374"/>
      </w:tblGrid>
      <w:tr w14:paraId="77CB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3797F4F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线路名称</w:t>
            </w:r>
          </w:p>
        </w:tc>
        <w:tc>
          <w:tcPr>
            <w:tcW w:w="557" w:type="pct"/>
            <w:vAlign w:val="center"/>
          </w:tcPr>
          <w:p w14:paraId="3914763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单位</w:t>
            </w:r>
          </w:p>
        </w:tc>
        <w:tc>
          <w:tcPr>
            <w:tcW w:w="514" w:type="pct"/>
            <w:vAlign w:val="center"/>
          </w:tcPr>
          <w:p w14:paraId="628B14E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数量</w:t>
            </w:r>
          </w:p>
        </w:tc>
        <w:tc>
          <w:tcPr>
            <w:tcW w:w="2500" w:type="pct"/>
            <w:vAlign w:val="center"/>
          </w:tcPr>
          <w:p w14:paraId="3EF3F60C">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措施</w:t>
            </w:r>
          </w:p>
        </w:tc>
      </w:tr>
      <w:tr w14:paraId="3B43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24640A4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220kV</w:t>
            </w:r>
            <w:r>
              <w:rPr>
                <w:rFonts w:hint="eastAsia" w:cs="Times New Roman"/>
                <w:color w:val="auto"/>
                <w:sz w:val="21"/>
                <w:szCs w:val="21"/>
                <w:highlight w:val="none"/>
              </w:rPr>
              <w:t>点祥</w:t>
            </w:r>
            <w:r>
              <w:rPr>
                <w:rFonts w:cs="Times New Roman"/>
                <w:color w:val="auto"/>
                <w:sz w:val="21"/>
                <w:szCs w:val="21"/>
                <w:highlight w:val="none"/>
              </w:rPr>
              <w:t>线路</w:t>
            </w:r>
          </w:p>
        </w:tc>
        <w:tc>
          <w:tcPr>
            <w:tcW w:w="557" w:type="pct"/>
            <w:vAlign w:val="center"/>
          </w:tcPr>
          <w:p w14:paraId="0F2B220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次</w:t>
            </w:r>
          </w:p>
        </w:tc>
        <w:tc>
          <w:tcPr>
            <w:tcW w:w="514" w:type="pct"/>
            <w:vAlign w:val="center"/>
          </w:tcPr>
          <w:p w14:paraId="7D7594C3">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2500" w:type="pct"/>
            <w:vAlign w:val="center"/>
          </w:tcPr>
          <w:p w14:paraId="23D91EB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钻</w:t>
            </w:r>
            <w:r>
              <w:rPr>
                <w:rFonts w:cs="Times New Roman"/>
                <w:color w:val="auto"/>
                <w:sz w:val="21"/>
                <w:szCs w:val="21"/>
                <w:highlight w:val="none"/>
              </w:rPr>
              <w:t>越</w:t>
            </w:r>
          </w:p>
        </w:tc>
      </w:tr>
      <w:tr w14:paraId="3892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31BE98B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35kV线路</w:t>
            </w:r>
          </w:p>
        </w:tc>
        <w:tc>
          <w:tcPr>
            <w:tcW w:w="557" w:type="pct"/>
            <w:vAlign w:val="center"/>
          </w:tcPr>
          <w:p w14:paraId="189C6870">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533BA0FB">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hint="eastAsia" w:cs="Times New Roman"/>
                <w:color w:val="auto"/>
                <w:sz w:val="21"/>
                <w:szCs w:val="21"/>
                <w:highlight w:val="none"/>
              </w:rPr>
              <w:t>3</w:t>
            </w:r>
          </w:p>
        </w:tc>
        <w:tc>
          <w:tcPr>
            <w:tcW w:w="2500" w:type="pct"/>
            <w:vAlign w:val="center"/>
          </w:tcPr>
          <w:p w14:paraId="6B9215A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架空跨越</w:t>
            </w:r>
            <w:r>
              <w:rPr>
                <w:rFonts w:hint="eastAsia" w:cs="Times New Roman"/>
                <w:color w:val="auto"/>
                <w:sz w:val="21"/>
                <w:szCs w:val="21"/>
                <w:highlight w:val="none"/>
              </w:rPr>
              <w:t>，35kV牌老线2次，35kV牌后线1次</w:t>
            </w:r>
          </w:p>
        </w:tc>
      </w:tr>
      <w:tr w14:paraId="264F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7098EC8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10kV线路</w:t>
            </w:r>
          </w:p>
        </w:tc>
        <w:tc>
          <w:tcPr>
            <w:tcW w:w="557" w:type="pct"/>
            <w:vAlign w:val="center"/>
          </w:tcPr>
          <w:p w14:paraId="45E6B67C">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次</w:t>
            </w:r>
          </w:p>
        </w:tc>
        <w:tc>
          <w:tcPr>
            <w:tcW w:w="514" w:type="pct"/>
            <w:vAlign w:val="center"/>
          </w:tcPr>
          <w:p w14:paraId="0FA9B32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w:t>
            </w:r>
          </w:p>
        </w:tc>
        <w:tc>
          <w:tcPr>
            <w:tcW w:w="2500" w:type="pct"/>
            <w:vAlign w:val="center"/>
          </w:tcPr>
          <w:p w14:paraId="651D86E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架空跨越</w:t>
            </w:r>
          </w:p>
        </w:tc>
      </w:tr>
      <w:tr w14:paraId="289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504D8433">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380V线路</w:t>
            </w:r>
          </w:p>
        </w:tc>
        <w:tc>
          <w:tcPr>
            <w:tcW w:w="557" w:type="pct"/>
            <w:vAlign w:val="center"/>
          </w:tcPr>
          <w:p w14:paraId="48387138">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5470ED96">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10</w:t>
            </w:r>
          </w:p>
        </w:tc>
        <w:tc>
          <w:tcPr>
            <w:tcW w:w="2500" w:type="pct"/>
            <w:vAlign w:val="center"/>
          </w:tcPr>
          <w:p w14:paraId="0E1242FF">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656B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581DF6A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通讯线</w:t>
            </w:r>
          </w:p>
        </w:tc>
        <w:tc>
          <w:tcPr>
            <w:tcW w:w="557" w:type="pct"/>
            <w:vAlign w:val="center"/>
          </w:tcPr>
          <w:p w14:paraId="17ECBB93">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次</w:t>
            </w:r>
          </w:p>
        </w:tc>
        <w:tc>
          <w:tcPr>
            <w:tcW w:w="514" w:type="pct"/>
            <w:vAlign w:val="center"/>
          </w:tcPr>
          <w:p w14:paraId="4CD717A9">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15</w:t>
            </w:r>
          </w:p>
        </w:tc>
        <w:tc>
          <w:tcPr>
            <w:tcW w:w="2500" w:type="pct"/>
            <w:vAlign w:val="center"/>
          </w:tcPr>
          <w:p w14:paraId="63F5840C">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架空</w:t>
            </w:r>
            <w:r>
              <w:rPr>
                <w:rFonts w:hint="eastAsia" w:cs="Times New Roman"/>
                <w:color w:val="auto"/>
                <w:sz w:val="21"/>
                <w:szCs w:val="21"/>
                <w:highlight w:val="none"/>
              </w:rPr>
              <w:t>跨越</w:t>
            </w:r>
          </w:p>
        </w:tc>
      </w:tr>
      <w:tr w14:paraId="133B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7797775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土路</w:t>
            </w:r>
          </w:p>
        </w:tc>
        <w:tc>
          <w:tcPr>
            <w:tcW w:w="557" w:type="pct"/>
            <w:vAlign w:val="center"/>
          </w:tcPr>
          <w:p w14:paraId="18EAA4FB">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6808FEFE">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10</w:t>
            </w:r>
          </w:p>
        </w:tc>
        <w:tc>
          <w:tcPr>
            <w:tcW w:w="2500" w:type="pct"/>
            <w:vAlign w:val="center"/>
          </w:tcPr>
          <w:p w14:paraId="0484FEDE">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2CCD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39C498BF">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普通公路</w:t>
            </w:r>
          </w:p>
        </w:tc>
        <w:tc>
          <w:tcPr>
            <w:tcW w:w="557" w:type="pct"/>
            <w:vAlign w:val="center"/>
          </w:tcPr>
          <w:p w14:paraId="181CEC73">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次</w:t>
            </w:r>
          </w:p>
        </w:tc>
        <w:tc>
          <w:tcPr>
            <w:tcW w:w="514" w:type="pct"/>
            <w:vAlign w:val="center"/>
          </w:tcPr>
          <w:p w14:paraId="179A252D">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hint="eastAsia" w:cs="Times New Roman"/>
                <w:color w:val="auto"/>
                <w:sz w:val="21"/>
                <w:szCs w:val="21"/>
                <w:highlight w:val="none"/>
              </w:rPr>
              <w:t>5</w:t>
            </w:r>
          </w:p>
        </w:tc>
        <w:tc>
          <w:tcPr>
            <w:tcW w:w="2500" w:type="pct"/>
            <w:vAlign w:val="center"/>
          </w:tcPr>
          <w:p w14:paraId="075425D3">
            <w:pPr>
              <w:autoSpaceDE w:val="0"/>
              <w:autoSpaceDN w:val="0"/>
              <w:adjustRightInd w:val="0"/>
              <w:snapToGrid w:val="0"/>
              <w:spacing w:line="240" w:lineRule="auto"/>
              <w:ind w:firstLine="0" w:firstLineChars="0"/>
              <w:jc w:val="center"/>
              <w:rPr>
                <w:rFonts w:eastAsia="Noto Sans Mono CJK JP Bold" w:cs="Times New Roman"/>
                <w:color w:val="auto"/>
                <w:sz w:val="21"/>
                <w:szCs w:val="21"/>
                <w:highlight w:val="none"/>
              </w:rPr>
            </w:pPr>
            <w:r>
              <w:rPr>
                <w:rFonts w:cs="Times New Roman"/>
                <w:color w:val="auto"/>
                <w:sz w:val="21"/>
                <w:szCs w:val="21"/>
                <w:highlight w:val="none"/>
              </w:rPr>
              <w:t>架空跨越</w:t>
            </w:r>
          </w:p>
        </w:tc>
      </w:tr>
      <w:tr w14:paraId="28A0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pct"/>
            <w:vAlign w:val="center"/>
          </w:tcPr>
          <w:p w14:paraId="1152BEF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林中立塔</w:t>
            </w:r>
          </w:p>
        </w:tc>
        <w:tc>
          <w:tcPr>
            <w:tcW w:w="557" w:type="pct"/>
            <w:vAlign w:val="center"/>
          </w:tcPr>
          <w:p w14:paraId="6D5FDA91">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基</w:t>
            </w:r>
          </w:p>
        </w:tc>
        <w:tc>
          <w:tcPr>
            <w:tcW w:w="514" w:type="pct"/>
            <w:vAlign w:val="center"/>
          </w:tcPr>
          <w:p w14:paraId="488A6D50">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45</w:t>
            </w:r>
          </w:p>
        </w:tc>
        <w:tc>
          <w:tcPr>
            <w:tcW w:w="2500" w:type="pct"/>
            <w:vAlign w:val="center"/>
          </w:tcPr>
          <w:p w14:paraId="7109642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砍伐</w:t>
            </w:r>
          </w:p>
        </w:tc>
      </w:tr>
    </w:tbl>
    <w:p w14:paraId="2171CC17">
      <w:pPr>
        <w:adjustRightInd w:val="0"/>
        <w:snapToGrid w:val="0"/>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本工程</w:t>
      </w:r>
      <w:r>
        <w:rPr>
          <w:rFonts w:hint="eastAsia" w:ascii="Times New Roman" w:hAnsi="Times New Roman" w:eastAsia="宋体" w:cs="Times New Roman"/>
          <w:snapToGrid w:val="0"/>
          <w:color w:val="auto"/>
          <w:kern w:val="2"/>
          <w:sz w:val="24"/>
          <w:szCs w:val="24"/>
          <w:highlight w:val="none"/>
        </w:rPr>
        <w:t>全线为非居民</w:t>
      </w:r>
      <w:r>
        <w:rPr>
          <w:rFonts w:hint="eastAsia" w:eastAsia="宋体" w:cs="Times New Roman"/>
          <w:snapToGrid w:val="0"/>
          <w:color w:val="auto"/>
          <w:kern w:val="2"/>
          <w:sz w:val="24"/>
          <w:szCs w:val="24"/>
          <w:highlight w:val="none"/>
          <w:lang w:val="en-US" w:eastAsia="zh-CN"/>
        </w:rPr>
        <w:t>区</w:t>
      </w:r>
      <w:r>
        <w:rPr>
          <w:rFonts w:hint="eastAsia" w:ascii="Times New Roman" w:hAnsi="Times New Roman" w:eastAsia="宋体" w:cs="Times New Roman"/>
          <w:snapToGrid w:val="0"/>
          <w:color w:val="auto"/>
          <w:kern w:val="2"/>
          <w:sz w:val="24"/>
          <w:szCs w:val="24"/>
          <w:highlight w:val="none"/>
        </w:rPr>
        <w:t>，</w:t>
      </w:r>
      <w:r>
        <w:rPr>
          <w:rFonts w:ascii="Times New Roman" w:hAnsi="Times New Roman" w:eastAsia="宋体" w:cs="Times New Roman"/>
          <w:snapToGrid w:val="0"/>
          <w:color w:val="auto"/>
          <w:kern w:val="2"/>
          <w:sz w:val="24"/>
          <w:szCs w:val="24"/>
          <w:highlight w:val="none"/>
        </w:rPr>
        <w:t>依据《</w:t>
      </w:r>
      <w:r>
        <w:rPr>
          <w:rFonts w:hint="eastAsia" w:ascii="Times New Roman" w:hAnsi="Times New Roman" w:eastAsia="宋体" w:cs="Times New Roman"/>
          <w:snapToGrid w:val="0"/>
          <w:color w:val="auto"/>
          <w:kern w:val="2"/>
          <w:sz w:val="24"/>
          <w:szCs w:val="24"/>
          <w:highlight w:val="none"/>
        </w:rPr>
        <w:t>110kV～750kV架空输电线路设计规范</w:t>
      </w:r>
      <w:r>
        <w:rPr>
          <w:rFonts w:ascii="Times New Roman" w:hAnsi="Times New Roman" w:eastAsia="宋体" w:cs="Times New Roman"/>
          <w:snapToGrid w:val="0"/>
          <w:color w:val="auto"/>
          <w:kern w:val="2"/>
          <w:sz w:val="24"/>
          <w:szCs w:val="24"/>
          <w:highlight w:val="none"/>
        </w:rPr>
        <w:t>》</w:t>
      </w:r>
      <w:r>
        <w:rPr>
          <w:rFonts w:hint="eastAsia" w:ascii="Times New Roman" w:hAnsi="Times New Roman" w:eastAsia="宋体" w:cs="Times New Roman"/>
          <w:snapToGrid w:val="0"/>
          <w:color w:val="auto"/>
          <w:kern w:val="2"/>
          <w:sz w:val="24"/>
          <w:szCs w:val="24"/>
          <w:highlight w:val="none"/>
        </w:rPr>
        <w:t>（G</w:t>
      </w:r>
      <w:r>
        <w:rPr>
          <w:rFonts w:ascii="Times New Roman" w:hAnsi="Times New Roman" w:eastAsia="宋体" w:cs="Times New Roman"/>
          <w:snapToGrid w:val="0"/>
          <w:color w:val="auto"/>
          <w:kern w:val="2"/>
          <w:sz w:val="24"/>
          <w:szCs w:val="24"/>
          <w:highlight w:val="none"/>
        </w:rPr>
        <w:t>B50545-2010</w:t>
      </w:r>
      <w:r>
        <w:rPr>
          <w:rFonts w:hint="eastAsia" w:ascii="Times New Roman" w:hAnsi="Times New Roman" w:eastAsia="宋体" w:cs="Times New Roman"/>
          <w:snapToGrid w:val="0"/>
          <w:color w:val="auto"/>
          <w:kern w:val="2"/>
          <w:sz w:val="24"/>
          <w:szCs w:val="24"/>
          <w:highlight w:val="none"/>
        </w:rPr>
        <w:t>）要求</w:t>
      </w:r>
      <w:r>
        <w:rPr>
          <w:rFonts w:hint="eastAsia" w:ascii="Times New Roman" w:hAnsi="Times New Roman" w:eastAsia="宋体" w:cs="Times New Roman"/>
          <w:snapToGrid w:val="0"/>
          <w:color w:val="auto"/>
          <w:kern w:val="2"/>
          <w:sz w:val="24"/>
          <w:szCs w:val="24"/>
          <w:highlight w:val="none"/>
          <w:lang w:eastAsia="zh-CN"/>
        </w:rPr>
        <w:t>和本项目平断面定位图</w:t>
      </w:r>
      <w:r>
        <w:rPr>
          <w:rFonts w:hint="eastAsia" w:ascii="Times New Roman" w:hAnsi="Times New Roman" w:eastAsia="宋体" w:cs="Times New Roman"/>
          <w:snapToGrid w:val="0"/>
          <w:color w:val="auto"/>
          <w:kern w:val="2"/>
          <w:sz w:val="24"/>
          <w:szCs w:val="24"/>
          <w:highlight w:val="none"/>
        </w:rPr>
        <w:t>，导线对地距离</w:t>
      </w:r>
      <w:r>
        <w:rPr>
          <w:rFonts w:ascii="Times New Roman" w:hAnsi="Times New Roman" w:eastAsia="宋体" w:cs="Times New Roman"/>
          <w:snapToGrid w:val="0"/>
          <w:color w:val="auto"/>
          <w:kern w:val="2"/>
          <w:sz w:val="24"/>
          <w:szCs w:val="24"/>
          <w:highlight w:val="none"/>
        </w:rPr>
        <w:t>不小于</w:t>
      </w:r>
      <w:r>
        <w:rPr>
          <w:rFonts w:hint="eastAsia" w:ascii="Times New Roman" w:hAnsi="Times New Roman" w:eastAsia="宋体" w:cs="Times New Roman"/>
          <w:snapToGrid w:val="0"/>
          <w:color w:val="auto"/>
          <w:kern w:val="2"/>
          <w:sz w:val="24"/>
          <w:szCs w:val="24"/>
          <w:highlight w:val="none"/>
        </w:rPr>
        <w:t>下表所列数值。</w:t>
      </w:r>
    </w:p>
    <w:p w14:paraId="262553FF">
      <w:pPr>
        <w:ind w:firstLine="422" w:firstLineChars="200"/>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w:t>
      </w:r>
      <w:r>
        <w:rPr>
          <w:rFonts w:hint="eastAsia"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rPr>
        <w:t xml:space="preserve">  导线对地距离</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0"/>
        <w:gridCol w:w="4374"/>
      </w:tblGrid>
      <w:tr w14:paraId="2152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5FB092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线路所经地区</w:t>
            </w:r>
          </w:p>
        </w:tc>
        <w:tc>
          <w:tcPr>
            <w:tcW w:w="2500" w:type="pct"/>
            <w:vAlign w:val="center"/>
          </w:tcPr>
          <w:p w14:paraId="71F6F2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最小距离（m）</w:t>
            </w:r>
          </w:p>
        </w:tc>
      </w:tr>
      <w:tr w14:paraId="2929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9" w:type="pct"/>
            <w:vAlign w:val="center"/>
          </w:tcPr>
          <w:p w14:paraId="2F653A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非居民区</w:t>
            </w:r>
          </w:p>
        </w:tc>
        <w:tc>
          <w:tcPr>
            <w:tcW w:w="2500" w:type="pct"/>
            <w:vAlign w:val="center"/>
          </w:tcPr>
          <w:p w14:paraId="11707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11.35</w:t>
            </w:r>
          </w:p>
        </w:tc>
      </w:tr>
      <w:tr w14:paraId="4C18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2"/>
            <w:vAlign w:val="center"/>
          </w:tcPr>
          <w:p w14:paraId="531E0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根据平断面定位图可知，导线最小对地垂直距离为11.35m（N1~N2之间）</w:t>
            </w:r>
          </w:p>
        </w:tc>
      </w:tr>
    </w:tbl>
    <w:p w14:paraId="4D9D3818">
      <w:pPr>
        <w:autoSpaceDE w:val="0"/>
        <w:autoSpaceDN w:val="0"/>
        <w:adjustRightInd w:val="0"/>
        <w:snapToGrid w:val="0"/>
        <w:spacing w:line="360" w:lineRule="auto"/>
        <w:ind w:firstLine="480"/>
        <w:rPr>
          <w:rFonts w:eastAsia="宋体" w:cs="Times New Roman"/>
          <w:snapToGrid w:val="0"/>
          <w:color w:val="auto"/>
          <w:szCs w:val="24"/>
          <w:highlight w:val="none"/>
        </w:rPr>
      </w:pPr>
      <w:r>
        <w:rPr>
          <w:rFonts w:eastAsia="宋体" w:cs="Times New Roman"/>
          <w:snapToGrid w:val="0"/>
          <w:color w:val="auto"/>
          <w:szCs w:val="24"/>
          <w:highlight w:val="none"/>
        </w:rPr>
        <w:t>本线路与被交叉跨越物的距离，按《</w:t>
      </w:r>
      <w:r>
        <w:rPr>
          <w:rFonts w:hint="eastAsia" w:eastAsia="宋体" w:cs="Times New Roman"/>
          <w:snapToGrid w:val="0"/>
          <w:color w:val="auto"/>
          <w:szCs w:val="24"/>
          <w:highlight w:val="none"/>
        </w:rPr>
        <w:t>110kV～750kV架空输电线路设计规范</w:t>
      </w:r>
      <w:r>
        <w:rPr>
          <w:rFonts w:eastAsia="宋体" w:cs="Times New Roman"/>
          <w:snapToGrid w:val="0"/>
          <w:color w:val="auto"/>
          <w:szCs w:val="24"/>
          <w:highlight w:val="none"/>
        </w:rPr>
        <w:t>》</w:t>
      </w:r>
      <w:r>
        <w:rPr>
          <w:rFonts w:hint="eastAsia" w:eastAsia="宋体" w:cs="Times New Roman"/>
          <w:snapToGrid w:val="0"/>
          <w:color w:val="auto"/>
          <w:szCs w:val="24"/>
          <w:highlight w:val="none"/>
        </w:rPr>
        <w:t>（G</w:t>
      </w:r>
      <w:r>
        <w:rPr>
          <w:rFonts w:eastAsia="宋体" w:cs="Times New Roman"/>
          <w:snapToGrid w:val="0"/>
          <w:color w:val="auto"/>
          <w:szCs w:val="24"/>
          <w:highlight w:val="none"/>
        </w:rPr>
        <w:t>B 50545-2010</w:t>
      </w:r>
      <w:r>
        <w:rPr>
          <w:rFonts w:hint="eastAsia" w:eastAsia="宋体" w:cs="Times New Roman"/>
          <w:snapToGrid w:val="0"/>
          <w:color w:val="auto"/>
          <w:szCs w:val="24"/>
          <w:highlight w:val="none"/>
        </w:rPr>
        <w:t>）</w:t>
      </w:r>
      <w:r>
        <w:rPr>
          <w:rFonts w:eastAsia="宋体" w:cs="Times New Roman"/>
          <w:snapToGrid w:val="0"/>
          <w:color w:val="auto"/>
          <w:szCs w:val="24"/>
          <w:highlight w:val="none"/>
        </w:rPr>
        <w:t>应符合下表要求</w:t>
      </w:r>
      <w:r>
        <w:rPr>
          <w:rFonts w:hint="eastAsia" w:eastAsia="宋体" w:cs="Times New Roman"/>
          <w:snapToGrid w:val="0"/>
          <w:color w:val="auto"/>
          <w:szCs w:val="24"/>
          <w:highlight w:val="none"/>
        </w:rPr>
        <w:t>：</w:t>
      </w:r>
    </w:p>
    <w:p w14:paraId="63A771A6">
      <w:pPr>
        <w:autoSpaceDE w:val="0"/>
        <w:autoSpaceDN w:val="0"/>
        <w:spacing w:line="240" w:lineRule="auto"/>
        <w:ind w:firstLine="422"/>
        <w:jc w:val="center"/>
        <w:rPr>
          <w:rFonts w:eastAsia="宋体" w:cs="Times New Roman"/>
          <w:b/>
          <w:bCs/>
          <w:color w:val="auto"/>
          <w:sz w:val="21"/>
          <w:szCs w:val="21"/>
          <w:highlight w:val="none"/>
        </w:rPr>
      </w:pPr>
      <w:r>
        <w:rPr>
          <w:rFonts w:hint="eastAsia" w:eastAsia="宋体" w:cs="Times New Roman"/>
          <w:b/>
          <w:bCs/>
          <w:color w:val="auto"/>
          <w:sz w:val="21"/>
          <w:szCs w:val="21"/>
          <w:highlight w:val="none"/>
        </w:rPr>
        <w:t>表3</w:t>
      </w:r>
      <w:r>
        <w:rPr>
          <w:rFonts w:hint="eastAsia" w:eastAsia="宋体" w:cs="Times New Roman"/>
          <w:b/>
          <w:bCs/>
          <w:color w:val="auto"/>
          <w:sz w:val="21"/>
          <w:szCs w:val="21"/>
          <w:highlight w:val="none"/>
          <w:lang w:val="en-US" w:eastAsia="zh-CN"/>
        </w:rPr>
        <w:t>.1</w:t>
      </w:r>
      <w:r>
        <w:rPr>
          <w:rFonts w:hint="eastAsia" w:eastAsia="宋体" w:cs="Times New Roman"/>
          <w:b/>
          <w:bCs/>
          <w:color w:val="auto"/>
          <w:sz w:val="21"/>
          <w:szCs w:val="21"/>
          <w:highlight w:val="none"/>
        </w:rPr>
        <w:t>-4  线路与被交叉跨越物的最小垂直距离</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6"/>
        <w:gridCol w:w="4075"/>
      </w:tblGrid>
      <w:tr w14:paraId="5752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644225D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被交叉跨越物名称</w:t>
            </w:r>
          </w:p>
        </w:tc>
        <w:tc>
          <w:tcPr>
            <w:tcW w:w="2331" w:type="pct"/>
            <w:vAlign w:val="center"/>
          </w:tcPr>
          <w:p w14:paraId="4AA5FB3E">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最小垂直距离（m）</w:t>
            </w:r>
          </w:p>
        </w:tc>
      </w:tr>
      <w:tr w14:paraId="4DD9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668" w:type="pct"/>
            <w:vAlign w:val="center"/>
          </w:tcPr>
          <w:p w14:paraId="4F24F822">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220kV线路</w:t>
            </w:r>
          </w:p>
        </w:tc>
        <w:tc>
          <w:tcPr>
            <w:tcW w:w="2331" w:type="pct"/>
            <w:vAlign w:val="center"/>
          </w:tcPr>
          <w:p w14:paraId="7468309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4.5</w:t>
            </w:r>
          </w:p>
        </w:tc>
      </w:tr>
      <w:tr w14:paraId="40AA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36C9360D">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其他公路</w:t>
            </w:r>
          </w:p>
        </w:tc>
        <w:tc>
          <w:tcPr>
            <w:tcW w:w="2331" w:type="pct"/>
            <w:vAlign w:val="center"/>
          </w:tcPr>
          <w:p w14:paraId="30AB215A">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8.</w:t>
            </w:r>
            <w:r>
              <w:rPr>
                <w:rFonts w:cs="Times New Roman"/>
                <w:color w:val="auto"/>
                <w:sz w:val="21"/>
                <w:szCs w:val="21"/>
                <w:highlight w:val="none"/>
              </w:rPr>
              <w:t>0（至路面）</w:t>
            </w:r>
          </w:p>
        </w:tc>
      </w:tr>
      <w:tr w14:paraId="0D79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04AA9133">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弱电线路</w:t>
            </w:r>
          </w:p>
        </w:tc>
        <w:tc>
          <w:tcPr>
            <w:tcW w:w="2331" w:type="pct"/>
            <w:vAlign w:val="center"/>
          </w:tcPr>
          <w:p w14:paraId="42A91CD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4.0</w:t>
            </w:r>
          </w:p>
        </w:tc>
      </w:tr>
      <w:tr w14:paraId="35E4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7B27F835">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110kV以下</w:t>
            </w:r>
            <w:r>
              <w:rPr>
                <w:rFonts w:cs="Times New Roman"/>
                <w:color w:val="auto"/>
                <w:sz w:val="21"/>
                <w:szCs w:val="21"/>
                <w:highlight w:val="none"/>
              </w:rPr>
              <w:t>电力线路</w:t>
            </w:r>
          </w:p>
        </w:tc>
        <w:tc>
          <w:tcPr>
            <w:tcW w:w="2331" w:type="pct"/>
            <w:vAlign w:val="center"/>
          </w:tcPr>
          <w:p w14:paraId="60BFB2F7">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w:t>
            </w:r>
            <w:r>
              <w:rPr>
                <w:rFonts w:cs="Times New Roman"/>
                <w:color w:val="auto"/>
                <w:sz w:val="21"/>
                <w:szCs w:val="21"/>
                <w:highlight w:val="none"/>
              </w:rPr>
              <w:t>0</w:t>
            </w:r>
          </w:p>
        </w:tc>
      </w:tr>
      <w:tr w14:paraId="7526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8" w:type="pct"/>
            <w:vAlign w:val="center"/>
          </w:tcPr>
          <w:p w14:paraId="1F4D89C6">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树木</w:t>
            </w:r>
          </w:p>
        </w:tc>
        <w:tc>
          <w:tcPr>
            <w:tcW w:w="2331" w:type="pct"/>
            <w:vAlign w:val="center"/>
          </w:tcPr>
          <w:p w14:paraId="17FB4A73">
            <w:pPr>
              <w:autoSpaceDE w:val="0"/>
              <w:autoSpaceDN w:val="0"/>
              <w:adjustRightInd w:val="0"/>
              <w:snapToGrid w:val="0"/>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4.0</w:t>
            </w:r>
          </w:p>
        </w:tc>
      </w:tr>
    </w:tbl>
    <w:p w14:paraId="60E932FF">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新建铁塔总基数</w:t>
      </w:r>
      <w:r>
        <w:rPr>
          <w:rFonts w:hint="eastAsia" w:ascii="Times New Roman" w:hAnsi="Times New Roman" w:eastAsia="宋体" w:cs="Times New Roman"/>
          <w:snapToGrid w:val="0"/>
          <w:color w:val="auto"/>
          <w:kern w:val="2"/>
          <w:sz w:val="24"/>
          <w:szCs w:val="24"/>
          <w:highlight w:val="none"/>
          <w:lang w:val="en-US" w:eastAsia="zh-CN"/>
        </w:rPr>
        <w:t>5</w:t>
      </w:r>
      <w:r>
        <w:rPr>
          <w:rFonts w:ascii="Times New Roman" w:hAnsi="Times New Roman" w:eastAsia="宋体" w:cs="Times New Roman"/>
          <w:snapToGrid w:val="0"/>
          <w:color w:val="auto"/>
          <w:kern w:val="2"/>
          <w:sz w:val="24"/>
          <w:szCs w:val="24"/>
          <w:highlight w:val="none"/>
        </w:rPr>
        <w:t>7基，其中单回路直线塔3</w:t>
      </w:r>
      <w:r>
        <w:rPr>
          <w:rFonts w:hint="eastAsia" w:ascii="Times New Roman" w:hAnsi="Times New Roman" w:eastAsia="宋体" w:cs="Times New Roman"/>
          <w:snapToGrid w:val="0"/>
          <w:color w:val="auto"/>
          <w:kern w:val="2"/>
          <w:sz w:val="24"/>
          <w:szCs w:val="24"/>
          <w:highlight w:val="none"/>
          <w:lang w:val="en-US" w:eastAsia="zh-CN"/>
        </w:rPr>
        <w:t>1</w:t>
      </w:r>
      <w:r>
        <w:rPr>
          <w:rFonts w:ascii="Times New Roman" w:hAnsi="Times New Roman" w:eastAsia="宋体" w:cs="Times New Roman"/>
          <w:snapToGrid w:val="0"/>
          <w:color w:val="auto"/>
          <w:kern w:val="2"/>
          <w:sz w:val="24"/>
          <w:szCs w:val="24"/>
          <w:highlight w:val="none"/>
        </w:rPr>
        <w:t>基、单回路耐张塔</w:t>
      </w:r>
      <w:r>
        <w:rPr>
          <w:rFonts w:hint="eastAsia" w:ascii="Times New Roman" w:hAnsi="Times New Roman" w:eastAsia="宋体" w:cs="Times New Roman"/>
          <w:snapToGrid w:val="0"/>
          <w:color w:val="auto"/>
          <w:kern w:val="2"/>
          <w:sz w:val="24"/>
          <w:szCs w:val="24"/>
          <w:highlight w:val="none"/>
          <w:lang w:val="en-US" w:eastAsia="zh-CN"/>
        </w:rPr>
        <w:t>25</w:t>
      </w:r>
      <w:r>
        <w:rPr>
          <w:rFonts w:ascii="Times New Roman" w:hAnsi="Times New Roman" w:eastAsia="宋体" w:cs="Times New Roman"/>
          <w:snapToGrid w:val="0"/>
          <w:color w:val="auto"/>
          <w:kern w:val="2"/>
          <w:sz w:val="24"/>
          <w:szCs w:val="24"/>
          <w:highlight w:val="none"/>
        </w:rPr>
        <w:t>基</w:t>
      </w:r>
      <w:r>
        <w:rPr>
          <w:rStyle w:val="19"/>
          <w:rFonts w:hint="eastAsia" w:asciiTheme="minorHAnsi" w:hAnsiTheme="minorHAnsi" w:eastAsiaTheme="minorEastAsia" w:cstheme="minorBidi"/>
          <w:color w:val="auto"/>
          <w:kern w:val="2"/>
          <w:sz w:val="24"/>
          <w:szCs w:val="24"/>
          <w:highlight w:val="none"/>
          <w:lang w:val="en-US" w:eastAsia="zh-CN"/>
        </w:rPr>
        <w:t>、双回路耐张塔</w:t>
      </w:r>
      <w:r>
        <w:rPr>
          <w:rStyle w:val="19"/>
          <w:rFonts w:hint="default" w:ascii="Times New Roman" w:hAnsi="Times New Roman" w:cs="Times New Roman" w:eastAsiaTheme="minorEastAsia"/>
          <w:color w:val="auto"/>
          <w:kern w:val="2"/>
          <w:sz w:val="24"/>
          <w:szCs w:val="24"/>
          <w:highlight w:val="none"/>
          <w:lang w:val="en-US" w:eastAsia="zh-CN"/>
        </w:rPr>
        <w:t>1</w:t>
      </w:r>
      <w:r>
        <w:rPr>
          <w:rStyle w:val="19"/>
          <w:rFonts w:hint="eastAsia" w:asciiTheme="minorHAnsi" w:hAnsiTheme="minorHAnsi" w:eastAsiaTheme="minorEastAsia" w:cstheme="minorBidi"/>
          <w:color w:val="auto"/>
          <w:kern w:val="2"/>
          <w:sz w:val="24"/>
          <w:szCs w:val="24"/>
          <w:highlight w:val="none"/>
          <w:lang w:val="en-US" w:eastAsia="zh-CN"/>
        </w:rPr>
        <w:t>基（单侧挂线）</w:t>
      </w:r>
      <w:r>
        <w:rPr>
          <w:rFonts w:ascii="Times New Roman" w:hAnsi="Times New Roman" w:eastAsia="宋体" w:cs="Times New Roman"/>
          <w:snapToGrid w:val="0"/>
          <w:color w:val="auto"/>
          <w:kern w:val="2"/>
          <w:sz w:val="24"/>
          <w:szCs w:val="24"/>
          <w:highlight w:val="none"/>
        </w:rPr>
        <w:t>。</w:t>
      </w:r>
    </w:p>
    <w:p w14:paraId="2C004955">
      <w:pPr>
        <w:autoSpaceDE w:val="0"/>
        <w:autoSpaceDN w:val="0"/>
        <w:spacing w:line="240" w:lineRule="auto"/>
        <w:ind w:firstLine="422"/>
        <w:jc w:val="center"/>
        <w:rPr>
          <w:rFonts w:eastAsia="宋体" w:cs="Times New Roman"/>
          <w:b/>
          <w:bCs/>
          <w:color w:val="auto"/>
          <w:sz w:val="21"/>
          <w:szCs w:val="21"/>
          <w:highlight w:val="none"/>
        </w:rPr>
      </w:pPr>
      <w:r>
        <w:rPr>
          <w:rFonts w:eastAsia="宋体" w:cs="Times New Roman"/>
          <w:b/>
          <w:bCs/>
          <w:color w:val="auto"/>
          <w:sz w:val="21"/>
          <w:szCs w:val="21"/>
          <w:highlight w:val="none"/>
        </w:rPr>
        <w:t>表</w:t>
      </w:r>
      <w:r>
        <w:rPr>
          <w:rFonts w:hint="eastAsia" w:eastAsia="宋体" w:cs="Times New Roman"/>
          <w:b/>
          <w:bCs/>
          <w:color w:val="auto"/>
          <w:sz w:val="21"/>
          <w:szCs w:val="21"/>
          <w:highlight w:val="none"/>
        </w:rPr>
        <w:t>3</w:t>
      </w:r>
      <w:r>
        <w:rPr>
          <w:rFonts w:hint="eastAsia" w:eastAsia="宋体" w:cs="Times New Roman"/>
          <w:b/>
          <w:bCs/>
          <w:color w:val="auto"/>
          <w:sz w:val="21"/>
          <w:szCs w:val="21"/>
          <w:highlight w:val="none"/>
          <w:lang w:val="en-US" w:eastAsia="zh-CN"/>
        </w:rPr>
        <w:t>.1</w:t>
      </w:r>
      <w:r>
        <w:rPr>
          <w:rFonts w:eastAsia="宋体" w:cs="Times New Roman"/>
          <w:b/>
          <w:bCs/>
          <w:color w:val="auto"/>
          <w:sz w:val="21"/>
          <w:szCs w:val="21"/>
          <w:highlight w:val="none"/>
        </w:rPr>
        <w:t>-</w:t>
      </w:r>
      <w:r>
        <w:rPr>
          <w:rFonts w:hint="eastAsia" w:eastAsia="宋体" w:cs="Times New Roman"/>
          <w:b/>
          <w:bCs/>
          <w:color w:val="auto"/>
          <w:sz w:val="21"/>
          <w:szCs w:val="21"/>
          <w:highlight w:val="none"/>
        </w:rPr>
        <w:t>5</w:t>
      </w:r>
      <w:r>
        <w:rPr>
          <w:rFonts w:eastAsia="宋体" w:cs="Times New Roman"/>
          <w:b/>
          <w:bCs/>
          <w:color w:val="auto"/>
          <w:sz w:val="21"/>
          <w:szCs w:val="21"/>
          <w:highlight w:val="none"/>
        </w:rPr>
        <w:t xml:space="preserve">    铁塔使用条件一览表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2603"/>
        <w:gridCol w:w="2512"/>
        <w:gridCol w:w="2283"/>
      </w:tblGrid>
      <w:tr w14:paraId="07F3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6285AE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5"/>
                <w:highlight w:val="none"/>
              </w:rPr>
              <w:t>序号</w:t>
            </w:r>
          </w:p>
        </w:tc>
        <w:tc>
          <w:tcPr>
            <w:tcW w:w="2610" w:type="dxa"/>
            <w:vAlign w:val="center"/>
          </w:tcPr>
          <w:p w14:paraId="5F0A08A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塔型</w:t>
            </w:r>
          </w:p>
        </w:tc>
        <w:tc>
          <w:tcPr>
            <w:tcW w:w="2520" w:type="dxa"/>
            <w:vAlign w:val="center"/>
          </w:tcPr>
          <w:p w14:paraId="13A8E02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呼称高（m）</w:t>
            </w:r>
          </w:p>
        </w:tc>
        <w:tc>
          <w:tcPr>
            <w:tcW w:w="2292" w:type="dxa"/>
            <w:vAlign w:val="center"/>
          </w:tcPr>
          <w:p w14:paraId="20B8FBE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基数</w:t>
            </w:r>
          </w:p>
        </w:tc>
      </w:tr>
      <w:tr w14:paraId="040E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560A44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c>
          <w:tcPr>
            <w:tcW w:w="2610" w:type="dxa"/>
            <w:vAlign w:val="center"/>
          </w:tcPr>
          <w:p w14:paraId="33CED58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2A2-DJC</w:t>
            </w:r>
          </w:p>
        </w:tc>
        <w:tc>
          <w:tcPr>
            <w:tcW w:w="2520" w:type="dxa"/>
            <w:vAlign w:val="center"/>
          </w:tcPr>
          <w:p w14:paraId="1604C2A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1743E9E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7D09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4B228D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2</w:t>
            </w:r>
          </w:p>
        </w:tc>
        <w:tc>
          <w:tcPr>
            <w:tcW w:w="2610" w:type="dxa"/>
            <w:vMerge w:val="restart"/>
            <w:vAlign w:val="center"/>
          </w:tcPr>
          <w:p w14:paraId="7AFEAB3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2A2-JC1</w:t>
            </w:r>
          </w:p>
        </w:tc>
        <w:tc>
          <w:tcPr>
            <w:tcW w:w="2520" w:type="dxa"/>
            <w:vAlign w:val="center"/>
          </w:tcPr>
          <w:p w14:paraId="160CBD0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505F9DA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r>
      <w:tr w14:paraId="3BDB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F9CE48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c>
          <w:tcPr>
            <w:tcW w:w="2610" w:type="dxa"/>
            <w:vMerge w:val="continue"/>
            <w:vAlign w:val="center"/>
          </w:tcPr>
          <w:p w14:paraId="0C475EB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20527AC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42B0373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4</w:t>
            </w:r>
          </w:p>
        </w:tc>
      </w:tr>
      <w:tr w14:paraId="60F1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D1C40B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4</w:t>
            </w:r>
          </w:p>
        </w:tc>
        <w:tc>
          <w:tcPr>
            <w:tcW w:w="2610" w:type="dxa"/>
            <w:vMerge w:val="continue"/>
            <w:vAlign w:val="center"/>
          </w:tcPr>
          <w:p w14:paraId="45281AA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27758E6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5E1BAA9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eastAsia" w:ascii="Times New Roman" w:hAnsi="Times New Roman" w:eastAsia="宋体" w:cs="Times New Roman"/>
                <w:b w:val="0"/>
                <w:bCs/>
                <w:color w:val="auto"/>
                <w:highlight w:val="none"/>
                <w:lang w:val="en-US" w:eastAsia="zh-CN"/>
              </w:rPr>
              <w:t>4</w:t>
            </w:r>
          </w:p>
        </w:tc>
      </w:tr>
      <w:tr w14:paraId="6B52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5B8B65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w:t>
            </w:r>
          </w:p>
        </w:tc>
        <w:tc>
          <w:tcPr>
            <w:tcW w:w="2610" w:type="dxa"/>
            <w:vMerge w:val="restart"/>
            <w:vAlign w:val="center"/>
          </w:tcPr>
          <w:p w14:paraId="5146512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2A2-JC2</w:t>
            </w:r>
          </w:p>
        </w:tc>
        <w:tc>
          <w:tcPr>
            <w:tcW w:w="2520" w:type="dxa"/>
            <w:vAlign w:val="center"/>
          </w:tcPr>
          <w:p w14:paraId="50F3B62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2C0CDED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0555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154C905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c>
          <w:tcPr>
            <w:tcW w:w="2610" w:type="dxa"/>
            <w:vMerge w:val="continue"/>
            <w:vAlign w:val="center"/>
          </w:tcPr>
          <w:p w14:paraId="3793A31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12C48ED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624C2F7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022C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2C0E4AD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7</w:t>
            </w:r>
          </w:p>
        </w:tc>
        <w:tc>
          <w:tcPr>
            <w:tcW w:w="2610" w:type="dxa"/>
            <w:vMerge w:val="continue"/>
            <w:vAlign w:val="center"/>
          </w:tcPr>
          <w:p w14:paraId="6CAE2C0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p>
        </w:tc>
        <w:tc>
          <w:tcPr>
            <w:tcW w:w="2520" w:type="dxa"/>
            <w:vAlign w:val="center"/>
          </w:tcPr>
          <w:p w14:paraId="3FBD796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30</w:t>
            </w:r>
          </w:p>
        </w:tc>
        <w:tc>
          <w:tcPr>
            <w:tcW w:w="2292" w:type="dxa"/>
            <w:vAlign w:val="center"/>
          </w:tcPr>
          <w:p w14:paraId="37EDC58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w:t>
            </w:r>
          </w:p>
        </w:tc>
      </w:tr>
      <w:tr w14:paraId="290C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7BF647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8</w:t>
            </w:r>
          </w:p>
        </w:tc>
        <w:tc>
          <w:tcPr>
            <w:tcW w:w="2610" w:type="dxa"/>
            <w:vMerge w:val="restart"/>
            <w:vAlign w:val="center"/>
          </w:tcPr>
          <w:p w14:paraId="6ABDF38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2A2-JC3</w:t>
            </w:r>
          </w:p>
        </w:tc>
        <w:tc>
          <w:tcPr>
            <w:tcW w:w="2520" w:type="dxa"/>
            <w:vAlign w:val="center"/>
          </w:tcPr>
          <w:p w14:paraId="27DF6A7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2</w:t>
            </w:r>
            <w:r>
              <w:rPr>
                <w:rFonts w:hint="eastAsia" w:ascii="Times New Roman" w:hAnsi="Times New Roman" w:eastAsia="宋体" w:cs="Times New Roman"/>
                <w:b w:val="0"/>
                <w:bCs/>
                <w:color w:val="auto"/>
                <w:highlight w:val="none"/>
                <w:lang w:val="en-US" w:eastAsia="zh-CN"/>
              </w:rPr>
              <w:t>4</w:t>
            </w:r>
          </w:p>
        </w:tc>
        <w:tc>
          <w:tcPr>
            <w:tcW w:w="2292" w:type="dxa"/>
            <w:vAlign w:val="center"/>
          </w:tcPr>
          <w:p w14:paraId="32D5D61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7947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88FFA1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9</w:t>
            </w:r>
          </w:p>
        </w:tc>
        <w:tc>
          <w:tcPr>
            <w:tcW w:w="2610" w:type="dxa"/>
            <w:vMerge w:val="continue"/>
            <w:vAlign w:val="center"/>
          </w:tcPr>
          <w:p w14:paraId="68719CD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31DB40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27</w:t>
            </w:r>
          </w:p>
        </w:tc>
        <w:tc>
          <w:tcPr>
            <w:tcW w:w="2292" w:type="dxa"/>
            <w:vAlign w:val="center"/>
          </w:tcPr>
          <w:p w14:paraId="79EF327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highlight w:val="none"/>
              </w:rPr>
              <w:t>1</w:t>
            </w:r>
          </w:p>
        </w:tc>
      </w:tr>
      <w:tr w14:paraId="2293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EFB759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10</w:t>
            </w:r>
          </w:p>
        </w:tc>
        <w:tc>
          <w:tcPr>
            <w:tcW w:w="2610" w:type="dxa"/>
            <w:vMerge w:val="continue"/>
            <w:vAlign w:val="center"/>
          </w:tcPr>
          <w:p w14:paraId="543034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p>
        </w:tc>
        <w:tc>
          <w:tcPr>
            <w:tcW w:w="2520" w:type="dxa"/>
            <w:vAlign w:val="center"/>
          </w:tcPr>
          <w:p w14:paraId="66777D9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30</w:t>
            </w:r>
          </w:p>
        </w:tc>
        <w:tc>
          <w:tcPr>
            <w:tcW w:w="2292" w:type="dxa"/>
            <w:vAlign w:val="center"/>
          </w:tcPr>
          <w:p w14:paraId="0BB21BA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3</w:t>
            </w:r>
          </w:p>
        </w:tc>
      </w:tr>
      <w:tr w14:paraId="7ECE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3C44EE4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11</w:t>
            </w:r>
          </w:p>
        </w:tc>
        <w:tc>
          <w:tcPr>
            <w:tcW w:w="2610" w:type="dxa"/>
            <w:vAlign w:val="center"/>
          </w:tcPr>
          <w:p w14:paraId="16090C9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2A2-JC4</w:t>
            </w:r>
          </w:p>
        </w:tc>
        <w:tc>
          <w:tcPr>
            <w:tcW w:w="2520" w:type="dxa"/>
            <w:vAlign w:val="center"/>
          </w:tcPr>
          <w:p w14:paraId="47256E1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2"/>
                <w:highlight w:val="none"/>
              </w:rPr>
              <w:t>30</w:t>
            </w:r>
          </w:p>
        </w:tc>
        <w:tc>
          <w:tcPr>
            <w:tcW w:w="2292" w:type="dxa"/>
            <w:vAlign w:val="center"/>
          </w:tcPr>
          <w:p w14:paraId="72322E0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1A9E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4DA5FB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12</w:t>
            </w:r>
          </w:p>
        </w:tc>
        <w:tc>
          <w:tcPr>
            <w:tcW w:w="2610" w:type="dxa"/>
            <w:vMerge w:val="restart"/>
            <w:vAlign w:val="center"/>
          </w:tcPr>
          <w:p w14:paraId="0749F1B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lang w:val="en-US"/>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ZMC1</w:t>
            </w:r>
          </w:p>
        </w:tc>
        <w:tc>
          <w:tcPr>
            <w:tcW w:w="2520" w:type="dxa"/>
            <w:vAlign w:val="center"/>
          </w:tcPr>
          <w:p w14:paraId="54BEAB7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1E0A499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w:t>
            </w:r>
          </w:p>
        </w:tc>
      </w:tr>
      <w:tr w14:paraId="1D1D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4B0802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13</w:t>
            </w:r>
          </w:p>
        </w:tc>
        <w:tc>
          <w:tcPr>
            <w:tcW w:w="2610" w:type="dxa"/>
            <w:vMerge w:val="continue"/>
            <w:vAlign w:val="center"/>
          </w:tcPr>
          <w:p w14:paraId="368B343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ED88FB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62CA2F8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5634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ED9D16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14</w:t>
            </w:r>
          </w:p>
        </w:tc>
        <w:tc>
          <w:tcPr>
            <w:tcW w:w="2610" w:type="dxa"/>
            <w:vMerge w:val="restart"/>
            <w:vAlign w:val="center"/>
          </w:tcPr>
          <w:p w14:paraId="0216CD4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2A2-</w:t>
            </w:r>
            <w:r>
              <w:rPr>
                <w:rFonts w:hint="eastAsia" w:ascii="Times New Roman" w:hAnsi="Times New Roman" w:eastAsia="宋体" w:cs="Times New Roman"/>
                <w:b w:val="0"/>
                <w:bCs/>
                <w:color w:val="auto"/>
                <w:spacing w:val="6"/>
                <w:highlight w:val="none"/>
                <w:lang w:val="en-US" w:eastAsia="zh-CN"/>
              </w:rPr>
              <w:t>ZMC2</w:t>
            </w:r>
          </w:p>
        </w:tc>
        <w:tc>
          <w:tcPr>
            <w:tcW w:w="2520" w:type="dxa"/>
            <w:vAlign w:val="center"/>
          </w:tcPr>
          <w:p w14:paraId="50F709F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21</w:t>
            </w:r>
          </w:p>
        </w:tc>
        <w:tc>
          <w:tcPr>
            <w:tcW w:w="2292" w:type="dxa"/>
            <w:vAlign w:val="center"/>
          </w:tcPr>
          <w:p w14:paraId="6C0B850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19BC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139" w:type="dxa"/>
            <w:vAlign w:val="center"/>
          </w:tcPr>
          <w:p w14:paraId="6D660BB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15</w:t>
            </w:r>
          </w:p>
        </w:tc>
        <w:tc>
          <w:tcPr>
            <w:tcW w:w="2610" w:type="dxa"/>
            <w:vMerge w:val="continue"/>
            <w:vAlign w:val="center"/>
          </w:tcPr>
          <w:p w14:paraId="1426265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41F9486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24</w:t>
            </w:r>
          </w:p>
        </w:tc>
        <w:tc>
          <w:tcPr>
            <w:tcW w:w="2292" w:type="dxa"/>
            <w:vAlign w:val="center"/>
          </w:tcPr>
          <w:p w14:paraId="2D45249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4176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01E133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16</w:t>
            </w:r>
          </w:p>
        </w:tc>
        <w:tc>
          <w:tcPr>
            <w:tcW w:w="2610" w:type="dxa"/>
            <w:vMerge w:val="continue"/>
            <w:vAlign w:val="center"/>
          </w:tcPr>
          <w:p w14:paraId="000FA8C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2FA567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27</w:t>
            </w:r>
          </w:p>
        </w:tc>
        <w:tc>
          <w:tcPr>
            <w:tcW w:w="2292" w:type="dxa"/>
            <w:vAlign w:val="center"/>
          </w:tcPr>
          <w:p w14:paraId="3DCB31C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6</w:t>
            </w:r>
          </w:p>
        </w:tc>
      </w:tr>
      <w:tr w14:paraId="5CF4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3A0016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17</w:t>
            </w:r>
          </w:p>
        </w:tc>
        <w:tc>
          <w:tcPr>
            <w:tcW w:w="2610" w:type="dxa"/>
            <w:vMerge w:val="continue"/>
            <w:vAlign w:val="center"/>
          </w:tcPr>
          <w:p w14:paraId="00D6B53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354B0C7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30</w:t>
            </w:r>
          </w:p>
        </w:tc>
        <w:tc>
          <w:tcPr>
            <w:tcW w:w="2292" w:type="dxa"/>
            <w:vAlign w:val="center"/>
          </w:tcPr>
          <w:p w14:paraId="41338B7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7E1C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0B8F0D0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18</w:t>
            </w:r>
          </w:p>
        </w:tc>
        <w:tc>
          <w:tcPr>
            <w:tcW w:w="2610" w:type="dxa"/>
            <w:vMerge w:val="continue"/>
            <w:vAlign w:val="center"/>
          </w:tcPr>
          <w:p w14:paraId="234737A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5976B76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33</w:t>
            </w:r>
          </w:p>
        </w:tc>
        <w:tc>
          <w:tcPr>
            <w:tcW w:w="2292" w:type="dxa"/>
            <w:vAlign w:val="center"/>
          </w:tcPr>
          <w:p w14:paraId="4C7E7D0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61A7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2A3B11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19</w:t>
            </w:r>
          </w:p>
        </w:tc>
        <w:tc>
          <w:tcPr>
            <w:tcW w:w="2610" w:type="dxa"/>
            <w:vMerge w:val="continue"/>
            <w:vAlign w:val="center"/>
          </w:tcPr>
          <w:p w14:paraId="02F6B4E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7EAC283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highlight w:val="none"/>
                <w:lang w:val="en-US" w:eastAsia="zh-CN"/>
              </w:rPr>
            </w:pPr>
            <w:r>
              <w:rPr>
                <w:rFonts w:hint="eastAsia" w:ascii="Times New Roman" w:hAnsi="Times New Roman" w:eastAsia="宋体" w:cs="Times New Roman"/>
                <w:b w:val="0"/>
                <w:bCs/>
                <w:color w:val="auto"/>
                <w:spacing w:val="2"/>
                <w:highlight w:val="none"/>
                <w:lang w:val="en-US" w:eastAsia="zh-CN"/>
              </w:rPr>
              <w:t>36</w:t>
            </w:r>
          </w:p>
        </w:tc>
        <w:tc>
          <w:tcPr>
            <w:tcW w:w="2292" w:type="dxa"/>
            <w:vAlign w:val="center"/>
          </w:tcPr>
          <w:p w14:paraId="4D09182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299D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D5D05B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20</w:t>
            </w:r>
          </w:p>
        </w:tc>
        <w:tc>
          <w:tcPr>
            <w:tcW w:w="2610" w:type="dxa"/>
            <w:vMerge w:val="restart"/>
            <w:vAlign w:val="center"/>
          </w:tcPr>
          <w:p w14:paraId="288FB20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2A2-ZMC3</w:t>
            </w:r>
          </w:p>
        </w:tc>
        <w:tc>
          <w:tcPr>
            <w:tcW w:w="2520" w:type="dxa"/>
            <w:vAlign w:val="center"/>
          </w:tcPr>
          <w:p w14:paraId="57DB396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27</w:t>
            </w:r>
          </w:p>
        </w:tc>
        <w:tc>
          <w:tcPr>
            <w:tcW w:w="2292" w:type="dxa"/>
            <w:vAlign w:val="center"/>
          </w:tcPr>
          <w:p w14:paraId="435686D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1</w:t>
            </w:r>
          </w:p>
        </w:tc>
      </w:tr>
      <w:tr w14:paraId="128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0C71AB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21</w:t>
            </w:r>
          </w:p>
        </w:tc>
        <w:tc>
          <w:tcPr>
            <w:tcW w:w="2610" w:type="dxa"/>
            <w:vMerge w:val="continue"/>
            <w:vAlign w:val="center"/>
          </w:tcPr>
          <w:p w14:paraId="33CED31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0F10835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default" w:ascii="Times New Roman" w:hAnsi="Times New Roman" w:eastAsia="宋体" w:cs="Times New Roman"/>
                <w:b w:val="0"/>
                <w:bCs/>
                <w:color w:val="auto"/>
                <w:spacing w:val="2"/>
                <w:highlight w:val="none"/>
              </w:rPr>
              <w:t>30</w:t>
            </w:r>
          </w:p>
        </w:tc>
        <w:tc>
          <w:tcPr>
            <w:tcW w:w="2292" w:type="dxa"/>
            <w:vAlign w:val="center"/>
          </w:tcPr>
          <w:p w14:paraId="4215D4E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0F60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712AC32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7"/>
                <w:highlight w:val="none"/>
                <w:lang w:val="en-US" w:eastAsia="zh-CN"/>
              </w:rPr>
            </w:pPr>
            <w:r>
              <w:rPr>
                <w:rFonts w:hint="eastAsia" w:ascii="Times New Roman" w:hAnsi="Times New Roman" w:eastAsia="宋体" w:cs="Times New Roman"/>
                <w:b w:val="0"/>
                <w:bCs/>
                <w:color w:val="auto"/>
                <w:spacing w:val="-7"/>
                <w:highlight w:val="none"/>
                <w:lang w:val="en-US" w:eastAsia="zh-CN"/>
              </w:rPr>
              <w:t>22</w:t>
            </w:r>
          </w:p>
        </w:tc>
        <w:tc>
          <w:tcPr>
            <w:tcW w:w="2610" w:type="dxa"/>
            <w:vMerge w:val="continue"/>
            <w:vAlign w:val="center"/>
          </w:tcPr>
          <w:p w14:paraId="1813BBF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137C79A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spacing w:val="2"/>
                <w:highlight w:val="none"/>
                <w:lang w:val="en-US" w:eastAsia="zh-CN"/>
              </w:rPr>
              <w:t>41</w:t>
            </w:r>
          </w:p>
        </w:tc>
        <w:tc>
          <w:tcPr>
            <w:tcW w:w="2292" w:type="dxa"/>
            <w:vAlign w:val="center"/>
          </w:tcPr>
          <w:p w14:paraId="76C9DC4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pacing w:val="-2"/>
                <w:sz w:val="21"/>
                <w:szCs w:val="21"/>
                <w:highlight w:val="none"/>
                <w:lang w:val="en-US" w:eastAsia="zh-CN" w:bidi="ar-SA"/>
              </w:rPr>
            </w:pPr>
            <w:r>
              <w:rPr>
                <w:rFonts w:hint="eastAsia" w:ascii="Times New Roman" w:hAnsi="Times New Roman" w:eastAsia="宋体" w:cs="Times New Roman"/>
                <w:b w:val="0"/>
                <w:bCs/>
                <w:color w:val="auto"/>
                <w:highlight w:val="none"/>
                <w:lang w:val="en-US" w:eastAsia="zh-CN"/>
              </w:rPr>
              <w:t>2</w:t>
            </w:r>
          </w:p>
        </w:tc>
      </w:tr>
      <w:tr w14:paraId="02AF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D55C57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23</w:t>
            </w:r>
          </w:p>
        </w:tc>
        <w:tc>
          <w:tcPr>
            <w:tcW w:w="2610" w:type="dxa"/>
            <w:vAlign w:val="center"/>
          </w:tcPr>
          <w:p w14:paraId="37FA1F4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2A2-ZMC4</w:t>
            </w:r>
          </w:p>
        </w:tc>
        <w:tc>
          <w:tcPr>
            <w:tcW w:w="2520" w:type="dxa"/>
            <w:vAlign w:val="center"/>
          </w:tcPr>
          <w:p w14:paraId="6B972615">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33</w:t>
            </w:r>
          </w:p>
        </w:tc>
        <w:tc>
          <w:tcPr>
            <w:tcW w:w="2292" w:type="dxa"/>
            <w:vAlign w:val="center"/>
          </w:tcPr>
          <w:p w14:paraId="7243FC7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1</w:t>
            </w:r>
          </w:p>
        </w:tc>
      </w:tr>
      <w:tr w14:paraId="0FB2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662D921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24</w:t>
            </w:r>
          </w:p>
        </w:tc>
        <w:tc>
          <w:tcPr>
            <w:tcW w:w="2610" w:type="dxa"/>
            <w:vMerge w:val="restart"/>
            <w:vAlign w:val="center"/>
          </w:tcPr>
          <w:p w14:paraId="53A6508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6"/>
                <w:highlight w:val="none"/>
              </w:rPr>
              <w:t>2A2-ZMCK</w:t>
            </w:r>
          </w:p>
        </w:tc>
        <w:tc>
          <w:tcPr>
            <w:tcW w:w="2520" w:type="dxa"/>
            <w:vAlign w:val="center"/>
          </w:tcPr>
          <w:p w14:paraId="46266C2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45</w:t>
            </w:r>
          </w:p>
        </w:tc>
        <w:tc>
          <w:tcPr>
            <w:tcW w:w="2292" w:type="dxa"/>
            <w:vAlign w:val="center"/>
          </w:tcPr>
          <w:p w14:paraId="7F9D1A9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w:t>
            </w:r>
          </w:p>
        </w:tc>
      </w:tr>
      <w:tr w14:paraId="0DC1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4076F2A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25</w:t>
            </w:r>
          </w:p>
        </w:tc>
        <w:tc>
          <w:tcPr>
            <w:tcW w:w="2610" w:type="dxa"/>
            <w:vMerge w:val="continue"/>
            <w:vAlign w:val="center"/>
          </w:tcPr>
          <w:p w14:paraId="4F6901C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p>
        </w:tc>
        <w:tc>
          <w:tcPr>
            <w:tcW w:w="2520" w:type="dxa"/>
            <w:vAlign w:val="center"/>
          </w:tcPr>
          <w:p w14:paraId="5693904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51</w:t>
            </w:r>
          </w:p>
        </w:tc>
        <w:tc>
          <w:tcPr>
            <w:tcW w:w="2292" w:type="dxa"/>
            <w:vAlign w:val="center"/>
          </w:tcPr>
          <w:p w14:paraId="2FE1DBA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1</w:t>
            </w:r>
          </w:p>
        </w:tc>
      </w:tr>
      <w:tr w14:paraId="1269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1139" w:type="dxa"/>
            <w:vAlign w:val="center"/>
          </w:tcPr>
          <w:p w14:paraId="5AE2196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26</w:t>
            </w:r>
          </w:p>
        </w:tc>
        <w:tc>
          <w:tcPr>
            <w:tcW w:w="2610" w:type="dxa"/>
            <w:vAlign w:val="center"/>
          </w:tcPr>
          <w:p w14:paraId="7551503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pacing w:val="6"/>
                <w:highlight w:val="none"/>
              </w:rPr>
            </w:pPr>
            <w:r>
              <w:rPr>
                <w:rFonts w:hint="default" w:ascii="Times New Roman" w:hAnsi="Times New Roman" w:eastAsia="宋体" w:cs="Times New Roman"/>
                <w:b w:val="0"/>
                <w:bCs/>
                <w:color w:val="auto"/>
                <w:spacing w:val="6"/>
                <w:highlight w:val="none"/>
              </w:rPr>
              <w:t>2E6-SDJC</w:t>
            </w:r>
          </w:p>
        </w:tc>
        <w:tc>
          <w:tcPr>
            <w:tcW w:w="2520" w:type="dxa"/>
            <w:vAlign w:val="center"/>
          </w:tcPr>
          <w:p w14:paraId="286F008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18</w:t>
            </w:r>
          </w:p>
        </w:tc>
        <w:tc>
          <w:tcPr>
            <w:tcW w:w="2292" w:type="dxa"/>
            <w:vAlign w:val="center"/>
          </w:tcPr>
          <w:p w14:paraId="3963F23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1</w:t>
            </w:r>
          </w:p>
        </w:tc>
      </w:tr>
      <w:tr w14:paraId="4C33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749" w:type="dxa"/>
            <w:gridSpan w:val="2"/>
            <w:vAlign w:val="center"/>
          </w:tcPr>
          <w:p w14:paraId="3FAA4AD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4"/>
                <w:highlight w:val="none"/>
              </w:rPr>
              <w:t>合计</w:t>
            </w:r>
          </w:p>
        </w:tc>
        <w:tc>
          <w:tcPr>
            <w:tcW w:w="2520" w:type="dxa"/>
            <w:vAlign w:val="center"/>
          </w:tcPr>
          <w:p w14:paraId="35FB7A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292" w:type="dxa"/>
            <w:vAlign w:val="center"/>
          </w:tcPr>
          <w:p w14:paraId="036042E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spacing w:val="-3"/>
                <w:highlight w:val="none"/>
                <w:lang w:val="en-US" w:eastAsia="zh-CN"/>
              </w:rPr>
              <w:t>5</w:t>
            </w:r>
            <w:r>
              <w:rPr>
                <w:rFonts w:hint="default" w:ascii="Times New Roman" w:hAnsi="Times New Roman" w:eastAsia="宋体" w:cs="Times New Roman"/>
                <w:b w:val="0"/>
                <w:bCs/>
                <w:color w:val="auto"/>
                <w:spacing w:val="-3"/>
                <w:highlight w:val="none"/>
              </w:rPr>
              <w:t>7</w:t>
            </w:r>
          </w:p>
        </w:tc>
      </w:tr>
    </w:tbl>
    <w:p w14:paraId="0AA3428C">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（8）工程占地</w:t>
      </w:r>
    </w:p>
    <w:p w14:paraId="6056383B">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根据设计资料</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、《华能围场“风光储氢热一体化”项目（光伏200MW）项目220kV送出线路工程水土保持方案报告表》及行政许可决定。</w:t>
      </w:r>
    </w:p>
    <w:p w14:paraId="04966E9D">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施工人员租住周边村民用房，施工现场不单独设置施工营地。</w:t>
      </w:r>
    </w:p>
    <w:p w14:paraId="693064C7">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全线共需建杆塔</w:t>
      </w:r>
      <w:r>
        <w:rPr>
          <w:rFonts w:hint="default" w:ascii="Times New Roman" w:hAnsi="Times New Roman" w:eastAsia="宋体" w:cs="Times New Roman"/>
          <w:snapToGrid w:val="0"/>
          <w:color w:val="auto"/>
          <w:kern w:val="2"/>
          <w:sz w:val="24"/>
          <w:szCs w:val="24"/>
          <w:highlight w:val="none"/>
          <w:lang w:val="en-US" w:eastAsia="zh-CN"/>
        </w:rPr>
        <w:t>5</w:t>
      </w:r>
      <w:r>
        <w:rPr>
          <w:rFonts w:hint="default" w:ascii="Times New Roman" w:hAnsi="Times New Roman" w:eastAsia="宋体" w:cs="Times New Roman"/>
          <w:snapToGrid w:val="0"/>
          <w:color w:val="auto"/>
          <w:kern w:val="2"/>
          <w:sz w:val="24"/>
          <w:szCs w:val="24"/>
          <w:highlight w:val="none"/>
        </w:rPr>
        <w:t>7基，塔基永久占地约为</w:t>
      </w:r>
      <w:r>
        <w:rPr>
          <w:rFonts w:hint="eastAsia" w:ascii="Times New Roman" w:hAnsi="Times New Roman" w:eastAsia="宋体" w:cs="Times New Roman"/>
          <w:color w:val="auto"/>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7457DC4D">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铁塔塔基施工区临时占地合计</w:t>
      </w:r>
      <w:r>
        <w:rPr>
          <w:rFonts w:hint="eastAsia" w:ascii="Times New Roman" w:hAnsi="Times New Roman" w:eastAsia="宋体" w:cs="Times New Roman"/>
          <w:snapToGrid w:val="0"/>
          <w:color w:val="auto"/>
          <w:kern w:val="2"/>
          <w:sz w:val="24"/>
          <w:szCs w:val="24"/>
          <w:highlight w:val="none"/>
          <w:lang w:val="en-US" w:eastAsia="zh-CN"/>
        </w:rPr>
        <w:t>0.74h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5466088A">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施工临时道路，施工道路长度约</w:t>
      </w:r>
      <w:r>
        <w:rPr>
          <w:rFonts w:hint="eastAsia" w:ascii="Times New Roman" w:hAnsi="Times New Roman" w:eastAsia="宋体" w:cs="Times New Roman"/>
          <w:snapToGrid w:val="0"/>
          <w:color w:val="auto"/>
          <w:kern w:val="2"/>
          <w:sz w:val="24"/>
          <w:szCs w:val="24"/>
          <w:highlight w:val="none"/>
          <w:lang w:val="en-US" w:eastAsia="zh-CN"/>
        </w:rPr>
        <w:t>100</w:t>
      </w:r>
      <w:r>
        <w:rPr>
          <w:rFonts w:hint="default" w:ascii="Times New Roman" w:hAnsi="Times New Roman" w:eastAsia="宋体" w:cs="Times New Roman"/>
          <w:snapToGrid w:val="0"/>
          <w:color w:val="auto"/>
          <w:kern w:val="2"/>
          <w:sz w:val="24"/>
          <w:szCs w:val="24"/>
          <w:highlight w:val="none"/>
        </w:rPr>
        <w:t>00m，道路宽约3m，铁塔塔基临时占地合计</w:t>
      </w:r>
      <w:r>
        <w:rPr>
          <w:rFonts w:hint="eastAsia" w:ascii="Times New Roman" w:hAnsi="Times New Roman" w:eastAsia="宋体" w:cs="Times New Roman"/>
          <w:snapToGrid w:val="0"/>
          <w:color w:val="auto"/>
          <w:kern w:val="2"/>
          <w:sz w:val="24"/>
          <w:szCs w:val="24"/>
          <w:highlight w:val="none"/>
          <w:lang w:val="en-US" w:eastAsia="zh-CN"/>
        </w:rPr>
        <w:t>3.0h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，保护区内全部采用骡马驮运，不新建施工道路。</w:t>
      </w:r>
    </w:p>
    <w:p w14:paraId="1290D161">
      <w:pPr>
        <w:pStyle w:val="23"/>
        <w:spacing w:line="360" w:lineRule="auto"/>
        <w:ind w:firstLine="436" w:firstLineChars="200"/>
        <w:jc w:val="both"/>
        <w:rPr>
          <w:rFonts w:hint="default" w:ascii="Times New Roman" w:hAnsi="Times New Roman" w:eastAsia="宋体" w:cs="Times New Roman"/>
          <w:snapToGrid w:val="0"/>
          <w:color w:val="auto"/>
          <w:spacing w:val="-11"/>
          <w:kern w:val="2"/>
          <w:sz w:val="24"/>
          <w:szCs w:val="24"/>
          <w:highlight w:val="none"/>
        </w:rPr>
      </w:pPr>
      <w:r>
        <w:rPr>
          <w:rFonts w:hint="default" w:ascii="Times New Roman" w:hAnsi="Times New Roman" w:eastAsia="宋体" w:cs="Times New Roman"/>
          <w:snapToGrid w:val="0"/>
          <w:color w:val="auto"/>
          <w:spacing w:val="-11"/>
          <w:kern w:val="2"/>
          <w:sz w:val="24"/>
          <w:szCs w:val="24"/>
          <w:highlight w:val="none"/>
        </w:rPr>
        <w:t>牵张场地的设置原则为：按5km设置一处。张力放线后应尽快进行架线，一般以张力放线施工段作紧线段，以直线塔为紧线操作塔。紧线完毕后应尽快进行耐张塔的附件安装和直线塔的线夹安装、防振金具和间隔棒的安装。本项目共设置牵张场地约5处，牵张场全部位于</w:t>
      </w:r>
      <w:r>
        <w:rPr>
          <w:rFonts w:hint="default" w:ascii="Times New Roman" w:hAnsi="Times New Roman" w:eastAsia="宋体" w:cs="Times New Roman"/>
          <w:bCs/>
          <w:color w:val="auto"/>
          <w:spacing w:val="-11"/>
          <w:sz w:val="24"/>
          <w:szCs w:val="24"/>
          <w:highlight w:val="none"/>
        </w:rPr>
        <w:t>河北滦河上游国家级自然保护区</w:t>
      </w:r>
      <w:r>
        <w:rPr>
          <w:rFonts w:hint="eastAsia" w:ascii="Times New Roman" w:hAnsi="Times New Roman" w:eastAsia="宋体" w:cs="Times New Roman"/>
          <w:bCs/>
          <w:color w:val="auto"/>
          <w:spacing w:val="-11"/>
          <w:sz w:val="24"/>
          <w:szCs w:val="24"/>
          <w:highlight w:val="none"/>
          <w:lang w:eastAsia="zh-CN"/>
        </w:rPr>
        <w:t>外</w:t>
      </w:r>
      <w:r>
        <w:rPr>
          <w:rFonts w:hint="default" w:ascii="Times New Roman" w:hAnsi="Times New Roman" w:eastAsia="宋体" w:cs="Times New Roman"/>
          <w:color w:val="auto"/>
          <w:spacing w:val="-11"/>
          <w:sz w:val="24"/>
          <w:szCs w:val="24"/>
          <w:highlight w:val="none"/>
        </w:rPr>
        <w:t>，保护区内采用无人机架设方式完成牵张任务</w:t>
      </w:r>
      <w:r>
        <w:rPr>
          <w:rFonts w:hint="default" w:ascii="Times New Roman" w:hAnsi="Times New Roman" w:eastAsia="宋体" w:cs="Times New Roman"/>
          <w:bCs/>
          <w:color w:val="auto"/>
          <w:spacing w:val="-11"/>
          <w:sz w:val="24"/>
          <w:szCs w:val="24"/>
          <w:highlight w:val="none"/>
        </w:rPr>
        <w:t>，</w:t>
      </w:r>
      <w:r>
        <w:rPr>
          <w:rFonts w:hint="default" w:ascii="Times New Roman" w:hAnsi="Times New Roman" w:eastAsia="宋体" w:cs="Times New Roman"/>
          <w:snapToGrid w:val="0"/>
          <w:color w:val="auto"/>
          <w:spacing w:val="-11"/>
          <w:kern w:val="2"/>
          <w:sz w:val="24"/>
          <w:szCs w:val="24"/>
          <w:highlight w:val="none"/>
        </w:rPr>
        <w:t>每处占地面积1</w:t>
      </w:r>
      <w:r>
        <w:rPr>
          <w:rFonts w:hint="eastAsia" w:ascii="Times New Roman" w:hAnsi="Times New Roman" w:eastAsia="宋体" w:cs="Times New Roman"/>
          <w:snapToGrid w:val="0"/>
          <w:color w:val="auto"/>
          <w:spacing w:val="-11"/>
          <w:kern w:val="2"/>
          <w:sz w:val="24"/>
          <w:szCs w:val="24"/>
          <w:highlight w:val="none"/>
          <w:lang w:val="en-US" w:eastAsia="zh-CN"/>
        </w:rPr>
        <w:t>2</w:t>
      </w:r>
      <w:r>
        <w:rPr>
          <w:rFonts w:hint="default" w:ascii="Times New Roman" w:hAnsi="Times New Roman" w:eastAsia="宋体" w:cs="Times New Roman"/>
          <w:snapToGrid w:val="0"/>
          <w:color w:val="auto"/>
          <w:spacing w:val="-11"/>
          <w:kern w:val="2"/>
          <w:sz w:val="24"/>
          <w:szCs w:val="24"/>
          <w:highlight w:val="none"/>
        </w:rPr>
        <w:t>00m</w:t>
      </w:r>
      <w:r>
        <w:rPr>
          <w:rFonts w:hint="default" w:ascii="Times New Roman" w:hAnsi="Times New Roman" w:eastAsia="宋体" w:cs="Times New Roman"/>
          <w:snapToGrid w:val="0"/>
          <w:color w:val="auto"/>
          <w:spacing w:val="-11"/>
          <w:kern w:val="2"/>
          <w:sz w:val="24"/>
          <w:szCs w:val="24"/>
          <w:highlight w:val="none"/>
          <w:vertAlign w:val="superscript"/>
        </w:rPr>
        <w:t>2</w:t>
      </w:r>
      <w:r>
        <w:rPr>
          <w:rFonts w:hint="default" w:ascii="Times New Roman" w:hAnsi="Times New Roman" w:eastAsia="宋体" w:cs="Times New Roman"/>
          <w:snapToGrid w:val="0"/>
          <w:color w:val="auto"/>
          <w:spacing w:val="-11"/>
          <w:kern w:val="2"/>
          <w:sz w:val="24"/>
          <w:szCs w:val="24"/>
          <w:highlight w:val="none"/>
        </w:rPr>
        <w:t>，属临时占地。牵张场占地合计</w:t>
      </w:r>
      <w:r>
        <w:rPr>
          <w:rFonts w:hint="eastAsia" w:ascii="Times New Roman" w:hAnsi="Times New Roman" w:eastAsia="宋体" w:cs="Times New Roman"/>
          <w:snapToGrid w:val="0"/>
          <w:color w:val="auto"/>
          <w:spacing w:val="-11"/>
          <w:kern w:val="2"/>
          <w:sz w:val="24"/>
          <w:szCs w:val="24"/>
          <w:highlight w:val="none"/>
          <w:lang w:val="en-US" w:eastAsia="zh-CN"/>
        </w:rPr>
        <w:t>0.6</w:t>
      </w:r>
      <w:r>
        <w:rPr>
          <w:rFonts w:hint="default" w:ascii="Times New Roman" w:hAnsi="Times New Roman" w:eastAsia="宋体" w:cs="Times New Roman"/>
          <w:snapToGrid w:val="0"/>
          <w:color w:val="auto"/>
          <w:spacing w:val="-11"/>
          <w:kern w:val="2"/>
          <w:sz w:val="24"/>
          <w:szCs w:val="24"/>
          <w:highlight w:val="none"/>
        </w:rPr>
        <w:t>m</w:t>
      </w:r>
      <w:r>
        <w:rPr>
          <w:rFonts w:hint="default" w:ascii="Times New Roman" w:hAnsi="Times New Roman" w:eastAsia="宋体" w:cs="Times New Roman"/>
          <w:snapToGrid w:val="0"/>
          <w:color w:val="auto"/>
          <w:spacing w:val="-11"/>
          <w:kern w:val="2"/>
          <w:sz w:val="24"/>
          <w:szCs w:val="24"/>
          <w:highlight w:val="none"/>
          <w:vertAlign w:val="superscript"/>
        </w:rPr>
        <w:t>2</w:t>
      </w:r>
      <w:r>
        <w:rPr>
          <w:rFonts w:hint="default" w:ascii="Times New Roman" w:hAnsi="Times New Roman" w:eastAsia="宋体" w:cs="Times New Roman"/>
          <w:snapToGrid w:val="0"/>
          <w:color w:val="auto"/>
          <w:spacing w:val="-11"/>
          <w:kern w:val="2"/>
          <w:sz w:val="24"/>
          <w:szCs w:val="24"/>
          <w:highlight w:val="none"/>
        </w:rPr>
        <w:t>。</w:t>
      </w:r>
    </w:p>
    <w:p w14:paraId="7B182718">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综上所述，本项目塔基永久占地合计</w:t>
      </w:r>
      <w:r>
        <w:rPr>
          <w:rFonts w:hint="eastAsia" w:ascii="Times New Roman" w:hAnsi="Times New Roman" w:eastAsia="宋体" w:cs="Times New Roman"/>
          <w:snapToGrid w:val="0"/>
          <w:color w:val="auto"/>
          <w:kern w:val="2"/>
          <w:sz w:val="24"/>
          <w:szCs w:val="24"/>
          <w:highlight w:val="none"/>
          <w:lang w:val="en-US" w:eastAsia="zh-CN"/>
        </w:rPr>
        <w:t>0.4h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，临时占地合计</w:t>
      </w:r>
      <w:r>
        <w:rPr>
          <w:rFonts w:hint="eastAsia" w:ascii="Times New Roman" w:hAnsi="Times New Roman" w:eastAsia="宋体" w:cs="Times New Roman"/>
          <w:snapToGrid w:val="0"/>
          <w:color w:val="auto"/>
          <w:kern w:val="2"/>
          <w:sz w:val="24"/>
          <w:szCs w:val="24"/>
          <w:highlight w:val="none"/>
          <w:lang w:val="en-US" w:eastAsia="zh-CN"/>
        </w:rPr>
        <w:t>4.34h</w:t>
      </w:r>
      <w:r>
        <w:rPr>
          <w:rFonts w:hint="default" w:ascii="Times New Roman" w:hAnsi="Times New Roman" w:eastAsia="宋体" w:cs="Times New Roman"/>
          <w:snapToGrid w:val="0"/>
          <w:color w:val="auto"/>
          <w:kern w:val="2"/>
          <w:sz w:val="24"/>
          <w:szCs w:val="24"/>
          <w:highlight w:val="none"/>
        </w:rPr>
        <w:t>m</w:t>
      </w:r>
      <w:r>
        <w:rPr>
          <w:rFonts w:hint="default" w:ascii="Times New Roman" w:hAnsi="Times New Roman" w:eastAsia="宋体" w:cs="Times New Roman"/>
          <w:snapToGrid w:val="0"/>
          <w:color w:val="auto"/>
          <w:kern w:val="2"/>
          <w:sz w:val="24"/>
          <w:szCs w:val="24"/>
          <w:highlight w:val="none"/>
          <w:vertAlign w:val="superscript"/>
        </w:rPr>
        <w:t>2</w:t>
      </w:r>
      <w:r>
        <w:rPr>
          <w:rFonts w:hint="default" w:ascii="Times New Roman" w:hAnsi="Times New Roman" w:eastAsia="宋体" w:cs="Times New Roman"/>
          <w:snapToGrid w:val="0"/>
          <w:color w:val="auto"/>
          <w:kern w:val="2"/>
          <w:sz w:val="24"/>
          <w:szCs w:val="24"/>
          <w:highlight w:val="none"/>
        </w:rPr>
        <w:t>。</w:t>
      </w:r>
    </w:p>
    <w:p w14:paraId="523ED3EC">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（9）本项目土方量情况</w:t>
      </w:r>
    </w:p>
    <w:p w14:paraId="327B1671">
      <w:pPr>
        <w:pStyle w:val="23"/>
        <w:spacing w:line="360" w:lineRule="auto"/>
        <w:ind w:firstLine="480" w:firstLineChars="200"/>
        <w:rPr>
          <w:rFonts w:hint="default" w:ascii="Times New Roman" w:hAnsi="Times New Roman" w:eastAsia="宋体" w:cs="Times New Roman"/>
          <w:snapToGrid w:val="0"/>
          <w:color w:val="auto"/>
          <w:kern w:val="2"/>
          <w:sz w:val="24"/>
          <w:szCs w:val="24"/>
          <w:highlight w:val="none"/>
        </w:rPr>
      </w:pPr>
      <w:r>
        <w:rPr>
          <w:rFonts w:hint="default" w:ascii="Times New Roman" w:hAnsi="Times New Roman" w:eastAsia="宋体" w:cs="Times New Roman"/>
          <w:snapToGrid w:val="0"/>
          <w:color w:val="auto"/>
          <w:kern w:val="2"/>
          <w:sz w:val="24"/>
          <w:szCs w:val="24"/>
          <w:highlight w:val="none"/>
        </w:rPr>
        <w:t>项目建设期土石方挖填总量为3.14万m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，其中挖方总量</w:t>
      </w:r>
      <w:r>
        <w:rPr>
          <w:rFonts w:hint="eastAsia" w:ascii="Times New Roman" w:hAnsi="Times New Roman" w:eastAsia="宋体" w:cs="Times New Roman"/>
          <w:snapToGrid w:val="0"/>
          <w:color w:val="auto"/>
          <w:kern w:val="2"/>
          <w:sz w:val="24"/>
          <w:szCs w:val="24"/>
          <w:highlight w:val="none"/>
          <w:lang w:val="en-US" w:eastAsia="zh-CN"/>
        </w:rPr>
        <w:t>1.63</w:t>
      </w:r>
      <w:r>
        <w:rPr>
          <w:rFonts w:hint="default" w:ascii="Times New Roman" w:hAnsi="Times New Roman" w:eastAsia="宋体" w:cs="Times New Roman"/>
          <w:snapToGrid w:val="0"/>
          <w:color w:val="auto"/>
          <w:kern w:val="2"/>
          <w:sz w:val="24"/>
          <w:szCs w:val="24"/>
          <w:highlight w:val="none"/>
        </w:rPr>
        <w:t>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，填方总量1.51万m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，余方0.12万m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。塔基础开挖土石方用于回填后产生余</w:t>
      </w:r>
      <w:r>
        <w:rPr>
          <w:rFonts w:hint="eastAsia" w:ascii="Times New Roman" w:hAnsi="Times New Roman" w:eastAsia="宋体" w:cs="Times New Roman"/>
          <w:snapToGrid w:val="0"/>
          <w:color w:val="auto"/>
          <w:kern w:val="2"/>
          <w:sz w:val="24"/>
          <w:szCs w:val="24"/>
          <w:highlight w:val="none"/>
          <w:lang w:eastAsia="zh-CN"/>
        </w:rPr>
        <w:t>方</w:t>
      </w:r>
      <w:r>
        <w:rPr>
          <w:rFonts w:hint="default" w:ascii="Times New Roman" w:hAnsi="Times New Roman" w:eastAsia="宋体" w:cs="Times New Roman"/>
          <w:snapToGrid w:val="0"/>
          <w:color w:val="auto"/>
          <w:kern w:val="2"/>
          <w:sz w:val="24"/>
          <w:szCs w:val="24"/>
          <w:highlight w:val="none"/>
        </w:rPr>
        <w:t>0.12万m</w:t>
      </w:r>
      <w:r>
        <w:rPr>
          <w:rFonts w:hint="default" w:ascii="Times New Roman" w:hAnsi="Times New Roman" w:eastAsia="宋体" w:cs="Times New Roman"/>
          <w:snapToGrid w:val="0"/>
          <w:color w:val="auto"/>
          <w:kern w:val="2"/>
          <w:sz w:val="24"/>
          <w:szCs w:val="24"/>
          <w:highlight w:val="none"/>
          <w:vertAlign w:val="superscript"/>
        </w:rPr>
        <w:t>3</w:t>
      </w:r>
      <w:r>
        <w:rPr>
          <w:rFonts w:hint="default" w:ascii="Times New Roman" w:hAnsi="Times New Roman" w:eastAsia="宋体" w:cs="Times New Roman"/>
          <w:snapToGrid w:val="0"/>
          <w:color w:val="auto"/>
          <w:kern w:val="2"/>
          <w:sz w:val="24"/>
          <w:szCs w:val="24"/>
          <w:highlight w:val="none"/>
        </w:rPr>
        <w:t>，余</w:t>
      </w:r>
      <w:r>
        <w:rPr>
          <w:rFonts w:hint="eastAsia" w:ascii="Times New Roman" w:hAnsi="Times New Roman" w:eastAsia="宋体" w:cs="Times New Roman"/>
          <w:snapToGrid w:val="0"/>
          <w:color w:val="auto"/>
          <w:kern w:val="2"/>
          <w:sz w:val="24"/>
          <w:szCs w:val="24"/>
          <w:highlight w:val="none"/>
          <w:lang w:eastAsia="zh-CN"/>
        </w:rPr>
        <w:t>方全部平铺于塔基占地范围内合理利用</w:t>
      </w:r>
      <w:r>
        <w:rPr>
          <w:rFonts w:hint="default" w:ascii="Times New Roman" w:hAnsi="Times New Roman" w:eastAsia="宋体" w:cs="Times New Roman"/>
          <w:snapToGrid w:val="0"/>
          <w:color w:val="auto"/>
          <w:kern w:val="2"/>
          <w:sz w:val="24"/>
          <w:szCs w:val="24"/>
          <w:highlight w:val="none"/>
        </w:rPr>
        <w:t>。</w:t>
      </w:r>
    </w:p>
    <w:p w14:paraId="49FD2686">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3.1-6    表土平衡一览表（单位：万m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0078DE6D">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567680" cy="1081405"/>
            <wp:effectExtent l="0" t="0" r="13970"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0"/>
                    <a:stretch>
                      <a:fillRect/>
                    </a:stretch>
                  </pic:blipFill>
                  <pic:spPr>
                    <a:xfrm>
                      <a:off x="0" y="0"/>
                      <a:ext cx="5567680" cy="1081405"/>
                    </a:xfrm>
                    <a:prstGeom prst="rect">
                      <a:avLst/>
                    </a:prstGeom>
                    <a:noFill/>
                    <a:ln>
                      <a:noFill/>
                    </a:ln>
                  </pic:spPr>
                </pic:pic>
              </a:graphicData>
            </a:graphic>
          </wp:inline>
        </w:drawing>
      </w:r>
    </w:p>
    <w:p w14:paraId="4040C23A">
      <w:pPr>
        <w:pStyle w:val="2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snapToGrid w:val="0"/>
          <w:color w:val="auto"/>
          <w:kern w:val="2"/>
          <w:sz w:val="24"/>
          <w:szCs w:val="24"/>
          <w:highlight w:val="none"/>
        </w:rPr>
        <w:t xml:space="preserve">备注：塔基施工区和牵张场区主要施工内容为铁塔安装施工及牵张架线施工，水土流失因素以人工、机械压占为主，为减少地表扰动，方案设计对塔基施工区和牵张场区扰动区域采取彩条布铺垫防护措施，不再进行剥表施工。 </w:t>
      </w:r>
      <w:r>
        <w:rPr>
          <w:color w:val="auto"/>
        </w:rPr>
        <w:drawing>
          <wp:inline distT="0" distB="0" distL="114300" distR="114300">
            <wp:extent cx="5637530" cy="2068195"/>
            <wp:effectExtent l="0" t="0" r="1270" b="825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1"/>
                    <a:stretch>
                      <a:fillRect/>
                    </a:stretch>
                  </pic:blipFill>
                  <pic:spPr>
                    <a:xfrm>
                      <a:off x="0" y="0"/>
                      <a:ext cx="5637530" cy="2068195"/>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图3.1-1  表土平衡一览图（单位：万m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153FB798">
      <w:pPr>
        <w:pStyle w:val="23"/>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rFonts w:hint="eastAsia" w:ascii="Times New Roman" w:hAnsi="Times New Roman" w:eastAsia="宋体" w:cs="Times New Roman"/>
          <w:b/>
          <w:bCs/>
          <w:snapToGrid w:val="0"/>
          <w:color w:val="auto"/>
          <w:kern w:val="2"/>
          <w:sz w:val="21"/>
          <w:szCs w:val="21"/>
          <w:highlight w:val="none"/>
          <w:lang w:eastAsia="zh-CN"/>
        </w:rPr>
        <w:t>表</w:t>
      </w:r>
      <w:r>
        <w:rPr>
          <w:rFonts w:hint="eastAsia" w:ascii="Times New Roman" w:hAnsi="Times New Roman" w:eastAsia="宋体" w:cs="Times New Roman"/>
          <w:b/>
          <w:bCs/>
          <w:snapToGrid w:val="0"/>
          <w:color w:val="auto"/>
          <w:kern w:val="2"/>
          <w:sz w:val="21"/>
          <w:szCs w:val="21"/>
          <w:highlight w:val="none"/>
          <w:lang w:val="en-US" w:eastAsia="zh-CN"/>
        </w:rPr>
        <w:t>3.1-7    一般土石方平衡一览表（单位：万m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36841F6B">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85155" cy="1671955"/>
            <wp:effectExtent l="0" t="0" r="10795" b="444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32"/>
                    <a:stretch>
                      <a:fillRect/>
                    </a:stretch>
                  </pic:blipFill>
                  <pic:spPr>
                    <a:xfrm>
                      <a:off x="0" y="0"/>
                      <a:ext cx="5685155" cy="1671955"/>
                    </a:xfrm>
                    <a:prstGeom prst="rect">
                      <a:avLst/>
                    </a:prstGeom>
                    <a:noFill/>
                    <a:ln>
                      <a:noFill/>
                    </a:ln>
                  </pic:spPr>
                </pic:pic>
              </a:graphicData>
            </a:graphic>
          </wp:inline>
        </w:drawing>
      </w:r>
    </w:p>
    <w:p w14:paraId="15359165">
      <w:pPr>
        <w:pStyle w:val="23"/>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default" w:ascii="Times New Roman" w:hAnsi="Times New Roman" w:eastAsia="宋体" w:cs="Times New Roman"/>
          <w:b/>
          <w:bCs/>
          <w:snapToGrid w:val="0"/>
          <w:color w:val="auto"/>
          <w:kern w:val="2"/>
          <w:sz w:val="21"/>
          <w:szCs w:val="21"/>
          <w:highlight w:val="none"/>
          <w:lang w:val="en-US" w:eastAsia="zh-CN"/>
        </w:rPr>
      </w:pPr>
      <w:r>
        <w:rPr>
          <w:color w:val="auto"/>
        </w:rPr>
        <w:drawing>
          <wp:inline distT="0" distB="0" distL="114300" distR="114300">
            <wp:extent cx="5634990" cy="3568700"/>
            <wp:effectExtent l="0" t="0" r="3810" b="1270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3"/>
                    <a:stretch>
                      <a:fillRect/>
                    </a:stretch>
                  </pic:blipFill>
                  <pic:spPr>
                    <a:xfrm>
                      <a:off x="0" y="0"/>
                      <a:ext cx="5634990" cy="3568700"/>
                    </a:xfrm>
                    <a:prstGeom prst="rect">
                      <a:avLst/>
                    </a:prstGeom>
                    <a:noFill/>
                    <a:ln>
                      <a:noFill/>
                    </a:ln>
                  </pic:spPr>
                </pic:pic>
              </a:graphicData>
            </a:graphic>
          </wp:inline>
        </w:drawing>
      </w:r>
      <w:r>
        <w:rPr>
          <w:rFonts w:hint="eastAsia" w:ascii="Times New Roman" w:hAnsi="Times New Roman" w:eastAsia="宋体" w:cs="Times New Roman"/>
          <w:b/>
          <w:bCs/>
          <w:snapToGrid w:val="0"/>
          <w:color w:val="auto"/>
          <w:kern w:val="2"/>
          <w:sz w:val="21"/>
          <w:szCs w:val="21"/>
          <w:highlight w:val="none"/>
          <w:lang w:val="en-US" w:eastAsia="zh-CN"/>
        </w:rPr>
        <w:t>图3.1-2  一般土石方平衡一览图（单位：万m</w:t>
      </w:r>
      <w:r>
        <w:rPr>
          <w:rFonts w:hint="eastAsia" w:ascii="Times New Roman" w:hAnsi="Times New Roman" w:eastAsia="宋体" w:cs="Times New Roman"/>
          <w:b/>
          <w:bCs/>
          <w:snapToGrid w:val="0"/>
          <w:color w:val="auto"/>
          <w:kern w:val="2"/>
          <w:sz w:val="21"/>
          <w:szCs w:val="21"/>
          <w:highlight w:val="none"/>
          <w:vertAlign w:val="superscript"/>
          <w:lang w:val="en-US" w:eastAsia="zh-CN"/>
        </w:rPr>
        <w:t>3</w:t>
      </w:r>
      <w:r>
        <w:rPr>
          <w:rFonts w:hint="eastAsia" w:ascii="Times New Roman" w:hAnsi="Times New Roman" w:eastAsia="宋体" w:cs="Times New Roman"/>
          <w:b/>
          <w:bCs/>
          <w:snapToGrid w:val="0"/>
          <w:color w:val="auto"/>
          <w:kern w:val="2"/>
          <w:sz w:val="21"/>
          <w:szCs w:val="21"/>
          <w:highlight w:val="none"/>
          <w:lang w:val="en-US" w:eastAsia="zh-CN"/>
        </w:rPr>
        <w:t>）</w:t>
      </w:r>
    </w:p>
    <w:p w14:paraId="56F7E2B5">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（10）劳动定员</w:t>
      </w:r>
    </w:p>
    <w:p w14:paraId="38BF3865">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本项目不需设置劳动定员。</w:t>
      </w:r>
    </w:p>
    <w:p w14:paraId="74124F62">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（11）给排水</w:t>
      </w:r>
    </w:p>
    <w:p w14:paraId="53338CEB">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给水：施工期用水从附近村庄采用罐车拉取</w:t>
      </w:r>
      <w:r>
        <w:rPr>
          <w:rFonts w:hint="eastAsia" w:ascii="Times New Roman" w:hAnsi="Times New Roman" w:eastAsia="宋体" w:cs="Times New Roman"/>
          <w:snapToGrid w:val="0"/>
          <w:color w:val="auto"/>
          <w:kern w:val="2"/>
          <w:sz w:val="24"/>
          <w:szCs w:val="24"/>
          <w:highlight w:val="none"/>
        </w:rPr>
        <w:t>，无废水外排</w:t>
      </w:r>
      <w:r>
        <w:rPr>
          <w:rFonts w:ascii="Times New Roman" w:hAnsi="Times New Roman" w:eastAsia="宋体" w:cs="Times New Roman"/>
          <w:snapToGrid w:val="0"/>
          <w:color w:val="auto"/>
          <w:kern w:val="2"/>
          <w:sz w:val="24"/>
          <w:szCs w:val="24"/>
          <w:highlight w:val="none"/>
        </w:rPr>
        <w:t>。</w:t>
      </w:r>
    </w:p>
    <w:p w14:paraId="049BE7CB">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运行期不涉及用水。</w:t>
      </w:r>
    </w:p>
    <w:p w14:paraId="52209AE0">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（12）主要经济技术指标</w:t>
      </w:r>
    </w:p>
    <w:p w14:paraId="68DA98F7">
      <w:pPr>
        <w:pStyle w:val="23"/>
        <w:spacing w:line="360" w:lineRule="auto"/>
        <w:ind w:firstLine="480" w:firstLineChars="200"/>
        <w:rPr>
          <w:rFonts w:ascii="Times New Roman" w:hAnsi="Times New Roman" w:eastAsia="宋体" w:cs="Times New Roman"/>
          <w:snapToGrid w:val="0"/>
          <w:color w:val="auto"/>
          <w:kern w:val="2"/>
          <w:sz w:val="24"/>
          <w:szCs w:val="24"/>
          <w:highlight w:val="none"/>
        </w:rPr>
      </w:pPr>
      <w:r>
        <w:rPr>
          <w:rFonts w:ascii="Times New Roman" w:hAnsi="Times New Roman" w:eastAsia="宋体" w:cs="Times New Roman"/>
          <w:snapToGrid w:val="0"/>
          <w:color w:val="auto"/>
          <w:kern w:val="2"/>
          <w:sz w:val="24"/>
          <w:szCs w:val="24"/>
          <w:highlight w:val="none"/>
        </w:rPr>
        <w:t>本工程总投资约</w:t>
      </w:r>
      <w:r>
        <w:rPr>
          <w:rFonts w:hint="eastAsia" w:ascii="Times New Roman" w:hAnsi="Times New Roman" w:eastAsia="宋体" w:cs="Times New Roman"/>
          <w:color w:val="auto"/>
          <w:sz w:val="24"/>
          <w:szCs w:val="24"/>
          <w:highlight w:val="none"/>
        </w:rPr>
        <w:t>3829.44</w:t>
      </w:r>
      <w:r>
        <w:rPr>
          <w:rFonts w:ascii="Times New Roman" w:hAnsi="Times New Roman" w:eastAsia="宋体" w:cs="Times New Roman"/>
          <w:snapToGrid w:val="0"/>
          <w:color w:val="auto"/>
          <w:kern w:val="2"/>
          <w:sz w:val="24"/>
          <w:szCs w:val="24"/>
          <w:highlight w:val="none"/>
        </w:rPr>
        <w:t>万元，其中环保投资约</w:t>
      </w:r>
      <w:r>
        <w:rPr>
          <w:rFonts w:hint="eastAsia" w:ascii="Times New Roman" w:hAnsi="Times New Roman" w:eastAsia="宋体" w:cs="Times New Roman"/>
          <w:snapToGrid w:val="0"/>
          <w:color w:val="auto"/>
          <w:kern w:val="2"/>
          <w:sz w:val="24"/>
          <w:szCs w:val="24"/>
          <w:highlight w:val="none"/>
          <w:lang w:val="en-US" w:eastAsia="zh-CN"/>
        </w:rPr>
        <w:t>24</w:t>
      </w:r>
      <w:r>
        <w:rPr>
          <w:rFonts w:ascii="Times New Roman" w:hAnsi="Times New Roman" w:eastAsia="宋体" w:cs="Times New Roman"/>
          <w:snapToGrid w:val="0"/>
          <w:color w:val="auto"/>
          <w:kern w:val="2"/>
          <w:sz w:val="24"/>
          <w:szCs w:val="24"/>
          <w:highlight w:val="none"/>
        </w:rPr>
        <w:t>0万元，约占总投资的</w:t>
      </w:r>
      <w:r>
        <w:rPr>
          <w:rFonts w:hint="eastAsia" w:ascii="Times New Roman" w:hAnsi="Times New Roman" w:eastAsia="宋体" w:cs="Times New Roman"/>
          <w:snapToGrid w:val="0"/>
          <w:color w:val="auto"/>
          <w:kern w:val="2"/>
          <w:sz w:val="24"/>
          <w:szCs w:val="24"/>
          <w:highlight w:val="none"/>
          <w:lang w:val="en-US" w:eastAsia="zh-CN"/>
        </w:rPr>
        <w:t>6.27</w:t>
      </w:r>
      <w:r>
        <w:rPr>
          <w:rFonts w:ascii="Times New Roman" w:hAnsi="Times New Roman" w:eastAsia="宋体" w:cs="Times New Roman"/>
          <w:snapToGrid w:val="0"/>
          <w:color w:val="auto"/>
          <w:kern w:val="2"/>
          <w:sz w:val="24"/>
          <w:szCs w:val="24"/>
          <w:highlight w:val="none"/>
        </w:rPr>
        <w:t>%。</w:t>
      </w:r>
    </w:p>
    <w:p w14:paraId="133493B5">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ascii="Times New Roman" w:hAnsi="Times New Roman" w:cs="Times New Roman"/>
          <w:color w:val="auto"/>
          <w:kern w:val="0"/>
          <w:szCs w:val="30"/>
          <w:highlight w:val="none"/>
          <w:lang w:val="en-US" w:eastAsia="zh-CN"/>
        </w:rPr>
      </w:pPr>
      <w:r>
        <w:rPr>
          <w:rFonts w:hint="eastAsia" w:ascii="Times New Roman" w:hAnsi="Times New Roman" w:cs="Times New Roman"/>
          <w:color w:val="auto"/>
          <w:kern w:val="0"/>
          <w:szCs w:val="30"/>
          <w:highlight w:val="none"/>
          <w:lang w:val="en-US" w:eastAsia="zh-CN"/>
        </w:rPr>
        <w:t>3.2自然保护区内项目概况</w:t>
      </w:r>
    </w:p>
    <w:p w14:paraId="127801AB">
      <w:pPr>
        <w:bidi w:val="0"/>
        <w:rPr>
          <w:color w:val="auto"/>
          <w:highlight w:val="none"/>
        </w:rPr>
      </w:pPr>
      <w:r>
        <w:rPr>
          <w:rFonts w:hint="eastAsia"/>
          <w:color w:val="auto"/>
          <w:highlight w:val="none"/>
          <w:lang w:val="en-US" w:eastAsia="zh-CN"/>
        </w:rPr>
        <w:t>3.2.1</w:t>
      </w:r>
      <w:r>
        <w:rPr>
          <w:color w:val="auto"/>
          <w:highlight w:val="none"/>
        </w:rPr>
        <w:t>自然保护区内用地情况</w:t>
      </w:r>
    </w:p>
    <w:p w14:paraId="4551209D">
      <w:pPr>
        <w:bidi w:val="0"/>
        <w:rPr>
          <w:color w:val="auto"/>
          <w:highlight w:val="none"/>
        </w:rPr>
      </w:pPr>
      <w:r>
        <w:rPr>
          <w:color w:val="auto"/>
          <w:highlight w:val="none"/>
        </w:rPr>
        <w:t>本项目送出线路穿越河北滦河上游国家级自然保护区实验区，穿越长度9094.58m，输电线路架空不占用土地。工程永久性占地包括23座线路塔基占地范围，其中2座塔基的规格为13×13m</w:t>
      </w:r>
      <w:r>
        <w:rPr>
          <w:rFonts w:hint="eastAsia"/>
          <w:color w:val="auto"/>
          <w:highlight w:val="none"/>
          <w:lang w:eastAsia="zh-CN"/>
        </w:rPr>
        <w:t>，</w:t>
      </w:r>
      <w:r>
        <w:rPr>
          <w:color w:val="auto"/>
          <w:highlight w:val="none"/>
        </w:rPr>
        <w:t>21座塔基的规格为10×10m，共占用保护区实验区2438m</w:t>
      </w:r>
      <w:r>
        <w:rPr>
          <w:color w:val="auto"/>
          <w:highlight w:val="none"/>
          <w:vertAlign w:val="superscript"/>
        </w:rPr>
        <w:t>2</w:t>
      </w:r>
      <w:r>
        <w:rPr>
          <w:color w:val="auto"/>
          <w:highlight w:val="none"/>
        </w:rPr>
        <w:t>，根据围场县2022年国土变更调查成果数据占地类型包括乔木林地、特殊灌木林地和疏林地</w:t>
      </w:r>
      <w:r>
        <w:rPr>
          <w:rFonts w:hint="eastAsia"/>
          <w:color w:val="auto"/>
          <w:highlight w:val="none"/>
          <w:lang w:eastAsia="zh-CN"/>
        </w:rPr>
        <w:t>，</w:t>
      </w:r>
      <w:r>
        <w:rPr>
          <w:color w:val="auto"/>
          <w:highlight w:val="none"/>
        </w:rPr>
        <w:t>具体详见下表。</w:t>
      </w:r>
    </w:p>
    <w:p w14:paraId="05D31BFB">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p>
    <w:p w14:paraId="7FACE773">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p>
    <w:p w14:paraId="69CE780D">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p>
    <w:p w14:paraId="398E4E9F">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 xml:space="preserve">3.2-1  </w:t>
      </w:r>
      <w:r>
        <w:rPr>
          <w:rFonts w:ascii="Times New Roman" w:hAnsi="Times New Roman" w:eastAsia="宋体" w:cs="Times New Roman"/>
          <w:b/>
          <w:bCs/>
          <w:color w:val="auto"/>
          <w:sz w:val="21"/>
          <w:szCs w:val="21"/>
          <w:highlight w:val="none"/>
        </w:rPr>
        <w:t>自然保护区内占地类型统计表</w:t>
      </w:r>
    </w:p>
    <w:tbl>
      <w:tblPr>
        <w:tblStyle w:val="22"/>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1540"/>
        <w:gridCol w:w="1826"/>
        <w:gridCol w:w="1303"/>
        <w:gridCol w:w="1281"/>
        <w:gridCol w:w="1286"/>
      </w:tblGrid>
      <w:tr w14:paraId="5F7F6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85" w:type="dxa"/>
            <w:vAlign w:val="center"/>
          </w:tcPr>
          <w:p w14:paraId="10A65A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highlight w:val="none"/>
              </w:rPr>
              <w:t>塔基序号</w:t>
            </w:r>
          </w:p>
        </w:tc>
        <w:tc>
          <w:tcPr>
            <w:tcW w:w="1540" w:type="dxa"/>
            <w:vAlign w:val="center"/>
          </w:tcPr>
          <w:p w14:paraId="5D53A5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地类</w:t>
            </w:r>
          </w:p>
        </w:tc>
        <w:tc>
          <w:tcPr>
            <w:tcW w:w="1826" w:type="dxa"/>
            <w:vAlign w:val="center"/>
          </w:tcPr>
          <w:p w14:paraId="0A556E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主要物种</w:t>
            </w:r>
          </w:p>
        </w:tc>
        <w:tc>
          <w:tcPr>
            <w:tcW w:w="1303" w:type="dxa"/>
            <w:vAlign w:val="center"/>
          </w:tcPr>
          <w:p w14:paraId="17D76B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面积（m</w:t>
            </w:r>
            <w:r>
              <w:rPr>
                <w:rFonts w:hint="eastAsia" w:eastAsia="宋体" w:cs="Times New Roman"/>
                <w:b w:val="0"/>
                <w:bCs w:val="0"/>
                <w:color w:val="auto"/>
                <w:spacing w:val="3"/>
                <w:sz w:val="21"/>
                <w:szCs w:val="21"/>
                <w:highlight w:val="none"/>
                <w:vertAlign w:val="superscript"/>
                <w:lang w:val="en-US" w:eastAsia="zh-CN"/>
              </w:rPr>
              <w:t>2</w:t>
            </w:r>
            <w:r>
              <w:rPr>
                <w:rFonts w:hint="default" w:ascii="Times New Roman" w:hAnsi="Times New Roman" w:eastAsia="宋体" w:cs="Times New Roman"/>
                <w:b w:val="0"/>
                <w:bCs w:val="0"/>
                <w:color w:val="auto"/>
                <w:spacing w:val="3"/>
                <w:sz w:val="21"/>
                <w:szCs w:val="21"/>
                <w:highlight w:val="none"/>
              </w:rPr>
              <w:t>）</w:t>
            </w:r>
          </w:p>
        </w:tc>
        <w:tc>
          <w:tcPr>
            <w:tcW w:w="1281" w:type="dxa"/>
            <w:vAlign w:val="center"/>
          </w:tcPr>
          <w:p w14:paraId="32DA4D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
                <w:sz w:val="21"/>
                <w:szCs w:val="21"/>
                <w:highlight w:val="none"/>
              </w:rPr>
              <w:t>权属</w:t>
            </w:r>
          </w:p>
        </w:tc>
        <w:tc>
          <w:tcPr>
            <w:tcW w:w="1286" w:type="dxa"/>
            <w:vAlign w:val="center"/>
          </w:tcPr>
          <w:p w14:paraId="56712F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保护等级</w:t>
            </w:r>
          </w:p>
        </w:tc>
      </w:tr>
      <w:tr w14:paraId="09D8F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533A7F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1"/>
                <w:sz w:val="21"/>
                <w:szCs w:val="21"/>
                <w:highlight w:val="none"/>
                <w:lang w:val="en-US" w:eastAsia="zh-CN"/>
              </w:rPr>
              <w:t>N</w:t>
            </w:r>
            <w:r>
              <w:rPr>
                <w:rFonts w:hint="default" w:ascii="Times New Roman" w:hAnsi="Times New Roman" w:eastAsia="宋体" w:cs="Times New Roman"/>
                <w:b w:val="0"/>
                <w:bCs w:val="0"/>
                <w:color w:val="auto"/>
                <w:spacing w:val="1"/>
                <w:sz w:val="21"/>
                <w:szCs w:val="21"/>
                <w:highlight w:val="none"/>
              </w:rPr>
              <w:t>4</w:t>
            </w:r>
          </w:p>
        </w:tc>
        <w:tc>
          <w:tcPr>
            <w:tcW w:w="1540" w:type="dxa"/>
            <w:vAlign w:val="center"/>
          </w:tcPr>
          <w:p w14:paraId="7E3796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特殊灌木林地</w:t>
            </w:r>
          </w:p>
        </w:tc>
        <w:tc>
          <w:tcPr>
            <w:tcW w:w="1826" w:type="dxa"/>
            <w:vAlign w:val="center"/>
          </w:tcPr>
          <w:p w14:paraId="41CD82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山荆子</w:t>
            </w:r>
          </w:p>
        </w:tc>
        <w:tc>
          <w:tcPr>
            <w:tcW w:w="1303" w:type="dxa"/>
            <w:vAlign w:val="center"/>
          </w:tcPr>
          <w:p w14:paraId="017701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6C6BAD3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4A8D67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highlight w:val="none"/>
              </w:rPr>
              <w:t>Ⅳ级</w:t>
            </w:r>
          </w:p>
        </w:tc>
      </w:tr>
      <w:tr w14:paraId="1EC6E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285" w:type="dxa"/>
            <w:vAlign w:val="center"/>
          </w:tcPr>
          <w:p w14:paraId="7D9E81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5</w:t>
            </w:r>
          </w:p>
        </w:tc>
        <w:tc>
          <w:tcPr>
            <w:tcW w:w="1540" w:type="dxa"/>
            <w:vAlign w:val="center"/>
          </w:tcPr>
          <w:p w14:paraId="44A9D6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0FDE6A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白桦、蒙古栎</w:t>
            </w:r>
          </w:p>
        </w:tc>
        <w:tc>
          <w:tcPr>
            <w:tcW w:w="1303" w:type="dxa"/>
            <w:vAlign w:val="center"/>
          </w:tcPr>
          <w:p w14:paraId="6E89684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02CF52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0709AE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Ⅲ级</w:t>
            </w:r>
          </w:p>
        </w:tc>
      </w:tr>
      <w:tr w14:paraId="45274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612237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6</w:t>
            </w:r>
          </w:p>
        </w:tc>
        <w:tc>
          <w:tcPr>
            <w:tcW w:w="1540" w:type="dxa"/>
            <w:vAlign w:val="center"/>
          </w:tcPr>
          <w:p w14:paraId="7AB78C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特殊灌木林地</w:t>
            </w:r>
          </w:p>
        </w:tc>
        <w:tc>
          <w:tcPr>
            <w:tcW w:w="1826" w:type="dxa"/>
            <w:vAlign w:val="center"/>
          </w:tcPr>
          <w:p w14:paraId="4E909E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053310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3FD1F3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6914F9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highlight w:val="none"/>
              </w:rPr>
              <w:t>Ⅳ级</w:t>
            </w:r>
          </w:p>
        </w:tc>
      </w:tr>
      <w:tr w14:paraId="2FF5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318F69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7</w:t>
            </w:r>
          </w:p>
        </w:tc>
        <w:tc>
          <w:tcPr>
            <w:tcW w:w="1540" w:type="dxa"/>
            <w:vAlign w:val="center"/>
          </w:tcPr>
          <w:p w14:paraId="411538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699C71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24D1399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5DDFCE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216884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7C711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285" w:type="dxa"/>
            <w:vAlign w:val="center"/>
          </w:tcPr>
          <w:p w14:paraId="2E19E7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8</w:t>
            </w:r>
          </w:p>
        </w:tc>
        <w:tc>
          <w:tcPr>
            <w:tcW w:w="1540" w:type="dxa"/>
            <w:vAlign w:val="center"/>
          </w:tcPr>
          <w:p w14:paraId="7C7D64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2E1E26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4A4FBF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3644AC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156527E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Ⅲ级</w:t>
            </w:r>
          </w:p>
        </w:tc>
      </w:tr>
      <w:tr w14:paraId="2DD12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29AE11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9</w:t>
            </w:r>
          </w:p>
        </w:tc>
        <w:tc>
          <w:tcPr>
            <w:tcW w:w="1540" w:type="dxa"/>
            <w:vAlign w:val="center"/>
          </w:tcPr>
          <w:p w14:paraId="280202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7598F7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0EF579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7D7851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414B34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Ⅲ级</w:t>
            </w:r>
          </w:p>
        </w:tc>
      </w:tr>
      <w:tr w14:paraId="19BF4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285" w:type="dxa"/>
            <w:vAlign w:val="center"/>
          </w:tcPr>
          <w:p w14:paraId="067B4B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10</w:t>
            </w:r>
          </w:p>
        </w:tc>
        <w:tc>
          <w:tcPr>
            <w:tcW w:w="1540" w:type="dxa"/>
            <w:vAlign w:val="center"/>
          </w:tcPr>
          <w:p w14:paraId="3212B7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5295F55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642B70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6410E7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63FD58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0A642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75C533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11</w:t>
            </w:r>
          </w:p>
        </w:tc>
        <w:tc>
          <w:tcPr>
            <w:tcW w:w="1540" w:type="dxa"/>
            <w:vAlign w:val="center"/>
          </w:tcPr>
          <w:p w14:paraId="7959EB4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014FE9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56E05A3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26D732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6721E7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4AC87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285" w:type="dxa"/>
            <w:vAlign w:val="center"/>
          </w:tcPr>
          <w:p w14:paraId="7CF220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12</w:t>
            </w:r>
          </w:p>
        </w:tc>
        <w:tc>
          <w:tcPr>
            <w:tcW w:w="1540" w:type="dxa"/>
            <w:vAlign w:val="center"/>
          </w:tcPr>
          <w:p w14:paraId="2D570C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3AA4F3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475E05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41CED9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36884B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65C65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7B6AAB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13</w:t>
            </w:r>
          </w:p>
        </w:tc>
        <w:tc>
          <w:tcPr>
            <w:tcW w:w="1540" w:type="dxa"/>
            <w:vAlign w:val="center"/>
          </w:tcPr>
          <w:p w14:paraId="04129B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052B5F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6D6EE8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5D61E5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40848E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66D2F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0F3BDB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14</w:t>
            </w:r>
          </w:p>
        </w:tc>
        <w:tc>
          <w:tcPr>
            <w:tcW w:w="1540" w:type="dxa"/>
            <w:vAlign w:val="center"/>
          </w:tcPr>
          <w:p w14:paraId="1FFCB0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特殊灌木林地</w:t>
            </w:r>
          </w:p>
        </w:tc>
        <w:tc>
          <w:tcPr>
            <w:tcW w:w="1826" w:type="dxa"/>
            <w:vAlign w:val="center"/>
          </w:tcPr>
          <w:p w14:paraId="599259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草丛</w:t>
            </w:r>
          </w:p>
        </w:tc>
        <w:tc>
          <w:tcPr>
            <w:tcW w:w="1303" w:type="dxa"/>
            <w:vAlign w:val="center"/>
          </w:tcPr>
          <w:p w14:paraId="49EEE3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2DA25D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2E8284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70216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467B6F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15</w:t>
            </w:r>
          </w:p>
        </w:tc>
        <w:tc>
          <w:tcPr>
            <w:tcW w:w="1540" w:type="dxa"/>
            <w:vAlign w:val="center"/>
          </w:tcPr>
          <w:p w14:paraId="3F0F17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4AE62C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16421A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169</w:t>
            </w:r>
          </w:p>
        </w:tc>
        <w:tc>
          <w:tcPr>
            <w:tcW w:w="1281" w:type="dxa"/>
            <w:vAlign w:val="center"/>
          </w:tcPr>
          <w:p w14:paraId="14B70A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highlight w:val="none"/>
              </w:rPr>
              <w:t>国有</w:t>
            </w:r>
          </w:p>
        </w:tc>
        <w:tc>
          <w:tcPr>
            <w:tcW w:w="1286" w:type="dxa"/>
            <w:vAlign w:val="center"/>
          </w:tcPr>
          <w:p w14:paraId="4CD6CD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25C18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22D80D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16</w:t>
            </w:r>
          </w:p>
        </w:tc>
        <w:tc>
          <w:tcPr>
            <w:tcW w:w="1540" w:type="dxa"/>
            <w:vAlign w:val="center"/>
          </w:tcPr>
          <w:p w14:paraId="2D541D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0978295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蒙古栎</w:t>
            </w:r>
          </w:p>
        </w:tc>
        <w:tc>
          <w:tcPr>
            <w:tcW w:w="1303" w:type="dxa"/>
            <w:vAlign w:val="center"/>
          </w:tcPr>
          <w:p w14:paraId="6742B5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6D7385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706897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1B7AD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2DB971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17</w:t>
            </w:r>
          </w:p>
        </w:tc>
        <w:tc>
          <w:tcPr>
            <w:tcW w:w="1540" w:type="dxa"/>
            <w:vAlign w:val="center"/>
          </w:tcPr>
          <w:p w14:paraId="695B93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03CE0A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224584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2A97E4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27B441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55132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02D56B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18</w:t>
            </w:r>
          </w:p>
        </w:tc>
        <w:tc>
          <w:tcPr>
            <w:tcW w:w="1540" w:type="dxa"/>
            <w:vAlign w:val="center"/>
          </w:tcPr>
          <w:p w14:paraId="19EFFA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10CDAE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33B27E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4C633A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1922FC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7C978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285" w:type="dxa"/>
            <w:vAlign w:val="center"/>
          </w:tcPr>
          <w:p w14:paraId="71DD7D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19</w:t>
            </w:r>
          </w:p>
        </w:tc>
        <w:tc>
          <w:tcPr>
            <w:tcW w:w="1540" w:type="dxa"/>
            <w:vAlign w:val="center"/>
          </w:tcPr>
          <w:p w14:paraId="64AA3BD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79472A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69846A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596496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4E83A2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1FE8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center"/>
          </w:tcPr>
          <w:p w14:paraId="0F5D3D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eastAsia="宋体" w:cs="Times New Roman"/>
                <w:b w:val="0"/>
                <w:bCs w:val="0"/>
                <w:color w:val="auto"/>
                <w:spacing w:val="2"/>
                <w:sz w:val="21"/>
                <w:szCs w:val="21"/>
                <w:highlight w:val="none"/>
                <w:lang w:val="en-US" w:eastAsia="zh-CN"/>
              </w:rPr>
              <w:t>N</w:t>
            </w:r>
            <w:r>
              <w:rPr>
                <w:rFonts w:hint="default" w:ascii="Times New Roman" w:hAnsi="Times New Roman" w:eastAsia="宋体" w:cs="Times New Roman"/>
                <w:b w:val="0"/>
                <w:bCs w:val="0"/>
                <w:color w:val="auto"/>
                <w:spacing w:val="2"/>
                <w:sz w:val="21"/>
                <w:szCs w:val="21"/>
                <w:highlight w:val="none"/>
              </w:rPr>
              <w:t>20</w:t>
            </w:r>
          </w:p>
        </w:tc>
        <w:tc>
          <w:tcPr>
            <w:tcW w:w="1540" w:type="dxa"/>
            <w:vAlign w:val="center"/>
          </w:tcPr>
          <w:p w14:paraId="7906CC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乔木林地</w:t>
            </w:r>
          </w:p>
        </w:tc>
        <w:tc>
          <w:tcPr>
            <w:tcW w:w="1826" w:type="dxa"/>
            <w:vAlign w:val="center"/>
          </w:tcPr>
          <w:p w14:paraId="51B269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白桦</w:t>
            </w:r>
          </w:p>
        </w:tc>
        <w:tc>
          <w:tcPr>
            <w:tcW w:w="1303" w:type="dxa"/>
            <w:vAlign w:val="center"/>
          </w:tcPr>
          <w:p w14:paraId="285293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100</w:t>
            </w:r>
          </w:p>
        </w:tc>
        <w:tc>
          <w:tcPr>
            <w:tcW w:w="1281" w:type="dxa"/>
            <w:vAlign w:val="center"/>
          </w:tcPr>
          <w:p w14:paraId="1BDE79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集体</w:t>
            </w:r>
          </w:p>
        </w:tc>
        <w:tc>
          <w:tcPr>
            <w:tcW w:w="1286" w:type="dxa"/>
            <w:vAlign w:val="center"/>
          </w:tcPr>
          <w:p w14:paraId="4D53AE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Ⅱ级</w:t>
            </w:r>
          </w:p>
        </w:tc>
      </w:tr>
      <w:tr w14:paraId="7E97E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4BE1DC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N21</w:t>
            </w:r>
          </w:p>
        </w:tc>
        <w:tc>
          <w:tcPr>
            <w:tcW w:w="1540" w:type="dxa"/>
            <w:vAlign w:val="top"/>
          </w:tcPr>
          <w:p w14:paraId="41D0CD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疏林地</w:t>
            </w:r>
          </w:p>
        </w:tc>
        <w:tc>
          <w:tcPr>
            <w:tcW w:w="1826" w:type="dxa"/>
            <w:vAlign w:val="top"/>
          </w:tcPr>
          <w:p w14:paraId="4A2F06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灌丛</w:t>
            </w:r>
          </w:p>
        </w:tc>
        <w:tc>
          <w:tcPr>
            <w:tcW w:w="1303" w:type="dxa"/>
            <w:vAlign w:val="top"/>
          </w:tcPr>
          <w:p w14:paraId="4BAD38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100</w:t>
            </w:r>
          </w:p>
        </w:tc>
        <w:tc>
          <w:tcPr>
            <w:tcW w:w="1281" w:type="dxa"/>
            <w:vAlign w:val="top"/>
          </w:tcPr>
          <w:p w14:paraId="72F1E1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集体</w:t>
            </w:r>
          </w:p>
        </w:tc>
        <w:tc>
          <w:tcPr>
            <w:tcW w:w="1286" w:type="dxa"/>
            <w:vAlign w:val="top"/>
          </w:tcPr>
          <w:p w14:paraId="4E9A70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r w14:paraId="68FF6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23ABF0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N22</w:t>
            </w:r>
          </w:p>
        </w:tc>
        <w:tc>
          <w:tcPr>
            <w:tcW w:w="1540" w:type="dxa"/>
            <w:vAlign w:val="top"/>
          </w:tcPr>
          <w:p w14:paraId="047043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乔木林地</w:t>
            </w:r>
          </w:p>
        </w:tc>
        <w:tc>
          <w:tcPr>
            <w:tcW w:w="1826" w:type="dxa"/>
            <w:vAlign w:val="top"/>
          </w:tcPr>
          <w:p w14:paraId="130351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白桦</w:t>
            </w:r>
          </w:p>
        </w:tc>
        <w:tc>
          <w:tcPr>
            <w:tcW w:w="1303" w:type="dxa"/>
            <w:vAlign w:val="top"/>
          </w:tcPr>
          <w:p w14:paraId="197E35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100</w:t>
            </w:r>
          </w:p>
        </w:tc>
        <w:tc>
          <w:tcPr>
            <w:tcW w:w="1281" w:type="dxa"/>
            <w:vAlign w:val="top"/>
          </w:tcPr>
          <w:p w14:paraId="77746B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集体</w:t>
            </w:r>
          </w:p>
        </w:tc>
        <w:tc>
          <w:tcPr>
            <w:tcW w:w="1286" w:type="dxa"/>
            <w:vAlign w:val="top"/>
          </w:tcPr>
          <w:p w14:paraId="6A5AEA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r w14:paraId="13E89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2F0303A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N23</w:t>
            </w:r>
          </w:p>
        </w:tc>
        <w:tc>
          <w:tcPr>
            <w:tcW w:w="1540" w:type="dxa"/>
            <w:vAlign w:val="top"/>
          </w:tcPr>
          <w:p w14:paraId="643FF5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乔木林地</w:t>
            </w:r>
          </w:p>
        </w:tc>
        <w:tc>
          <w:tcPr>
            <w:tcW w:w="1826" w:type="dxa"/>
            <w:vAlign w:val="top"/>
          </w:tcPr>
          <w:p w14:paraId="5A38BA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蒙椴、山杨</w:t>
            </w:r>
          </w:p>
        </w:tc>
        <w:tc>
          <w:tcPr>
            <w:tcW w:w="1303" w:type="dxa"/>
            <w:vAlign w:val="top"/>
          </w:tcPr>
          <w:p w14:paraId="0067C6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100</w:t>
            </w:r>
          </w:p>
        </w:tc>
        <w:tc>
          <w:tcPr>
            <w:tcW w:w="1281" w:type="dxa"/>
            <w:vAlign w:val="top"/>
          </w:tcPr>
          <w:p w14:paraId="1807AF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集体</w:t>
            </w:r>
          </w:p>
        </w:tc>
        <w:tc>
          <w:tcPr>
            <w:tcW w:w="1286" w:type="dxa"/>
            <w:vAlign w:val="top"/>
          </w:tcPr>
          <w:p w14:paraId="7C1848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r w14:paraId="545CD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28F415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N24</w:t>
            </w:r>
          </w:p>
        </w:tc>
        <w:tc>
          <w:tcPr>
            <w:tcW w:w="1540" w:type="dxa"/>
            <w:vAlign w:val="top"/>
          </w:tcPr>
          <w:p w14:paraId="2CFD97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乔木林地</w:t>
            </w:r>
          </w:p>
        </w:tc>
        <w:tc>
          <w:tcPr>
            <w:tcW w:w="1826" w:type="dxa"/>
            <w:vAlign w:val="top"/>
          </w:tcPr>
          <w:p w14:paraId="5F4D01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白桦</w:t>
            </w:r>
          </w:p>
        </w:tc>
        <w:tc>
          <w:tcPr>
            <w:tcW w:w="1303" w:type="dxa"/>
            <w:vAlign w:val="top"/>
          </w:tcPr>
          <w:p w14:paraId="6D2147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100</w:t>
            </w:r>
          </w:p>
        </w:tc>
        <w:tc>
          <w:tcPr>
            <w:tcW w:w="1281" w:type="dxa"/>
            <w:vAlign w:val="top"/>
          </w:tcPr>
          <w:p w14:paraId="537FCD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集体</w:t>
            </w:r>
          </w:p>
        </w:tc>
        <w:tc>
          <w:tcPr>
            <w:tcW w:w="1286" w:type="dxa"/>
            <w:vAlign w:val="top"/>
          </w:tcPr>
          <w:p w14:paraId="68EFE8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r w14:paraId="3A8B8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1EE13E7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N25</w:t>
            </w:r>
          </w:p>
        </w:tc>
        <w:tc>
          <w:tcPr>
            <w:tcW w:w="1540" w:type="dxa"/>
            <w:vAlign w:val="top"/>
          </w:tcPr>
          <w:p w14:paraId="78EDC3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乔木林地</w:t>
            </w:r>
          </w:p>
        </w:tc>
        <w:tc>
          <w:tcPr>
            <w:tcW w:w="1826" w:type="dxa"/>
            <w:vAlign w:val="top"/>
          </w:tcPr>
          <w:p w14:paraId="37940F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白桦</w:t>
            </w:r>
          </w:p>
        </w:tc>
        <w:tc>
          <w:tcPr>
            <w:tcW w:w="1303" w:type="dxa"/>
            <w:vAlign w:val="top"/>
          </w:tcPr>
          <w:p w14:paraId="7390E6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169</w:t>
            </w:r>
          </w:p>
        </w:tc>
        <w:tc>
          <w:tcPr>
            <w:tcW w:w="1281" w:type="dxa"/>
            <w:vAlign w:val="top"/>
          </w:tcPr>
          <w:p w14:paraId="432C4C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国有</w:t>
            </w:r>
          </w:p>
        </w:tc>
        <w:tc>
          <w:tcPr>
            <w:tcW w:w="1286" w:type="dxa"/>
            <w:vAlign w:val="top"/>
          </w:tcPr>
          <w:p w14:paraId="1192DF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r w14:paraId="03E98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5" w:type="dxa"/>
            <w:vAlign w:val="top"/>
          </w:tcPr>
          <w:p w14:paraId="18714D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N26</w:t>
            </w:r>
          </w:p>
        </w:tc>
        <w:tc>
          <w:tcPr>
            <w:tcW w:w="1540" w:type="dxa"/>
            <w:vAlign w:val="top"/>
          </w:tcPr>
          <w:p w14:paraId="633ECF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乔木林地</w:t>
            </w:r>
          </w:p>
        </w:tc>
        <w:tc>
          <w:tcPr>
            <w:tcW w:w="1826" w:type="dxa"/>
            <w:vAlign w:val="top"/>
          </w:tcPr>
          <w:p w14:paraId="2662C8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白桦</w:t>
            </w:r>
          </w:p>
        </w:tc>
        <w:tc>
          <w:tcPr>
            <w:tcW w:w="1303" w:type="dxa"/>
            <w:vAlign w:val="top"/>
          </w:tcPr>
          <w:p w14:paraId="1E1C70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100</w:t>
            </w:r>
          </w:p>
        </w:tc>
        <w:tc>
          <w:tcPr>
            <w:tcW w:w="1281" w:type="dxa"/>
            <w:vAlign w:val="top"/>
          </w:tcPr>
          <w:p w14:paraId="1AC499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集体</w:t>
            </w:r>
          </w:p>
        </w:tc>
        <w:tc>
          <w:tcPr>
            <w:tcW w:w="1286" w:type="dxa"/>
            <w:vAlign w:val="top"/>
          </w:tcPr>
          <w:p w14:paraId="283A59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val="0"/>
                <w:color w:val="auto"/>
                <w:spacing w:val="-8"/>
                <w:sz w:val="21"/>
                <w:szCs w:val="21"/>
                <w:highlight w:val="none"/>
                <w:lang w:val="en-US" w:eastAsia="zh-CN"/>
              </w:rPr>
            </w:pPr>
            <w:r>
              <w:rPr>
                <w:rFonts w:hint="eastAsia" w:ascii="Times New Roman" w:hAnsi="Times New Roman" w:eastAsia="宋体" w:cs="Times New Roman"/>
                <w:b w:val="0"/>
                <w:bCs w:val="0"/>
                <w:color w:val="auto"/>
                <w:spacing w:val="-8"/>
                <w:sz w:val="21"/>
                <w:szCs w:val="21"/>
                <w:highlight w:val="none"/>
                <w:lang w:val="en-US" w:eastAsia="zh-CN"/>
              </w:rPr>
              <w:t>Ⅱ级</w:t>
            </w:r>
          </w:p>
        </w:tc>
      </w:tr>
    </w:tbl>
    <w:p w14:paraId="3E6FD797">
      <w:pPr>
        <w:bidi w:val="0"/>
        <w:rPr>
          <w:color w:val="auto"/>
          <w:highlight w:val="none"/>
        </w:rPr>
      </w:pPr>
      <w:r>
        <w:rPr>
          <w:rFonts w:hint="eastAsia"/>
          <w:color w:val="auto"/>
          <w:highlight w:val="none"/>
          <w:lang w:val="en-US" w:eastAsia="zh-CN"/>
        </w:rPr>
        <w:t>3.2</w:t>
      </w:r>
      <w:r>
        <w:rPr>
          <w:color w:val="auto"/>
          <w:highlight w:val="none"/>
        </w:rPr>
        <w:t>.2自然保护区内施工工艺</w:t>
      </w:r>
    </w:p>
    <w:p w14:paraId="0A74D5B0">
      <w:pPr>
        <w:bidi w:val="0"/>
        <w:rPr>
          <w:color w:val="auto"/>
          <w:highlight w:val="none"/>
        </w:rPr>
      </w:pPr>
      <w:r>
        <w:rPr>
          <w:color w:val="auto"/>
          <w:highlight w:val="none"/>
        </w:rPr>
        <w:fldChar w:fldCharType="begin"/>
      </w:r>
      <w:r>
        <w:rPr>
          <w:color w:val="auto"/>
          <w:highlight w:val="none"/>
        </w:rPr>
        <w:instrText xml:space="preserve"> HYPERLINK "4.4.2.1" </w:instrText>
      </w:r>
      <w:r>
        <w:rPr>
          <w:color w:val="auto"/>
          <w:highlight w:val="none"/>
        </w:rPr>
        <w:fldChar w:fldCharType="separate"/>
      </w:r>
      <w:r>
        <w:rPr>
          <w:rFonts w:hint="eastAsia"/>
          <w:color w:val="auto"/>
          <w:highlight w:val="none"/>
          <w:lang w:val="en-US" w:eastAsia="zh-CN"/>
        </w:rPr>
        <w:t>3.2</w:t>
      </w:r>
      <w:r>
        <w:rPr>
          <w:color w:val="auto"/>
          <w:highlight w:val="none"/>
        </w:rPr>
        <w:t>.2.1</w:t>
      </w:r>
      <w:r>
        <w:rPr>
          <w:color w:val="auto"/>
          <w:highlight w:val="none"/>
        </w:rPr>
        <w:fldChar w:fldCharType="end"/>
      </w:r>
      <w:r>
        <w:rPr>
          <w:color w:val="auto"/>
          <w:highlight w:val="none"/>
        </w:rPr>
        <w:t>塔基施工工艺</w:t>
      </w:r>
    </w:p>
    <w:p w14:paraId="7A7BFE02">
      <w:pPr>
        <w:bidi w:val="0"/>
        <w:rPr>
          <w:color w:val="auto"/>
          <w:highlight w:val="none"/>
        </w:rPr>
      </w:pPr>
      <w:r>
        <w:rPr>
          <w:color w:val="auto"/>
          <w:highlight w:val="none"/>
        </w:rPr>
        <w:t>（1）塔基开挖</w:t>
      </w:r>
    </w:p>
    <w:p w14:paraId="1332498C">
      <w:pPr>
        <w:bidi w:val="0"/>
        <w:rPr>
          <w:color w:val="auto"/>
          <w:highlight w:val="none"/>
        </w:rPr>
      </w:pPr>
      <w:r>
        <w:rPr>
          <w:color w:val="auto"/>
          <w:highlight w:val="none"/>
        </w:rPr>
        <w:t>塔基等建筑材料采取人工或者牲畜运输，基础施工也采取人工分层开挖。每个塔基开挖4个直径80cm深4m的圆柱形土坑，单个塔基的开挖土方大概为2m</w:t>
      </w:r>
      <w:r>
        <w:rPr>
          <w:color w:val="auto"/>
          <w:highlight w:val="none"/>
          <w:vertAlign w:val="superscript"/>
        </w:rPr>
        <w:t>3</w:t>
      </w:r>
      <w:r>
        <w:rPr>
          <w:color w:val="auto"/>
          <w:highlight w:val="none"/>
        </w:rPr>
        <w:t>，由人工搅拌水泥浇筑，开挖土方均在塔基占地范围内的合理位置填埋。</w:t>
      </w:r>
    </w:p>
    <w:p w14:paraId="3AECCEC8">
      <w:pPr>
        <w:bidi w:val="0"/>
        <w:rPr>
          <w:color w:val="auto"/>
          <w:highlight w:val="none"/>
        </w:rPr>
      </w:pPr>
      <w:r>
        <w:rPr>
          <w:color w:val="auto"/>
          <w:highlight w:val="none"/>
        </w:rPr>
        <w:t>（2）组塔</w:t>
      </w:r>
    </w:p>
    <w:p w14:paraId="5CF95477">
      <w:pPr>
        <w:bidi w:val="0"/>
        <w:rPr>
          <w:color w:val="auto"/>
          <w:highlight w:val="none"/>
        </w:rPr>
      </w:pPr>
      <w:r>
        <w:rPr>
          <w:color w:val="auto"/>
          <w:highlight w:val="none"/>
        </w:rPr>
        <w:t>根据《国家电网公司关于印发标准化建设成果（35～750kV输变电工程通用设计、通用设备）应用目录（2016年版）的通知》，本次工程线路位于围场县，属于山地项目，塔型选择采用高低腿铁塔，尽量减少占地和土方开挖量。塔基的建构材料由牲畜运输到占地范围内，由人工的方式进行组装，减少对保护区环境的破坏。保护区内塔基型号包括JC1、JC2、JC3、ZM2、ZMK，其中JC为转角塔，ZM为直角塔，保护区内涉及转角塔13座，直角塔10座。</w:t>
      </w:r>
    </w:p>
    <w:p w14:paraId="680A719D">
      <w:pPr>
        <w:bidi w:val="0"/>
        <w:rPr>
          <w:color w:val="auto"/>
          <w:highlight w:val="none"/>
        </w:rPr>
      </w:pPr>
      <w:r>
        <w:rPr>
          <w:color w:val="auto"/>
          <w:highlight w:val="none"/>
        </w:rPr>
        <w:fldChar w:fldCharType="begin"/>
      </w:r>
      <w:r>
        <w:rPr>
          <w:color w:val="auto"/>
          <w:highlight w:val="none"/>
        </w:rPr>
        <w:instrText xml:space="preserve"> HYPERLINK "4.4.2.2" </w:instrText>
      </w:r>
      <w:r>
        <w:rPr>
          <w:color w:val="auto"/>
          <w:highlight w:val="none"/>
        </w:rPr>
        <w:fldChar w:fldCharType="separate"/>
      </w:r>
      <w:r>
        <w:rPr>
          <w:rFonts w:hint="eastAsia"/>
          <w:color w:val="auto"/>
          <w:highlight w:val="none"/>
          <w:lang w:val="en-US" w:eastAsia="zh-CN"/>
        </w:rPr>
        <w:t>3.2</w:t>
      </w:r>
      <w:r>
        <w:rPr>
          <w:color w:val="auto"/>
          <w:highlight w:val="none"/>
        </w:rPr>
        <w:t>.2.2</w:t>
      </w:r>
      <w:r>
        <w:rPr>
          <w:color w:val="auto"/>
          <w:highlight w:val="none"/>
        </w:rPr>
        <w:fldChar w:fldCharType="end"/>
      </w:r>
      <w:r>
        <w:rPr>
          <w:color w:val="auto"/>
          <w:highlight w:val="none"/>
        </w:rPr>
        <w:t>架线工艺</w:t>
      </w:r>
    </w:p>
    <w:p w14:paraId="69FF0091">
      <w:pPr>
        <w:bidi w:val="0"/>
        <w:rPr>
          <w:color w:val="auto"/>
          <w:highlight w:val="none"/>
        </w:rPr>
      </w:pPr>
      <w:r>
        <w:rPr>
          <w:color w:val="auto"/>
          <w:highlight w:val="none"/>
        </w:rPr>
        <w:t>架线施工时采用张力架线，施工过程中钢丝绳及导线始终不落地，效率高，速度快，对保护区影响小。初级导引绳采用无人机不落地展放，全程不砍伐通道。在展放过程中，利用无人机牵引初级导引绳逐基通过放线段塔顶，塔上人员通过专用工具将初级导引绳置入塔顶的朝天滑车轮槽中，逐次完成每基塔的操作。后续各级引绳及导地线通近逐级牵引及分相移位全过程带张力展放。</w:t>
      </w:r>
    </w:p>
    <w:p w14:paraId="6FD157AC">
      <w:pPr>
        <w:bidi w:val="0"/>
        <w:rPr>
          <w:color w:val="auto"/>
          <w:highlight w:val="none"/>
        </w:rPr>
      </w:pPr>
      <w:r>
        <w:rPr>
          <w:rFonts w:hint="eastAsia"/>
          <w:color w:val="auto"/>
          <w:highlight w:val="none"/>
          <w:lang w:val="en-US" w:eastAsia="zh-CN"/>
        </w:rPr>
        <w:t>3.2</w:t>
      </w:r>
      <w:r>
        <w:rPr>
          <w:color w:val="auto"/>
          <w:highlight w:val="none"/>
        </w:rPr>
        <w:t>.3自然保护区内塔基概况</w:t>
      </w:r>
    </w:p>
    <w:p w14:paraId="221B6564">
      <w:pPr>
        <w:bidi w:val="0"/>
        <w:rPr>
          <w:color w:val="auto"/>
          <w:highlight w:val="none"/>
        </w:rPr>
      </w:pPr>
      <w:r>
        <w:rPr>
          <w:color w:val="auto"/>
          <w:highlight w:val="none"/>
        </w:rPr>
        <w:t>（1）塔基占地范围四至坐标</w:t>
      </w:r>
    </w:p>
    <w:p w14:paraId="057AEDEB">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 xml:space="preserve">3.2-2 </w:t>
      </w:r>
      <w:r>
        <w:rPr>
          <w:rFonts w:ascii="Times New Roman" w:hAnsi="Times New Roman" w:eastAsia="宋体" w:cs="Times New Roman"/>
          <w:b/>
          <w:bCs/>
          <w:color w:val="auto"/>
          <w:sz w:val="21"/>
          <w:szCs w:val="21"/>
          <w:highlight w:val="none"/>
        </w:rPr>
        <w:t xml:space="preserve"> 塔基占地范围四至坐标统计表</w:t>
      </w:r>
    </w:p>
    <w:tbl>
      <w:tblPr>
        <w:tblStyle w:val="2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69"/>
        <w:gridCol w:w="3057"/>
        <w:gridCol w:w="3405"/>
      </w:tblGrid>
      <w:tr w14:paraId="1A700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12" w:type="pct"/>
            <w:vAlign w:val="center"/>
          </w:tcPr>
          <w:p w14:paraId="093267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塔基序号</w:t>
            </w:r>
          </w:p>
        </w:tc>
        <w:tc>
          <w:tcPr>
            <w:tcW w:w="1791" w:type="pct"/>
            <w:vAlign w:val="center"/>
          </w:tcPr>
          <w:p w14:paraId="4779DE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X</w:t>
            </w:r>
          </w:p>
        </w:tc>
        <w:tc>
          <w:tcPr>
            <w:tcW w:w="1995" w:type="pct"/>
            <w:vAlign w:val="center"/>
          </w:tcPr>
          <w:p w14:paraId="3D8524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Y</w:t>
            </w:r>
          </w:p>
        </w:tc>
      </w:tr>
      <w:tr w14:paraId="05077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restart"/>
            <w:tcBorders>
              <w:bottom w:val="nil"/>
            </w:tcBorders>
            <w:vAlign w:val="center"/>
          </w:tcPr>
          <w:p w14:paraId="484A0B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pacing w:val="1"/>
                <w:sz w:val="21"/>
                <w:szCs w:val="21"/>
                <w:highlight w:val="none"/>
                <w:lang w:val="en-US" w:eastAsia="zh-CN"/>
              </w:rPr>
              <w:t>N</w:t>
            </w:r>
            <w:r>
              <w:rPr>
                <w:rFonts w:hint="default" w:ascii="Times New Roman" w:hAnsi="Times New Roman" w:eastAsia="宋体" w:cs="Times New Roman"/>
                <w:color w:val="auto"/>
                <w:spacing w:val="1"/>
                <w:sz w:val="21"/>
                <w:szCs w:val="21"/>
                <w:highlight w:val="none"/>
              </w:rPr>
              <w:t>4</w:t>
            </w:r>
          </w:p>
        </w:tc>
        <w:tc>
          <w:tcPr>
            <w:tcW w:w="1791" w:type="pct"/>
            <w:vAlign w:val="center"/>
          </w:tcPr>
          <w:p w14:paraId="636866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1′26.389″</w:t>
            </w:r>
          </w:p>
        </w:tc>
        <w:tc>
          <w:tcPr>
            <w:tcW w:w="1995" w:type="pct"/>
            <w:vAlign w:val="center"/>
          </w:tcPr>
          <w:p w14:paraId="03B5BF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′26.968″</w:t>
            </w:r>
          </w:p>
        </w:tc>
      </w:tr>
      <w:tr w14:paraId="4C477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bottom w:val="nil"/>
            </w:tcBorders>
            <w:vAlign w:val="center"/>
          </w:tcPr>
          <w:p w14:paraId="292FAE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3EEA7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1′26.337″</w:t>
            </w:r>
          </w:p>
        </w:tc>
        <w:tc>
          <w:tcPr>
            <w:tcW w:w="1995" w:type="pct"/>
            <w:vAlign w:val="center"/>
          </w:tcPr>
          <w:p w14:paraId="33918C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′26.646″</w:t>
            </w:r>
          </w:p>
        </w:tc>
      </w:tr>
      <w:tr w14:paraId="6F02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bottom w:val="nil"/>
            </w:tcBorders>
            <w:vAlign w:val="center"/>
          </w:tcPr>
          <w:p w14:paraId="43A593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43CCA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1′25.905″</w:t>
            </w:r>
          </w:p>
        </w:tc>
        <w:tc>
          <w:tcPr>
            <w:tcW w:w="1995" w:type="pct"/>
            <w:vAlign w:val="center"/>
          </w:tcPr>
          <w:p w14:paraId="1957C6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′26.686″</w:t>
            </w:r>
          </w:p>
        </w:tc>
      </w:tr>
      <w:tr w14:paraId="0E6E8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53F3E2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F6B93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1′25.958″</w:t>
            </w:r>
          </w:p>
        </w:tc>
        <w:tc>
          <w:tcPr>
            <w:tcW w:w="1995" w:type="pct"/>
            <w:vAlign w:val="center"/>
          </w:tcPr>
          <w:p w14:paraId="5FF4C5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′27.007″</w:t>
            </w:r>
          </w:p>
        </w:tc>
      </w:tr>
      <w:tr w14:paraId="329F2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1C97F7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5</w:t>
            </w:r>
          </w:p>
        </w:tc>
        <w:tc>
          <w:tcPr>
            <w:tcW w:w="1791" w:type="pct"/>
            <w:vAlign w:val="center"/>
          </w:tcPr>
          <w:p w14:paraId="10E2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1′41.284″</w:t>
            </w:r>
          </w:p>
        </w:tc>
        <w:tc>
          <w:tcPr>
            <w:tcW w:w="1995" w:type="pct"/>
            <w:vAlign w:val="center"/>
          </w:tcPr>
          <w:p w14:paraId="5CF089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′30.585″</w:t>
            </w:r>
          </w:p>
        </w:tc>
      </w:tr>
      <w:tr w14:paraId="2FC00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020C3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B2B65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1′40.873″</w:t>
            </w:r>
          </w:p>
        </w:tc>
        <w:tc>
          <w:tcPr>
            <w:tcW w:w="1995" w:type="pct"/>
            <w:vAlign w:val="center"/>
          </w:tcPr>
          <w:p w14:paraId="22C678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′30.478″</w:t>
            </w:r>
          </w:p>
        </w:tc>
      </w:tr>
      <w:tr w14:paraId="0BE79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31478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39294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117°</w:t>
            </w:r>
            <w:r>
              <w:rPr>
                <w:rFonts w:hint="default" w:ascii="Times New Roman" w:hAnsi="Times New Roman" w:eastAsia="宋体" w:cs="Times New Roman"/>
                <w:color w:val="auto"/>
                <w:spacing w:val="-15"/>
                <w:sz w:val="21"/>
                <w:szCs w:val="21"/>
                <w:highlight w:val="none"/>
              </w:rPr>
              <w:t xml:space="preserve"> </w:t>
            </w:r>
            <w:r>
              <w:rPr>
                <w:rFonts w:hint="default" w:ascii="Times New Roman" w:hAnsi="Times New Roman" w:eastAsia="宋体" w:cs="Times New Roman"/>
                <w:color w:val="auto"/>
                <w:spacing w:val="-2"/>
                <w:sz w:val="21"/>
                <w:szCs w:val="21"/>
                <w:highlight w:val="none"/>
              </w:rPr>
              <w:t>1</w:t>
            </w:r>
            <w:r>
              <w:rPr>
                <w:rFonts w:hint="default" w:ascii="Times New Roman" w:hAnsi="Times New Roman" w:eastAsia="宋体" w:cs="Times New Roman"/>
                <w:color w:val="auto"/>
                <w:spacing w:val="-35"/>
                <w:sz w:val="21"/>
                <w:szCs w:val="21"/>
                <w:highlight w:val="none"/>
              </w:rPr>
              <w:t xml:space="preserve"> </w:t>
            </w:r>
            <w:r>
              <w:rPr>
                <w:rFonts w:hint="default" w:ascii="Times New Roman" w:hAnsi="Times New Roman" w:eastAsia="宋体" w:cs="Times New Roman"/>
                <w:color w:val="auto"/>
                <w:spacing w:val="-2"/>
                <w:sz w:val="21"/>
                <w:szCs w:val="21"/>
                <w:highlight w:val="none"/>
              </w:rPr>
              <w:t>′40.73″</w:t>
            </w:r>
          </w:p>
        </w:tc>
        <w:tc>
          <w:tcPr>
            <w:tcW w:w="1995" w:type="pct"/>
            <w:vAlign w:val="center"/>
          </w:tcPr>
          <w:p w14:paraId="1F0FF3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′30.784″</w:t>
            </w:r>
          </w:p>
        </w:tc>
      </w:tr>
      <w:tr w14:paraId="08D5F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66B286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991F0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117°</w:t>
            </w:r>
            <w:r>
              <w:rPr>
                <w:rFonts w:hint="default" w:ascii="Times New Roman" w:hAnsi="Times New Roman" w:eastAsia="宋体" w:cs="Times New Roman"/>
                <w:color w:val="auto"/>
                <w:spacing w:val="-19"/>
                <w:sz w:val="21"/>
                <w:szCs w:val="21"/>
                <w:highlight w:val="none"/>
              </w:rPr>
              <w:t xml:space="preserve"> </w:t>
            </w:r>
            <w:r>
              <w:rPr>
                <w:rFonts w:hint="default" w:ascii="Times New Roman" w:hAnsi="Times New Roman" w:eastAsia="宋体" w:cs="Times New Roman"/>
                <w:color w:val="auto"/>
                <w:spacing w:val="-2"/>
                <w:sz w:val="21"/>
                <w:szCs w:val="21"/>
                <w:highlight w:val="none"/>
              </w:rPr>
              <w:t>1′41.</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2"/>
                <w:sz w:val="21"/>
                <w:szCs w:val="21"/>
                <w:highlight w:val="none"/>
              </w:rPr>
              <w:t>141″</w:t>
            </w:r>
          </w:p>
        </w:tc>
        <w:tc>
          <w:tcPr>
            <w:tcW w:w="1995" w:type="pct"/>
            <w:vAlign w:val="center"/>
          </w:tcPr>
          <w:p w14:paraId="0C014C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′30.891″</w:t>
            </w:r>
          </w:p>
        </w:tc>
      </w:tr>
      <w:tr w14:paraId="289EF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697F8D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6</w:t>
            </w:r>
          </w:p>
        </w:tc>
        <w:tc>
          <w:tcPr>
            <w:tcW w:w="1791" w:type="pct"/>
            <w:vAlign w:val="center"/>
          </w:tcPr>
          <w:p w14:paraId="58E611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1′53.415″</w:t>
            </w:r>
          </w:p>
        </w:tc>
        <w:tc>
          <w:tcPr>
            <w:tcW w:w="1995" w:type="pct"/>
            <w:vAlign w:val="center"/>
          </w:tcPr>
          <w:p w14:paraId="697916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′33.733″</w:t>
            </w:r>
          </w:p>
        </w:tc>
      </w:tr>
      <w:tr w14:paraId="1B187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5E2A16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0A321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1′53.004″</w:t>
            </w:r>
          </w:p>
        </w:tc>
        <w:tc>
          <w:tcPr>
            <w:tcW w:w="1995" w:type="pct"/>
            <w:vAlign w:val="center"/>
          </w:tcPr>
          <w:p w14:paraId="03F6AB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′33.627″</w:t>
            </w:r>
          </w:p>
        </w:tc>
      </w:tr>
      <w:tr w14:paraId="6687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14605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57451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1′52.861″</w:t>
            </w:r>
          </w:p>
        </w:tc>
        <w:tc>
          <w:tcPr>
            <w:tcW w:w="1995" w:type="pct"/>
            <w:vAlign w:val="center"/>
          </w:tcPr>
          <w:p w14:paraId="1971A8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′33.933″</w:t>
            </w:r>
          </w:p>
        </w:tc>
      </w:tr>
      <w:tr w14:paraId="4550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tcBorders>
            <w:vAlign w:val="center"/>
          </w:tcPr>
          <w:p w14:paraId="61C298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1EDFD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z w:val="21"/>
                <w:szCs w:val="21"/>
                <w:highlight w:val="none"/>
              </w:rPr>
              <w:t>1′53.272″</w:t>
            </w:r>
          </w:p>
        </w:tc>
        <w:tc>
          <w:tcPr>
            <w:tcW w:w="1995" w:type="pct"/>
            <w:vAlign w:val="center"/>
          </w:tcPr>
          <w:p w14:paraId="2772E6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42°3</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′34.039″</w:t>
            </w:r>
          </w:p>
        </w:tc>
      </w:tr>
      <w:tr w14:paraId="18200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32DF19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7</w:t>
            </w:r>
          </w:p>
        </w:tc>
        <w:tc>
          <w:tcPr>
            <w:tcW w:w="1791" w:type="pct"/>
            <w:vAlign w:val="center"/>
          </w:tcPr>
          <w:p w14:paraId="4958AF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 11.402″</w:t>
            </w:r>
          </w:p>
        </w:tc>
        <w:tc>
          <w:tcPr>
            <w:tcW w:w="1995" w:type="pct"/>
            <w:vAlign w:val="center"/>
          </w:tcPr>
          <w:p w14:paraId="188761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42°3′38.4 ″</w:t>
            </w:r>
          </w:p>
        </w:tc>
      </w:tr>
      <w:tr w14:paraId="26B95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425887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52AB3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 10.991″</w:t>
            </w:r>
          </w:p>
        </w:tc>
        <w:tc>
          <w:tcPr>
            <w:tcW w:w="1995" w:type="pct"/>
            <w:vAlign w:val="center"/>
          </w:tcPr>
          <w:p w14:paraId="20AB8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′38.294″</w:t>
            </w:r>
          </w:p>
        </w:tc>
      </w:tr>
      <w:tr w14:paraId="75E5E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9C33E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8FF29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 10.848″</w:t>
            </w:r>
          </w:p>
        </w:tc>
        <w:tc>
          <w:tcPr>
            <w:tcW w:w="1995" w:type="pct"/>
            <w:vAlign w:val="center"/>
          </w:tcPr>
          <w:p w14:paraId="28890C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42°3′38.6 ″</w:t>
            </w:r>
          </w:p>
        </w:tc>
      </w:tr>
      <w:tr w14:paraId="6FA9C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77E7B7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BC57D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 11.258″</w:t>
            </w:r>
          </w:p>
        </w:tc>
        <w:tc>
          <w:tcPr>
            <w:tcW w:w="1995" w:type="pct"/>
            <w:vAlign w:val="center"/>
          </w:tcPr>
          <w:p w14:paraId="5D299C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′38.707″</w:t>
            </w:r>
          </w:p>
        </w:tc>
      </w:tr>
      <w:tr w14:paraId="65E76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65304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8</w:t>
            </w:r>
          </w:p>
        </w:tc>
        <w:tc>
          <w:tcPr>
            <w:tcW w:w="1791" w:type="pct"/>
            <w:vAlign w:val="center"/>
          </w:tcPr>
          <w:p w14:paraId="720CAC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 ′30.04″</w:t>
            </w:r>
          </w:p>
        </w:tc>
        <w:tc>
          <w:tcPr>
            <w:tcW w:w="1995" w:type="pct"/>
            <w:vAlign w:val="center"/>
          </w:tcPr>
          <w:p w14:paraId="0E978F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′43.236″</w:t>
            </w:r>
          </w:p>
        </w:tc>
      </w:tr>
      <w:tr w14:paraId="6DC6A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D5745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0EB52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117°2′29.629″</w:t>
            </w:r>
          </w:p>
        </w:tc>
        <w:tc>
          <w:tcPr>
            <w:tcW w:w="1995" w:type="pct"/>
            <w:vAlign w:val="center"/>
          </w:tcPr>
          <w:p w14:paraId="579C728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′43.13″</w:t>
            </w:r>
          </w:p>
        </w:tc>
      </w:tr>
      <w:tr w14:paraId="6E358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69F343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CB839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117°2′29.486″</w:t>
            </w:r>
          </w:p>
        </w:tc>
        <w:tc>
          <w:tcPr>
            <w:tcW w:w="1995" w:type="pct"/>
            <w:vAlign w:val="center"/>
          </w:tcPr>
          <w:p w14:paraId="3E4685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′43.436″</w:t>
            </w:r>
          </w:p>
        </w:tc>
      </w:tr>
      <w:tr w14:paraId="0DEC7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5241241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3822E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117°2′29.897″</w:t>
            </w:r>
          </w:p>
        </w:tc>
        <w:tc>
          <w:tcPr>
            <w:tcW w:w="1995" w:type="pct"/>
            <w:vAlign w:val="center"/>
          </w:tcPr>
          <w:p w14:paraId="692087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′43.542″</w:t>
            </w:r>
          </w:p>
        </w:tc>
      </w:tr>
      <w:tr w14:paraId="34BA1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6BEC9B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9</w:t>
            </w:r>
          </w:p>
        </w:tc>
        <w:tc>
          <w:tcPr>
            <w:tcW w:w="1791" w:type="pct"/>
            <w:vAlign w:val="center"/>
          </w:tcPr>
          <w:p w14:paraId="3AC722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117°2′39.032″</w:t>
            </w:r>
          </w:p>
        </w:tc>
        <w:tc>
          <w:tcPr>
            <w:tcW w:w="1995" w:type="pct"/>
            <w:vAlign w:val="center"/>
          </w:tcPr>
          <w:p w14:paraId="23101B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′45.569″</w:t>
            </w:r>
          </w:p>
        </w:tc>
      </w:tr>
      <w:tr w14:paraId="5A312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477FA7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57D61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117°2′38.621″</w:t>
            </w:r>
          </w:p>
        </w:tc>
        <w:tc>
          <w:tcPr>
            <w:tcW w:w="1995" w:type="pct"/>
            <w:vAlign w:val="center"/>
          </w:tcPr>
          <w:p w14:paraId="721507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′45.463″</w:t>
            </w:r>
          </w:p>
        </w:tc>
      </w:tr>
      <w:tr w14:paraId="2CB0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6BF30E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11B3A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117°2′38.478″</w:t>
            </w:r>
          </w:p>
        </w:tc>
        <w:tc>
          <w:tcPr>
            <w:tcW w:w="1995" w:type="pct"/>
            <w:vAlign w:val="center"/>
          </w:tcPr>
          <w:p w14:paraId="2DAE94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′45.769″</w:t>
            </w:r>
          </w:p>
        </w:tc>
      </w:tr>
      <w:tr w14:paraId="65E06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10ABC4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CF078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117°2′38.889″</w:t>
            </w:r>
          </w:p>
        </w:tc>
        <w:tc>
          <w:tcPr>
            <w:tcW w:w="1995" w:type="pct"/>
            <w:vAlign w:val="center"/>
          </w:tcPr>
          <w:p w14:paraId="1A72B1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′45.875″</w:t>
            </w:r>
          </w:p>
        </w:tc>
      </w:tr>
      <w:tr w14:paraId="4AB4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vAlign w:val="center"/>
          </w:tcPr>
          <w:p w14:paraId="2EC7C4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10</w:t>
            </w:r>
          </w:p>
        </w:tc>
        <w:tc>
          <w:tcPr>
            <w:tcW w:w="1791" w:type="pct"/>
            <w:vAlign w:val="center"/>
          </w:tcPr>
          <w:p w14:paraId="2351ED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117°2′58.317″</w:t>
            </w:r>
          </w:p>
        </w:tc>
        <w:tc>
          <w:tcPr>
            <w:tcW w:w="1995" w:type="pct"/>
            <w:vAlign w:val="center"/>
          </w:tcPr>
          <w:p w14:paraId="3725B85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′50.571″</w:t>
            </w:r>
          </w:p>
        </w:tc>
      </w:tr>
      <w:tr w14:paraId="4A401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12" w:type="pct"/>
            <w:vMerge w:val="continue"/>
            <w:vAlign w:val="center"/>
          </w:tcPr>
          <w:p w14:paraId="16B23A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6005DE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117°2′57.906″</w:t>
            </w:r>
          </w:p>
        </w:tc>
        <w:tc>
          <w:tcPr>
            <w:tcW w:w="1995" w:type="pct"/>
            <w:vAlign w:val="center"/>
          </w:tcPr>
          <w:p w14:paraId="243F5F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′50.464″</w:t>
            </w:r>
          </w:p>
        </w:tc>
      </w:tr>
      <w:tr w14:paraId="5C40B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12" w:type="pct"/>
            <w:vMerge w:val="continue"/>
            <w:vAlign w:val="center"/>
          </w:tcPr>
          <w:p w14:paraId="375094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F4441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117°2′57.763″</w:t>
            </w:r>
          </w:p>
        </w:tc>
        <w:tc>
          <w:tcPr>
            <w:tcW w:w="1995" w:type="pct"/>
            <w:vAlign w:val="center"/>
          </w:tcPr>
          <w:p w14:paraId="7A727A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′50.77″</w:t>
            </w:r>
          </w:p>
        </w:tc>
      </w:tr>
      <w:tr w14:paraId="14CE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vAlign w:val="center"/>
          </w:tcPr>
          <w:p w14:paraId="2810E7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64B504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117°2′58.174″</w:t>
            </w:r>
          </w:p>
        </w:tc>
        <w:tc>
          <w:tcPr>
            <w:tcW w:w="1995" w:type="pct"/>
            <w:vAlign w:val="center"/>
          </w:tcPr>
          <w:p w14:paraId="64888E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′50.877″</w:t>
            </w:r>
          </w:p>
        </w:tc>
      </w:tr>
      <w:tr w14:paraId="45B68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restart"/>
            <w:tcBorders>
              <w:bottom w:val="nil"/>
            </w:tcBorders>
            <w:vAlign w:val="center"/>
          </w:tcPr>
          <w:p w14:paraId="2C7D43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11</w:t>
            </w:r>
          </w:p>
        </w:tc>
        <w:tc>
          <w:tcPr>
            <w:tcW w:w="1791" w:type="pct"/>
            <w:vAlign w:val="center"/>
          </w:tcPr>
          <w:p w14:paraId="63AC0B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117°3′23.692″</w:t>
            </w:r>
          </w:p>
        </w:tc>
        <w:tc>
          <w:tcPr>
            <w:tcW w:w="1995" w:type="pct"/>
            <w:vAlign w:val="center"/>
          </w:tcPr>
          <w:p w14:paraId="0360F3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′57.151″</w:t>
            </w:r>
          </w:p>
        </w:tc>
      </w:tr>
      <w:tr w14:paraId="69450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bottom w:val="nil"/>
            </w:tcBorders>
            <w:vAlign w:val="center"/>
          </w:tcPr>
          <w:p w14:paraId="586FD4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1C7A6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117°3′23.281″</w:t>
            </w:r>
          </w:p>
        </w:tc>
        <w:tc>
          <w:tcPr>
            <w:tcW w:w="1995" w:type="pct"/>
            <w:vAlign w:val="center"/>
          </w:tcPr>
          <w:p w14:paraId="7328C6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′57.044″</w:t>
            </w:r>
          </w:p>
        </w:tc>
      </w:tr>
      <w:tr w14:paraId="6E654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1A3514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24BD4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117°3′23.138″</w:t>
            </w:r>
          </w:p>
        </w:tc>
        <w:tc>
          <w:tcPr>
            <w:tcW w:w="1995" w:type="pct"/>
            <w:vAlign w:val="center"/>
          </w:tcPr>
          <w:p w14:paraId="12D5D4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′57.35″</w:t>
            </w:r>
          </w:p>
        </w:tc>
      </w:tr>
      <w:tr w14:paraId="29B96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03803B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D1735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117°3′23.549″</w:t>
            </w:r>
          </w:p>
        </w:tc>
        <w:tc>
          <w:tcPr>
            <w:tcW w:w="1995" w:type="pct"/>
            <w:vAlign w:val="center"/>
          </w:tcPr>
          <w:p w14:paraId="7D9A8F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′57.457″</w:t>
            </w:r>
          </w:p>
        </w:tc>
      </w:tr>
      <w:tr w14:paraId="33423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4255E7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12</w:t>
            </w:r>
          </w:p>
        </w:tc>
        <w:tc>
          <w:tcPr>
            <w:tcW w:w="1791" w:type="pct"/>
            <w:vAlign w:val="center"/>
          </w:tcPr>
          <w:p w14:paraId="6469FB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117°3′45.433″</w:t>
            </w:r>
          </w:p>
        </w:tc>
        <w:tc>
          <w:tcPr>
            <w:tcW w:w="1995" w:type="pct"/>
            <w:vAlign w:val="center"/>
          </w:tcPr>
          <w:p w14:paraId="0915B5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′2.759″</w:t>
            </w:r>
          </w:p>
        </w:tc>
      </w:tr>
      <w:tr w14:paraId="7DDDE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ABD76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FA740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117°3′45.003″</w:t>
            </w:r>
          </w:p>
        </w:tc>
        <w:tc>
          <w:tcPr>
            <w:tcW w:w="1995" w:type="pct"/>
            <w:vAlign w:val="center"/>
          </w:tcPr>
          <w:p w14:paraId="05AAD3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′2.708″</w:t>
            </w:r>
          </w:p>
        </w:tc>
      </w:tr>
      <w:tr w14:paraId="0F551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82F16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81696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117°3′44.935″</w:t>
            </w:r>
          </w:p>
        </w:tc>
        <w:tc>
          <w:tcPr>
            <w:tcW w:w="1995" w:type="pct"/>
            <w:vAlign w:val="center"/>
          </w:tcPr>
          <w:p w14:paraId="004260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′3.028″</w:t>
            </w:r>
          </w:p>
        </w:tc>
      </w:tr>
      <w:tr w14:paraId="05FD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7F5108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64EF6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117°3′45.365″</w:t>
            </w:r>
          </w:p>
        </w:tc>
        <w:tc>
          <w:tcPr>
            <w:tcW w:w="1995" w:type="pct"/>
            <w:vAlign w:val="center"/>
          </w:tcPr>
          <w:p w14:paraId="323E11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′3.079″</w:t>
            </w:r>
          </w:p>
        </w:tc>
      </w:tr>
      <w:tr w14:paraId="4C58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53A36A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13</w:t>
            </w:r>
          </w:p>
        </w:tc>
        <w:tc>
          <w:tcPr>
            <w:tcW w:w="1791" w:type="pct"/>
            <w:vAlign w:val="center"/>
          </w:tcPr>
          <w:p w14:paraId="42B55A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117°3′54.949″</w:t>
            </w:r>
          </w:p>
        </w:tc>
        <w:tc>
          <w:tcPr>
            <w:tcW w:w="1995" w:type="pct"/>
            <w:vAlign w:val="center"/>
          </w:tcPr>
          <w:p w14:paraId="792C74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′2.657″</w:t>
            </w:r>
          </w:p>
        </w:tc>
      </w:tr>
      <w:tr w14:paraId="4CB1F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1A4571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6872BE8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117°3′54.514″</w:t>
            </w:r>
          </w:p>
        </w:tc>
        <w:tc>
          <w:tcPr>
            <w:tcW w:w="1995" w:type="pct"/>
            <w:vAlign w:val="center"/>
          </w:tcPr>
          <w:p w14:paraId="74CE29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′2.654″</w:t>
            </w:r>
          </w:p>
        </w:tc>
      </w:tr>
      <w:tr w14:paraId="19DD4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BBB537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18AE5A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117°3′54.509″</w:t>
            </w:r>
          </w:p>
        </w:tc>
        <w:tc>
          <w:tcPr>
            <w:tcW w:w="1995" w:type="pct"/>
            <w:vAlign w:val="center"/>
          </w:tcPr>
          <w:p w14:paraId="4A82059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′2.978″</w:t>
            </w:r>
          </w:p>
        </w:tc>
      </w:tr>
      <w:tr w14:paraId="02307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4736C0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DCD59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117°3′54.944″</w:t>
            </w:r>
          </w:p>
        </w:tc>
        <w:tc>
          <w:tcPr>
            <w:tcW w:w="1995" w:type="pct"/>
            <w:vAlign w:val="center"/>
          </w:tcPr>
          <w:p w14:paraId="7A9C8D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′2.981″</w:t>
            </w:r>
          </w:p>
        </w:tc>
      </w:tr>
      <w:tr w14:paraId="2CC06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54B989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14</w:t>
            </w:r>
          </w:p>
        </w:tc>
        <w:tc>
          <w:tcPr>
            <w:tcW w:w="1791" w:type="pct"/>
            <w:vAlign w:val="center"/>
          </w:tcPr>
          <w:p w14:paraId="4AE23F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 ′25.08″</w:t>
            </w:r>
          </w:p>
        </w:tc>
        <w:tc>
          <w:tcPr>
            <w:tcW w:w="1995" w:type="pct"/>
            <w:vAlign w:val="center"/>
          </w:tcPr>
          <w:p w14:paraId="056CB6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′2.652″</w:t>
            </w:r>
          </w:p>
        </w:tc>
      </w:tr>
      <w:tr w14:paraId="63A4C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4C11F4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A78B6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117°4′24.891″</w:t>
            </w:r>
          </w:p>
        </w:tc>
        <w:tc>
          <w:tcPr>
            <w:tcW w:w="1995" w:type="pct"/>
            <w:vAlign w:val="center"/>
          </w:tcPr>
          <w:p w14:paraId="5D57CE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42°4′2.36″</w:t>
            </w:r>
          </w:p>
        </w:tc>
      </w:tr>
      <w:tr w14:paraId="0B83D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E66C0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1DFE49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117°4′24.499″</w:t>
            </w:r>
          </w:p>
        </w:tc>
        <w:tc>
          <w:tcPr>
            <w:tcW w:w="1995" w:type="pct"/>
            <w:vAlign w:val="center"/>
          </w:tcPr>
          <w:p w14:paraId="7534B6B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′2.501″</w:t>
            </w:r>
          </w:p>
        </w:tc>
      </w:tr>
      <w:tr w14:paraId="37073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5F541C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36649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117°4′24.689″</w:t>
            </w:r>
          </w:p>
        </w:tc>
        <w:tc>
          <w:tcPr>
            <w:tcW w:w="1995" w:type="pct"/>
            <w:vAlign w:val="center"/>
          </w:tcPr>
          <w:p w14:paraId="424EA1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42°4 ′2.793″</w:t>
            </w:r>
          </w:p>
        </w:tc>
      </w:tr>
      <w:tr w14:paraId="4B471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31D6FD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15</w:t>
            </w:r>
          </w:p>
        </w:tc>
        <w:tc>
          <w:tcPr>
            <w:tcW w:w="1791" w:type="pct"/>
            <w:vAlign w:val="center"/>
          </w:tcPr>
          <w:p w14:paraId="5E1151B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117°4′37.977″</w:t>
            </w:r>
          </w:p>
        </w:tc>
        <w:tc>
          <w:tcPr>
            <w:tcW w:w="1995" w:type="pct"/>
            <w:vAlign w:val="center"/>
          </w:tcPr>
          <w:p w14:paraId="3996F9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′53.284″</w:t>
            </w:r>
          </w:p>
        </w:tc>
      </w:tr>
      <w:tr w14:paraId="0B504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6A00553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DD3DE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117°4′37.628″</w:t>
            </w:r>
          </w:p>
        </w:tc>
        <w:tc>
          <w:tcPr>
            <w:tcW w:w="1995" w:type="pct"/>
            <w:vAlign w:val="center"/>
          </w:tcPr>
          <w:p w14:paraId="4A5585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′52.952″</w:t>
            </w:r>
          </w:p>
        </w:tc>
      </w:tr>
      <w:tr w14:paraId="24427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91A01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13BE87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117°4′37.183″</w:t>
            </w:r>
          </w:p>
        </w:tc>
        <w:tc>
          <w:tcPr>
            <w:tcW w:w="1995" w:type="pct"/>
            <w:vAlign w:val="center"/>
          </w:tcPr>
          <w:p w14:paraId="038042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′53.212″</w:t>
            </w:r>
          </w:p>
        </w:tc>
      </w:tr>
      <w:tr w14:paraId="5260D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3C13B2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12FBC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117°4′37.532″</w:t>
            </w:r>
          </w:p>
        </w:tc>
        <w:tc>
          <w:tcPr>
            <w:tcW w:w="1995" w:type="pct"/>
            <w:vAlign w:val="center"/>
          </w:tcPr>
          <w:p w14:paraId="0D3DDE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′53.544″</w:t>
            </w:r>
          </w:p>
        </w:tc>
      </w:tr>
      <w:tr w14:paraId="29D7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284852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16</w:t>
            </w:r>
          </w:p>
        </w:tc>
        <w:tc>
          <w:tcPr>
            <w:tcW w:w="1791" w:type="pct"/>
            <w:vAlign w:val="center"/>
          </w:tcPr>
          <w:p w14:paraId="7835C9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117°4′53.203″</w:t>
            </w:r>
          </w:p>
        </w:tc>
        <w:tc>
          <w:tcPr>
            <w:tcW w:w="1995" w:type="pct"/>
            <w:vAlign w:val="center"/>
          </w:tcPr>
          <w:p w14:paraId="0DB91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′45.209″</w:t>
            </w:r>
          </w:p>
        </w:tc>
      </w:tr>
      <w:tr w14:paraId="36E11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8273C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4668C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117°4′52.988″</w:t>
            </w:r>
          </w:p>
        </w:tc>
        <w:tc>
          <w:tcPr>
            <w:tcW w:w="1995" w:type="pct"/>
            <w:vAlign w:val="center"/>
          </w:tcPr>
          <w:p w14:paraId="60EF68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′44.928″</w:t>
            </w:r>
          </w:p>
        </w:tc>
      </w:tr>
      <w:tr w14:paraId="63FCB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3FF258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9012DA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 ′52.61″</w:t>
            </w:r>
          </w:p>
        </w:tc>
        <w:tc>
          <w:tcPr>
            <w:tcW w:w="1995" w:type="pct"/>
            <w:vAlign w:val="center"/>
          </w:tcPr>
          <w:p w14:paraId="3B6E37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′45.088″</w:t>
            </w:r>
          </w:p>
        </w:tc>
      </w:tr>
      <w:tr w14:paraId="225D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tcBorders>
            <w:vAlign w:val="center"/>
          </w:tcPr>
          <w:p w14:paraId="5E9AD8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4CD14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117°4′52.825″</w:t>
            </w:r>
          </w:p>
        </w:tc>
        <w:tc>
          <w:tcPr>
            <w:tcW w:w="1995" w:type="pct"/>
            <w:vAlign w:val="center"/>
          </w:tcPr>
          <w:p w14:paraId="54CBD3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′45.37″</w:t>
            </w:r>
          </w:p>
        </w:tc>
      </w:tr>
      <w:tr w14:paraId="2BEA7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4704AA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17</w:t>
            </w:r>
          </w:p>
        </w:tc>
        <w:tc>
          <w:tcPr>
            <w:tcW w:w="1791" w:type="pct"/>
            <w:vAlign w:val="center"/>
          </w:tcPr>
          <w:p w14:paraId="54B4DE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′6.522″</w:t>
            </w:r>
          </w:p>
        </w:tc>
        <w:tc>
          <w:tcPr>
            <w:tcW w:w="1995" w:type="pct"/>
            <w:vAlign w:val="center"/>
          </w:tcPr>
          <w:p w14:paraId="39C6BE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′40.187″</w:t>
            </w:r>
          </w:p>
        </w:tc>
      </w:tr>
      <w:tr w14:paraId="3309A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507D4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84693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′6.325″</w:t>
            </w:r>
          </w:p>
        </w:tc>
        <w:tc>
          <w:tcPr>
            <w:tcW w:w="1995" w:type="pct"/>
            <w:vAlign w:val="center"/>
          </w:tcPr>
          <w:p w14:paraId="234775E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′39.898″</w:t>
            </w:r>
          </w:p>
        </w:tc>
      </w:tr>
      <w:tr w14:paraId="2C94E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42EA88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AC83A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′5.937″</w:t>
            </w:r>
          </w:p>
        </w:tc>
        <w:tc>
          <w:tcPr>
            <w:tcW w:w="1995" w:type="pct"/>
            <w:vAlign w:val="center"/>
          </w:tcPr>
          <w:p w14:paraId="7389E09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′40.045″</w:t>
            </w:r>
          </w:p>
        </w:tc>
      </w:tr>
      <w:tr w14:paraId="16026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371E36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164D4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′6.134″</w:t>
            </w:r>
          </w:p>
        </w:tc>
        <w:tc>
          <w:tcPr>
            <w:tcW w:w="1995" w:type="pct"/>
            <w:vAlign w:val="center"/>
          </w:tcPr>
          <w:p w14:paraId="321702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′40.334″</w:t>
            </w:r>
          </w:p>
        </w:tc>
      </w:tr>
      <w:tr w14:paraId="3EB0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4FB2DD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18</w:t>
            </w:r>
          </w:p>
        </w:tc>
        <w:tc>
          <w:tcPr>
            <w:tcW w:w="1791" w:type="pct"/>
            <w:vAlign w:val="center"/>
          </w:tcPr>
          <w:p w14:paraId="18E02F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14.231″</w:t>
            </w:r>
          </w:p>
        </w:tc>
        <w:tc>
          <w:tcPr>
            <w:tcW w:w="1995" w:type="pct"/>
            <w:vAlign w:val="center"/>
          </w:tcPr>
          <w:p w14:paraId="1F48D3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′37.274″</w:t>
            </w:r>
          </w:p>
        </w:tc>
      </w:tr>
      <w:tr w14:paraId="6A3FE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79A4E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C1153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14.034″</w:t>
            </w:r>
          </w:p>
        </w:tc>
        <w:tc>
          <w:tcPr>
            <w:tcW w:w="1995" w:type="pct"/>
            <w:vAlign w:val="center"/>
          </w:tcPr>
          <w:p w14:paraId="73A308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′36.985″</w:t>
            </w:r>
          </w:p>
        </w:tc>
      </w:tr>
      <w:tr w14:paraId="3102A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5A6F6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FA19C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13.646″</w:t>
            </w:r>
          </w:p>
        </w:tc>
        <w:tc>
          <w:tcPr>
            <w:tcW w:w="1995" w:type="pct"/>
            <w:vAlign w:val="center"/>
          </w:tcPr>
          <w:p w14:paraId="5C5247A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′37.132″</w:t>
            </w:r>
          </w:p>
        </w:tc>
      </w:tr>
      <w:tr w14:paraId="146DF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1510C5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35C1F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13.843″</w:t>
            </w:r>
          </w:p>
        </w:tc>
        <w:tc>
          <w:tcPr>
            <w:tcW w:w="1995" w:type="pct"/>
            <w:vAlign w:val="center"/>
          </w:tcPr>
          <w:p w14:paraId="1DCDB0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′37.421″</w:t>
            </w:r>
          </w:p>
        </w:tc>
      </w:tr>
      <w:tr w14:paraId="4BC4D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62942F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19</w:t>
            </w:r>
          </w:p>
        </w:tc>
        <w:tc>
          <w:tcPr>
            <w:tcW w:w="1791" w:type="pct"/>
            <w:vAlign w:val="center"/>
          </w:tcPr>
          <w:p w14:paraId="5C3874F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117°5′26.985″</w:t>
            </w:r>
          </w:p>
        </w:tc>
        <w:tc>
          <w:tcPr>
            <w:tcW w:w="1995" w:type="pct"/>
            <w:vAlign w:val="center"/>
          </w:tcPr>
          <w:p w14:paraId="23854A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′32.413″</w:t>
            </w:r>
          </w:p>
        </w:tc>
      </w:tr>
      <w:tr w14:paraId="6E41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15D668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4319A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′26.71″</w:t>
            </w:r>
          </w:p>
        </w:tc>
        <w:tc>
          <w:tcPr>
            <w:tcW w:w="1995" w:type="pct"/>
            <w:vAlign w:val="center"/>
          </w:tcPr>
          <w:p w14:paraId="589D0C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′32.162″</w:t>
            </w:r>
          </w:p>
        </w:tc>
      </w:tr>
      <w:tr w14:paraId="4EC23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4899E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494B8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117°5′26.373″</w:t>
            </w:r>
          </w:p>
        </w:tc>
        <w:tc>
          <w:tcPr>
            <w:tcW w:w="1995" w:type="pct"/>
            <w:vAlign w:val="center"/>
          </w:tcPr>
          <w:p w14:paraId="230655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′32.367″</w:t>
            </w:r>
          </w:p>
        </w:tc>
      </w:tr>
      <w:tr w14:paraId="2A542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093A70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F33AC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117°5′26.649″</w:t>
            </w:r>
          </w:p>
        </w:tc>
        <w:tc>
          <w:tcPr>
            <w:tcW w:w="1995" w:type="pct"/>
            <w:vAlign w:val="center"/>
          </w:tcPr>
          <w:p w14:paraId="0ECEE1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′32.618″</w:t>
            </w:r>
          </w:p>
        </w:tc>
      </w:tr>
      <w:tr w14:paraId="4476B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212" w:type="pct"/>
            <w:vMerge w:val="restart"/>
            <w:vAlign w:val="center"/>
          </w:tcPr>
          <w:p w14:paraId="058F5EA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20</w:t>
            </w:r>
          </w:p>
        </w:tc>
        <w:tc>
          <w:tcPr>
            <w:tcW w:w="1791" w:type="pct"/>
            <w:vAlign w:val="center"/>
          </w:tcPr>
          <w:p w14:paraId="5FF3ED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117°5′34.162″</w:t>
            </w:r>
          </w:p>
        </w:tc>
        <w:tc>
          <w:tcPr>
            <w:tcW w:w="1995" w:type="pct"/>
            <w:vAlign w:val="center"/>
          </w:tcPr>
          <w:p w14:paraId="40A1BD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′24.863″</w:t>
            </w:r>
          </w:p>
        </w:tc>
      </w:tr>
      <w:tr w14:paraId="0CA5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12" w:type="pct"/>
            <w:vMerge w:val="continue"/>
            <w:vAlign w:val="center"/>
          </w:tcPr>
          <w:p w14:paraId="3D071A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523DB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117°5′33.909″</w:t>
            </w:r>
          </w:p>
        </w:tc>
        <w:tc>
          <w:tcPr>
            <w:tcW w:w="1995" w:type="pct"/>
            <w:vAlign w:val="center"/>
          </w:tcPr>
          <w:p w14:paraId="3701CF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42°3′24.6 ″</w:t>
            </w:r>
          </w:p>
        </w:tc>
      </w:tr>
      <w:tr w14:paraId="00733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vAlign w:val="center"/>
          </w:tcPr>
          <w:p w14:paraId="010F5E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11C846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117°5′33.555″</w:t>
            </w:r>
          </w:p>
        </w:tc>
        <w:tc>
          <w:tcPr>
            <w:tcW w:w="1995" w:type="pct"/>
            <w:vAlign w:val="center"/>
          </w:tcPr>
          <w:p w14:paraId="5C43B6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′24.789″</w:t>
            </w:r>
          </w:p>
        </w:tc>
      </w:tr>
      <w:tr w14:paraId="252CD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vAlign w:val="center"/>
          </w:tcPr>
          <w:p w14:paraId="0FF2C5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0BA1E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117°5′33.809″</w:t>
            </w:r>
          </w:p>
        </w:tc>
        <w:tc>
          <w:tcPr>
            <w:tcW w:w="1995" w:type="pct"/>
            <w:vAlign w:val="center"/>
          </w:tcPr>
          <w:p w14:paraId="296F64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′25.052″</w:t>
            </w:r>
          </w:p>
        </w:tc>
      </w:tr>
      <w:tr w14:paraId="3A31F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restart"/>
            <w:tcBorders>
              <w:bottom w:val="nil"/>
            </w:tcBorders>
            <w:vAlign w:val="center"/>
          </w:tcPr>
          <w:p w14:paraId="6A72C9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21</w:t>
            </w:r>
          </w:p>
        </w:tc>
        <w:tc>
          <w:tcPr>
            <w:tcW w:w="1791" w:type="pct"/>
            <w:vAlign w:val="center"/>
          </w:tcPr>
          <w:p w14:paraId="6A8638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117°5′39.807″</w:t>
            </w:r>
          </w:p>
        </w:tc>
        <w:tc>
          <w:tcPr>
            <w:tcW w:w="1995" w:type="pct"/>
            <w:vAlign w:val="center"/>
          </w:tcPr>
          <w:p w14:paraId="0C6858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′23.856″</w:t>
            </w:r>
          </w:p>
        </w:tc>
      </w:tr>
      <w:tr w14:paraId="3EB77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16F792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DCAE9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117°5′39.706″</w:t>
            </w:r>
          </w:p>
        </w:tc>
        <w:tc>
          <w:tcPr>
            <w:tcW w:w="1995" w:type="pct"/>
            <w:vAlign w:val="center"/>
          </w:tcPr>
          <w:p w14:paraId="7FF4E8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′23.54″</w:t>
            </w:r>
          </w:p>
        </w:tc>
      </w:tr>
      <w:tr w14:paraId="09A4D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1A05D3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01CCF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117°5′39.283″</w:t>
            </w:r>
          </w:p>
        </w:tc>
        <w:tc>
          <w:tcPr>
            <w:tcW w:w="1995" w:type="pct"/>
            <w:vAlign w:val="center"/>
          </w:tcPr>
          <w:p w14:paraId="42AD51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′23.615″</w:t>
            </w:r>
          </w:p>
        </w:tc>
      </w:tr>
      <w:tr w14:paraId="33C0B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12DD57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6D121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117°5′39.383″</w:t>
            </w:r>
          </w:p>
        </w:tc>
        <w:tc>
          <w:tcPr>
            <w:tcW w:w="1995" w:type="pct"/>
            <w:vAlign w:val="center"/>
          </w:tcPr>
          <w:p w14:paraId="76EF15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′23.931″</w:t>
            </w:r>
          </w:p>
        </w:tc>
      </w:tr>
      <w:tr w14:paraId="3F598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575870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22</w:t>
            </w:r>
          </w:p>
        </w:tc>
        <w:tc>
          <w:tcPr>
            <w:tcW w:w="1791" w:type="pct"/>
            <w:vAlign w:val="center"/>
          </w:tcPr>
          <w:p w14:paraId="49DE8F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117°5′51.376″</w:t>
            </w:r>
          </w:p>
        </w:tc>
        <w:tc>
          <w:tcPr>
            <w:tcW w:w="1995" w:type="pct"/>
            <w:vAlign w:val="center"/>
          </w:tcPr>
          <w:p w14:paraId="59C045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′21.54″</w:t>
            </w:r>
          </w:p>
        </w:tc>
      </w:tr>
      <w:tr w14:paraId="0A86C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68B030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789074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′51.09″</w:t>
            </w:r>
          </w:p>
        </w:tc>
        <w:tc>
          <w:tcPr>
            <w:tcW w:w="1995" w:type="pct"/>
            <w:vAlign w:val="center"/>
          </w:tcPr>
          <w:p w14:paraId="30E9F5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′21.296″</w:t>
            </w:r>
          </w:p>
        </w:tc>
      </w:tr>
      <w:tr w14:paraId="43B2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14007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D86A1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117°5′50.763″</w:t>
            </w:r>
          </w:p>
        </w:tc>
        <w:tc>
          <w:tcPr>
            <w:tcW w:w="1995" w:type="pct"/>
            <w:vAlign w:val="center"/>
          </w:tcPr>
          <w:p w14:paraId="07152D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′21.51″</w:t>
            </w:r>
          </w:p>
        </w:tc>
      </w:tr>
      <w:tr w14:paraId="2CD43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70EF6D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0FCCB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 ′51.05″</w:t>
            </w:r>
          </w:p>
        </w:tc>
        <w:tc>
          <w:tcPr>
            <w:tcW w:w="1995" w:type="pct"/>
            <w:vAlign w:val="center"/>
          </w:tcPr>
          <w:p w14:paraId="62A001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′21.754″</w:t>
            </w:r>
          </w:p>
        </w:tc>
      </w:tr>
      <w:tr w14:paraId="19F59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572817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23</w:t>
            </w:r>
          </w:p>
        </w:tc>
        <w:tc>
          <w:tcPr>
            <w:tcW w:w="1791" w:type="pct"/>
            <w:vAlign w:val="center"/>
          </w:tcPr>
          <w:p w14:paraId="781158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′3.619″</w:t>
            </w:r>
          </w:p>
        </w:tc>
        <w:tc>
          <w:tcPr>
            <w:tcW w:w="1995" w:type="pct"/>
            <w:vAlign w:val="center"/>
          </w:tcPr>
          <w:p w14:paraId="358D04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′5.623″</w:t>
            </w:r>
          </w:p>
        </w:tc>
      </w:tr>
      <w:tr w14:paraId="75196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56006D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B94EB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′3.201″</w:t>
            </w:r>
          </w:p>
        </w:tc>
        <w:tc>
          <w:tcPr>
            <w:tcW w:w="1995" w:type="pct"/>
            <w:vAlign w:val="center"/>
          </w:tcPr>
          <w:p w14:paraId="169B32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′5.536″</w:t>
            </w:r>
          </w:p>
        </w:tc>
      </w:tr>
      <w:tr w14:paraId="7DDBD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7AB443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A29BB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′3.083″</w:t>
            </w:r>
          </w:p>
        </w:tc>
        <w:tc>
          <w:tcPr>
            <w:tcW w:w="1995" w:type="pct"/>
            <w:vAlign w:val="center"/>
          </w:tcPr>
          <w:p w14:paraId="57E498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′5.848″</w:t>
            </w:r>
          </w:p>
        </w:tc>
      </w:tr>
      <w:tr w14:paraId="2B787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75A260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30AF0C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′3.502″</w:t>
            </w:r>
          </w:p>
        </w:tc>
        <w:tc>
          <w:tcPr>
            <w:tcW w:w="1995" w:type="pct"/>
            <w:vAlign w:val="center"/>
          </w:tcPr>
          <w:p w14:paraId="215914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 ′5.935″</w:t>
            </w:r>
          </w:p>
        </w:tc>
      </w:tr>
      <w:tr w14:paraId="46B8C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58898B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24</w:t>
            </w:r>
          </w:p>
        </w:tc>
        <w:tc>
          <w:tcPr>
            <w:tcW w:w="1791" w:type="pct"/>
            <w:vAlign w:val="center"/>
          </w:tcPr>
          <w:p w14:paraId="2FEF13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′0.17″</w:t>
            </w:r>
          </w:p>
        </w:tc>
        <w:tc>
          <w:tcPr>
            <w:tcW w:w="1995" w:type="pct"/>
            <w:vAlign w:val="center"/>
          </w:tcPr>
          <w:p w14:paraId="78D02A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′51.736″</w:t>
            </w:r>
          </w:p>
        </w:tc>
      </w:tr>
      <w:tr w14:paraId="2B342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267F40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D7966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117°5′59.739″</w:t>
            </w:r>
          </w:p>
        </w:tc>
        <w:tc>
          <w:tcPr>
            <w:tcW w:w="1995" w:type="pct"/>
            <w:vAlign w:val="center"/>
          </w:tcPr>
          <w:p w14:paraId="3373F3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′51.691″</w:t>
            </w:r>
          </w:p>
        </w:tc>
      </w:tr>
      <w:tr w14:paraId="2C0AA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010707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45912D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117°5′59.678″</w:t>
            </w:r>
          </w:p>
        </w:tc>
        <w:tc>
          <w:tcPr>
            <w:tcW w:w="1995" w:type="pct"/>
            <w:vAlign w:val="center"/>
          </w:tcPr>
          <w:p w14:paraId="7EB16A3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′52.012″</w:t>
            </w:r>
          </w:p>
        </w:tc>
      </w:tr>
      <w:tr w14:paraId="0835B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4E7F49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2F181C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′0.109″</w:t>
            </w:r>
          </w:p>
        </w:tc>
        <w:tc>
          <w:tcPr>
            <w:tcW w:w="1995" w:type="pct"/>
            <w:vAlign w:val="center"/>
          </w:tcPr>
          <w:p w14:paraId="66C091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′52.057″</w:t>
            </w:r>
          </w:p>
        </w:tc>
      </w:tr>
      <w:tr w14:paraId="55C77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2AE5A8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25</w:t>
            </w:r>
          </w:p>
        </w:tc>
        <w:tc>
          <w:tcPr>
            <w:tcW w:w="1791" w:type="pct"/>
            <w:vAlign w:val="center"/>
          </w:tcPr>
          <w:p w14:paraId="737502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′7.272″</w:t>
            </w:r>
          </w:p>
        </w:tc>
        <w:tc>
          <w:tcPr>
            <w:tcW w:w="1995" w:type="pct"/>
            <w:vAlign w:val="center"/>
          </w:tcPr>
          <w:p w14:paraId="5AA1BEE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′34.986″</w:t>
            </w:r>
          </w:p>
        </w:tc>
      </w:tr>
      <w:tr w14:paraId="3F9B1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512F73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E185F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′6.733″</w:t>
            </w:r>
          </w:p>
        </w:tc>
        <w:tc>
          <w:tcPr>
            <w:tcW w:w="1995" w:type="pct"/>
            <w:vAlign w:val="center"/>
          </w:tcPr>
          <w:p w14:paraId="22EAEB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′34.859″</w:t>
            </w:r>
          </w:p>
        </w:tc>
      </w:tr>
      <w:tr w14:paraId="388B1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505795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06583BB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′6.563″</w:t>
            </w:r>
          </w:p>
        </w:tc>
        <w:tc>
          <w:tcPr>
            <w:tcW w:w="1995" w:type="pct"/>
            <w:vAlign w:val="center"/>
          </w:tcPr>
          <w:p w14:paraId="7E23F2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′35.261″</w:t>
            </w:r>
          </w:p>
        </w:tc>
      </w:tr>
      <w:tr w14:paraId="68057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tcBorders>
            <w:vAlign w:val="center"/>
          </w:tcPr>
          <w:p w14:paraId="163985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791" w:type="pct"/>
            <w:vAlign w:val="center"/>
          </w:tcPr>
          <w:p w14:paraId="57B434B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′7.102″</w:t>
            </w:r>
          </w:p>
        </w:tc>
        <w:tc>
          <w:tcPr>
            <w:tcW w:w="1995" w:type="pct"/>
            <w:vAlign w:val="center"/>
          </w:tcPr>
          <w:p w14:paraId="116FCA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′35.388″</w:t>
            </w:r>
          </w:p>
        </w:tc>
      </w:tr>
      <w:tr w14:paraId="690D1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restart"/>
            <w:tcBorders>
              <w:bottom w:val="nil"/>
            </w:tcBorders>
            <w:vAlign w:val="center"/>
          </w:tcPr>
          <w:p w14:paraId="2A1253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26</w:t>
            </w:r>
          </w:p>
        </w:tc>
        <w:tc>
          <w:tcPr>
            <w:tcW w:w="1791" w:type="pct"/>
            <w:vAlign w:val="center"/>
          </w:tcPr>
          <w:p w14:paraId="7340A3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13.039″</w:t>
            </w:r>
          </w:p>
        </w:tc>
        <w:tc>
          <w:tcPr>
            <w:tcW w:w="1995" w:type="pct"/>
            <w:vAlign w:val="center"/>
          </w:tcPr>
          <w:p w14:paraId="1618ED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′21.098″</w:t>
            </w:r>
          </w:p>
        </w:tc>
      </w:tr>
      <w:tr w14:paraId="05BA0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12" w:type="pct"/>
            <w:vMerge w:val="continue"/>
            <w:tcBorders>
              <w:top w:val="nil"/>
              <w:bottom w:val="nil"/>
            </w:tcBorders>
            <w:vAlign w:val="center"/>
          </w:tcPr>
          <w:p w14:paraId="05A7E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color w:val="auto"/>
                <w:sz w:val="21"/>
                <w:highlight w:val="none"/>
              </w:rPr>
            </w:pPr>
          </w:p>
        </w:tc>
        <w:tc>
          <w:tcPr>
            <w:tcW w:w="1791" w:type="pct"/>
            <w:vAlign w:val="center"/>
          </w:tcPr>
          <w:p w14:paraId="46E2AB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12.656″</w:t>
            </w:r>
          </w:p>
        </w:tc>
        <w:tc>
          <w:tcPr>
            <w:tcW w:w="1995" w:type="pct"/>
            <w:vAlign w:val="center"/>
          </w:tcPr>
          <w:p w14:paraId="7E63E4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′20.945″</w:t>
            </w:r>
          </w:p>
        </w:tc>
      </w:tr>
      <w:tr w14:paraId="7F3E5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12" w:type="pct"/>
            <w:vMerge w:val="continue"/>
            <w:tcBorders>
              <w:top w:val="nil"/>
              <w:bottom w:val="nil"/>
            </w:tcBorders>
            <w:vAlign w:val="center"/>
          </w:tcPr>
          <w:p w14:paraId="10CF1C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color w:val="auto"/>
                <w:sz w:val="21"/>
                <w:highlight w:val="none"/>
              </w:rPr>
            </w:pPr>
          </w:p>
        </w:tc>
        <w:tc>
          <w:tcPr>
            <w:tcW w:w="1791" w:type="pct"/>
            <w:vAlign w:val="center"/>
          </w:tcPr>
          <w:p w14:paraId="2D862E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 12.45″</w:t>
            </w:r>
          </w:p>
        </w:tc>
        <w:tc>
          <w:tcPr>
            <w:tcW w:w="1995" w:type="pct"/>
            <w:vAlign w:val="center"/>
          </w:tcPr>
          <w:p w14:paraId="38AD22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′21.23″</w:t>
            </w:r>
          </w:p>
        </w:tc>
      </w:tr>
      <w:tr w14:paraId="70384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212" w:type="pct"/>
            <w:vMerge w:val="continue"/>
            <w:tcBorders>
              <w:top w:val="nil"/>
            </w:tcBorders>
            <w:vAlign w:val="center"/>
          </w:tcPr>
          <w:p w14:paraId="32153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color w:val="auto"/>
                <w:sz w:val="21"/>
                <w:highlight w:val="none"/>
              </w:rPr>
            </w:pPr>
          </w:p>
        </w:tc>
        <w:tc>
          <w:tcPr>
            <w:tcW w:w="1791" w:type="pct"/>
            <w:vAlign w:val="center"/>
          </w:tcPr>
          <w:p w14:paraId="205D5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117°6′ 12.832″</w:t>
            </w:r>
          </w:p>
        </w:tc>
        <w:tc>
          <w:tcPr>
            <w:tcW w:w="1995" w:type="pct"/>
            <w:vAlign w:val="center"/>
          </w:tcPr>
          <w:p w14:paraId="2A8FEB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 ′21.384″</w:t>
            </w:r>
          </w:p>
        </w:tc>
      </w:tr>
    </w:tbl>
    <w:p w14:paraId="684DA440">
      <w:pPr>
        <w:bidi w:val="0"/>
        <w:rPr>
          <w:color w:val="auto"/>
          <w:highlight w:val="none"/>
        </w:rPr>
      </w:pPr>
      <w:r>
        <w:rPr>
          <w:color w:val="auto"/>
          <w:highlight w:val="none"/>
        </w:rPr>
        <w:t>（2）塔基距缓冲区</w:t>
      </w:r>
      <w:r>
        <w:rPr>
          <w:rFonts w:hint="eastAsia"/>
          <w:color w:val="auto"/>
          <w:highlight w:val="none"/>
          <w:lang w:eastAsia="zh-CN"/>
        </w:rPr>
        <w:t>、核心区</w:t>
      </w:r>
      <w:r>
        <w:rPr>
          <w:color w:val="auto"/>
          <w:highlight w:val="none"/>
        </w:rPr>
        <w:t>距离</w:t>
      </w:r>
    </w:p>
    <w:p w14:paraId="42042E2F">
      <w:pPr>
        <w:bidi w:val="0"/>
        <w:rPr>
          <w:color w:val="auto"/>
          <w:highlight w:val="none"/>
        </w:rPr>
      </w:pPr>
      <w:r>
        <w:rPr>
          <w:color w:val="auto"/>
          <w:highlight w:val="none"/>
        </w:rPr>
        <w:t>保护区内共涉及塔基23座，各塔基距离缓冲区最近点的距离最小为27.22m，最大为947.77m</w:t>
      </w:r>
      <w:r>
        <w:rPr>
          <w:rFonts w:hint="eastAsia"/>
          <w:color w:val="auto"/>
          <w:highlight w:val="none"/>
          <w:lang w:eastAsia="zh-CN"/>
        </w:rPr>
        <w:t>，</w:t>
      </w:r>
      <w:r>
        <w:rPr>
          <w:color w:val="auto"/>
          <w:highlight w:val="none"/>
        </w:rPr>
        <w:t>各塔基距离</w:t>
      </w:r>
      <w:r>
        <w:rPr>
          <w:rFonts w:hint="eastAsia"/>
          <w:color w:val="auto"/>
          <w:highlight w:val="none"/>
          <w:lang w:eastAsia="zh-CN"/>
        </w:rPr>
        <w:t>核心</w:t>
      </w:r>
      <w:r>
        <w:rPr>
          <w:color w:val="auto"/>
          <w:highlight w:val="none"/>
        </w:rPr>
        <w:t>区最近点的距离最小为</w:t>
      </w:r>
      <w:r>
        <w:rPr>
          <w:rFonts w:hint="eastAsia"/>
          <w:color w:val="auto"/>
          <w:highlight w:val="none"/>
          <w:lang w:val="en-US" w:eastAsia="zh-CN"/>
        </w:rPr>
        <w:t>494.96</w:t>
      </w:r>
      <w:r>
        <w:rPr>
          <w:color w:val="auto"/>
          <w:highlight w:val="none"/>
        </w:rPr>
        <w:t>m，最大为</w:t>
      </w:r>
      <w:r>
        <w:rPr>
          <w:rFonts w:hint="eastAsia"/>
          <w:color w:val="auto"/>
          <w:highlight w:val="none"/>
        </w:rPr>
        <w:t>2290.41</w:t>
      </w:r>
      <w:r>
        <w:rPr>
          <w:color w:val="auto"/>
          <w:highlight w:val="none"/>
        </w:rPr>
        <w:t>m。具体详见下表。</w:t>
      </w:r>
    </w:p>
    <w:p w14:paraId="09725863">
      <w:pPr>
        <w:bidi w:val="0"/>
        <w:rPr>
          <w:rFonts w:ascii="FangSong_GB2312" w:hAnsi="FangSong_GB2312" w:eastAsia="FangSong_GB2312" w:cs="FangSong_GB2312"/>
          <w:color w:val="auto"/>
          <w:szCs w:val="28"/>
          <w:highlight w:val="none"/>
        </w:rPr>
      </w:pPr>
      <w:r>
        <w:rPr>
          <w:color w:val="auto"/>
          <w:highlight w:val="none"/>
        </w:rPr>
        <w:t>样方调查显示影响评价区中实验区和缓冲区</w:t>
      </w:r>
      <w:r>
        <w:rPr>
          <w:rFonts w:hint="eastAsia"/>
          <w:color w:val="auto"/>
          <w:highlight w:val="none"/>
          <w:lang w:eastAsia="zh-CN"/>
        </w:rPr>
        <w:t>、核心区</w:t>
      </w:r>
      <w:r>
        <w:rPr>
          <w:color w:val="auto"/>
          <w:highlight w:val="none"/>
        </w:rPr>
        <w:t>的植物种类基本一致，施工期间塔基组装和架线过程中会对占地范围内的植被造成破坏，但这种影响只局限于占地周围的较小区域，施工人员不进入缓冲区</w:t>
      </w:r>
      <w:r>
        <w:rPr>
          <w:rFonts w:hint="eastAsia"/>
          <w:color w:val="auto"/>
          <w:highlight w:val="none"/>
          <w:lang w:eastAsia="zh-CN"/>
        </w:rPr>
        <w:t>和核心区</w:t>
      </w:r>
      <w:r>
        <w:rPr>
          <w:color w:val="auto"/>
          <w:highlight w:val="none"/>
        </w:rPr>
        <w:t>，不会对缓冲区</w:t>
      </w:r>
      <w:r>
        <w:rPr>
          <w:rFonts w:hint="eastAsia"/>
          <w:color w:val="auto"/>
          <w:highlight w:val="none"/>
          <w:lang w:eastAsia="zh-CN"/>
        </w:rPr>
        <w:t>和核心区</w:t>
      </w:r>
      <w:r>
        <w:rPr>
          <w:color w:val="auto"/>
          <w:highlight w:val="none"/>
        </w:rPr>
        <w:t>的植被造成影响。施工期间严格控制占地红线和施工时间，塔基等建筑材料采取人工或者牲畜运输，基础施工也采取人工分层开挖，产生的噪音较小，架线使用张力架线，尽可能减小对生物多样性的影响，施工完成后输电线路架空，运营期间不产生空气和水污染等，对野生动物的活动影响甚微，综上对评价区内缓冲区</w:t>
      </w:r>
      <w:r>
        <w:rPr>
          <w:rFonts w:hint="eastAsia"/>
          <w:color w:val="auto"/>
          <w:highlight w:val="none"/>
          <w:lang w:eastAsia="zh-CN"/>
        </w:rPr>
        <w:t>、核心区</w:t>
      </w:r>
      <w:r>
        <w:rPr>
          <w:color w:val="auto"/>
          <w:highlight w:val="none"/>
        </w:rPr>
        <w:t>造成的影响较小。</w:t>
      </w:r>
    </w:p>
    <w:p w14:paraId="0378632B">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3.2-3</w:t>
      </w:r>
      <w:r>
        <w:rPr>
          <w:rFonts w:hint="eastAsia" w:eastAsia="宋体" w:cs="Times New Roman"/>
          <w:b/>
          <w:bCs/>
          <w:color w:val="auto"/>
          <w:sz w:val="21"/>
          <w:szCs w:val="21"/>
          <w:highlight w:val="none"/>
          <w:lang w:val="en-US" w:eastAsia="zh-CN"/>
        </w:rPr>
        <w:t xml:space="preserve"> </w:t>
      </w:r>
      <w:r>
        <w:rPr>
          <w:rFonts w:ascii="Times New Roman" w:hAnsi="Times New Roman" w:eastAsia="宋体" w:cs="Times New Roman"/>
          <w:b/>
          <w:bCs/>
          <w:color w:val="auto"/>
          <w:sz w:val="21"/>
          <w:szCs w:val="21"/>
          <w:highlight w:val="none"/>
        </w:rPr>
        <w:t xml:space="preserve"> 塔基距缓冲区</w:t>
      </w:r>
      <w:r>
        <w:rPr>
          <w:rFonts w:hint="eastAsia" w:ascii="Times New Roman" w:hAnsi="Times New Roman" w:eastAsia="宋体" w:cs="Times New Roman"/>
          <w:b/>
          <w:bCs/>
          <w:color w:val="auto"/>
          <w:sz w:val="21"/>
          <w:szCs w:val="21"/>
          <w:highlight w:val="none"/>
          <w:lang w:eastAsia="zh-CN"/>
        </w:rPr>
        <w:t>、核心区</w:t>
      </w:r>
      <w:r>
        <w:rPr>
          <w:rFonts w:ascii="Times New Roman" w:hAnsi="Times New Roman" w:eastAsia="宋体" w:cs="Times New Roman"/>
          <w:b/>
          <w:bCs/>
          <w:color w:val="auto"/>
          <w:sz w:val="21"/>
          <w:szCs w:val="21"/>
          <w:highlight w:val="none"/>
        </w:rPr>
        <w:t>距离统计表</w:t>
      </w:r>
    </w:p>
    <w:tbl>
      <w:tblPr>
        <w:tblStyle w:val="22"/>
        <w:tblW w:w="48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06"/>
        <w:gridCol w:w="3319"/>
        <w:gridCol w:w="3320"/>
      </w:tblGrid>
      <w:tr w14:paraId="5DE9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22" w:type="pct"/>
            <w:vAlign w:val="center"/>
          </w:tcPr>
          <w:p w14:paraId="67CE62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塔基序号</w:t>
            </w:r>
          </w:p>
        </w:tc>
        <w:tc>
          <w:tcPr>
            <w:tcW w:w="1988" w:type="pct"/>
            <w:vAlign w:val="center"/>
          </w:tcPr>
          <w:p w14:paraId="525D3B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距离缓冲区最近点的距离（m）</w:t>
            </w:r>
          </w:p>
        </w:tc>
        <w:tc>
          <w:tcPr>
            <w:tcW w:w="1989" w:type="pct"/>
            <w:vAlign w:val="center"/>
          </w:tcPr>
          <w:p w14:paraId="4B54C9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pacing w:val="7"/>
                <w:sz w:val="21"/>
                <w:szCs w:val="21"/>
                <w:highlight w:val="none"/>
              </w:rPr>
            </w:pPr>
            <w:r>
              <w:rPr>
                <w:rFonts w:hint="default" w:ascii="Times New Roman" w:hAnsi="Times New Roman" w:eastAsia="宋体" w:cs="Times New Roman"/>
                <w:b/>
                <w:bCs/>
                <w:color w:val="auto"/>
                <w:spacing w:val="7"/>
                <w:sz w:val="21"/>
                <w:szCs w:val="21"/>
                <w:highlight w:val="none"/>
              </w:rPr>
              <w:t>距离</w:t>
            </w:r>
            <w:r>
              <w:rPr>
                <w:rFonts w:hint="eastAsia" w:ascii="Times New Roman" w:hAnsi="Times New Roman" w:eastAsia="宋体" w:cs="Times New Roman"/>
                <w:b/>
                <w:bCs/>
                <w:color w:val="auto"/>
                <w:spacing w:val="7"/>
                <w:sz w:val="21"/>
                <w:szCs w:val="21"/>
                <w:highlight w:val="none"/>
                <w:lang w:eastAsia="zh-CN"/>
              </w:rPr>
              <w:t>核心</w:t>
            </w:r>
            <w:r>
              <w:rPr>
                <w:rFonts w:hint="default" w:ascii="Times New Roman" w:hAnsi="Times New Roman" w:eastAsia="宋体" w:cs="Times New Roman"/>
                <w:b/>
                <w:bCs/>
                <w:color w:val="auto"/>
                <w:spacing w:val="7"/>
                <w:sz w:val="21"/>
                <w:szCs w:val="21"/>
                <w:highlight w:val="none"/>
              </w:rPr>
              <w:t>区最近点的距离（m）</w:t>
            </w:r>
          </w:p>
        </w:tc>
      </w:tr>
      <w:tr w14:paraId="2F2F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2" w:type="pct"/>
            <w:vAlign w:val="center"/>
          </w:tcPr>
          <w:p w14:paraId="3850A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1"/>
                <w:sz w:val="21"/>
                <w:szCs w:val="21"/>
                <w:highlight w:val="none"/>
                <w:lang w:val="en-US" w:eastAsia="zh-CN"/>
              </w:rPr>
              <w:t>N</w:t>
            </w:r>
            <w:r>
              <w:rPr>
                <w:rFonts w:hint="default" w:ascii="Times New Roman" w:hAnsi="Times New Roman" w:eastAsia="宋体" w:cs="Times New Roman"/>
                <w:b w:val="0"/>
                <w:bCs w:val="0"/>
                <w:color w:val="auto"/>
                <w:spacing w:val="1"/>
                <w:sz w:val="21"/>
                <w:szCs w:val="21"/>
                <w:highlight w:val="none"/>
              </w:rPr>
              <w:t>4</w:t>
            </w:r>
          </w:p>
        </w:tc>
        <w:tc>
          <w:tcPr>
            <w:tcW w:w="1988" w:type="pct"/>
            <w:vAlign w:val="center"/>
          </w:tcPr>
          <w:p w14:paraId="68BF01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947.77</w:t>
            </w:r>
          </w:p>
        </w:tc>
        <w:tc>
          <w:tcPr>
            <w:tcW w:w="1989" w:type="pct"/>
            <w:vAlign w:val="center"/>
          </w:tcPr>
          <w:p w14:paraId="518C4F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2290.41</w:t>
            </w:r>
          </w:p>
        </w:tc>
      </w:tr>
      <w:tr w14:paraId="518FE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1FFD03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5</w:t>
            </w:r>
          </w:p>
        </w:tc>
        <w:tc>
          <w:tcPr>
            <w:tcW w:w="1988" w:type="pct"/>
            <w:vAlign w:val="center"/>
          </w:tcPr>
          <w:p w14:paraId="6FEBD8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908.75</w:t>
            </w:r>
          </w:p>
        </w:tc>
        <w:tc>
          <w:tcPr>
            <w:tcW w:w="1989" w:type="pct"/>
            <w:vAlign w:val="center"/>
          </w:tcPr>
          <w:p w14:paraId="4EFC11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2281.26</w:t>
            </w:r>
          </w:p>
        </w:tc>
      </w:tr>
      <w:tr w14:paraId="58760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6D8424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6</w:t>
            </w:r>
          </w:p>
        </w:tc>
        <w:tc>
          <w:tcPr>
            <w:tcW w:w="1988" w:type="pct"/>
            <w:vAlign w:val="center"/>
          </w:tcPr>
          <w:p w14:paraId="10A9EC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789.52</w:t>
            </w:r>
          </w:p>
        </w:tc>
        <w:tc>
          <w:tcPr>
            <w:tcW w:w="1989" w:type="pct"/>
            <w:vAlign w:val="center"/>
          </w:tcPr>
          <w:p w14:paraId="34F7AE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2198.42</w:t>
            </w:r>
          </w:p>
        </w:tc>
      </w:tr>
      <w:tr w14:paraId="79C6E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2" w:type="pct"/>
            <w:vAlign w:val="center"/>
          </w:tcPr>
          <w:p w14:paraId="1CCB1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7</w:t>
            </w:r>
          </w:p>
        </w:tc>
        <w:tc>
          <w:tcPr>
            <w:tcW w:w="1988" w:type="pct"/>
            <w:vAlign w:val="center"/>
          </w:tcPr>
          <w:p w14:paraId="55A568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795.67</w:t>
            </w:r>
          </w:p>
        </w:tc>
        <w:tc>
          <w:tcPr>
            <w:tcW w:w="1989" w:type="pct"/>
            <w:vAlign w:val="center"/>
          </w:tcPr>
          <w:p w14:paraId="0EE6DF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1852.03</w:t>
            </w:r>
          </w:p>
        </w:tc>
      </w:tr>
      <w:tr w14:paraId="5F089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2050EC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8</w:t>
            </w:r>
          </w:p>
        </w:tc>
        <w:tc>
          <w:tcPr>
            <w:tcW w:w="1988" w:type="pct"/>
            <w:vAlign w:val="center"/>
          </w:tcPr>
          <w:p w14:paraId="03EA5F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674.19</w:t>
            </w:r>
          </w:p>
        </w:tc>
        <w:tc>
          <w:tcPr>
            <w:tcW w:w="1989" w:type="pct"/>
            <w:vAlign w:val="center"/>
          </w:tcPr>
          <w:p w14:paraId="532DE3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1774.28</w:t>
            </w:r>
          </w:p>
        </w:tc>
      </w:tr>
      <w:tr w14:paraId="2797C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2" w:type="pct"/>
            <w:vAlign w:val="center"/>
          </w:tcPr>
          <w:p w14:paraId="0789B8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N</w:t>
            </w:r>
            <w:r>
              <w:rPr>
                <w:rFonts w:hint="default" w:ascii="Times New Roman" w:hAnsi="Times New Roman" w:eastAsia="宋体" w:cs="Times New Roman"/>
                <w:b w:val="0"/>
                <w:bCs w:val="0"/>
                <w:color w:val="auto"/>
                <w:sz w:val="21"/>
                <w:szCs w:val="21"/>
                <w:highlight w:val="none"/>
              </w:rPr>
              <w:t>9</w:t>
            </w:r>
          </w:p>
        </w:tc>
        <w:tc>
          <w:tcPr>
            <w:tcW w:w="1988" w:type="pct"/>
            <w:vAlign w:val="center"/>
          </w:tcPr>
          <w:p w14:paraId="43B3CA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664.75</w:t>
            </w:r>
          </w:p>
        </w:tc>
        <w:tc>
          <w:tcPr>
            <w:tcW w:w="1989" w:type="pct"/>
            <w:vAlign w:val="center"/>
          </w:tcPr>
          <w:p w14:paraId="21C8F5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1829.37</w:t>
            </w:r>
          </w:p>
        </w:tc>
      </w:tr>
      <w:tr w14:paraId="52738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5545CF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10</w:t>
            </w:r>
          </w:p>
        </w:tc>
        <w:tc>
          <w:tcPr>
            <w:tcW w:w="1988" w:type="pct"/>
            <w:vAlign w:val="center"/>
          </w:tcPr>
          <w:p w14:paraId="06767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599.38</w:t>
            </w:r>
          </w:p>
        </w:tc>
        <w:tc>
          <w:tcPr>
            <w:tcW w:w="1989" w:type="pct"/>
            <w:vAlign w:val="center"/>
          </w:tcPr>
          <w:p w14:paraId="412EAB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1655.32</w:t>
            </w:r>
          </w:p>
        </w:tc>
      </w:tr>
      <w:tr w14:paraId="203C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31A7BF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11</w:t>
            </w:r>
          </w:p>
        </w:tc>
        <w:tc>
          <w:tcPr>
            <w:tcW w:w="1988" w:type="pct"/>
            <w:vAlign w:val="center"/>
          </w:tcPr>
          <w:p w14:paraId="0B84BF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387.45</w:t>
            </w:r>
          </w:p>
        </w:tc>
        <w:tc>
          <w:tcPr>
            <w:tcW w:w="1989" w:type="pct"/>
            <w:vAlign w:val="center"/>
          </w:tcPr>
          <w:p w14:paraId="4A0A6A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1625.68</w:t>
            </w:r>
          </w:p>
        </w:tc>
      </w:tr>
      <w:tr w14:paraId="7308E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2B3A92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12</w:t>
            </w:r>
          </w:p>
        </w:tc>
        <w:tc>
          <w:tcPr>
            <w:tcW w:w="1988" w:type="pct"/>
            <w:vAlign w:val="center"/>
          </w:tcPr>
          <w:p w14:paraId="02239B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291.45</w:t>
            </w:r>
          </w:p>
        </w:tc>
        <w:tc>
          <w:tcPr>
            <w:tcW w:w="1989" w:type="pct"/>
            <w:vAlign w:val="center"/>
          </w:tcPr>
          <w:p w14:paraId="5D4584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1770.35</w:t>
            </w:r>
          </w:p>
        </w:tc>
      </w:tr>
      <w:tr w14:paraId="04E0D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414118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13</w:t>
            </w:r>
          </w:p>
        </w:tc>
        <w:tc>
          <w:tcPr>
            <w:tcW w:w="1988" w:type="pct"/>
            <w:vAlign w:val="center"/>
          </w:tcPr>
          <w:p w14:paraId="6FBACD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192.7</w:t>
            </w:r>
            <w:r>
              <w:rPr>
                <w:rFonts w:hint="eastAsia" w:eastAsia="宋体" w:cs="Times New Roman"/>
                <w:color w:val="auto"/>
                <w:spacing w:val="-1"/>
                <w:sz w:val="21"/>
                <w:szCs w:val="21"/>
                <w:highlight w:val="none"/>
                <w:lang w:val="en-US" w:eastAsia="zh-CN"/>
              </w:rPr>
              <w:t>0</w:t>
            </w:r>
          </w:p>
        </w:tc>
        <w:tc>
          <w:tcPr>
            <w:tcW w:w="1989" w:type="pct"/>
            <w:vAlign w:val="center"/>
          </w:tcPr>
          <w:p w14:paraId="088642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eastAsia="宋体" w:cs="Times New Roman"/>
                <w:color w:val="auto"/>
                <w:spacing w:val="-1"/>
                <w:sz w:val="21"/>
                <w:szCs w:val="21"/>
                <w:highlight w:val="none"/>
                <w:lang w:val="en-US" w:eastAsia="zh-CN"/>
              </w:rPr>
              <w:t>1753.92</w:t>
            </w:r>
          </w:p>
        </w:tc>
      </w:tr>
      <w:tr w14:paraId="660E6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5574A6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14</w:t>
            </w:r>
          </w:p>
        </w:tc>
        <w:tc>
          <w:tcPr>
            <w:tcW w:w="1988" w:type="pct"/>
            <w:vAlign w:val="center"/>
          </w:tcPr>
          <w:p w14:paraId="50A467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280.3</w:t>
            </w:r>
            <w:r>
              <w:rPr>
                <w:rFonts w:hint="eastAsia" w:eastAsia="宋体" w:cs="Times New Roman"/>
                <w:color w:val="auto"/>
                <w:spacing w:val="3"/>
                <w:sz w:val="21"/>
                <w:szCs w:val="21"/>
                <w:highlight w:val="none"/>
                <w:lang w:val="en-US" w:eastAsia="zh-CN"/>
              </w:rPr>
              <w:t>0</w:t>
            </w:r>
          </w:p>
        </w:tc>
        <w:tc>
          <w:tcPr>
            <w:tcW w:w="1989" w:type="pct"/>
            <w:vAlign w:val="center"/>
          </w:tcPr>
          <w:p w14:paraId="5556BA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1533.34</w:t>
            </w:r>
          </w:p>
        </w:tc>
      </w:tr>
      <w:tr w14:paraId="655A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2ADFBD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15</w:t>
            </w:r>
          </w:p>
        </w:tc>
        <w:tc>
          <w:tcPr>
            <w:tcW w:w="1988" w:type="pct"/>
            <w:vAlign w:val="center"/>
          </w:tcPr>
          <w:p w14:paraId="263AEE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27.22</w:t>
            </w:r>
          </w:p>
        </w:tc>
        <w:tc>
          <w:tcPr>
            <w:tcW w:w="1989" w:type="pct"/>
            <w:vAlign w:val="center"/>
          </w:tcPr>
          <w:p w14:paraId="5A51D5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1120.31</w:t>
            </w:r>
          </w:p>
        </w:tc>
      </w:tr>
      <w:tr w14:paraId="3B7A0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0A96AA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16</w:t>
            </w:r>
          </w:p>
        </w:tc>
        <w:tc>
          <w:tcPr>
            <w:tcW w:w="1988" w:type="pct"/>
            <w:vAlign w:val="center"/>
          </w:tcPr>
          <w:p w14:paraId="7272B6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133.75</w:t>
            </w:r>
          </w:p>
        </w:tc>
        <w:tc>
          <w:tcPr>
            <w:tcW w:w="1989" w:type="pct"/>
            <w:vAlign w:val="center"/>
          </w:tcPr>
          <w:p w14:paraId="12B1C5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826.53</w:t>
            </w:r>
          </w:p>
        </w:tc>
      </w:tr>
      <w:tr w14:paraId="3DF11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05BA6B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17</w:t>
            </w:r>
          </w:p>
        </w:tc>
        <w:tc>
          <w:tcPr>
            <w:tcW w:w="1988" w:type="pct"/>
            <w:vAlign w:val="center"/>
          </w:tcPr>
          <w:p w14:paraId="34BBD4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53.46</w:t>
            </w:r>
          </w:p>
        </w:tc>
        <w:tc>
          <w:tcPr>
            <w:tcW w:w="1989" w:type="pct"/>
            <w:vAlign w:val="center"/>
          </w:tcPr>
          <w:p w14:paraId="75C6348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631.04</w:t>
            </w:r>
          </w:p>
        </w:tc>
      </w:tr>
      <w:tr w14:paraId="7D46C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4BECB9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18</w:t>
            </w:r>
          </w:p>
        </w:tc>
        <w:tc>
          <w:tcPr>
            <w:tcW w:w="1988" w:type="pct"/>
            <w:vAlign w:val="center"/>
          </w:tcPr>
          <w:p w14:paraId="78DB85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53.02</w:t>
            </w:r>
          </w:p>
        </w:tc>
        <w:tc>
          <w:tcPr>
            <w:tcW w:w="1989" w:type="pct"/>
            <w:vAlign w:val="center"/>
          </w:tcPr>
          <w:p w14:paraId="6A768E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527.82</w:t>
            </w:r>
          </w:p>
        </w:tc>
      </w:tr>
      <w:tr w14:paraId="17B7C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22" w:type="pct"/>
            <w:vAlign w:val="center"/>
          </w:tcPr>
          <w:p w14:paraId="77414A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w:t>
            </w:r>
            <w:r>
              <w:rPr>
                <w:rFonts w:hint="default" w:ascii="Times New Roman" w:hAnsi="Times New Roman" w:eastAsia="宋体" w:cs="Times New Roman"/>
                <w:b w:val="0"/>
                <w:bCs w:val="0"/>
                <w:color w:val="auto"/>
                <w:spacing w:val="-8"/>
                <w:sz w:val="21"/>
                <w:szCs w:val="21"/>
                <w:highlight w:val="none"/>
              </w:rPr>
              <w:t>19</w:t>
            </w:r>
          </w:p>
        </w:tc>
        <w:tc>
          <w:tcPr>
            <w:tcW w:w="1988" w:type="pct"/>
            <w:vAlign w:val="center"/>
          </w:tcPr>
          <w:p w14:paraId="65D99B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202.22</w:t>
            </w:r>
          </w:p>
        </w:tc>
        <w:tc>
          <w:tcPr>
            <w:tcW w:w="1989" w:type="pct"/>
            <w:vAlign w:val="center"/>
          </w:tcPr>
          <w:p w14:paraId="4F6AD4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494.96</w:t>
            </w:r>
          </w:p>
        </w:tc>
      </w:tr>
      <w:tr w14:paraId="0DAA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72C30F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2"/>
                <w:sz w:val="21"/>
                <w:szCs w:val="21"/>
                <w:highlight w:val="none"/>
                <w:lang w:val="en-US" w:eastAsia="zh-CN"/>
              </w:rPr>
              <w:t>N</w:t>
            </w:r>
            <w:r>
              <w:rPr>
                <w:rFonts w:hint="default" w:ascii="Times New Roman" w:hAnsi="Times New Roman" w:eastAsia="宋体" w:cs="Times New Roman"/>
                <w:b w:val="0"/>
                <w:bCs w:val="0"/>
                <w:color w:val="auto"/>
                <w:spacing w:val="2"/>
                <w:sz w:val="21"/>
                <w:szCs w:val="21"/>
                <w:highlight w:val="none"/>
              </w:rPr>
              <w:t>20</w:t>
            </w:r>
          </w:p>
        </w:tc>
        <w:tc>
          <w:tcPr>
            <w:tcW w:w="1988" w:type="pct"/>
            <w:vAlign w:val="center"/>
          </w:tcPr>
          <w:p w14:paraId="393B56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123.85</w:t>
            </w:r>
          </w:p>
        </w:tc>
        <w:tc>
          <w:tcPr>
            <w:tcW w:w="1989" w:type="pct"/>
            <w:vAlign w:val="center"/>
          </w:tcPr>
          <w:p w14:paraId="67C19E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542.26</w:t>
            </w:r>
          </w:p>
        </w:tc>
      </w:tr>
      <w:tr w14:paraId="50750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03306D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N21</w:t>
            </w:r>
          </w:p>
        </w:tc>
        <w:tc>
          <w:tcPr>
            <w:tcW w:w="1988" w:type="pct"/>
            <w:vAlign w:val="center"/>
          </w:tcPr>
          <w:p w14:paraId="1685B0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148.23</w:t>
            </w:r>
          </w:p>
        </w:tc>
        <w:tc>
          <w:tcPr>
            <w:tcW w:w="1989" w:type="pct"/>
            <w:vAlign w:val="center"/>
          </w:tcPr>
          <w:p w14:paraId="6064CF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727.50</w:t>
            </w:r>
          </w:p>
        </w:tc>
      </w:tr>
      <w:tr w14:paraId="28B3A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51D93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N22</w:t>
            </w:r>
          </w:p>
        </w:tc>
        <w:tc>
          <w:tcPr>
            <w:tcW w:w="1988" w:type="pct"/>
            <w:vAlign w:val="center"/>
          </w:tcPr>
          <w:p w14:paraId="07975E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198.1</w:t>
            </w:r>
            <w:r>
              <w:rPr>
                <w:rFonts w:hint="eastAsia" w:eastAsia="宋体" w:cs="Times New Roman"/>
                <w:color w:val="auto"/>
                <w:spacing w:val="-2"/>
                <w:sz w:val="21"/>
                <w:szCs w:val="21"/>
                <w:highlight w:val="none"/>
                <w:lang w:val="en-US" w:eastAsia="zh-CN"/>
              </w:rPr>
              <w:t>0</w:t>
            </w:r>
          </w:p>
        </w:tc>
        <w:tc>
          <w:tcPr>
            <w:tcW w:w="1989" w:type="pct"/>
            <w:vAlign w:val="center"/>
          </w:tcPr>
          <w:p w14:paraId="3AE8FE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923.14</w:t>
            </w:r>
          </w:p>
        </w:tc>
      </w:tr>
      <w:tr w14:paraId="3C0BA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731021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N23</w:t>
            </w:r>
          </w:p>
        </w:tc>
        <w:tc>
          <w:tcPr>
            <w:tcW w:w="1988" w:type="pct"/>
            <w:vAlign w:val="center"/>
          </w:tcPr>
          <w:p w14:paraId="1C16EB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80.73</w:t>
            </w:r>
          </w:p>
        </w:tc>
        <w:tc>
          <w:tcPr>
            <w:tcW w:w="1989" w:type="pct"/>
            <w:vAlign w:val="center"/>
          </w:tcPr>
          <w:p w14:paraId="62571D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646.72</w:t>
            </w:r>
          </w:p>
        </w:tc>
      </w:tr>
      <w:tr w14:paraId="124EB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231643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N24</w:t>
            </w:r>
          </w:p>
        </w:tc>
        <w:tc>
          <w:tcPr>
            <w:tcW w:w="1988" w:type="pct"/>
            <w:vAlign w:val="center"/>
          </w:tcPr>
          <w:p w14:paraId="19A434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60.98</w:t>
            </w:r>
          </w:p>
        </w:tc>
        <w:tc>
          <w:tcPr>
            <w:tcW w:w="1989" w:type="pct"/>
            <w:vAlign w:val="center"/>
          </w:tcPr>
          <w:p w14:paraId="27C55D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587.40</w:t>
            </w:r>
          </w:p>
        </w:tc>
      </w:tr>
      <w:tr w14:paraId="07DCC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pct"/>
            <w:vAlign w:val="center"/>
          </w:tcPr>
          <w:p w14:paraId="3B3EB9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N25</w:t>
            </w:r>
          </w:p>
        </w:tc>
        <w:tc>
          <w:tcPr>
            <w:tcW w:w="1988" w:type="pct"/>
            <w:vAlign w:val="center"/>
          </w:tcPr>
          <w:p w14:paraId="33727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188.8</w:t>
            </w:r>
            <w:r>
              <w:rPr>
                <w:rFonts w:hint="eastAsia" w:eastAsia="宋体" w:cs="Times New Roman"/>
                <w:color w:val="auto"/>
                <w:spacing w:val="-1"/>
                <w:sz w:val="21"/>
                <w:szCs w:val="21"/>
                <w:highlight w:val="none"/>
                <w:lang w:val="en-US" w:eastAsia="zh-CN"/>
              </w:rPr>
              <w:t>0</w:t>
            </w:r>
          </w:p>
        </w:tc>
        <w:tc>
          <w:tcPr>
            <w:tcW w:w="1989" w:type="pct"/>
            <w:vAlign w:val="center"/>
          </w:tcPr>
          <w:p w14:paraId="4EEA7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eastAsia="宋体" w:cs="Times New Roman"/>
                <w:color w:val="auto"/>
                <w:spacing w:val="-1"/>
                <w:sz w:val="21"/>
                <w:szCs w:val="21"/>
                <w:highlight w:val="none"/>
                <w:lang w:val="en-US" w:eastAsia="zh-CN"/>
              </w:rPr>
              <w:t>714.45</w:t>
            </w:r>
          </w:p>
        </w:tc>
      </w:tr>
      <w:tr w14:paraId="0916B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22" w:type="pct"/>
            <w:vAlign w:val="center"/>
          </w:tcPr>
          <w:p w14:paraId="70BAD8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sz w:val="21"/>
                <w:szCs w:val="21"/>
                <w:highlight w:val="none"/>
                <w:lang w:val="en-US" w:eastAsia="zh-CN"/>
              </w:rPr>
              <w:t>N26</w:t>
            </w:r>
          </w:p>
        </w:tc>
        <w:tc>
          <w:tcPr>
            <w:tcW w:w="1988" w:type="pct"/>
            <w:vAlign w:val="center"/>
          </w:tcPr>
          <w:p w14:paraId="619829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403.98</w:t>
            </w:r>
          </w:p>
        </w:tc>
        <w:tc>
          <w:tcPr>
            <w:tcW w:w="1989" w:type="pct"/>
            <w:vAlign w:val="center"/>
          </w:tcPr>
          <w:p w14:paraId="0D68FC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880.62</w:t>
            </w:r>
          </w:p>
        </w:tc>
      </w:tr>
    </w:tbl>
    <w:p w14:paraId="5B46D253">
      <w:pPr>
        <w:bidi w:val="0"/>
        <w:rPr>
          <w:color w:val="auto"/>
          <w:highlight w:val="none"/>
        </w:rPr>
      </w:pPr>
      <w:r>
        <w:rPr>
          <w:color w:val="auto"/>
          <w:highlight w:val="none"/>
        </w:rPr>
        <w:t>（3）塔基占地范围植被数量情况</w:t>
      </w:r>
    </w:p>
    <w:p w14:paraId="21CB2794">
      <w:pPr>
        <w:bidi w:val="0"/>
        <w:rPr>
          <w:color w:val="auto"/>
          <w:highlight w:val="none"/>
        </w:rPr>
      </w:pPr>
      <w:r>
        <w:rPr>
          <w:color w:val="auto"/>
          <w:highlight w:val="none"/>
        </w:rPr>
        <w:t>本项目塔基征地已经</w:t>
      </w:r>
      <w:r>
        <w:rPr>
          <w:rFonts w:hint="eastAsia"/>
          <w:color w:val="auto"/>
          <w:highlight w:val="none"/>
          <w:lang w:val="en-US" w:eastAsia="zh-CN"/>
        </w:rPr>
        <w:t>与</w:t>
      </w:r>
      <w:r>
        <w:rPr>
          <w:color w:val="auto"/>
          <w:highlight w:val="none"/>
        </w:rPr>
        <w:t>当地村集体签订补偿协议，占地范围内的集体林地由村集体办理采伐证。</w:t>
      </w:r>
    </w:p>
    <w:p w14:paraId="4FCA4532">
      <w:pPr>
        <w:autoSpaceDE w:val="0"/>
        <w:autoSpaceDN w:val="0"/>
        <w:spacing w:line="240" w:lineRule="auto"/>
        <w:ind w:firstLine="422"/>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 xml:space="preserve">3.2-4 </w:t>
      </w:r>
      <w:r>
        <w:rPr>
          <w:rFonts w:ascii="Times New Roman" w:hAnsi="Times New Roman" w:eastAsia="宋体" w:cs="Times New Roman"/>
          <w:b/>
          <w:bCs/>
          <w:color w:val="auto"/>
          <w:sz w:val="21"/>
          <w:szCs w:val="21"/>
          <w:highlight w:val="none"/>
        </w:rPr>
        <w:t xml:space="preserve"> 塔基占地范围植被数量情况统计表</w:t>
      </w:r>
    </w:p>
    <w:tbl>
      <w:tblPr>
        <w:tblStyle w:val="22"/>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6"/>
        <w:gridCol w:w="1528"/>
        <w:gridCol w:w="1210"/>
        <w:gridCol w:w="2731"/>
        <w:gridCol w:w="1094"/>
        <w:gridCol w:w="842"/>
      </w:tblGrid>
      <w:tr w14:paraId="619E0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3271D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塔基序号</w:t>
            </w:r>
          </w:p>
        </w:tc>
        <w:tc>
          <w:tcPr>
            <w:tcW w:w="1528" w:type="dxa"/>
            <w:vAlign w:val="center"/>
          </w:tcPr>
          <w:p w14:paraId="1DB908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村名</w:t>
            </w:r>
          </w:p>
        </w:tc>
        <w:tc>
          <w:tcPr>
            <w:tcW w:w="1210" w:type="dxa"/>
            <w:vAlign w:val="center"/>
          </w:tcPr>
          <w:p w14:paraId="71781F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棵数</w:t>
            </w:r>
          </w:p>
        </w:tc>
        <w:tc>
          <w:tcPr>
            <w:tcW w:w="2731" w:type="dxa"/>
            <w:vAlign w:val="center"/>
          </w:tcPr>
          <w:p w14:paraId="435049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物种</w:t>
            </w:r>
          </w:p>
        </w:tc>
        <w:tc>
          <w:tcPr>
            <w:tcW w:w="1094" w:type="dxa"/>
            <w:vAlign w:val="center"/>
          </w:tcPr>
          <w:p w14:paraId="1A6ED4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胸径</w:t>
            </w:r>
          </w:p>
        </w:tc>
        <w:tc>
          <w:tcPr>
            <w:tcW w:w="842" w:type="dxa"/>
            <w:vAlign w:val="center"/>
          </w:tcPr>
          <w:p w14:paraId="5D7E0F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蓄积</w:t>
            </w:r>
          </w:p>
        </w:tc>
      </w:tr>
      <w:tr w14:paraId="1DFB0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76CE81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4</w:t>
            </w:r>
          </w:p>
        </w:tc>
        <w:tc>
          <w:tcPr>
            <w:tcW w:w="1528" w:type="dxa"/>
            <w:vAlign w:val="center"/>
          </w:tcPr>
          <w:p w14:paraId="4DB842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5F5D76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w:t>
            </w:r>
          </w:p>
        </w:tc>
        <w:tc>
          <w:tcPr>
            <w:tcW w:w="2731" w:type="dxa"/>
            <w:vAlign w:val="center"/>
          </w:tcPr>
          <w:p w14:paraId="4F856B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山荆子</w:t>
            </w:r>
          </w:p>
        </w:tc>
        <w:tc>
          <w:tcPr>
            <w:tcW w:w="1094" w:type="dxa"/>
            <w:vAlign w:val="center"/>
          </w:tcPr>
          <w:p w14:paraId="446754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c>
          <w:tcPr>
            <w:tcW w:w="842" w:type="dxa"/>
            <w:vAlign w:val="center"/>
          </w:tcPr>
          <w:p w14:paraId="288B70F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r w14:paraId="6FCC7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39FC7E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5</w:t>
            </w:r>
          </w:p>
        </w:tc>
        <w:tc>
          <w:tcPr>
            <w:tcW w:w="1528" w:type="dxa"/>
            <w:vAlign w:val="center"/>
          </w:tcPr>
          <w:p w14:paraId="39AB0C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52D18D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45</w:t>
            </w:r>
          </w:p>
        </w:tc>
        <w:tc>
          <w:tcPr>
            <w:tcW w:w="2731" w:type="dxa"/>
            <w:vAlign w:val="center"/>
          </w:tcPr>
          <w:p w14:paraId="6D8C25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  蒙古栎</w:t>
            </w:r>
          </w:p>
        </w:tc>
        <w:tc>
          <w:tcPr>
            <w:tcW w:w="1094" w:type="dxa"/>
            <w:vAlign w:val="center"/>
          </w:tcPr>
          <w:p w14:paraId="0D42BD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12.1</w:t>
            </w:r>
          </w:p>
        </w:tc>
        <w:tc>
          <w:tcPr>
            <w:tcW w:w="842" w:type="dxa"/>
            <w:vAlign w:val="center"/>
          </w:tcPr>
          <w:p w14:paraId="7876E4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1.34</w:t>
            </w:r>
          </w:p>
        </w:tc>
      </w:tr>
      <w:tr w14:paraId="08D4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42A078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6</w:t>
            </w:r>
          </w:p>
        </w:tc>
        <w:tc>
          <w:tcPr>
            <w:tcW w:w="1528" w:type="dxa"/>
            <w:vAlign w:val="center"/>
          </w:tcPr>
          <w:p w14:paraId="53458F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524C51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60</w:t>
            </w:r>
          </w:p>
        </w:tc>
        <w:tc>
          <w:tcPr>
            <w:tcW w:w="2731" w:type="dxa"/>
            <w:vAlign w:val="center"/>
          </w:tcPr>
          <w:p w14:paraId="1C8227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蒙古栎</w:t>
            </w:r>
          </w:p>
        </w:tc>
        <w:tc>
          <w:tcPr>
            <w:tcW w:w="1094" w:type="dxa"/>
            <w:vAlign w:val="center"/>
          </w:tcPr>
          <w:p w14:paraId="314C02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11.6</w:t>
            </w:r>
          </w:p>
        </w:tc>
        <w:tc>
          <w:tcPr>
            <w:tcW w:w="842" w:type="dxa"/>
            <w:vAlign w:val="center"/>
          </w:tcPr>
          <w:p w14:paraId="00D2F0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2.34</w:t>
            </w:r>
          </w:p>
        </w:tc>
      </w:tr>
      <w:tr w14:paraId="7F052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58B5E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7</w:t>
            </w:r>
          </w:p>
        </w:tc>
        <w:tc>
          <w:tcPr>
            <w:tcW w:w="1528" w:type="dxa"/>
            <w:vAlign w:val="center"/>
          </w:tcPr>
          <w:p w14:paraId="16554A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752726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100</w:t>
            </w:r>
          </w:p>
        </w:tc>
        <w:tc>
          <w:tcPr>
            <w:tcW w:w="2731" w:type="dxa"/>
            <w:vAlign w:val="center"/>
          </w:tcPr>
          <w:p w14:paraId="4FD2B3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  蒙古栎</w:t>
            </w:r>
          </w:p>
        </w:tc>
        <w:tc>
          <w:tcPr>
            <w:tcW w:w="1094" w:type="dxa"/>
            <w:vAlign w:val="center"/>
          </w:tcPr>
          <w:p w14:paraId="7D468E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14.2</w:t>
            </w:r>
          </w:p>
        </w:tc>
        <w:tc>
          <w:tcPr>
            <w:tcW w:w="842" w:type="dxa"/>
            <w:vAlign w:val="center"/>
          </w:tcPr>
          <w:p w14:paraId="0FD32D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5.2</w:t>
            </w:r>
          </w:p>
        </w:tc>
      </w:tr>
      <w:tr w14:paraId="643A1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1D797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8</w:t>
            </w:r>
          </w:p>
        </w:tc>
        <w:tc>
          <w:tcPr>
            <w:tcW w:w="1528" w:type="dxa"/>
            <w:vAlign w:val="center"/>
          </w:tcPr>
          <w:p w14:paraId="479F35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7583DF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100</w:t>
            </w:r>
          </w:p>
        </w:tc>
        <w:tc>
          <w:tcPr>
            <w:tcW w:w="2731" w:type="dxa"/>
            <w:vAlign w:val="center"/>
          </w:tcPr>
          <w:p w14:paraId="3F060B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蒙古栎</w:t>
            </w:r>
          </w:p>
        </w:tc>
        <w:tc>
          <w:tcPr>
            <w:tcW w:w="1094" w:type="dxa"/>
            <w:vAlign w:val="center"/>
          </w:tcPr>
          <w:p w14:paraId="5506F9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13.8</w:t>
            </w:r>
          </w:p>
        </w:tc>
        <w:tc>
          <w:tcPr>
            <w:tcW w:w="842" w:type="dxa"/>
            <w:vAlign w:val="center"/>
          </w:tcPr>
          <w:p w14:paraId="61759F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5. 1</w:t>
            </w:r>
          </w:p>
        </w:tc>
      </w:tr>
      <w:tr w14:paraId="70839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BAF7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9</w:t>
            </w:r>
          </w:p>
        </w:tc>
        <w:tc>
          <w:tcPr>
            <w:tcW w:w="1528" w:type="dxa"/>
            <w:vAlign w:val="center"/>
          </w:tcPr>
          <w:p w14:paraId="430A668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4158E0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50</w:t>
            </w:r>
          </w:p>
        </w:tc>
        <w:tc>
          <w:tcPr>
            <w:tcW w:w="2731" w:type="dxa"/>
            <w:vAlign w:val="center"/>
          </w:tcPr>
          <w:p w14:paraId="378925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  蒙古栎</w:t>
            </w:r>
          </w:p>
        </w:tc>
        <w:tc>
          <w:tcPr>
            <w:tcW w:w="1094" w:type="dxa"/>
            <w:vAlign w:val="center"/>
          </w:tcPr>
          <w:p w14:paraId="4E8C99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13.8</w:t>
            </w:r>
          </w:p>
        </w:tc>
        <w:tc>
          <w:tcPr>
            <w:tcW w:w="842" w:type="dxa"/>
            <w:vAlign w:val="center"/>
          </w:tcPr>
          <w:p w14:paraId="3E06AF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2.6</w:t>
            </w:r>
          </w:p>
        </w:tc>
      </w:tr>
      <w:tr w14:paraId="68B8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64DFC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10</w:t>
            </w:r>
          </w:p>
        </w:tc>
        <w:tc>
          <w:tcPr>
            <w:tcW w:w="1528" w:type="dxa"/>
            <w:vAlign w:val="center"/>
          </w:tcPr>
          <w:p w14:paraId="1A4879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611E23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90</w:t>
            </w:r>
          </w:p>
        </w:tc>
        <w:tc>
          <w:tcPr>
            <w:tcW w:w="2731" w:type="dxa"/>
            <w:vAlign w:val="center"/>
          </w:tcPr>
          <w:p w14:paraId="36B091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蒙古栎</w:t>
            </w:r>
          </w:p>
        </w:tc>
        <w:tc>
          <w:tcPr>
            <w:tcW w:w="1094" w:type="dxa"/>
            <w:vAlign w:val="center"/>
          </w:tcPr>
          <w:p w14:paraId="47FAA1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14.9</w:t>
            </w:r>
          </w:p>
        </w:tc>
        <w:tc>
          <w:tcPr>
            <w:tcW w:w="842" w:type="dxa"/>
            <w:vAlign w:val="center"/>
          </w:tcPr>
          <w:p w14:paraId="05CDAC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5.22</w:t>
            </w:r>
          </w:p>
        </w:tc>
      </w:tr>
      <w:tr w14:paraId="3B83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4A0E13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11</w:t>
            </w:r>
          </w:p>
        </w:tc>
        <w:tc>
          <w:tcPr>
            <w:tcW w:w="1528" w:type="dxa"/>
            <w:vAlign w:val="center"/>
          </w:tcPr>
          <w:p w14:paraId="5152DA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石人梁</w:t>
            </w:r>
          </w:p>
        </w:tc>
        <w:tc>
          <w:tcPr>
            <w:tcW w:w="1210" w:type="dxa"/>
            <w:vAlign w:val="center"/>
          </w:tcPr>
          <w:p w14:paraId="3EFC34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60</w:t>
            </w:r>
          </w:p>
        </w:tc>
        <w:tc>
          <w:tcPr>
            <w:tcW w:w="2731" w:type="dxa"/>
            <w:vAlign w:val="center"/>
          </w:tcPr>
          <w:p w14:paraId="75C64E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  蒙古栎</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 xml:space="preserve"> 黑桦</w:t>
            </w:r>
          </w:p>
        </w:tc>
        <w:tc>
          <w:tcPr>
            <w:tcW w:w="1094" w:type="dxa"/>
            <w:vAlign w:val="center"/>
          </w:tcPr>
          <w:p w14:paraId="5DCC1A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14.9</w:t>
            </w:r>
          </w:p>
        </w:tc>
        <w:tc>
          <w:tcPr>
            <w:tcW w:w="842" w:type="dxa"/>
            <w:vAlign w:val="center"/>
          </w:tcPr>
          <w:p w14:paraId="72469D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3.48</w:t>
            </w:r>
          </w:p>
        </w:tc>
      </w:tr>
      <w:tr w14:paraId="23B08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4E3115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12</w:t>
            </w:r>
          </w:p>
        </w:tc>
        <w:tc>
          <w:tcPr>
            <w:tcW w:w="1528" w:type="dxa"/>
            <w:vAlign w:val="center"/>
          </w:tcPr>
          <w:p w14:paraId="0BCD10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67CF0D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130</w:t>
            </w:r>
          </w:p>
        </w:tc>
        <w:tc>
          <w:tcPr>
            <w:tcW w:w="2731" w:type="dxa"/>
            <w:vAlign w:val="center"/>
          </w:tcPr>
          <w:p w14:paraId="607E51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蒙古栎</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 xml:space="preserve"> 白桦</w:t>
            </w:r>
          </w:p>
        </w:tc>
        <w:tc>
          <w:tcPr>
            <w:tcW w:w="1094" w:type="dxa"/>
            <w:vAlign w:val="center"/>
          </w:tcPr>
          <w:p w14:paraId="16BB52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12.7</w:t>
            </w:r>
          </w:p>
        </w:tc>
        <w:tc>
          <w:tcPr>
            <w:tcW w:w="842" w:type="dxa"/>
            <w:vAlign w:val="center"/>
          </w:tcPr>
          <w:p w14:paraId="2817F3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4.81</w:t>
            </w:r>
          </w:p>
        </w:tc>
      </w:tr>
      <w:tr w14:paraId="0436B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9F7CE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13</w:t>
            </w:r>
          </w:p>
        </w:tc>
        <w:tc>
          <w:tcPr>
            <w:tcW w:w="1528" w:type="dxa"/>
            <w:vAlign w:val="center"/>
          </w:tcPr>
          <w:p w14:paraId="110444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683694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110</w:t>
            </w:r>
          </w:p>
        </w:tc>
        <w:tc>
          <w:tcPr>
            <w:tcW w:w="2731" w:type="dxa"/>
            <w:vAlign w:val="center"/>
          </w:tcPr>
          <w:p w14:paraId="467E8F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 xml:space="preserve">蒙古栎 </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白桦</w:t>
            </w:r>
          </w:p>
        </w:tc>
        <w:tc>
          <w:tcPr>
            <w:tcW w:w="1094" w:type="dxa"/>
            <w:vAlign w:val="center"/>
          </w:tcPr>
          <w:p w14:paraId="020AA8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12.7</w:t>
            </w:r>
          </w:p>
        </w:tc>
        <w:tc>
          <w:tcPr>
            <w:tcW w:w="842" w:type="dxa"/>
            <w:vAlign w:val="center"/>
          </w:tcPr>
          <w:p w14:paraId="44E59F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4.07</w:t>
            </w:r>
          </w:p>
        </w:tc>
      </w:tr>
      <w:tr w14:paraId="6526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76AE4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14</w:t>
            </w:r>
          </w:p>
        </w:tc>
        <w:tc>
          <w:tcPr>
            <w:tcW w:w="1528" w:type="dxa"/>
            <w:vAlign w:val="center"/>
          </w:tcPr>
          <w:p w14:paraId="35B201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0E542A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31" w:type="dxa"/>
            <w:vAlign w:val="center"/>
          </w:tcPr>
          <w:p w14:paraId="7A3B62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草丛</w:t>
            </w:r>
          </w:p>
        </w:tc>
        <w:tc>
          <w:tcPr>
            <w:tcW w:w="1094" w:type="dxa"/>
            <w:vAlign w:val="center"/>
          </w:tcPr>
          <w:p w14:paraId="0A2050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c>
          <w:tcPr>
            <w:tcW w:w="842" w:type="dxa"/>
            <w:vAlign w:val="center"/>
          </w:tcPr>
          <w:p w14:paraId="0971F1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r w14:paraId="3F582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FC70C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15</w:t>
            </w:r>
          </w:p>
        </w:tc>
        <w:tc>
          <w:tcPr>
            <w:tcW w:w="1528" w:type="dxa"/>
            <w:vAlign w:val="center"/>
          </w:tcPr>
          <w:p w14:paraId="48C2BEB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5E78A1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50</w:t>
            </w:r>
          </w:p>
        </w:tc>
        <w:tc>
          <w:tcPr>
            <w:tcW w:w="2731" w:type="dxa"/>
            <w:vAlign w:val="center"/>
          </w:tcPr>
          <w:p w14:paraId="377BB3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089C96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20.5</w:t>
            </w:r>
          </w:p>
        </w:tc>
        <w:tc>
          <w:tcPr>
            <w:tcW w:w="842" w:type="dxa"/>
            <w:vAlign w:val="center"/>
          </w:tcPr>
          <w:p w14:paraId="105A14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6.6</w:t>
            </w:r>
          </w:p>
        </w:tc>
      </w:tr>
      <w:tr w14:paraId="6F74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043C1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16</w:t>
            </w:r>
          </w:p>
        </w:tc>
        <w:tc>
          <w:tcPr>
            <w:tcW w:w="1528" w:type="dxa"/>
            <w:vAlign w:val="center"/>
          </w:tcPr>
          <w:p w14:paraId="3068B6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0D3923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26</w:t>
            </w:r>
          </w:p>
        </w:tc>
        <w:tc>
          <w:tcPr>
            <w:tcW w:w="2731" w:type="dxa"/>
            <w:vAlign w:val="center"/>
          </w:tcPr>
          <w:p w14:paraId="0F0D50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蒙古栎</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白桦</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松树</w:t>
            </w:r>
          </w:p>
        </w:tc>
        <w:tc>
          <w:tcPr>
            <w:tcW w:w="1094" w:type="dxa"/>
            <w:vAlign w:val="center"/>
          </w:tcPr>
          <w:p w14:paraId="10CB4D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12.1</w:t>
            </w:r>
          </w:p>
        </w:tc>
        <w:tc>
          <w:tcPr>
            <w:tcW w:w="842" w:type="dxa"/>
            <w:vAlign w:val="center"/>
          </w:tcPr>
          <w:p w14:paraId="5F1F56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0.78</w:t>
            </w:r>
          </w:p>
        </w:tc>
      </w:tr>
      <w:tr w14:paraId="442E5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34645F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17</w:t>
            </w:r>
          </w:p>
        </w:tc>
        <w:tc>
          <w:tcPr>
            <w:tcW w:w="1528" w:type="dxa"/>
            <w:vAlign w:val="center"/>
          </w:tcPr>
          <w:p w14:paraId="6AD41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1F23DE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100</w:t>
            </w:r>
          </w:p>
        </w:tc>
        <w:tc>
          <w:tcPr>
            <w:tcW w:w="2731" w:type="dxa"/>
            <w:vAlign w:val="center"/>
          </w:tcPr>
          <w:p w14:paraId="4AAEC6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2362CAC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12.1</w:t>
            </w:r>
          </w:p>
        </w:tc>
        <w:tc>
          <w:tcPr>
            <w:tcW w:w="842" w:type="dxa"/>
            <w:vAlign w:val="center"/>
          </w:tcPr>
          <w:p w14:paraId="5F8121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3.4</w:t>
            </w:r>
          </w:p>
        </w:tc>
      </w:tr>
      <w:tr w14:paraId="7DFF5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482D51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18</w:t>
            </w:r>
          </w:p>
        </w:tc>
        <w:tc>
          <w:tcPr>
            <w:tcW w:w="1528" w:type="dxa"/>
            <w:vAlign w:val="center"/>
          </w:tcPr>
          <w:p w14:paraId="4A2AEF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w:t>
            </w:r>
          </w:p>
        </w:tc>
        <w:tc>
          <w:tcPr>
            <w:tcW w:w="1210" w:type="dxa"/>
            <w:vAlign w:val="center"/>
          </w:tcPr>
          <w:p w14:paraId="6E0DB5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15</w:t>
            </w:r>
          </w:p>
        </w:tc>
        <w:tc>
          <w:tcPr>
            <w:tcW w:w="2731" w:type="dxa"/>
            <w:vAlign w:val="center"/>
          </w:tcPr>
          <w:p w14:paraId="2F8D789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277AD0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12.1</w:t>
            </w:r>
          </w:p>
        </w:tc>
        <w:tc>
          <w:tcPr>
            <w:tcW w:w="842" w:type="dxa"/>
            <w:vAlign w:val="center"/>
          </w:tcPr>
          <w:p w14:paraId="3AF294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0.51</w:t>
            </w:r>
          </w:p>
        </w:tc>
      </w:tr>
      <w:tr w14:paraId="798A8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27D975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19</w:t>
            </w:r>
          </w:p>
        </w:tc>
        <w:tc>
          <w:tcPr>
            <w:tcW w:w="1528" w:type="dxa"/>
            <w:vAlign w:val="center"/>
          </w:tcPr>
          <w:p w14:paraId="2BAA26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桦树林、19号</w:t>
            </w:r>
          </w:p>
        </w:tc>
        <w:tc>
          <w:tcPr>
            <w:tcW w:w="1210" w:type="dxa"/>
            <w:vAlign w:val="center"/>
          </w:tcPr>
          <w:p w14:paraId="26BB3F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25</w:t>
            </w:r>
          </w:p>
        </w:tc>
        <w:tc>
          <w:tcPr>
            <w:tcW w:w="2731" w:type="dxa"/>
            <w:vAlign w:val="center"/>
          </w:tcPr>
          <w:p w14:paraId="4FA7FC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 xml:space="preserve">白桦 </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黑桦</w:t>
            </w:r>
          </w:p>
        </w:tc>
        <w:tc>
          <w:tcPr>
            <w:tcW w:w="1094" w:type="dxa"/>
            <w:vAlign w:val="center"/>
          </w:tcPr>
          <w:p w14:paraId="7B2319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w:t>
            </w:r>
          </w:p>
        </w:tc>
        <w:tc>
          <w:tcPr>
            <w:tcW w:w="842" w:type="dxa"/>
            <w:vAlign w:val="center"/>
          </w:tcPr>
          <w:p w14:paraId="16A85D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0.37</w:t>
            </w:r>
          </w:p>
        </w:tc>
      </w:tr>
      <w:tr w14:paraId="7BAAF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3FFD14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eastAsia="宋体" w:cs="Times New Roman"/>
                <w:b w:val="0"/>
                <w:bCs w:val="0"/>
                <w:color w:val="auto"/>
                <w:spacing w:val="0"/>
                <w:sz w:val="21"/>
                <w:szCs w:val="21"/>
                <w:highlight w:val="none"/>
                <w:lang w:val="en-US" w:eastAsia="zh-CN"/>
              </w:rPr>
              <w:t>N</w:t>
            </w:r>
            <w:r>
              <w:rPr>
                <w:rFonts w:hint="default" w:ascii="Times New Roman" w:hAnsi="Times New Roman" w:eastAsia="宋体" w:cs="Times New Roman"/>
                <w:b w:val="0"/>
                <w:bCs w:val="0"/>
                <w:color w:val="auto"/>
                <w:spacing w:val="0"/>
                <w:sz w:val="21"/>
                <w:szCs w:val="21"/>
                <w:highlight w:val="none"/>
              </w:rPr>
              <w:t>20</w:t>
            </w:r>
          </w:p>
        </w:tc>
        <w:tc>
          <w:tcPr>
            <w:tcW w:w="1528" w:type="dxa"/>
            <w:vAlign w:val="center"/>
          </w:tcPr>
          <w:p w14:paraId="5981081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56AD2E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90</w:t>
            </w:r>
          </w:p>
        </w:tc>
        <w:tc>
          <w:tcPr>
            <w:tcW w:w="2731" w:type="dxa"/>
            <w:vAlign w:val="center"/>
          </w:tcPr>
          <w:p w14:paraId="460ED29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r>
              <w:rPr>
                <w:rFonts w:hint="eastAsia" w:eastAsia="宋体" w:cs="Times New Roman"/>
                <w:color w:val="auto"/>
                <w:spacing w:val="0"/>
                <w:sz w:val="21"/>
                <w:szCs w:val="21"/>
                <w:highlight w:val="none"/>
                <w:lang w:val="en-US" w:eastAsia="zh-CN"/>
              </w:rPr>
              <w:t xml:space="preserve"> </w:t>
            </w:r>
            <w:r>
              <w:rPr>
                <w:rFonts w:hint="default" w:ascii="Times New Roman" w:hAnsi="Times New Roman" w:eastAsia="宋体" w:cs="Times New Roman"/>
                <w:color w:val="auto"/>
                <w:spacing w:val="0"/>
                <w:sz w:val="21"/>
                <w:szCs w:val="21"/>
                <w:highlight w:val="none"/>
              </w:rPr>
              <w:t xml:space="preserve"> 灌木</w:t>
            </w:r>
          </w:p>
        </w:tc>
        <w:tc>
          <w:tcPr>
            <w:tcW w:w="1094" w:type="dxa"/>
            <w:vAlign w:val="center"/>
          </w:tcPr>
          <w:p w14:paraId="002C11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w:t>
            </w:r>
          </w:p>
        </w:tc>
        <w:tc>
          <w:tcPr>
            <w:tcW w:w="842" w:type="dxa"/>
            <w:vAlign w:val="center"/>
          </w:tcPr>
          <w:p w14:paraId="55C41F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1.35</w:t>
            </w:r>
          </w:p>
        </w:tc>
      </w:tr>
      <w:tr w14:paraId="5934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09D0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N21</w:t>
            </w:r>
          </w:p>
        </w:tc>
        <w:tc>
          <w:tcPr>
            <w:tcW w:w="1528" w:type="dxa"/>
            <w:vAlign w:val="center"/>
          </w:tcPr>
          <w:p w14:paraId="3FA122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4B9D3D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31" w:type="dxa"/>
            <w:vAlign w:val="center"/>
          </w:tcPr>
          <w:p w14:paraId="1D22C0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灌木丛</w:t>
            </w:r>
          </w:p>
        </w:tc>
        <w:tc>
          <w:tcPr>
            <w:tcW w:w="1094" w:type="dxa"/>
            <w:vAlign w:val="center"/>
          </w:tcPr>
          <w:p w14:paraId="17A5E8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c>
          <w:tcPr>
            <w:tcW w:w="842" w:type="dxa"/>
            <w:vAlign w:val="center"/>
          </w:tcPr>
          <w:p w14:paraId="49BD0F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r w14:paraId="265AC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1DE68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N22</w:t>
            </w:r>
          </w:p>
        </w:tc>
        <w:tc>
          <w:tcPr>
            <w:tcW w:w="1528" w:type="dxa"/>
            <w:vAlign w:val="center"/>
          </w:tcPr>
          <w:p w14:paraId="088DF8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26A386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w:t>
            </w:r>
          </w:p>
        </w:tc>
        <w:tc>
          <w:tcPr>
            <w:tcW w:w="2731" w:type="dxa"/>
            <w:vAlign w:val="center"/>
          </w:tcPr>
          <w:p w14:paraId="052933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767281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w:t>
            </w:r>
          </w:p>
        </w:tc>
        <w:tc>
          <w:tcPr>
            <w:tcW w:w="842" w:type="dxa"/>
            <w:vAlign w:val="center"/>
          </w:tcPr>
          <w:p w14:paraId="27A713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0.15</w:t>
            </w:r>
          </w:p>
        </w:tc>
      </w:tr>
      <w:tr w14:paraId="16A77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6570A0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N23</w:t>
            </w:r>
          </w:p>
        </w:tc>
        <w:tc>
          <w:tcPr>
            <w:tcW w:w="1528" w:type="dxa"/>
            <w:vAlign w:val="center"/>
          </w:tcPr>
          <w:p w14:paraId="1D995D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3B7074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150</w:t>
            </w:r>
          </w:p>
        </w:tc>
        <w:tc>
          <w:tcPr>
            <w:tcW w:w="2731" w:type="dxa"/>
            <w:vAlign w:val="center"/>
          </w:tcPr>
          <w:p w14:paraId="203CEA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蒙椴  山杨  白桦</w:t>
            </w:r>
          </w:p>
        </w:tc>
        <w:tc>
          <w:tcPr>
            <w:tcW w:w="1094" w:type="dxa"/>
            <w:vAlign w:val="center"/>
          </w:tcPr>
          <w:p w14:paraId="00E4D2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6.5</w:t>
            </w:r>
          </w:p>
        </w:tc>
        <w:tc>
          <w:tcPr>
            <w:tcW w:w="842" w:type="dxa"/>
            <w:vAlign w:val="center"/>
          </w:tcPr>
          <w:p w14:paraId="6324A3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1.5</w:t>
            </w:r>
          </w:p>
        </w:tc>
      </w:tr>
      <w:tr w14:paraId="3A65E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4E61C0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N24</w:t>
            </w:r>
          </w:p>
        </w:tc>
        <w:tc>
          <w:tcPr>
            <w:tcW w:w="1528" w:type="dxa"/>
            <w:vAlign w:val="center"/>
          </w:tcPr>
          <w:p w14:paraId="4B3C23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3E171F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100</w:t>
            </w:r>
          </w:p>
        </w:tc>
        <w:tc>
          <w:tcPr>
            <w:tcW w:w="2731" w:type="dxa"/>
            <w:vAlign w:val="center"/>
          </w:tcPr>
          <w:p w14:paraId="35B368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  灌木</w:t>
            </w:r>
          </w:p>
        </w:tc>
        <w:tc>
          <w:tcPr>
            <w:tcW w:w="1094" w:type="dxa"/>
            <w:vAlign w:val="center"/>
          </w:tcPr>
          <w:p w14:paraId="142E37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7.8</w:t>
            </w:r>
          </w:p>
        </w:tc>
        <w:tc>
          <w:tcPr>
            <w:tcW w:w="842" w:type="dxa"/>
            <w:vAlign w:val="center"/>
          </w:tcPr>
          <w:p w14:paraId="2CDD6E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0.8</w:t>
            </w:r>
          </w:p>
        </w:tc>
      </w:tr>
      <w:tr w14:paraId="6EAEE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38F12E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N25</w:t>
            </w:r>
          </w:p>
        </w:tc>
        <w:tc>
          <w:tcPr>
            <w:tcW w:w="1528" w:type="dxa"/>
            <w:vAlign w:val="center"/>
          </w:tcPr>
          <w:p w14:paraId="7EB562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19号</w:t>
            </w:r>
          </w:p>
        </w:tc>
        <w:tc>
          <w:tcPr>
            <w:tcW w:w="1210" w:type="dxa"/>
            <w:vAlign w:val="center"/>
          </w:tcPr>
          <w:p w14:paraId="112CA3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90</w:t>
            </w:r>
          </w:p>
        </w:tc>
        <w:tc>
          <w:tcPr>
            <w:tcW w:w="2731" w:type="dxa"/>
            <w:vAlign w:val="center"/>
          </w:tcPr>
          <w:p w14:paraId="5F83141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6F991F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12</w:t>
            </w:r>
          </w:p>
        </w:tc>
        <w:tc>
          <w:tcPr>
            <w:tcW w:w="842" w:type="dxa"/>
            <w:vAlign w:val="center"/>
          </w:tcPr>
          <w:p w14:paraId="1C4137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2.97</w:t>
            </w:r>
          </w:p>
        </w:tc>
      </w:tr>
      <w:tr w14:paraId="0BB56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16" w:type="dxa"/>
            <w:vAlign w:val="center"/>
          </w:tcPr>
          <w:p w14:paraId="52F82D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N26</w:t>
            </w:r>
          </w:p>
        </w:tc>
        <w:tc>
          <w:tcPr>
            <w:tcW w:w="1528" w:type="dxa"/>
            <w:vAlign w:val="center"/>
          </w:tcPr>
          <w:p w14:paraId="6EDAAD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桃山村</w:t>
            </w:r>
          </w:p>
        </w:tc>
        <w:tc>
          <w:tcPr>
            <w:tcW w:w="1210" w:type="dxa"/>
            <w:vAlign w:val="center"/>
          </w:tcPr>
          <w:p w14:paraId="27BB4B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60</w:t>
            </w:r>
          </w:p>
        </w:tc>
        <w:tc>
          <w:tcPr>
            <w:tcW w:w="2731" w:type="dxa"/>
            <w:vAlign w:val="center"/>
          </w:tcPr>
          <w:p w14:paraId="43B158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白桦</w:t>
            </w:r>
          </w:p>
        </w:tc>
        <w:tc>
          <w:tcPr>
            <w:tcW w:w="1094" w:type="dxa"/>
            <w:vAlign w:val="center"/>
          </w:tcPr>
          <w:p w14:paraId="68C1C5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9.5</w:t>
            </w:r>
          </w:p>
        </w:tc>
        <w:tc>
          <w:tcPr>
            <w:tcW w:w="842" w:type="dxa"/>
            <w:vAlign w:val="center"/>
          </w:tcPr>
          <w:p w14:paraId="7A10DF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0.96</w:t>
            </w:r>
          </w:p>
        </w:tc>
      </w:tr>
    </w:tbl>
    <w:p w14:paraId="7058F91E">
      <w:pPr>
        <w:pStyle w:val="8"/>
        <w:keepNext/>
        <w:keepLines/>
        <w:pageBreakBefore w:val="0"/>
        <w:widowControl w:val="0"/>
        <w:kinsoku/>
        <w:wordWrap/>
        <w:overflowPunct/>
        <w:topLinePunct w:val="0"/>
        <w:autoSpaceDE/>
        <w:autoSpaceDN/>
        <w:bidi w:val="0"/>
        <w:adjustRightInd/>
        <w:snapToGrid/>
        <w:ind w:firstLine="602" w:firstLineChars="200"/>
        <w:jc w:val="left"/>
        <w:textAlignment w:val="auto"/>
        <w:rPr>
          <w:rFonts w:cs="Times New Roman"/>
          <w:color w:val="auto"/>
          <w:highlight w:val="none"/>
        </w:rPr>
      </w:pPr>
      <w:bookmarkStart w:id="42" w:name="bookmark35"/>
      <w:bookmarkEnd w:id="42"/>
      <w:bookmarkStart w:id="43" w:name="bookmark36"/>
      <w:bookmarkEnd w:id="43"/>
      <w:r>
        <w:rPr>
          <w:rFonts w:hint="eastAsia" w:cs="Times New Roman"/>
          <w:color w:val="auto"/>
          <w:kern w:val="0"/>
          <w:szCs w:val="30"/>
          <w:highlight w:val="none"/>
          <w:lang w:val="en-US" w:eastAsia="zh-CN"/>
        </w:rPr>
        <w:t>3</w:t>
      </w:r>
      <w:r>
        <w:rPr>
          <w:rFonts w:cs="Times New Roman"/>
          <w:color w:val="auto"/>
          <w:kern w:val="0"/>
          <w:szCs w:val="30"/>
          <w:highlight w:val="none"/>
        </w:rPr>
        <w:t>.</w:t>
      </w:r>
      <w:r>
        <w:rPr>
          <w:rFonts w:hint="eastAsia" w:cs="Times New Roman"/>
          <w:color w:val="auto"/>
          <w:kern w:val="0"/>
          <w:szCs w:val="30"/>
          <w:highlight w:val="none"/>
          <w:lang w:val="en-US" w:eastAsia="zh-CN"/>
        </w:rPr>
        <w:t>3线路方案比选</w:t>
      </w:r>
    </w:p>
    <w:p w14:paraId="5B8DBBB5">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1、输电线路选择原则</w:t>
      </w:r>
    </w:p>
    <w:p w14:paraId="4E9C63D8">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（1）降低环境影响：路径选择应尽量避开自然保护区、国有林地、永久基本农田等场所，减少对自然环境的破坏。在必须穿越这些区域时，应采取有效措施降低影响。</w:t>
      </w:r>
    </w:p>
    <w:p w14:paraId="5A592658">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（2）保护生态环境：在设计过程中，应注重生态保护，避免对野生动物栖息地和生态系统的破坏。同时，应充分考虑线路对沿线居民生活的影响，尽量降低噪音、电磁辐射等不利因素。</w:t>
      </w:r>
    </w:p>
    <w:p w14:paraId="5F38514B">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（3）确保线路安全：路径选择必须考虑传输线的安全操作要求，防止发生安全事故。应避免线路与建筑物之间的交叉点设计不当导致的安全隐患；在穿过人口稠密地区时，应采取特殊措施确保线路安全。</w:t>
      </w:r>
    </w:p>
    <w:p w14:paraId="433D5AF0">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（4）路径选择应以交通便利和经济适用为基本理念，尽可能减少线路长度，降低施工和维护成本，同时确保施工资费的合理性。</w:t>
      </w:r>
    </w:p>
    <w:p w14:paraId="726F9C0D">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2、方案比选</w:t>
      </w:r>
    </w:p>
    <w:p w14:paraId="28C75BB3">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本项目线路起于华能围场风光储氢热一体化项目（光伏200MW）升压站，止于华能围场风光储氢热一体化项目（风电200MW）升压站，线路长度为22.99km，线路的起点和终点位于河北滦河上游国家级自然保护区</w:t>
      </w:r>
      <w:r>
        <w:rPr>
          <w:rFonts w:hint="eastAsia" w:ascii="Times New Roman" w:hAnsi="Times New Roman" w:eastAsia="宋体" w:cs="Times New Roman"/>
          <w:iCs/>
          <w:color w:val="auto"/>
          <w:kern w:val="13"/>
          <w:sz w:val="24"/>
          <w:highlight w:val="none"/>
          <w:lang w:val="en-US" w:eastAsia="zh-CN"/>
        </w:rPr>
        <w:t>的中间位置</w:t>
      </w:r>
      <w:r>
        <w:rPr>
          <w:rFonts w:hint="default" w:ascii="Times New Roman" w:hAnsi="Times New Roman" w:eastAsia="宋体" w:cs="Times New Roman"/>
          <w:iCs/>
          <w:color w:val="auto"/>
          <w:kern w:val="13"/>
          <w:sz w:val="24"/>
          <w:highlight w:val="none"/>
        </w:rPr>
        <w:t>南北</w:t>
      </w:r>
      <w:r>
        <w:rPr>
          <w:rFonts w:hint="eastAsia" w:ascii="Times New Roman" w:hAnsi="Times New Roman" w:eastAsia="宋体" w:cs="Times New Roman"/>
          <w:iCs/>
          <w:color w:val="auto"/>
          <w:kern w:val="13"/>
          <w:sz w:val="24"/>
          <w:highlight w:val="none"/>
          <w:lang w:val="en-US" w:eastAsia="zh-CN"/>
        </w:rPr>
        <w:t>两侧</w:t>
      </w:r>
      <w:r>
        <w:rPr>
          <w:rFonts w:hint="eastAsia" w:ascii="Times New Roman" w:hAnsi="Times New Roman" w:eastAsia="宋体" w:cs="Times New Roman"/>
          <w:iCs/>
          <w:color w:val="auto"/>
          <w:kern w:val="13"/>
          <w:sz w:val="24"/>
          <w:highlight w:val="none"/>
          <w:lang w:eastAsia="zh-CN"/>
        </w:rPr>
        <w:t>，</w:t>
      </w:r>
      <w:r>
        <w:rPr>
          <w:rFonts w:hint="eastAsia" w:ascii="Times New Roman" w:hAnsi="Times New Roman" w:eastAsia="宋体" w:cs="Times New Roman"/>
          <w:iCs/>
          <w:color w:val="auto"/>
          <w:kern w:val="13"/>
          <w:sz w:val="24"/>
          <w:highlight w:val="none"/>
          <w:lang w:val="en-US" w:eastAsia="zh-CN"/>
        </w:rPr>
        <w:t>送出线路不可避免穿越</w:t>
      </w:r>
      <w:r>
        <w:rPr>
          <w:rFonts w:hint="default" w:ascii="Times New Roman" w:hAnsi="Times New Roman" w:eastAsia="宋体" w:cs="Times New Roman"/>
          <w:iCs/>
          <w:color w:val="auto"/>
          <w:kern w:val="13"/>
          <w:sz w:val="24"/>
          <w:highlight w:val="none"/>
        </w:rPr>
        <w:t>河北滦河上游国家级自然保护区</w:t>
      </w:r>
      <w:r>
        <w:rPr>
          <w:rFonts w:hint="eastAsia" w:ascii="Times New Roman" w:hAnsi="Times New Roman" w:eastAsia="宋体" w:cs="Times New Roman"/>
          <w:iCs/>
          <w:color w:val="auto"/>
          <w:kern w:val="13"/>
          <w:sz w:val="24"/>
          <w:highlight w:val="none"/>
          <w:lang w:eastAsia="zh-CN"/>
        </w:rPr>
        <w:t>，</w:t>
      </w:r>
      <w:r>
        <w:rPr>
          <w:rFonts w:hint="eastAsia" w:ascii="Times New Roman" w:hAnsi="Times New Roman" w:eastAsia="宋体" w:cs="Times New Roman"/>
          <w:iCs/>
          <w:color w:val="auto"/>
          <w:kern w:val="13"/>
          <w:sz w:val="24"/>
          <w:highlight w:val="none"/>
          <w:lang w:val="en-US" w:eastAsia="zh-CN"/>
        </w:rPr>
        <w:t>送出线路穿越</w:t>
      </w:r>
      <w:r>
        <w:rPr>
          <w:rFonts w:hint="default" w:ascii="Times New Roman" w:hAnsi="Times New Roman" w:eastAsia="宋体" w:cs="Times New Roman"/>
          <w:iCs/>
          <w:color w:val="auto"/>
          <w:kern w:val="13"/>
          <w:sz w:val="24"/>
          <w:highlight w:val="none"/>
        </w:rPr>
        <w:t>河北滦河上游国家级自然保护区</w:t>
      </w:r>
      <w:r>
        <w:rPr>
          <w:rFonts w:hint="eastAsia" w:ascii="Times New Roman" w:hAnsi="Times New Roman" w:eastAsia="宋体" w:cs="Times New Roman"/>
          <w:iCs/>
          <w:color w:val="auto"/>
          <w:kern w:val="13"/>
          <w:sz w:val="24"/>
          <w:highlight w:val="none"/>
          <w:lang w:val="en-US" w:eastAsia="zh-CN"/>
        </w:rPr>
        <w:t>具有唯一性</w:t>
      </w:r>
      <w:r>
        <w:rPr>
          <w:rFonts w:hint="default" w:ascii="Times New Roman" w:hAnsi="Times New Roman" w:eastAsia="宋体" w:cs="Times New Roman"/>
          <w:iCs/>
          <w:color w:val="auto"/>
          <w:kern w:val="13"/>
          <w:sz w:val="24"/>
          <w:highlight w:val="none"/>
        </w:rPr>
        <w:t>。</w:t>
      </w:r>
    </w:p>
    <w:p w14:paraId="6AC4204C">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最短穿越保护区方案）：线路出光伏升压站后向东避让保护区，再向东南并入路径，此方案长度22.19km，穿越保护区长度5459.90m，此方案在保护区内塔基个数减少，占地面积少，但是向东避让区域有村庄和永久基本农田，永久基本农田分布较为广泛连续，无法满足塔基设置的最远距离，若选择此方案无法避让占用永久基本农田。且多为山谷地区，山顶之间的距离过长，输电线路应充分考虑电压等级、地形地貌、安全要求等多种因素，遵循相关的规定和标准以确保线路的安全运行和减少对周围环境的影响，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超过塔基最长</w:t>
      </w:r>
      <w:r>
        <w:rPr>
          <w:rFonts w:hint="eastAsia" w:ascii="Times New Roman" w:hAnsi="Times New Roman" w:eastAsia="宋体" w:cs="Times New Roman"/>
          <w:iCs/>
          <w:color w:val="auto"/>
          <w:kern w:val="13"/>
          <w:sz w:val="24"/>
          <w:highlight w:val="none"/>
          <w:lang w:val="en-US" w:eastAsia="zh-CN"/>
        </w:rPr>
        <w:t>距离</w:t>
      </w:r>
      <w:r>
        <w:rPr>
          <w:rFonts w:hint="default" w:ascii="Times New Roman" w:hAnsi="Times New Roman" w:eastAsia="宋体" w:cs="Times New Roman"/>
          <w:iCs/>
          <w:color w:val="auto"/>
          <w:kern w:val="13"/>
          <w:sz w:val="24"/>
          <w:highlight w:val="none"/>
        </w:rPr>
        <w:t>的限制，不具备设计条件和施工条件。</w:t>
      </w:r>
    </w:p>
    <w:p w14:paraId="176B6C83">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二</w:t>
      </w:r>
      <w:r>
        <w:rPr>
          <w:rFonts w:hint="default" w:ascii="Times New Roman" w:hAnsi="Times New Roman" w:eastAsia="宋体" w:cs="Times New Roman"/>
          <w:iCs/>
          <w:color w:val="auto"/>
          <w:kern w:val="13"/>
          <w:sz w:val="24"/>
          <w:highlight w:val="none"/>
        </w:rPr>
        <w:t>（可行方案）：自华能围场光伏220kV升压站出线后，向东南方向走线，跨越国有林地和永久基本农田后，至二道岔北山附近后左转向东偏北方向，跨越部分基本草原后至四道岔北山附近后右转向东南方向，跨越国有林地后，至大梁子台核心保护区最东侧边界，右转向南跨越国有林地后，左转向东南方向避让基本草原和永久基本农田后，右转跨越永久基本农田，至石人山北侧基本草原附近，跨越基本草原左转至华能200兆瓦风电升压站西侧附近后进站。此方案线路长度22.99km，穿越保护区实验区9094.58m</w:t>
      </w:r>
      <w:r>
        <w:rPr>
          <w:rFonts w:hint="default" w:ascii="Times New Roman" w:hAnsi="Times New Roman" w:eastAsia="宋体" w:cs="Times New Roman"/>
          <w:iCs/>
          <w:color w:val="auto"/>
          <w:kern w:val="13"/>
          <w:sz w:val="24"/>
          <w:highlight w:val="none"/>
          <w:lang w:eastAsia="zh-CN"/>
        </w:rPr>
        <w:t>（保护区内塔基</w:t>
      </w:r>
      <w:r>
        <w:rPr>
          <w:rFonts w:hint="default" w:ascii="Times New Roman" w:hAnsi="Times New Roman" w:eastAsia="宋体" w:cs="Times New Roman"/>
          <w:iCs/>
          <w:color w:val="auto"/>
          <w:kern w:val="13"/>
          <w:sz w:val="24"/>
          <w:highlight w:val="none"/>
          <w:lang w:val="en-US" w:eastAsia="zh-CN"/>
        </w:rPr>
        <w:t>23基</w:t>
      </w:r>
      <w:r>
        <w:rPr>
          <w:rFonts w:hint="default" w:ascii="Times New Roman" w:hAnsi="Times New Roman" w:eastAsia="宋体" w:cs="Times New Roman"/>
          <w:iCs/>
          <w:color w:val="auto"/>
          <w:kern w:val="13"/>
          <w:sz w:val="24"/>
          <w:highlight w:val="none"/>
          <w:lang w:eastAsia="zh-CN"/>
        </w:rPr>
        <w:t>）</w:t>
      </w:r>
      <w:r>
        <w:rPr>
          <w:rFonts w:hint="default" w:ascii="Times New Roman" w:hAnsi="Times New Roman" w:eastAsia="宋体" w:cs="Times New Roman"/>
          <w:iCs/>
          <w:color w:val="auto"/>
          <w:kern w:val="13"/>
          <w:sz w:val="24"/>
          <w:highlight w:val="none"/>
        </w:rPr>
        <w:t>，不占用永久基本农田和村庄，地形较为简单，满足塔基和架线的施工条件。由于进入保护区后路径东侧有规划克什克腾-承德围场高速公路，所以线路未进入保护区缓冲区。</w:t>
      </w:r>
    </w:p>
    <w:p w14:paraId="32B748B6">
      <w:pPr>
        <w:tabs>
          <w:tab w:val="left" w:pos="2445"/>
        </w:tabs>
        <w:spacing w:line="360" w:lineRule="auto"/>
        <w:ind w:firstLine="480" w:firstLineChars="200"/>
        <w:rPr>
          <w:rFonts w:hint="default"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3、比选结果</w:t>
      </w:r>
    </w:p>
    <w:p w14:paraId="1A7611A4">
      <w:pPr>
        <w:tabs>
          <w:tab w:val="left" w:pos="2445"/>
        </w:tabs>
        <w:spacing w:line="360" w:lineRule="auto"/>
        <w:ind w:firstLine="480" w:firstLineChars="200"/>
        <w:rPr>
          <w:rFonts w:ascii="Times New Roman" w:hAnsi="Times New Roman" w:eastAsia="宋体" w:cs="Times New Roman"/>
          <w:iCs/>
          <w:color w:val="auto"/>
          <w:kern w:val="13"/>
          <w:sz w:val="24"/>
          <w:highlight w:val="none"/>
        </w:rPr>
      </w:pPr>
      <w:r>
        <w:rPr>
          <w:rFonts w:hint="default" w:ascii="Times New Roman" w:hAnsi="Times New Roman" w:eastAsia="宋体" w:cs="Times New Roman"/>
          <w:iCs/>
          <w:color w:val="auto"/>
          <w:kern w:val="13"/>
          <w:sz w:val="24"/>
          <w:highlight w:val="none"/>
        </w:rPr>
        <w:t>在考虑山地路径选取和地形的基础上，综合考虑架空线路路径，以最大程度减少对</w:t>
      </w:r>
      <w:r>
        <w:rPr>
          <w:rFonts w:hint="eastAsia" w:ascii="Times New Roman" w:hAnsi="Times New Roman" w:eastAsia="宋体" w:cs="Times New Roman"/>
          <w:iCs/>
          <w:color w:val="auto"/>
          <w:kern w:val="13"/>
          <w:sz w:val="24"/>
          <w:highlight w:val="none"/>
          <w:lang w:val="en-US" w:eastAsia="zh-CN"/>
        </w:rPr>
        <w:t>保护区和</w:t>
      </w:r>
      <w:r>
        <w:rPr>
          <w:rFonts w:hint="default" w:ascii="Times New Roman" w:hAnsi="Times New Roman" w:eastAsia="宋体" w:cs="Times New Roman"/>
          <w:iCs/>
          <w:color w:val="auto"/>
          <w:kern w:val="13"/>
          <w:sz w:val="24"/>
          <w:highlight w:val="none"/>
        </w:rPr>
        <w:t>生态红线的占地，对永久基本农田零占地，加之考虑施工可行性等因素，</w:t>
      </w:r>
      <w:r>
        <w:rPr>
          <w:rFonts w:hint="eastAsia" w:ascii="Times New Roman" w:hAnsi="Times New Roman" w:eastAsia="宋体" w:cs="Times New Roman"/>
          <w:iCs/>
          <w:color w:val="auto"/>
          <w:kern w:val="13"/>
          <w:sz w:val="24"/>
          <w:highlight w:val="none"/>
          <w:lang w:val="en-US" w:eastAsia="zh-CN"/>
        </w:rPr>
        <w:t>由于</w:t>
      </w:r>
      <w:r>
        <w:rPr>
          <w:rFonts w:hint="default" w:ascii="Times New Roman" w:hAnsi="Times New Roman" w:eastAsia="宋体" w:cs="Times New Roman"/>
          <w:iCs/>
          <w:color w:val="auto"/>
          <w:kern w:val="13"/>
          <w:sz w:val="24"/>
          <w:highlight w:val="none"/>
        </w:rPr>
        <w:t>方案</w:t>
      </w:r>
      <w:r>
        <w:rPr>
          <w:rFonts w:hint="eastAsia" w:ascii="Times New Roman" w:hAnsi="Times New Roman" w:eastAsia="宋体" w:cs="Times New Roman"/>
          <w:iCs/>
          <w:color w:val="auto"/>
          <w:kern w:val="13"/>
          <w:sz w:val="24"/>
          <w:highlight w:val="none"/>
          <w:lang w:val="en-US" w:eastAsia="zh-CN"/>
        </w:rPr>
        <w:t>一</w:t>
      </w:r>
      <w:r>
        <w:rPr>
          <w:rFonts w:hint="default" w:ascii="Times New Roman" w:hAnsi="Times New Roman" w:eastAsia="宋体" w:cs="Times New Roman"/>
          <w:iCs/>
          <w:color w:val="auto"/>
          <w:kern w:val="13"/>
          <w:sz w:val="24"/>
          <w:highlight w:val="none"/>
        </w:rPr>
        <w:t>超过塔基最长</w:t>
      </w:r>
      <w:r>
        <w:rPr>
          <w:rFonts w:hint="eastAsia" w:ascii="Times New Roman" w:hAnsi="Times New Roman" w:eastAsia="宋体" w:cs="Times New Roman"/>
          <w:iCs/>
          <w:color w:val="auto"/>
          <w:kern w:val="13"/>
          <w:sz w:val="24"/>
          <w:highlight w:val="none"/>
          <w:lang w:val="en-US" w:eastAsia="zh-CN"/>
        </w:rPr>
        <w:t>距离</w:t>
      </w:r>
      <w:r>
        <w:rPr>
          <w:rFonts w:hint="default" w:ascii="Times New Roman" w:hAnsi="Times New Roman" w:eastAsia="宋体" w:cs="Times New Roman"/>
          <w:iCs/>
          <w:color w:val="auto"/>
          <w:kern w:val="13"/>
          <w:sz w:val="24"/>
          <w:highlight w:val="none"/>
        </w:rPr>
        <w:t>的限制，不具备设计条件和施工条件</w:t>
      </w:r>
      <w:r>
        <w:rPr>
          <w:rFonts w:hint="eastAsia" w:ascii="Times New Roman" w:hAnsi="Times New Roman" w:eastAsia="宋体" w:cs="Times New Roman"/>
          <w:iCs/>
          <w:color w:val="auto"/>
          <w:kern w:val="13"/>
          <w:sz w:val="24"/>
          <w:highlight w:val="none"/>
          <w:lang w:eastAsia="zh-CN"/>
        </w:rPr>
        <w:t>，</w:t>
      </w:r>
      <w:r>
        <w:rPr>
          <w:rFonts w:hint="default" w:ascii="Times New Roman" w:hAnsi="Times New Roman" w:eastAsia="宋体" w:cs="Times New Roman"/>
          <w:iCs/>
          <w:color w:val="auto"/>
          <w:kern w:val="13"/>
          <w:sz w:val="24"/>
          <w:highlight w:val="none"/>
        </w:rPr>
        <w:t>最终确定选择方案</w:t>
      </w:r>
      <w:r>
        <w:rPr>
          <w:rFonts w:hint="eastAsia" w:ascii="Times New Roman" w:hAnsi="Times New Roman" w:eastAsia="宋体" w:cs="Times New Roman"/>
          <w:iCs/>
          <w:color w:val="auto"/>
          <w:kern w:val="13"/>
          <w:sz w:val="24"/>
          <w:highlight w:val="none"/>
          <w:lang w:val="en-US" w:eastAsia="zh-CN"/>
        </w:rPr>
        <w:t>二</w:t>
      </w:r>
      <w:r>
        <w:rPr>
          <w:rFonts w:hint="default" w:ascii="Times New Roman" w:hAnsi="Times New Roman" w:eastAsia="宋体" w:cs="Times New Roman"/>
          <w:iCs/>
          <w:color w:val="auto"/>
          <w:kern w:val="13"/>
          <w:sz w:val="24"/>
          <w:highlight w:val="none"/>
        </w:rPr>
        <w:t>为此次项目最终路径，此方案不涉及永久基本农田和村庄，地形较为简单，满足工程施工要求，可以最大程度减少对生态红线、永久基本农田的占用，减少对森林的破坏，使本项目对环境的影响降到最低。</w:t>
      </w:r>
    </w:p>
    <w:p w14:paraId="32D40AE5">
      <w:pPr>
        <w:tabs>
          <w:tab w:val="left" w:pos="2445"/>
        </w:tabs>
        <w:spacing w:line="360" w:lineRule="auto"/>
        <w:ind w:firstLine="480" w:firstLineChars="200"/>
        <w:rPr>
          <w:rFonts w:ascii="Times New Roman" w:hAnsi="Times New Roman" w:eastAsia="宋体" w:cs="Times New Roman"/>
          <w:iCs/>
          <w:color w:val="auto"/>
          <w:kern w:val="13"/>
          <w:sz w:val="24"/>
          <w:highlight w:val="none"/>
        </w:rPr>
        <w:sectPr>
          <w:footerReference r:id="rId21" w:type="default"/>
          <w:pgSz w:w="11906" w:h="16838"/>
          <w:pgMar w:top="1440" w:right="1689" w:bottom="1440" w:left="1689" w:header="851" w:footer="992" w:gutter="0"/>
          <w:pgNumType w:fmt="decimal"/>
          <w:cols w:space="425" w:num="1"/>
          <w:docGrid w:type="lines" w:linePitch="312" w:charSpace="0"/>
        </w:sectPr>
      </w:pPr>
    </w:p>
    <w:p w14:paraId="05BE608D">
      <w:pPr>
        <w:keepNext w:val="0"/>
        <w:keepLines w:val="0"/>
        <w:pageBreakBefore w:val="0"/>
        <w:widowControl w:val="0"/>
        <w:tabs>
          <w:tab w:val="left" w:pos="2445"/>
        </w:tabs>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rPr>
        <w:drawing>
          <wp:inline distT="0" distB="0" distL="114300" distR="114300">
            <wp:extent cx="7711440" cy="5102860"/>
            <wp:effectExtent l="0" t="0" r="3810"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4"/>
                    <a:stretch>
                      <a:fillRect/>
                    </a:stretch>
                  </pic:blipFill>
                  <pic:spPr>
                    <a:xfrm>
                      <a:off x="0" y="0"/>
                      <a:ext cx="7711440" cy="5102860"/>
                    </a:xfrm>
                    <a:prstGeom prst="rect">
                      <a:avLst/>
                    </a:prstGeom>
                    <a:noFill/>
                    <a:ln>
                      <a:noFill/>
                    </a:ln>
                  </pic:spPr>
                </pic:pic>
              </a:graphicData>
            </a:graphic>
          </wp:inline>
        </w:drawing>
      </w:r>
    </w:p>
    <w:p w14:paraId="77C8099D">
      <w:pPr>
        <w:tabs>
          <w:tab w:val="left" w:pos="2445"/>
        </w:tabs>
        <w:spacing w:line="360" w:lineRule="auto"/>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图</w:t>
      </w:r>
      <w:r>
        <w:rPr>
          <w:rFonts w:hint="eastAsia" w:ascii="Times New Roman" w:hAnsi="Times New Roman" w:eastAsia="宋体" w:cs="Times New Roman"/>
          <w:b/>
          <w:bCs/>
          <w:color w:val="auto"/>
          <w:sz w:val="21"/>
          <w:szCs w:val="21"/>
          <w:highlight w:val="none"/>
          <w:lang w:val="en-US" w:eastAsia="zh-CN"/>
        </w:rPr>
        <w:t>3.2</w:t>
      </w:r>
      <w:r>
        <w:rPr>
          <w:rFonts w:ascii="Times New Roman" w:hAnsi="Times New Roman" w:eastAsia="宋体" w:cs="Times New Roman"/>
          <w:b/>
          <w:bCs/>
          <w:color w:val="auto"/>
          <w:sz w:val="21"/>
          <w:szCs w:val="21"/>
          <w:highlight w:val="none"/>
        </w:rPr>
        <w:t>-1  线路路径比选方案</w:t>
      </w:r>
    </w:p>
    <w:p w14:paraId="4029AEEA">
      <w:pPr>
        <w:ind w:firstLine="480"/>
        <w:rPr>
          <w:rFonts w:cs="Times New Roman"/>
          <w:color w:val="auto"/>
          <w:kern w:val="0"/>
          <w:highlight w:val="none"/>
        </w:rPr>
        <w:sectPr>
          <w:footerReference r:id="rId22" w:type="default"/>
          <w:pgSz w:w="16838" w:h="11906" w:orient="landscape"/>
          <w:pgMar w:top="1689" w:right="1440" w:bottom="1689" w:left="1440" w:header="851" w:footer="992" w:gutter="0"/>
          <w:pgNumType w:fmt="decimal"/>
          <w:cols w:space="425" w:num="1"/>
          <w:docGrid w:type="lines" w:linePitch="312" w:charSpace="0"/>
        </w:sectPr>
      </w:pPr>
    </w:p>
    <w:p w14:paraId="5143D0E1">
      <w:pPr>
        <w:pStyle w:val="8"/>
        <w:keepNext/>
        <w:keepLines/>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cs="Times New Roman"/>
          <w:color w:val="auto"/>
          <w:highlight w:val="none"/>
        </w:rPr>
      </w:pPr>
      <w:bookmarkStart w:id="44" w:name="_Toc26197"/>
      <w:r>
        <w:rPr>
          <w:rFonts w:hint="eastAsia" w:cs="Times New Roman"/>
          <w:color w:val="auto"/>
          <w:kern w:val="0"/>
          <w:szCs w:val="30"/>
          <w:highlight w:val="none"/>
          <w:lang w:val="en-US" w:eastAsia="zh-CN"/>
        </w:rPr>
        <w:t>3</w:t>
      </w:r>
      <w:r>
        <w:rPr>
          <w:rFonts w:cs="Times New Roman"/>
          <w:color w:val="auto"/>
          <w:kern w:val="0"/>
          <w:szCs w:val="30"/>
          <w:highlight w:val="none"/>
        </w:rPr>
        <w:t>.</w:t>
      </w:r>
      <w:r>
        <w:rPr>
          <w:rFonts w:hint="eastAsia" w:cs="Times New Roman"/>
          <w:color w:val="auto"/>
          <w:kern w:val="0"/>
          <w:szCs w:val="30"/>
          <w:highlight w:val="none"/>
          <w:lang w:val="en-US" w:eastAsia="zh-CN"/>
        </w:rPr>
        <w:t>4</w:t>
      </w:r>
      <w:r>
        <w:rPr>
          <w:rFonts w:ascii="Times New Roman" w:hAnsi="宋体"/>
          <w:color w:val="auto"/>
          <w:highlight w:val="none"/>
        </w:rPr>
        <w:t>项目</w:t>
      </w:r>
      <w:r>
        <w:rPr>
          <w:rFonts w:ascii="Times New Roman" w:hAnsi="宋体"/>
          <w:color w:val="auto"/>
          <w:highlight w:val="none"/>
          <w:lang w:eastAsia="zh-CN"/>
        </w:rPr>
        <w:t>与相关规划的协调性</w:t>
      </w:r>
      <w:r>
        <w:rPr>
          <w:rFonts w:ascii="Times New Roman" w:hAnsi="宋体"/>
          <w:color w:val="auto"/>
          <w:highlight w:val="none"/>
        </w:rPr>
        <w:t>分析</w:t>
      </w:r>
    </w:p>
    <w:p w14:paraId="19BAA079">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3.</w:t>
      </w:r>
      <w:r>
        <w:rPr>
          <w:rFonts w:hint="eastAsia" w:ascii="Times New Roman" w:hAnsi="Times New Roman" w:eastAsia="宋体" w:cs="Times New Roman"/>
          <w:iCs/>
          <w:color w:val="auto"/>
          <w:kern w:val="13"/>
          <w:sz w:val="24"/>
          <w:highlight w:val="none"/>
          <w:lang w:val="en-US" w:eastAsia="zh-CN"/>
        </w:rPr>
        <w:t>4</w:t>
      </w:r>
      <w:r>
        <w:rPr>
          <w:rFonts w:hint="eastAsia" w:ascii="Times New Roman" w:hAnsi="Times New Roman" w:eastAsia="宋体" w:cs="Times New Roman"/>
          <w:iCs/>
          <w:color w:val="auto"/>
          <w:kern w:val="13"/>
          <w:sz w:val="24"/>
          <w:highlight w:val="none"/>
        </w:rPr>
        <w:t>.1 与《中华人民共和国自然保护区条例》的符合性</w:t>
      </w:r>
    </w:p>
    <w:p w14:paraId="33A06AB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（一）《中华人民共和国自然保护区条例》（2017年修订）的有关规定</w:t>
      </w:r>
    </w:p>
    <w:p w14:paraId="55EF93F9">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“第十八条 自然保护区可以分为核心区、缓冲区和实验区。 自然保护区内保存完好的天然状态的生态系统以及珍稀、濒危动植物的集中分布地，应当划为核心区，禁止任何单位和个人进入；除依照本条例第二十七条的规定经批准外，也不允许进入从事科学研究活动。 核心区外围可以划定一定面积的缓冲区，只准进入从事科学研究观测活动。 缓冲区外围划为实验区，可以进入从事科学试验、教学实习、参观考察、旅游以及驯化、繁殖珍稀、濒危野生动植物等活动。</w:t>
      </w:r>
    </w:p>
    <w:p w14:paraId="2679C27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原批准建立自然保护区的人民政府认为必要时，可以在自然保护区的外围划定一定面积的外围保护地带。 第二十六条 禁止在自然保护区内进行砍伐、放牧、狩猎、捕捞、采药、开垦、烧荒、开矿、采石、挖沙等活动；但是，法律、行政法规另有规定的除外。</w:t>
      </w:r>
    </w:p>
    <w:p w14:paraId="08369ED7">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第三十二条 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14:paraId="14AC15CA">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（二）符合性分析</w:t>
      </w:r>
    </w:p>
    <w:p w14:paraId="580A0FD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本项目为新能源光伏发电配套电力送出工程，属于非生产设施，以</w:t>
      </w:r>
      <w:r>
        <w:rPr>
          <w:rFonts w:hint="eastAsia" w:ascii="Times New Roman" w:hAnsi="Times New Roman" w:eastAsia="宋体" w:cs="Times New Roman"/>
          <w:iCs/>
          <w:color w:val="auto"/>
          <w:kern w:val="13"/>
          <w:sz w:val="24"/>
          <w:highlight w:val="none"/>
          <w:lang w:eastAsia="zh-CN"/>
        </w:rPr>
        <w:t>架空跨越</w:t>
      </w:r>
      <w:r>
        <w:rPr>
          <w:rFonts w:hint="eastAsia" w:ascii="Times New Roman" w:hAnsi="Times New Roman" w:eastAsia="宋体" w:cs="Times New Roman"/>
          <w:iCs/>
          <w:color w:val="auto"/>
          <w:kern w:val="13"/>
          <w:sz w:val="24"/>
          <w:highlight w:val="none"/>
        </w:rPr>
        <w:t>形式穿越滦河上游保护区的实验区。</w:t>
      </w:r>
    </w:p>
    <w:p w14:paraId="58A726D7">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lang w:eastAsia="zh-CN"/>
        </w:rPr>
        <w:t>拟建项目</w:t>
      </w:r>
      <w:r>
        <w:rPr>
          <w:rFonts w:hint="eastAsia" w:ascii="Times New Roman" w:hAnsi="Times New Roman" w:eastAsia="宋体" w:cs="Times New Roman"/>
          <w:iCs/>
          <w:color w:val="auto"/>
          <w:kern w:val="13"/>
          <w:sz w:val="24"/>
          <w:highlight w:val="none"/>
        </w:rPr>
        <w:t>以</w:t>
      </w:r>
      <w:r>
        <w:rPr>
          <w:rFonts w:hint="eastAsia" w:ascii="Times New Roman" w:hAnsi="Times New Roman" w:eastAsia="宋体" w:cs="Times New Roman"/>
          <w:iCs/>
          <w:color w:val="auto"/>
          <w:kern w:val="13"/>
          <w:sz w:val="24"/>
          <w:highlight w:val="none"/>
          <w:lang w:eastAsia="zh-CN"/>
        </w:rPr>
        <w:t>架空线路</w:t>
      </w:r>
      <w:r>
        <w:rPr>
          <w:rFonts w:hint="eastAsia" w:ascii="Times New Roman" w:hAnsi="Times New Roman" w:eastAsia="宋体" w:cs="Times New Roman"/>
          <w:iCs/>
          <w:color w:val="auto"/>
          <w:kern w:val="13"/>
          <w:sz w:val="24"/>
          <w:highlight w:val="none"/>
        </w:rPr>
        <w:t>形式穿越河北滦河上游保护区实验区，保护区内未设置排污设施，未在保护区内采石、挖沙等活动。运营期工程不在保护区内排放废水，亦未无大气固定污染源排放废气。</w:t>
      </w:r>
    </w:p>
    <w:p w14:paraId="38C7AA0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因此，本项目建设符合《中华人民共和国自然保护区条例》的有关规定。</w:t>
      </w:r>
    </w:p>
    <w:p w14:paraId="136D62BE">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3.</w:t>
      </w:r>
      <w:r>
        <w:rPr>
          <w:rFonts w:hint="eastAsia" w:ascii="Times New Roman" w:hAnsi="Times New Roman" w:eastAsia="宋体" w:cs="Times New Roman"/>
          <w:iCs/>
          <w:color w:val="auto"/>
          <w:kern w:val="13"/>
          <w:sz w:val="24"/>
          <w:highlight w:val="none"/>
          <w:lang w:val="en-US" w:eastAsia="zh-CN"/>
        </w:rPr>
        <w:t>4</w:t>
      </w:r>
      <w:r>
        <w:rPr>
          <w:rFonts w:hint="eastAsia" w:ascii="Times New Roman" w:hAnsi="Times New Roman" w:eastAsia="宋体" w:cs="Times New Roman"/>
          <w:iCs/>
          <w:color w:val="auto"/>
          <w:kern w:val="13"/>
          <w:sz w:val="24"/>
          <w:highlight w:val="none"/>
        </w:rPr>
        <w:t>.2 与《关于进一步加强涉及自然保护区开发建设活动监督管理的通知》（环发〔2015〕57号）的符合性</w:t>
      </w:r>
    </w:p>
    <w:p w14:paraId="4D5AC41F">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（一）环发〔2015〕57号文件有关规定</w:t>
      </w:r>
    </w:p>
    <w:p w14:paraId="69077682">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五、加强对涉及自然保护区建设项目的监督管理</w:t>
      </w:r>
    </w:p>
    <w:p w14:paraId="7DF9010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地方各有关部门依据各自职责，切实加强涉及自然保护区建设项目的准入审查。建设项目选址（线）应尽可能避让自然保护区，确因重大基础设施建设和自然条件等因素限制无法避让的，要严格执行环境影响评价等制度，涉及国家级自然保护区的，建设前须征得省级以上自然保护区主管部门同意，并接受监督。对经批准同意在自然保护区内开展的建设项目，要加强对项目施工期和运营期的监督管理，确保各项生态保护措施落实到位。保护区管理机构要对项目建设进行全过程跟踪，开展生态监测，发现问题应当及时处理和报告。</w:t>
      </w:r>
    </w:p>
    <w:p w14:paraId="361D1317">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（二）符合性分析</w:t>
      </w:r>
    </w:p>
    <w:p w14:paraId="7AB8177C">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本项目为新能源光伏发电配套电力送出工程，属于基础设施，以</w:t>
      </w:r>
      <w:r>
        <w:rPr>
          <w:rFonts w:hint="eastAsia" w:ascii="Times New Roman" w:hAnsi="Times New Roman" w:eastAsia="宋体" w:cs="Times New Roman"/>
          <w:iCs/>
          <w:color w:val="auto"/>
          <w:kern w:val="13"/>
          <w:sz w:val="24"/>
          <w:highlight w:val="none"/>
          <w:lang w:eastAsia="zh-CN"/>
        </w:rPr>
        <w:t>架空线路</w:t>
      </w:r>
      <w:r>
        <w:rPr>
          <w:rFonts w:hint="eastAsia" w:ascii="Times New Roman" w:hAnsi="Times New Roman" w:eastAsia="宋体" w:cs="Times New Roman"/>
          <w:iCs/>
          <w:color w:val="auto"/>
          <w:kern w:val="13"/>
          <w:sz w:val="24"/>
          <w:highlight w:val="none"/>
        </w:rPr>
        <w:t>形式穿越滦河上游保护区实验区。通过工程选线过程分析可知，本项目因不可避免的穿越滦河上游保护区的实验区。</w:t>
      </w:r>
    </w:p>
    <w:p w14:paraId="52A59912">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本项目建设单位将严格按照本文件要求，严格执行环境影响评价制度，并在建设前穿越国家级自然保护区的</w:t>
      </w:r>
      <w:r>
        <w:rPr>
          <w:rFonts w:hint="eastAsia" w:ascii="Times New Roman" w:hAnsi="Times New Roman" w:eastAsia="宋体" w:cs="Times New Roman"/>
          <w:iCs/>
          <w:color w:val="auto"/>
          <w:kern w:val="13"/>
          <w:sz w:val="24"/>
          <w:highlight w:val="none"/>
          <w:lang w:eastAsia="zh-CN"/>
        </w:rPr>
        <w:t>编制了《华能围场“风光储氢热一体化”项目（光伏200MW）项目220kV送出线路工程对河北滦河上游国家级自然保护区生物多样性影响评价报告》，</w:t>
      </w:r>
      <w:r>
        <w:rPr>
          <w:rFonts w:hint="default" w:ascii="Times New Roman" w:hAnsi="Times New Roman" w:eastAsia="宋体" w:cs="Times New Roman"/>
          <w:color w:val="auto"/>
          <w:sz w:val="24"/>
          <w:highlight w:val="none"/>
        </w:rPr>
        <w:t>国家林业和草原局出具了《关于同意</w:t>
      </w:r>
      <w:r>
        <w:rPr>
          <w:rFonts w:hint="default" w:ascii="Times New Roman" w:hAnsi="Times New Roman" w:eastAsia="宋体" w:cs="Times New Roman"/>
          <w:color w:val="auto"/>
          <w:sz w:val="24"/>
          <w:szCs w:val="24"/>
          <w:highlight w:val="none"/>
        </w:rPr>
        <w:t>华能围场“风光储氢热一体化”项目（光伏200MW）项目220kV送出线路工程穿越河北滦河上游国家级自然保护区实验区的行政许可决定</w:t>
      </w:r>
      <w:r>
        <w:rPr>
          <w:rFonts w:hint="default" w:ascii="Times New Roman" w:hAnsi="Times New Roman" w:eastAsia="宋体" w:cs="Times New Roman"/>
          <w:color w:val="auto"/>
          <w:sz w:val="24"/>
          <w:highlight w:val="none"/>
        </w:rPr>
        <w:t>》（林保许准（冀）[2024]10号）</w:t>
      </w:r>
      <w:r>
        <w:rPr>
          <w:rFonts w:hint="eastAsia" w:ascii="Times New Roman" w:hAnsi="Times New Roman" w:eastAsia="宋体" w:cs="Times New Roman"/>
          <w:iCs/>
          <w:color w:val="auto"/>
          <w:kern w:val="13"/>
          <w:sz w:val="24"/>
          <w:highlight w:val="none"/>
        </w:rPr>
        <w:t>，并接受监督。</w:t>
      </w:r>
    </w:p>
    <w:p w14:paraId="09CDD128">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综上分析，本项目符合环发〔2015〕57号文规定。</w:t>
      </w:r>
    </w:p>
    <w:p w14:paraId="6E60C23F">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rPr>
        <w:t>3.4</w:t>
      </w:r>
      <w:r>
        <w:rPr>
          <w:rFonts w:hint="eastAsia" w:ascii="Times New Roman" w:hAnsi="Times New Roman" w:eastAsia="宋体" w:cs="Times New Roman"/>
          <w:iCs/>
          <w:color w:val="auto"/>
          <w:kern w:val="13"/>
          <w:sz w:val="24"/>
          <w:highlight w:val="none"/>
          <w:lang w:val="en-US" w:eastAsia="zh-CN"/>
        </w:rPr>
        <w:t>.3与《河北滦河上游国家级自然保护区总体规划（2008~2015年）》符合性分析</w:t>
      </w:r>
    </w:p>
    <w:p w14:paraId="59833346">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根据《河北滦河上游国家级自然保护区总体规划（2008~2015年）》，保护区分为严格保护区域和一般保护区域：</w:t>
      </w:r>
    </w:p>
    <w:p w14:paraId="1E376AF9">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“3.4.1严格保护区域</w:t>
      </w:r>
    </w:p>
    <w:p w14:paraId="23C879E4">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范围包括核心区和缓冲区，以保护森林生态系统、野生动植物及其栖息地为目的，始终保持有利于自然生态系统稳定和珍稀动植物种群繁衍的自然状态。严格保护区域面积为25653hm</w:t>
      </w:r>
      <w:r>
        <w:rPr>
          <w:rFonts w:hint="eastAsia" w:ascii="Times New Roman" w:hAnsi="Times New Roman" w:eastAsia="宋体" w:cs="Times New Roman"/>
          <w:iCs/>
          <w:color w:val="auto"/>
          <w:kern w:val="13"/>
          <w:sz w:val="24"/>
          <w:highlight w:val="none"/>
          <w:vertAlign w:val="superscript"/>
          <w:lang w:val="en-US" w:eastAsia="zh-CN"/>
        </w:rPr>
        <w:t>2</w:t>
      </w:r>
      <w:r>
        <w:rPr>
          <w:rFonts w:hint="eastAsia" w:ascii="Times New Roman" w:hAnsi="Times New Roman" w:eastAsia="宋体" w:cs="Times New Roman"/>
          <w:iCs/>
          <w:color w:val="auto"/>
          <w:kern w:val="13"/>
          <w:sz w:val="24"/>
          <w:highlight w:val="none"/>
          <w:lang w:val="en-US" w:eastAsia="zh-CN"/>
        </w:rPr>
        <w:t>，占保护区总面积的50.65%。</w:t>
      </w:r>
    </w:p>
    <w:p w14:paraId="33D8AF75">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3.4.1.1核心区</w:t>
      </w:r>
    </w:p>
    <w:p w14:paraId="61809616">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核心区实行严格保护，禁止围垦、偷猎、盗伐及毁林开垦等破坏性人为活动，只供观测研究，除必要的定位观测等设施建设以外，不得设置和从事任何对生态环境造成破坏性影响或干扰的设施与活动。核心区的主要作用是是保护其中的自然资源与自然环境，保持其森林生态系统和物种不受人为的干扰，保持其丰富的生物多样性。</w:t>
      </w:r>
    </w:p>
    <w:p w14:paraId="19E8EB4D">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3.4.1.2缓冲区</w:t>
      </w:r>
    </w:p>
    <w:p w14:paraId="53A86332">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缓冲区对核心区生态环境的保护同样具有重要的意义，其作用是缓解外界压力、防止人为活动对核心区的影响，有效保护核心区。同时，通过森林生态系统的恢复，促进其更好地发挥水土保持的功能，促进珍稀植物的正常演替和濒危动物繁衍，提供向核心区过渡的机会。该区内可进行封山育林以恢复植被，改善珍稀濒危野生动植物的生存条件，还可以开展有组织的科研、教学、考察等工作。</w:t>
      </w:r>
    </w:p>
    <w:p w14:paraId="1C2D7AB3">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3.4.2一般保护区域</w:t>
      </w:r>
    </w:p>
    <w:p w14:paraId="5C623060">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保护区的一般保护区域严格控制在实验区范围内，包括保护区界以内缓冲区界以外的区域，以持续恢复、繁育自然资源、改善自然环境和合理利用自然资源、发展地方经济为目的。区内可开展森林生态旅游、森林植被恢复、珍稀濒危动植物资源繁育、科普宣传教育、综合利用和保护管理站等活动，以增强保护区科研能力、经济实力和改善工作、生活条件，使其成为进行科学研究、教学实习、参观考察的基地。一般保护区域面积为24984.4hm</w:t>
      </w:r>
      <w:r>
        <w:rPr>
          <w:rFonts w:hint="eastAsia" w:ascii="Times New Roman" w:hAnsi="Times New Roman" w:eastAsia="宋体" w:cs="Times New Roman"/>
          <w:iCs/>
          <w:color w:val="auto"/>
          <w:kern w:val="13"/>
          <w:sz w:val="24"/>
          <w:highlight w:val="none"/>
          <w:vertAlign w:val="superscript"/>
          <w:lang w:val="en-US" w:eastAsia="zh-CN"/>
        </w:rPr>
        <w:t>2</w:t>
      </w:r>
      <w:r>
        <w:rPr>
          <w:rFonts w:hint="eastAsia" w:ascii="Times New Roman" w:hAnsi="Times New Roman" w:eastAsia="宋体" w:cs="Times New Roman"/>
          <w:iCs/>
          <w:color w:val="auto"/>
          <w:kern w:val="13"/>
          <w:sz w:val="24"/>
          <w:highlight w:val="none"/>
          <w:lang w:val="en-US" w:eastAsia="zh-CN"/>
        </w:rPr>
        <w:t>，占保护区总面积的49.35%。”</w:t>
      </w:r>
    </w:p>
    <w:p w14:paraId="485AA999">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lang w:val="en-US" w:eastAsia="zh-CN"/>
        </w:rPr>
      </w:pPr>
      <w:r>
        <w:rPr>
          <w:rFonts w:hint="eastAsia" w:ascii="Times New Roman" w:hAnsi="Times New Roman" w:eastAsia="宋体" w:cs="Times New Roman"/>
          <w:iCs/>
          <w:color w:val="auto"/>
          <w:kern w:val="13"/>
          <w:sz w:val="24"/>
          <w:highlight w:val="none"/>
          <w:lang w:val="en-US" w:eastAsia="zh-CN"/>
        </w:rPr>
        <w:t>本项目穿越保护区实验区（一般保护区域），可以促进当地经济和社会发展，国家林业和草原局出具了《关于同意华能围场“风光储氢热一体化”项目（光伏200MW）项目220kV送出线路工程穿越河北滦河上游国家级自然保护区实验区的行政许可决定》（林保许准（冀）[2024]10号），符合《河北滦河上游国家级自然保护区总体规划（2008~2015年）》。</w:t>
      </w:r>
    </w:p>
    <w:p w14:paraId="636F329F">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eastAsia="宋体" w:cs="Times New Roman"/>
          <w:iCs/>
          <w:color w:val="auto"/>
          <w:kern w:val="13"/>
          <w:sz w:val="24"/>
          <w:highlight w:val="none"/>
          <w:lang w:val="en-US" w:eastAsia="zh-CN"/>
        </w:rPr>
        <w:t>3.4.4</w:t>
      </w:r>
      <w:r>
        <w:rPr>
          <w:rFonts w:hint="eastAsia" w:ascii="Times New Roman" w:hAnsi="Times New Roman" w:eastAsia="宋体" w:cs="Times New Roman"/>
          <w:iCs/>
          <w:color w:val="auto"/>
          <w:kern w:val="13"/>
          <w:sz w:val="24"/>
          <w:highlight w:val="none"/>
        </w:rPr>
        <w:t xml:space="preserve"> 与河北省生态保护红线符合性</w:t>
      </w:r>
    </w:p>
    <w:p w14:paraId="3DC80214">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（一）文件规定</w:t>
      </w:r>
    </w:p>
    <w:p w14:paraId="49E9C217">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《河北省人民政府关于发布&lt;河北省生态保护红线&gt;的通知》（冀政字[2018]23号）摘录如下： 全省生态保护红线总面积4.05万平方公里，占全省国土面积的20.70%。河北省生态保护红线主要类型有坝上高原防风固沙生态保护红线、燕山水源涵养—生物多样性维护生态保护红线、太行山水土保持—生物多样性维护生态保护红线、河北平原河湖滨岸带生态保护红线、海岸海域生态保护红线等。 坝上高原防风固沙生态保护红线：主要分布于张北县、沽源县、康保县、察北管理区、塞北管理区和尚义县、丰宁满族自治县、围场满族蒙古族自治县的部分地区，面积3277平方公里，占全省陆域面积的1.74%。区域内以草原生态系统为主，具有极其重要的防风固沙功能。主要保护脆弱的草原生态系统和林草交错区过渡地带。 燕山水源涵养—生物多样性维护生态保护红线：主要分布于张家口东部坝下、承德地区坝下和唐山、秦皇岛市所属19个县（市），面积22579平方公里，占全省陆域面积的11.97%。区域内以森林生态系统为主，是北京、天津、唐山三大城市重要水源地，具有重要的水源涵养功能。主要保护森林生态系统，以及珍稀野生动植物栖息地与集中分布区。 ……</w:t>
      </w:r>
    </w:p>
    <w:p w14:paraId="30BF6C62">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（二）符合性分析</w:t>
      </w:r>
    </w:p>
    <w:p w14:paraId="425B76B5">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 xml:space="preserve"> 其中本项目占地区域</w:t>
      </w:r>
      <w:r>
        <w:rPr>
          <w:rFonts w:hint="eastAsia" w:ascii="Times New Roman" w:hAnsi="Times New Roman" w:eastAsia="宋体" w:cs="Times New Roman"/>
          <w:iCs/>
          <w:color w:val="auto"/>
          <w:kern w:val="13"/>
          <w:sz w:val="24"/>
          <w:highlight w:val="none"/>
          <w:lang w:val="en-US" w:eastAsia="zh-CN"/>
        </w:rPr>
        <w:t>36基塔基占用燕山水源涵养-生物多样性维护生态保护红线和坝上高原防风固沙生态保护红线</w:t>
      </w:r>
      <w:r>
        <w:rPr>
          <w:rFonts w:hint="eastAsia" w:ascii="Times New Roman" w:hAnsi="Times New Roman" w:eastAsia="宋体" w:cs="Times New Roman"/>
          <w:iCs/>
          <w:color w:val="auto"/>
          <w:kern w:val="13"/>
          <w:sz w:val="24"/>
          <w:highlight w:val="none"/>
        </w:rPr>
        <w:t>。本项目与生态保护红线的位置关系见</w:t>
      </w:r>
      <w:r>
        <w:rPr>
          <w:rFonts w:hint="eastAsia" w:ascii="Times New Roman" w:hAnsi="Times New Roman" w:eastAsia="宋体" w:cs="Times New Roman"/>
          <w:iCs/>
          <w:color w:val="auto"/>
          <w:kern w:val="13"/>
          <w:sz w:val="24"/>
          <w:highlight w:val="none"/>
          <w:lang w:eastAsia="zh-CN"/>
        </w:rPr>
        <w:t>附</w:t>
      </w:r>
      <w:r>
        <w:rPr>
          <w:rFonts w:hint="eastAsia" w:ascii="Times New Roman" w:hAnsi="Times New Roman" w:eastAsia="宋体" w:cs="Times New Roman"/>
          <w:iCs/>
          <w:color w:val="auto"/>
          <w:kern w:val="13"/>
          <w:sz w:val="24"/>
          <w:highlight w:val="none"/>
        </w:rPr>
        <w:t>图</w:t>
      </w:r>
      <w:r>
        <w:rPr>
          <w:rFonts w:hint="eastAsia" w:ascii="Times New Roman" w:hAnsi="Times New Roman" w:eastAsia="宋体" w:cs="Times New Roman"/>
          <w:iCs/>
          <w:color w:val="auto"/>
          <w:kern w:val="13"/>
          <w:sz w:val="24"/>
          <w:highlight w:val="none"/>
          <w:lang w:val="en-US" w:eastAsia="zh-CN"/>
        </w:rPr>
        <w:t>3-2</w:t>
      </w:r>
      <w:r>
        <w:rPr>
          <w:rFonts w:hint="eastAsia" w:ascii="Times New Roman" w:hAnsi="Times New Roman" w:eastAsia="宋体" w:cs="Times New Roman"/>
          <w:iCs/>
          <w:color w:val="auto"/>
          <w:kern w:val="13"/>
          <w:sz w:val="24"/>
          <w:highlight w:val="none"/>
        </w:rPr>
        <w:t>。</w:t>
      </w:r>
    </w:p>
    <w:p w14:paraId="17D1F7FB">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（1）坝上高原区域</w:t>
      </w:r>
    </w:p>
    <w:p w14:paraId="135D6728">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本项目</w:t>
      </w:r>
      <w:r>
        <w:rPr>
          <w:rFonts w:hint="eastAsia" w:ascii="Times New Roman" w:hAnsi="Times New Roman" w:eastAsia="宋体" w:cs="Times New Roman"/>
          <w:iCs/>
          <w:color w:val="auto"/>
          <w:kern w:val="13"/>
          <w:sz w:val="24"/>
          <w:highlight w:val="none"/>
          <w:lang w:eastAsia="zh-CN"/>
        </w:rPr>
        <w:t>为</w:t>
      </w:r>
      <w:r>
        <w:rPr>
          <w:rFonts w:hint="eastAsia" w:ascii="Times New Roman" w:hAnsi="Times New Roman" w:eastAsia="宋体" w:cs="Times New Roman"/>
          <w:iCs/>
          <w:color w:val="auto"/>
          <w:kern w:val="13"/>
          <w:sz w:val="24"/>
          <w:highlight w:val="none"/>
        </w:rPr>
        <w:t>新能源光伏发电配套电力送出工程，属于基础设施项目，其建设对坝上高原防风固沙的不利影响主要发生在施工期间。永久及临时占地工程施工期间会扰动地表、植被破坏，进而产生水土流失。产生水土流失的重点部位为</w:t>
      </w:r>
      <w:r>
        <w:rPr>
          <w:rFonts w:hint="eastAsia" w:ascii="Times New Roman" w:hAnsi="Times New Roman" w:eastAsia="宋体" w:cs="Times New Roman"/>
          <w:iCs/>
          <w:color w:val="auto"/>
          <w:kern w:val="13"/>
          <w:sz w:val="24"/>
          <w:highlight w:val="none"/>
          <w:lang w:eastAsia="zh-CN"/>
        </w:rPr>
        <w:t>塔</w:t>
      </w:r>
      <w:r>
        <w:rPr>
          <w:rFonts w:hint="eastAsia" w:ascii="Times New Roman" w:hAnsi="Times New Roman" w:eastAsia="宋体" w:cs="Times New Roman"/>
          <w:iCs/>
          <w:color w:val="auto"/>
          <w:kern w:val="13"/>
          <w:sz w:val="24"/>
          <w:highlight w:val="none"/>
        </w:rPr>
        <w:t>基</w:t>
      </w:r>
      <w:r>
        <w:rPr>
          <w:rFonts w:hint="eastAsia" w:ascii="Times New Roman" w:hAnsi="Times New Roman" w:eastAsia="宋体" w:cs="Times New Roman"/>
          <w:iCs/>
          <w:color w:val="auto"/>
          <w:kern w:val="13"/>
          <w:sz w:val="24"/>
          <w:highlight w:val="none"/>
          <w:lang w:eastAsia="zh-CN"/>
        </w:rPr>
        <w:t>施工</w:t>
      </w:r>
      <w:r>
        <w:rPr>
          <w:rFonts w:hint="eastAsia" w:ascii="Times New Roman" w:hAnsi="Times New Roman" w:eastAsia="宋体" w:cs="Times New Roman"/>
          <w:iCs/>
          <w:color w:val="auto"/>
          <w:kern w:val="13"/>
          <w:sz w:val="24"/>
          <w:highlight w:val="none"/>
        </w:rPr>
        <w:t>区、</w:t>
      </w:r>
      <w:r>
        <w:rPr>
          <w:rFonts w:hint="eastAsia" w:ascii="Times New Roman" w:hAnsi="Times New Roman" w:eastAsia="宋体" w:cs="Times New Roman"/>
          <w:iCs/>
          <w:color w:val="auto"/>
          <w:kern w:val="13"/>
          <w:sz w:val="24"/>
          <w:highlight w:val="none"/>
          <w:lang w:eastAsia="zh-CN"/>
        </w:rPr>
        <w:t>临时道路</w:t>
      </w:r>
      <w:r>
        <w:rPr>
          <w:rFonts w:hint="eastAsia" w:ascii="Times New Roman" w:hAnsi="Times New Roman" w:eastAsia="宋体" w:cs="Times New Roman"/>
          <w:iCs/>
          <w:color w:val="auto"/>
          <w:kern w:val="13"/>
          <w:sz w:val="24"/>
          <w:highlight w:val="none"/>
        </w:rPr>
        <w:t>区等。项目施工过程中应对施工生产采取物料及渣土应注意苫盖，严禁存在大面积裸露区，施工结束后，应及时对占地区采取绿化等生态恢复措施，通过增加植被覆盖度，禁止土地大面积裸露，最大程度的降低项目建设的草原生态系统防风固沙的生态功能产生的不利影响。</w:t>
      </w:r>
    </w:p>
    <w:p w14:paraId="03F80F1C">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（2）坝下区域</w:t>
      </w:r>
    </w:p>
    <w:p w14:paraId="64478826">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本项目坝下区域主要以森林与灌丛植被为主，其对应的生态系统为森林与灌丛生态系统。本项目为新能源光伏发电配套电力送出工程，，建设内容为</w:t>
      </w:r>
      <w:r>
        <w:rPr>
          <w:rFonts w:hint="eastAsia" w:ascii="Times New Roman" w:hAnsi="Times New Roman" w:eastAsia="宋体" w:cs="Times New Roman"/>
          <w:iCs/>
          <w:color w:val="auto"/>
          <w:kern w:val="13"/>
          <w:sz w:val="24"/>
          <w:highlight w:val="none"/>
          <w:lang w:eastAsia="zh-CN"/>
        </w:rPr>
        <w:t>架空线路</w:t>
      </w:r>
      <w:r>
        <w:rPr>
          <w:rFonts w:hint="eastAsia" w:ascii="Times New Roman" w:hAnsi="Times New Roman" w:eastAsia="宋体" w:cs="Times New Roman"/>
          <w:iCs/>
          <w:color w:val="auto"/>
          <w:kern w:val="13"/>
          <w:sz w:val="24"/>
          <w:highlight w:val="none"/>
        </w:rPr>
        <w:t>。对森林生态系统产生的不利影响主要为施工期。项目建设会破坏永久及临时占地区的植被，进而对森林生态系统的水源涵养功能产生一定不利影响。项目建成后可通过绿化等生态恢复措施，最大程度的降低对其产生的不利影响。运营期主要为对</w:t>
      </w:r>
      <w:r>
        <w:rPr>
          <w:rFonts w:hint="eastAsia" w:ascii="Times New Roman" w:hAnsi="Times New Roman" w:eastAsia="宋体" w:cs="Times New Roman"/>
          <w:iCs/>
          <w:color w:val="auto"/>
          <w:kern w:val="13"/>
          <w:sz w:val="24"/>
          <w:highlight w:val="none"/>
          <w:lang w:eastAsia="zh-CN"/>
        </w:rPr>
        <w:t>野生植物、</w:t>
      </w:r>
      <w:r>
        <w:rPr>
          <w:rFonts w:hint="eastAsia" w:ascii="Times New Roman" w:hAnsi="Times New Roman" w:eastAsia="宋体" w:cs="Times New Roman"/>
          <w:iCs/>
          <w:color w:val="auto"/>
          <w:kern w:val="13"/>
          <w:sz w:val="24"/>
          <w:highlight w:val="none"/>
        </w:rPr>
        <w:t>野生动物</w:t>
      </w:r>
      <w:r>
        <w:rPr>
          <w:rFonts w:hint="eastAsia" w:ascii="Times New Roman" w:hAnsi="Times New Roman" w:eastAsia="宋体" w:cs="Times New Roman"/>
          <w:iCs/>
          <w:color w:val="auto"/>
          <w:kern w:val="13"/>
          <w:sz w:val="24"/>
          <w:highlight w:val="none"/>
          <w:lang w:eastAsia="zh-CN"/>
        </w:rPr>
        <w:t>基本无</w:t>
      </w:r>
      <w:r>
        <w:rPr>
          <w:rFonts w:hint="eastAsia" w:ascii="Times New Roman" w:hAnsi="Times New Roman" w:eastAsia="宋体" w:cs="Times New Roman"/>
          <w:iCs/>
          <w:color w:val="auto"/>
          <w:kern w:val="13"/>
          <w:sz w:val="24"/>
          <w:highlight w:val="none"/>
        </w:rPr>
        <w:t>影响。</w:t>
      </w:r>
    </w:p>
    <w:p w14:paraId="6257E724">
      <w:pPr>
        <w:tabs>
          <w:tab w:val="left" w:pos="2445"/>
        </w:tabs>
        <w:spacing w:line="360" w:lineRule="auto"/>
        <w:ind w:firstLine="480" w:firstLineChars="200"/>
        <w:rPr>
          <w:rFonts w:hint="eastAsia" w:ascii="Times New Roman" w:hAnsi="Times New Roman" w:eastAsia="宋体" w:cs="Times New Roman"/>
          <w:iCs/>
          <w:color w:val="auto"/>
          <w:kern w:val="13"/>
          <w:sz w:val="24"/>
          <w:highlight w:val="none"/>
        </w:rPr>
      </w:pPr>
      <w:r>
        <w:rPr>
          <w:rFonts w:hint="eastAsia" w:ascii="Times New Roman" w:hAnsi="Times New Roman" w:eastAsia="宋体" w:cs="Times New Roman"/>
          <w:iCs/>
          <w:color w:val="auto"/>
          <w:kern w:val="13"/>
          <w:sz w:val="24"/>
          <w:highlight w:val="none"/>
        </w:rPr>
        <w:t>综上分析，本项目建设对生态保护红线的防风固沙以及水源涵养功能会产生一定不利影响，但在严格落实环评所提生态恢复措施后，可以最大程度的降低对其不利影响，保证生态保护红线质量不降低，生态功能不降低。本项目建设符合生态保护红线的保护要求。</w:t>
      </w:r>
    </w:p>
    <w:p w14:paraId="7116ADEC">
      <w:pPr>
        <w:tabs>
          <w:tab w:val="left" w:pos="2445"/>
        </w:tabs>
        <w:spacing w:line="360" w:lineRule="auto"/>
        <w:ind w:firstLine="480" w:firstLineChars="200"/>
        <w:rPr>
          <w:rFonts w:ascii="Times New Roman" w:hAnsi="Times New Roman" w:eastAsia="宋体" w:cs="Times New Roman"/>
          <w:iCs/>
          <w:color w:val="auto"/>
          <w:kern w:val="13"/>
          <w:sz w:val="24"/>
          <w:highlight w:val="none"/>
        </w:rPr>
      </w:pPr>
    </w:p>
    <w:p w14:paraId="6E776251">
      <w:pPr>
        <w:rPr>
          <w:rFonts w:cs="Times New Roman"/>
          <w:color w:val="auto"/>
          <w:kern w:val="0"/>
          <w:highlight w:val="none"/>
        </w:rPr>
      </w:pPr>
      <w:r>
        <w:rPr>
          <w:rFonts w:cs="Times New Roman"/>
          <w:color w:val="auto"/>
          <w:kern w:val="0"/>
          <w:highlight w:val="none"/>
        </w:rPr>
        <w:br w:type="page"/>
      </w:r>
    </w:p>
    <w:p w14:paraId="425633DC">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kern w:val="0"/>
          <w:highlight w:val="none"/>
        </w:rPr>
      </w:pPr>
      <w:r>
        <w:rPr>
          <w:rFonts w:cs="Times New Roman"/>
          <w:color w:val="auto"/>
          <w:kern w:val="0"/>
          <w:highlight w:val="none"/>
        </w:rPr>
        <w:t>4</w:t>
      </w:r>
      <w:r>
        <w:rPr>
          <w:rFonts w:hint="eastAsia" w:cs="Times New Roman"/>
          <w:color w:val="auto"/>
          <w:kern w:val="0"/>
          <w:highlight w:val="none"/>
        </w:rPr>
        <w:t>区域生态环境现状调查与评价</w:t>
      </w:r>
      <w:bookmarkEnd w:id="44"/>
    </w:p>
    <w:p w14:paraId="14FBA2A4">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ascii="Times New Roman" w:hAnsi="Times New Roman" w:cs="Times New Roman"/>
          <w:color w:val="auto"/>
          <w:kern w:val="0"/>
          <w:szCs w:val="30"/>
          <w:highlight w:val="none"/>
        </w:rPr>
      </w:pPr>
      <w:r>
        <w:rPr>
          <w:rFonts w:hint="eastAsia" w:ascii="Times New Roman" w:hAnsi="Times New Roman" w:cs="Times New Roman"/>
          <w:color w:val="auto"/>
          <w:kern w:val="0"/>
          <w:szCs w:val="30"/>
          <w:highlight w:val="none"/>
          <w:lang w:val="en-US" w:eastAsia="zh-CN"/>
        </w:rPr>
        <w:t>4.1</w:t>
      </w:r>
      <w:r>
        <w:rPr>
          <w:rFonts w:hint="eastAsia" w:ascii="Times New Roman" w:hAnsi="Times New Roman" w:cs="Times New Roman"/>
          <w:color w:val="auto"/>
          <w:kern w:val="0"/>
          <w:szCs w:val="30"/>
          <w:highlight w:val="none"/>
        </w:rPr>
        <w:t>自然保护区概况</w:t>
      </w:r>
    </w:p>
    <w:p w14:paraId="0546D696">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建设与管理概况</w:t>
      </w:r>
    </w:p>
    <w:p w14:paraId="3510A9FF">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.1.1</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自然保护区概况</w:t>
      </w:r>
    </w:p>
    <w:p w14:paraId="2332D5B7">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w:t>
      </w:r>
      <w:r>
        <w:rPr>
          <w:rFonts w:hint="eastAsia" w:ascii="Times New Roman" w:hAnsi="Times New Roman" w:eastAsia="宋体" w:cs="Times New Roman"/>
          <w:color w:val="auto"/>
          <w:sz w:val="24"/>
          <w:szCs w:val="24"/>
          <w:highlight w:val="none"/>
          <w:lang w:val="en-US" w:eastAsia="zh-CN"/>
        </w:rPr>
        <w:t>自然</w:t>
      </w:r>
      <w:r>
        <w:rPr>
          <w:rFonts w:hint="eastAsia" w:ascii="Times New Roman" w:hAnsi="Times New Roman" w:eastAsia="宋体" w:cs="Times New Roman"/>
          <w:color w:val="auto"/>
          <w:sz w:val="24"/>
          <w:szCs w:val="24"/>
          <w:highlight w:val="none"/>
        </w:rPr>
        <w:t>保护区位于河北省北端的围场满族蒙古族自治县境内，地处内蒙古高原与冀北山地的过渡地带，地理坐标为北纬 41°47′～42°06′，东经116°51′～117°45′，保护区管理中心所在地——围场镇距北京384km，天津504km。总面积为50637.4hm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。保护区下设燕格柏、孟滦和滦河三个管理区。</w:t>
      </w:r>
    </w:p>
    <w:p w14:paraId="4FF1496D">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保护区划分为核心区、缓冲区、实验区三个功能区，其中核心区17753.6hm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，面积占比35.06%；缓冲区7899.4hm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，面积占比15.60%；实验区24984.4hm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，面积占比49.34%。</w:t>
      </w:r>
    </w:p>
    <w:p w14:paraId="5DA9900D">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.1.2 自然保护区性质</w:t>
      </w:r>
    </w:p>
    <w:p w14:paraId="68D55681">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保护区境内分布着典型的森林生态系统以及野生动植物，是融典型森林生态系统及野生动植物保护于一身的生态系统类大型自然保护区，保护区建设属于生态公益性事业。</w:t>
      </w:r>
    </w:p>
    <w:p w14:paraId="208EC5A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.1.3管理机构与人员</w:t>
      </w:r>
    </w:p>
    <w:p w14:paraId="2E4DB35A">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（1）保护区隶属关系</w:t>
      </w:r>
    </w:p>
    <w:p w14:paraId="4B60124B">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河北滦河上游国家级自然保护区隶属于河北省林业和草原局</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为正处级事业单位，实行管理中心—管理区—管理站三级管理体系。</w:t>
      </w:r>
    </w:p>
    <w:p w14:paraId="074D24C3">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（2）管理机构组成</w:t>
      </w:r>
    </w:p>
    <w:p w14:paraId="75BCC31E">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保护区管理中心内设行政办公室、规划财务科、资源管理科、基建科、人事教育科、森林生态修复与培育科、林草有害生物防治检疫科、护林防火办、宣传科和综合执法科等18个职能科室。</w:t>
      </w:r>
    </w:p>
    <w:p w14:paraId="50C3871D">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（3）人员编制</w:t>
      </w:r>
    </w:p>
    <w:p w14:paraId="07240E57">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保护区人员编制为180人，其中，管理人员72人，占40%；管护人员96人，占53.3%；科研人员12人，占6.7%。另外，各保护点可根据管护需要，由外聘人员担任保护区管护员。</w:t>
      </w:r>
    </w:p>
    <w:p w14:paraId="02422053">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.1.4保护对象</w:t>
      </w:r>
    </w:p>
    <w:p w14:paraId="2085868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多样、完整的森林生态系统</w:t>
      </w:r>
    </w:p>
    <w:p w14:paraId="6D6CECA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珍稀野生动植物</w:t>
      </w:r>
    </w:p>
    <w:p w14:paraId="145D8E95">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.1.5自然保护区类型</w:t>
      </w:r>
    </w:p>
    <w:p w14:paraId="66924BE3">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根据保护对象，依照国家环境保护总局、国家技术监督局颁布的中华人民共和国国家标准《自然保护区类型与级别划分原则》（GB/14529—93），保护区属于“自然生态系统类别”中的“森林类型”的自然保护区。</w:t>
      </w:r>
    </w:p>
    <w:p w14:paraId="0E2E2C25">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.2自然地理概况</w:t>
      </w:r>
    </w:p>
    <w:p w14:paraId="0DE58D3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.2.1地理位置与范围</w:t>
      </w:r>
    </w:p>
    <w:p w14:paraId="289D1D52">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位于河北省北端的围场满族蒙古族自治县境内，地处内蒙古高原与冀北山地的过渡地带，地理坐标为北纬41°47′～42°06′，东经116°51′～117°45′，保护区管理中心所在地——围场镇距北京384km，天津504km。保护区下设燕格柏、孟滦和滦河三个管理区组成，总面积为50637.4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w:t>
      </w:r>
    </w:p>
    <w:p w14:paraId="3C140381">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.2.2地质</w:t>
      </w:r>
    </w:p>
    <w:p w14:paraId="463BB2ED">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位于高原与山地的过渡地带，大地构造属于内蒙台背斜的一部分。保护区属于坝上高原区东段的“围场高原亚区”，其山地部分北连坝上高原，属于冀北山地中的“坝根中山亚区”。保护区处于坝下冀北山地，可分为东北部和西部两部分。西部海拔较低，地貌分为坝缘山地和疏丘陵波状高原，波状高原由泡子（湖淖）、滩地和冈梁组成，另外还有半固定沙丘，风蚀凹地等。东北部海拔较高，有玄武岩形成的熔岩台地，地形平缓，主要由丘陵及丘间滩地组成。</w:t>
      </w:r>
    </w:p>
    <w:p w14:paraId="669299FB">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.2.3气候</w:t>
      </w:r>
    </w:p>
    <w:p w14:paraId="71061483">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保护区气候类型组合是：（中）温带向寒温带过渡，半干旱向半湿润过渡，大陆性季风型高原山地气候。年平均日照时数为2577~2832小时，年平均气温3.3℃。最冷月为1月，平均气温-13.2℃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最热月为7月，平均气温20.7℃。年降水量为300～560毫米，降水主要集中在夏季。</w:t>
      </w:r>
    </w:p>
    <w:p w14:paraId="190B7ECE">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.2.4土壤</w:t>
      </w:r>
    </w:p>
    <w:p w14:paraId="70E86EC0">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自然保护区所在的围场县地域辽阔，地形复杂，土壤分布既有垂直地带性分布特点，也有中域与微域分布的特点。垂直地带性为境内土壤分布的显著特点。在垂直方向上随山体的增高土壤类型出现有规律的变化。按由下向上的顺序：淋溶褐土—棕壤—灰色森林土—黑土。</w:t>
      </w:r>
    </w:p>
    <w:p w14:paraId="3ED9BD7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.2.5水文情况</w:t>
      </w:r>
    </w:p>
    <w:p w14:paraId="15412910">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流经保护区内的河流受地势影响，呈由北向南的外流水系。区内主要有小滦河、伊逊河和伊玛图河，三条河均属滦河水系的主要支流，均由北向南流入隆化县境内。在郭家屯附近，小滦河与大滦河（滦河干流）汇合，始称滦河；伊逊河与伊玛图河于隆化县城附近汇合后，在承德县滦平镇汇入滦河。滦河中游流经燕山山地，下游在乐亭、昌黎两县间入渤海。</w:t>
      </w:r>
    </w:p>
    <w:p w14:paraId="7F870518">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滦河上游地区地表水多来源于降水，并且以降雨为主。保护区内天然植被保持良好，土层深厚，保水能力强，地下水资源丰富。</w:t>
      </w:r>
    </w:p>
    <w:p w14:paraId="661BFC7D">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.3生物多样性概况</w:t>
      </w:r>
    </w:p>
    <w:p w14:paraId="2747EE56">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.3.1景观资源</w:t>
      </w:r>
    </w:p>
    <w:p w14:paraId="21B7F62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（1）五道沟生态景观</w:t>
      </w:r>
    </w:p>
    <w:p w14:paraId="4DFB330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五道沟风景区地处围场县西北部，木兰林场所辖林区内，总面积48.3平方公里。这里是清朝“木兰围场”七十二围之一（哈朗圭围）旧址（哈朗圭为蒙语，汉意为发黑之地）所在地，是目前自然风貌保存最为完好的“围场”，主要包括五道沟、龙潭沟和连阴寨三大景区。丰富的动植物资源和复杂的地貌特征，造就了五道沟景区如诗如画的自然景观。</w:t>
      </w:r>
    </w:p>
    <w:p w14:paraId="6FF9A664">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（2）小滦河生态景观</w:t>
      </w:r>
    </w:p>
    <w:p w14:paraId="28919F08">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小滦河位于滦河管理区和孟滦管理区境内，系滦河的最大支流，全长97km，流域面积39000hm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是围场县境内水量最充沛、流量最稳定的一条河流。河岸两侧广阔的沙滩和白桦、榆、杨等混交林构成了一幅错落有致的自然景观，与峻峭的山体和小滦河的婀娜身姿相映成趣，金秋时节尤为绚丽多彩，呈现出独特的北国水域风光。</w:t>
      </w:r>
    </w:p>
    <w:p w14:paraId="5447C088">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.3.2植被类型</w:t>
      </w:r>
    </w:p>
    <w:p w14:paraId="3D00F067">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中国植被及河北省植被区划，保护区属于温带草原地带高原东部森林草原区与暖温带落叶阔叶林地带燕山山地落叶阔叶林温性针叶林区的交接带，该区的典型性植被为草甸草原及落叶阔叶林。其中包含针叶林、落叶阔叶林、落叶阔叶灌丛、亚高山草甸等4个植被类型及25个群系。</w:t>
      </w:r>
    </w:p>
    <w:p w14:paraId="5F0FA15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的植被主要由灌丛、落叶阔叶林、针叶林和亚高山草甸组成。灌丛主要分布在海拔1100m以下的低山，主要有山杏灌丛、绣线菊灌丛、柳灌丛等。同时，在中山地区和亚高山地区还分布有平榛灌丛、毛榛灌丛、刺玫蔷薇灌丛。落叶阔叶林主要分布在中山地带，主要有蒙古栎林、落叶阔叶混交林、山杨林、核桃楸林、白桦林、硕桦林、棘皮桦林和榆树林等。针叶林主要包括华北落叶松林和油松林。</w:t>
      </w:r>
    </w:p>
    <w:p w14:paraId="0F7EE218">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4.1</w:t>
      </w:r>
      <w:r>
        <w:rPr>
          <w:rFonts w:hint="eastAsia" w:ascii="Times New Roman" w:hAnsi="Times New Roman" w:eastAsia="宋体" w:cs="Times New Roman"/>
          <w:b/>
          <w:bCs/>
          <w:color w:val="auto"/>
          <w:sz w:val="21"/>
          <w:szCs w:val="21"/>
          <w:highlight w:val="none"/>
        </w:rPr>
        <w:t>-1</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rPr>
        <w:t>滦河上游自然保护区植物群落分类系统</w:t>
      </w:r>
    </w:p>
    <w:tbl>
      <w:tblPr>
        <w:tblStyle w:val="22"/>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5"/>
        <w:gridCol w:w="6549"/>
      </w:tblGrid>
      <w:tr w14:paraId="010E0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Align w:val="center"/>
          </w:tcPr>
          <w:p w14:paraId="7C3317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植被型</w:t>
            </w:r>
          </w:p>
        </w:tc>
        <w:tc>
          <w:tcPr>
            <w:tcW w:w="6549" w:type="dxa"/>
            <w:vAlign w:val="center"/>
          </w:tcPr>
          <w:p w14:paraId="3B58EA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5"/>
                <w:sz w:val="21"/>
                <w:szCs w:val="21"/>
                <w:highlight w:val="none"/>
              </w:rPr>
              <w:t>群系</w:t>
            </w:r>
            <w:r>
              <w:rPr>
                <w:rFonts w:hint="default" w:ascii="Times New Roman" w:hAnsi="Times New Roman" w:eastAsia="宋体" w:cs="Times New Roman"/>
                <w:color w:val="auto"/>
                <w:spacing w:val="-40"/>
                <w:sz w:val="21"/>
                <w:szCs w:val="21"/>
                <w:highlight w:val="none"/>
              </w:rPr>
              <w:t xml:space="preserve"> </w:t>
            </w:r>
            <w:r>
              <w:rPr>
                <w:rFonts w:hint="default" w:ascii="Times New Roman" w:hAnsi="Times New Roman" w:eastAsia="宋体" w:cs="Times New Roman"/>
                <w:b/>
                <w:bCs/>
                <w:color w:val="auto"/>
                <w:sz w:val="21"/>
                <w:szCs w:val="21"/>
                <w:highlight w:val="none"/>
              </w:rPr>
              <w:t>Formation</w:t>
            </w:r>
          </w:p>
        </w:tc>
      </w:tr>
      <w:tr w14:paraId="42DF3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restart"/>
            <w:tcBorders>
              <w:bottom w:val="nil"/>
            </w:tcBorders>
            <w:vAlign w:val="center"/>
          </w:tcPr>
          <w:p w14:paraId="1D9B61B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针叶林</w:t>
            </w:r>
          </w:p>
        </w:tc>
        <w:tc>
          <w:tcPr>
            <w:tcW w:w="6549" w:type="dxa"/>
            <w:vAlign w:val="center"/>
          </w:tcPr>
          <w:p w14:paraId="3B9595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0"/>
                <w:position w:val="2"/>
                <w:sz w:val="21"/>
                <w:szCs w:val="21"/>
                <w:highlight w:val="none"/>
              </w:rPr>
              <w:t xml:space="preserve">华北落叶松林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20"/>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Larix</w:t>
            </w:r>
            <w:r>
              <w:rPr>
                <w:rFonts w:hint="default" w:ascii="Times New Roman" w:hAnsi="Times New Roman" w:eastAsia="宋体" w:cs="Times New Roman"/>
                <w:i/>
                <w:iCs/>
                <w:color w:val="auto"/>
                <w:spacing w:val="-19"/>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principis</w:t>
            </w:r>
            <w:r>
              <w:rPr>
                <w:rFonts w:hint="default" w:ascii="Times New Roman" w:hAnsi="Times New Roman" w:eastAsia="宋体" w:cs="Times New Roman"/>
                <w:i/>
                <w:iCs/>
                <w:color w:val="auto"/>
                <w:spacing w:val="20"/>
                <w:position w:val="2"/>
                <w:sz w:val="21"/>
                <w:szCs w:val="21"/>
                <w:highlight w:val="none"/>
              </w:rPr>
              <w:t>-</w:t>
            </w:r>
            <w:r>
              <w:rPr>
                <w:rFonts w:hint="default" w:ascii="Times New Roman" w:hAnsi="Times New Roman" w:eastAsia="宋体" w:cs="Times New Roman"/>
                <w:i/>
                <w:iCs/>
                <w:color w:val="auto"/>
                <w:position w:val="2"/>
                <w:sz w:val="21"/>
                <w:szCs w:val="21"/>
                <w:highlight w:val="none"/>
              </w:rPr>
              <w:t>rupprechtii</w:t>
            </w:r>
          </w:p>
        </w:tc>
      </w:tr>
      <w:tr w14:paraId="54ED0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0071DB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8367F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7"/>
                <w:position w:val="2"/>
                <w:sz w:val="21"/>
                <w:szCs w:val="21"/>
                <w:highlight w:val="none"/>
              </w:rPr>
              <w:t xml:space="preserve">油松林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Pinus</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tabulaeformis</w:t>
            </w:r>
          </w:p>
        </w:tc>
      </w:tr>
      <w:tr w14:paraId="32DDA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16E8F9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5B771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position w:val="2"/>
                <w:sz w:val="21"/>
                <w:szCs w:val="21"/>
                <w:highlight w:val="none"/>
              </w:rPr>
              <w:t xml:space="preserve">樟子松林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Pinus</w:t>
            </w:r>
            <w:r>
              <w:rPr>
                <w:rFonts w:hint="default" w:ascii="Times New Roman" w:hAnsi="Times New Roman" w:eastAsia="宋体" w:cs="Times New Roman"/>
                <w:i/>
                <w:iCs/>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sylvestris</w:t>
            </w:r>
          </w:p>
        </w:tc>
      </w:tr>
      <w:tr w14:paraId="12292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27E870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14C4B7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position w:val="2"/>
                <w:sz w:val="21"/>
                <w:szCs w:val="21"/>
                <w:highlight w:val="none"/>
              </w:rPr>
              <w:t xml:space="preserve">杜松林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Juniperus</w:t>
            </w:r>
            <w:r>
              <w:rPr>
                <w:rFonts w:hint="default" w:ascii="Times New Roman" w:hAnsi="Times New Roman" w:eastAsia="宋体" w:cs="Times New Roman"/>
                <w:i/>
                <w:iCs/>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rigida</w:t>
            </w:r>
          </w:p>
        </w:tc>
      </w:tr>
      <w:tr w14:paraId="5BE1C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tcBorders>
            <w:vAlign w:val="center"/>
          </w:tcPr>
          <w:p w14:paraId="649736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14C256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4"/>
                <w:position w:val="1"/>
                <w:sz w:val="21"/>
                <w:szCs w:val="21"/>
                <w:highlight w:val="none"/>
              </w:rPr>
              <w:t xml:space="preserve">红松林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4"/>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Pinus</w:t>
            </w:r>
            <w:r>
              <w:rPr>
                <w:rFonts w:hint="default" w:ascii="Times New Roman" w:hAnsi="Times New Roman" w:eastAsia="宋体" w:cs="Times New Roman"/>
                <w:i/>
                <w:iCs/>
                <w:color w:val="auto"/>
                <w:spacing w:val="14"/>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koraiensis</w:t>
            </w:r>
          </w:p>
        </w:tc>
      </w:tr>
      <w:tr w14:paraId="1AEDD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restart"/>
            <w:vAlign w:val="center"/>
          </w:tcPr>
          <w:p w14:paraId="20EA3E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落叶阔叶林</w:t>
            </w:r>
          </w:p>
        </w:tc>
        <w:tc>
          <w:tcPr>
            <w:tcW w:w="6549" w:type="dxa"/>
            <w:vAlign w:val="center"/>
          </w:tcPr>
          <w:p w14:paraId="7EE23F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position w:val="2"/>
                <w:sz w:val="21"/>
                <w:szCs w:val="21"/>
                <w:highlight w:val="none"/>
              </w:rPr>
              <w:t xml:space="preserve">蒙古栎林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Quercus</w:t>
            </w:r>
            <w:r>
              <w:rPr>
                <w:rFonts w:hint="default" w:ascii="Times New Roman" w:hAnsi="Times New Roman" w:eastAsia="宋体" w:cs="Times New Roman"/>
                <w:i/>
                <w:iCs/>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mongolica</w:t>
            </w:r>
          </w:p>
        </w:tc>
      </w:tr>
      <w:tr w14:paraId="08E65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10DA39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691DD3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position w:val="2"/>
                <w:sz w:val="21"/>
                <w:szCs w:val="21"/>
                <w:highlight w:val="none"/>
              </w:rPr>
              <w:t xml:space="preserve">白桦林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Betula</w:t>
            </w:r>
            <w:r>
              <w:rPr>
                <w:rFonts w:hint="default" w:ascii="Times New Roman" w:hAnsi="Times New Roman" w:eastAsia="宋体" w:cs="Times New Roman"/>
                <w:i/>
                <w:iCs/>
                <w:color w:val="auto"/>
                <w:spacing w:val="-19"/>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platyphy</w:t>
            </w:r>
            <w:r>
              <w:rPr>
                <w:rFonts w:hint="default" w:ascii="Times New Roman" w:hAnsi="Times New Roman" w:eastAsia="宋体" w:cs="Times New Roman"/>
                <w:i/>
                <w:iCs/>
                <w:color w:val="auto"/>
                <w:spacing w:val="15"/>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lla</w:t>
            </w:r>
          </w:p>
        </w:tc>
      </w:tr>
      <w:tr w14:paraId="5BFF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3D464F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3D6D73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4"/>
                <w:position w:val="1"/>
                <w:sz w:val="21"/>
                <w:szCs w:val="21"/>
                <w:highlight w:val="none"/>
              </w:rPr>
              <w:t xml:space="preserve">硕桦林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4"/>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Betula</w:t>
            </w:r>
            <w:r>
              <w:rPr>
                <w:rFonts w:hint="default" w:ascii="Times New Roman" w:hAnsi="Times New Roman" w:eastAsia="宋体" w:cs="Times New Roman"/>
                <w:i/>
                <w:iCs/>
                <w:color w:val="auto"/>
                <w:spacing w:val="14"/>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costata</w:t>
            </w:r>
          </w:p>
        </w:tc>
      </w:tr>
      <w:tr w14:paraId="1EBC1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339D92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1AEF17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position w:val="1"/>
                <w:sz w:val="21"/>
                <w:szCs w:val="21"/>
                <w:highlight w:val="none"/>
              </w:rPr>
              <w:t xml:space="preserve">棘皮桦林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5"/>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Betula</w:t>
            </w:r>
            <w:r>
              <w:rPr>
                <w:rFonts w:hint="default" w:ascii="Times New Roman" w:hAnsi="Times New Roman" w:eastAsia="宋体" w:cs="Times New Roman"/>
                <w:i/>
                <w:iCs/>
                <w:color w:val="auto"/>
                <w:spacing w:val="15"/>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dahurica</w:t>
            </w:r>
          </w:p>
        </w:tc>
      </w:tr>
      <w:tr w14:paraId="5ACEF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4D5850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11198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4"/>
                <w:position w:val="2"/>
                <w:sz w:val="21"/>
                <w:szCs w:val="21"/>
                <w:highlight w:val="none"/>
              </w:rPr>
              <w:t xml:space="preserve">山杨林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4"/>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Populus</w:t>
            </w:r>
            <w:r>
              <w:rPr>
                <w:rFonts w:hint="default" w:ascii="Times New Roman" w:hAnsi="Times New Roman" w:eastAsia="宋体" w:cs="Times New Roman"/>
                <w:i/>
                <w:iCs/>
                <w:color w:val="auto"/>
                <w:spacing w:val="14"/>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davidiana</w:t>
            </w:r>
          </w:p>
        </w:tc>
      </w:tr>
      <w:tr w14:paraId="6658C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4B4442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05C93B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position w:val="2"/>
                <w:sz w:val="21"/>
                <w:szCs w:val="21"/>
                <w:highlight w:val="none"/>
              </w:rPr>
              <w:t xml:space="preserve">榆树林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8"/>
                <w:position w:val="2"/>
                <w:sz w:val="21"/>
                <w:szCs w:val="21"/>
                <w:highlight w:val="none"/>
              </w:rPr>
              <w:t>.</w:t>
            </w:r>
            <w:r>
              <w:rPr>
                <w:rFonts w:hint="default" w:ascii="Times New Roman" w:hAnsi="Times New Roman" w:eastAsia="宋体" w:cs="Times New Roman"/>
                <w:color w:val="auto"/>
                <w:spacing w:val="30"/>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Ulmus</w:t>
            </w:r>
            <w:r>
              <w:rPr>
                <w:rFonts w:hint="default" w:ascii="Times New Roman" w:hAnsi="Times New Roman" w:eastAsia="宋体" w:cs="Times New Roman"/>
                <w:i/>
                <w:iCs/>
                <w:color w:val="auto"/>
                <w:spacing w:val="13"/>
                <w:w w:val="101"/>
                <w:position w:val="2"/>
                <w:sz w:val="21"/>
                <w:szCs w:val="21"/>
                <w:highlight w:val="none"/>
              </w:rPr>
              <w:t xml:space="preserve"> </w:t>
            </w:r>
            <w:r>
              <w:rPr>
                <w:rFonts w:hint="default" w:ascii="Times New Roman" w:hAnsi="Times New Roman" w:eastAsia="宋体" w:cs="Times New Roman"/>
                <w:color w:val="auto"/>
                <w:position w:val="2"/>
                <w:sz w:val="21"/>
                <w:szCs w:val="21"/>
                <w:highlight w:val="none"/>
              </w:rPr>
              <w:t>ssp</w:t>
            </w:r>
            <w:r>
              <w:rPr>
                <w:rFonts w:hint="default" w:ascii="Times New Roman" w:hAnsi="Times New Roman" w:eastAsia="宋体" w:cs="Times New Roman"/>
                <w:color w:val="auto"/>
                <w:spacing w:val="8"/>
                <w:position w:val="2"/>
                <w:sz w:val="21"/>
                <w:szCs w:val="21"/>
                <w:highlight w:val="none"/>
              </w:rPr>
              <w:t>.</w:t>
            </w:r>
          </w:p>
        </w:tc>
      </w:tr>
      <w:tr w14:paraId="590C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5B97A7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4EE38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position w:val="2"/>
                <w:sz w:val="21"/>
                <w:szCs w:val="21"/>
                <w:highlight w:val="none"/>
              </w:rPr>
              <w:t xml:space="preserve">核桃楸林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8"/>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Juglans</w:t>
            </w:r>
            <w:r>
              <w:rPr>
                <w:rFonts w:hint="default" w:ascii="Times New Roman" w:hAnsi="Times New Roman" w:eastAsia="宋体" w:cs="Times New Roman"/>
                <w:i/>
                <w:iCs/>
                <w:color w:val="auto"/>
                <w:spacing w:val="18"/>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mandshurica</w:t>
            </w:r>
          </w:p>
        </w:tc>
      </w:tr>
      <w:tr w14:paraId="267E8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6933B4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82086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9"/>
                <w:position w:val="1"/>
                <w:sz w:val="21"/>
                <w:szCs w:val="21"/>
                <w:highlight w:val="none"/>
              </w:rPr>
              <w:t xml:space="preserve">杂木林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9"/>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Deciduous</w:t>
            </w:r>
            <w:r>
              <w:rPr>
                <w:rFonts w:hint="default" w:ascii="Times New Roman" w:hAnsi="Times New Roman" w:eastAsia="宋体" w:cs="Times New Roman"/>
                <w:i/>
                <w:iCs/>
                <w:color w:val="auto"/>
                <w:spacing w:val="19"/>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broad</w:t>
            </w:r>
            <w:r>
              <w:rPr>
                <w:rFonts w:hint="default" w:ascii="Times New Roman" w:hAnsi="Times New Roman" w:eastAsia="宋体" w:cs="Times New Roman"/>
                <w:i/>
                <w:iCs/>
                <w:color w:val="auto"/>
                <w:spacing w:val="19"/>
                <w:position w:val="1"/>
                <w:sz w:val="21"/>
                <w:szCs w:val="21"/>
                <w:highlight w:val="none"/>
              </w:rPr>
              <w:t>-</w:t>
            </w:r>
            <w:r>
              <w:rPr>
                <w:rFonts w:hint="default" w:ascii="Times New Roman" w:hAnsi="Times New Roman" w:eastAsia="宋体" w:cs="Times New Roman"/>
                <w:i/>
                <w:iCs/>
                <w:color w:val="auto"/>
                <w:position w:val="1"/>
                <w:sz w:val="21"/>
                <w:szCs w:val="21"/>
                <w:highlight w:val="none"/>
              </w:rPr>
              <w:t>leaves</w:t>
            </w:r>
            <w:r>
              <w:rPr>
                <w:rFonts w:hint="default" w:ascii="Times New Roman" w:hAnsi="Times New Roman" w:eastAsia="宋体" w:cs="Times New Roman"/>
                <w:i/>
                <w:iCs/>
                <w:color w:val="auto"/>
                <w:spacing w:val="19"/>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mixed</w:t>
            </w:r>
          </w:p>
        </w:tc>
      </w:tr>
      <w:tr w14:paraId="5270F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vAlign w:val="center"/>
          </w:tcPr>
          <w:p w14:paraId="71451B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BF07B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position w:val="2"/>
                <w:sz w:val="21"/>
                <w:szCs w:val="21"/>
                <w:highlight w:val="none"/>
              </w:rPr>
              <w:t xml:space="preserve">柳树林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1"/>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Salix</w:t>
            </w:r>
            <w:r>
              <w:rPr>
                <w:rFonts w:hint="default" w:ascii="Times New Roman" w:hAnsi="Times New Roman" w:eastAsia="宋体" w:cs="Times New Roman"/>
                <w:i/>
                <w:iCs/>
                <w:color w:val="auto"/>
                <w:spacing w:val="16"/>
                <w:position w:val="2"/>
                <w:sz w:val="21"/>
                <w:szCs w:val="21"/>
                <w:highlight w:val="none"/>
              </w:rPr>
              <w:t xml:space="preserve"> </w:t>
            </w:r>
            <w:r>
              <w:rPr>
                <w:rFonts w:hint="default" w:ascii="Times New Roman" w:hAnsi="Times New Roman" w:eastAsia="宋体" w:cs="Times New Roman"/>
                <w:color w:val="auto"/>
                <w:position w:val="2"/>
                <w:sz w:val="21"/>
                <w:szCs w:val="21"/>
                <w:highlight w:val="none"/>
              </w:rPr>
              <w:t>ssp</w:t>
            </w:r>
            <w:r>
              <w:rPr>
                <w:rFonts w:hint="default" w:ascii="Times New Roman" w:hAnsi="Times New Roman" w:eastAsia="宋体" w:cs="Times New Roman"/>
                <w:color w:val="auto"/>
                <w:spacing w:val="11"/>
                <w:position w:val="2"/>
                <w:sz w:val="21"/>
                <w:szCs w:val="21"/>
                <w:highlight w:val="none"/>
              </w:rPr>
              <w:t>.</w:t>
            </w:r>
          </w:p>
        </w:tc>
      </w:tr>
      <w:tr w14:paraId="44302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restart"/>
            <w:tcBorders>
              <w:bottom w:val="nil"/>
            </w:tcBorders>
            <w:vAlign w:val="center"/>
          </w:tcPr>
          <w:p w14:paraId="569656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落叶阔叶灌丛</w:t>
            </w:r>
          </w:p>
        </w:tc>
        <w:tc>
          <w:tcPr>
            <w:tcW w:w="6549" w:type="dxa"/>
            <w:vAlign w:val="center"/>
          </w:tcPr>
          <w:p w14:paraId="07A3B5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position w:val="1"/>
                <w:sz w:val="21"/>
                <w:szCs w:val="21"/>
                <w:highlight w:val="none"/>
              </w:rPr>
              <w:t xml:space="preserve">山杏灌丛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1"/>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Prunus</w:t>
            </w:r>
            <w:r>
              <w:rPr>
                <w:rFonts w:hint="default" w:ascii="Times New Roman" w:hAnsi="Times New Roman" w:eastAsia="宋体" w:cs="Times New Roman"/>
                <w:i/>
                <w:iCs/>
                <w:color w:val="auto"/>
                <w:spacing w:val="11"/>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sibirica</w:t>
            </w:r>
          </w:p>
        </w:tc>
      </w:tr>
      <w:tr w14:paraId="6B5EF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5C59BE8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072151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3"/>
                <w:position w:val="1"/>
                <w:sz w:val="21"/>
                <w:szCs w:val="21"/>
                <w:highlight w:val="none"/>
              </w:rPr>
              <w:t xml:space="preserve">杂灌丛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3"/>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Mixed</w:t>
            </w:r>
          </w:p>
        </w:tc>
      </w:tr>
      <w:tr w14:paraId="47F3D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7D0857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75945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4"/>
                <w:position w:val="2"/>
                <w:sz w:val="21"/>
                <w:szCs w:val="21"/>
                <w:highlight w:val="none"/>
              </w:rPr>
              <w:t xml:space="preserve">绣线菊灌丛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4"/>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Spiraea</w:t>
            </w:r>
            <w:r>
              <w:rPr>
                <w:rFonts w:hint="default" w:ascii="Times New Roman" w:hAnsi="Times New Roman" w:eastAsia="宋体" w:cs="Times New Roman"/>
                <w:i/>
                <w:iCs/>
                <w:color w:val="auto"/>
                <w:spacing w:val="14"/>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teilabata</w:t>
            </w:r>
          </w:p>
        </w:tc>
      </w:tr>
      <w:tr w14:paraId="032C8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4FCF68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0E5B5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position w:val="1"/>
                <w:sz w:val="21"/>
                <w:szCs w:val="21"/>
                <w:highlight w:val="none"/>
              </w:rPr>
              <w:t xml:space="preserve">照山白灌丛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8"/>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Rhododendron</w:t>
            </w:r>
            <w:r>
              <w:rPr>
                <w:rFonts w:hint="default" w:ascii="Times New Roman" w:hAnsi="Times New Roman" w:eastAsia="宋体" w:cs="Times New Roman"/>
                <w:i/>
                <w:iCs/>
                <w:color w:val="auto"/>
                <w:spacing w:val="18"/>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micranthum</w:t>
            </w:r>
          </w:p>
        </w:tc>
      </w:tr>
      <w:tr w14:paraId="530B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5F51B2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DA654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7"/>
                <w:position w:val="2"/>
                <w:sz w:val="21"/>
                <w:szCs w:val="21"/>
                <w:highlight w:val="none"/>
              </w:rPr>
              <w:t xml:space="preserve">平榛灌丛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7"/>
                <w:position w:val="2"/>
                <w:sz w:val="21"/>
                <w:szCs w:val="21"/>
                <w:highlight w:val="none"/>
              </w:rPr>
              <w:t>.</w:t>
            </w:r>
            <w:r>
              <w:rPr>
                <w:rFonts w:hint="default" w:ascii="Times New Roman" w:hAnsi="Times New Roman" w:eastAsia="宋体" w:cs="Times New Roman"/>
                <w:color w:val="auto"/>
                <w:spacing w:val="22"/>
                <w:w w:val="101"/>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Corylus</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mandshurica</w:t>
            </w:r>
          </w:p>
        </w:tc>
      </w:tr>
      <w:tr w14:paraId="12337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11CD1D8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7B829C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position w:val="2"/>
                <w:sz w:val="21"/>
                <w:szCs w:val="21"/>
                <w:highlight w:val="none"/>
              </w:rPr>
              <w:t xml:space="preserve">沙棘灌丛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8"/>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Hippophae</w:t>
            </w:r>
            <w:r>
              <w:rPr>
                <w:rFonts w:hint="default" w:ascii="Times New Roman" w:hAnsi="Times New Roman" w:eastAsia="宋体" w:cs="Times New Roman"/>
                <w:i/>
                <w:iCs/>
                <w:color w:val="auto"/>
                <w:spacing w:val="18"/>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rhamnoides</w:t>
            </w:r>
          </w:p>
        </w:tc>
      </w:tr>
      <w:tr w14:paraId="164AF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tcBorders>
            <w:vAlign w:val="center"/>
          </w:tcPr>
          <w:p w14:paraId="578DD3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1FF05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position w:val="2"/>
                <w:sz w:val="21"/>
                <w:szCs w:val="21"/>
                <w:highlight w:val="none"/>
              </w:rPr>
              <w:t xml:space="preserve">柳灌丛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1"/>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Salix</w:t>
            </w:r>
            <w:r>
              <w:rPr>
                <w:rFonts w:hint="default" w:ascii="Times New Roman" w:hAnsi="Times New Roman" w:eastAsia="宋体" w:cs="Times New Roman"/>
                <w:i/>
                <w:iCs/>
                <w:color w:val="auto"/>
                <w:spacing w:val="16"/>
                <w:position w:val="2"/>
                <w:sz w:val="21"/>
                <w:szCs w:val="21"/>
                <w:highlight w:val="none"/>
              </w:rPr>
              <w:t xml:space="preserve"> </w:t>
            </w:r>
            <w:r>
              <w:rPr>
                <w:rFonts w:hint="default" w:ascii="Times New Roman" w:hAnsi="Times New Roman" w:eastAsia="宋体" w:cs="Times New Roman"/>
                <w:color w:val="auto"/>
                <w:position w:val="2"/>
                <w:sz w:val="21"/>
                <w:szCs w:val="21"/>
                <w:highlight w:val="none"/>
              </w:rPr>
              <w:t>ssp</w:t>
            </w:r>
            <w:r>
              <w:rPr>
                <w:rFonts w:hint="default" w:ascii="Times New Roman" w:hAnsi="Times New Roman" w:eastAsia="宋体" w:cs="Times New Roman"/>
                <w:color w:val="auto"/>
                <w:spacing w:val="11"/>
                <w:position w:val="2"/>
                <w:sz w:val="21"/>
                <w:szCs w:val="21"/>
                <w:highlight w:val="none"/>
              </w:rPr>
              <w:t>.</w:t>
            </w:r>
          </w:p>
        </w:tc>
      </w:tr>
      <w:tr w14:paraId="40255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restart"/>
            <w:tcBorders>
              <w:bottom w:val="nil"/>
            </w:tcBorders>
            <w:vAlign w:val="center"/>
          </w:tcPr>
          <w:p w14:paraId="3FF3F9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亚高山草甸</w:t>
            </w:r>
          </w:p>
        </w:tc>
        <w:tc>
          <w:tcPr>
            <w:tcW w:w="6549" w:type="dxa"/>
            <w:vAlign w:val="center"/>
          </w:tcPr>
          <w:p w14:paraId="7FC16A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3"/>
                <w:position w:val="1"/>
                <w:sz w:val="21"/>
                <w:szCs w:val="21"/>
                <w:highlight w:val="none"/>
              </w:rPr>
              <w:t xml:space="preserve">杂类草草甸 </w:t>
            </w:r>
            <w:r>
              <w:rPr>
                <w:rFonts w:hint="default" w:ascii="Times New Roman" w:hAnsi="Times New Roman" w:eastAsia="宋体" w:cs="Times New Roman"/>
                <w:color w:val="auto"/>
                <w:position w:val="1"/>
                <w:sz w:val="21"/>
                <w:szCs w:val="21"/>
                <w:highlight w:val="none"/>
              </w:rPr>
              <w:t>Form</w:t>
            </w:r>
            <w:r>
              <w:rPr>
                <w:rFonts w:hint="default" w:ascii="Times New Roman" w:hAnsi="Times New Roman" w:eastAsia="宋体" w:cs="Times New Roman"/>
                <w:color w:val="auto"/>
                <w:spacing w:val="13"/>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Forb</w:t>
            </w:r>
            <w:r>
              <w:rPr>
                <w:rFonts w:hint="default" w:ascii="Times New Roman" w:hAnsi="Times New Roman" w:eastAsia="宋体" w:cs="Times New Roman"/>
                <w:i/>
                <w:iCs/>
                <w:color w:val="auto"/>
                <w:spacing w:val="13"/>
                <w:position w:val="1"/>
                <w:sz w:val="21"/>
                <w:szCs w:val="21"/>
                <w:highlight w:val="none"/>
              </w:rPr>
              <w:t xml:space="preserve"> </w:t>
            </w:r>
            <w:r>
              <w:rPr>
                <w:rFonts w:hint="default" w:ascii="Times New Roman" w:hAnsi="Times New Roman" w:eastAsia="宋体" w:cs="Times New Roman"/>
                <w:i/>
                <w:iCs/>
                <w:color w:val="auto"/>
                <w:position w:val="1"/>
                <w:sz w:val="21"/>
                <w:szCs w:val="21"/>
                <w:highlight w:val="none"/>
              </w:rPr>
              <w:t>meadow</w:t>
            </w:r>
          </w:p>
        </w:tc>
      </w:tr>
      <w:tr w14:paraId="05E4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179E4D7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2A12A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7"/>
                <w:position w:val="2"/>
                <w:sz w:val="21"/>
                <w:szCs w:val="21"/>
                <w:highlight w:val="none"/>
              </w:rPr>
              <w:t xml:space="preserve">珠珠芽蓼+细叶苔草草甸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Polygonum</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viviparum</w:t>
            </w:r>
            <w:r>
              <w:rPr>
                <w:rFonts w:hint="default" w:ascii="Times New Roman" w:hAnsi="Times New Roman" w:eastAsia="宋体" w:cs="Times New Roman"/>
                <w:i/>
                <w:iCs/>
                <w:color w:val="auto"/>
                <w:spacing w:val="17"/>
                <w:position w:val="2"/>
                <w:sz w:val="21"/>
                <w:szCs w:val="21"/>
                <w:highlight w:val="none"/>
              </w:rPr>
              <w:t>+</w:t>
            </w:r>
            <w:r>
              <w:rPr>
                <w:rFonts w:hint="default" w:ascii="Times New Roman" w:hAnsi="Times New Roman" w:eastAsia="宋体" w:cs="Times New Roman"/>
                <w:i/>
                <w:iCs/>
                <w:color w:val="auto"/>
                <w:position w:val="2"/>
                <w:sz w:val="21"/>
                <w:szCs w:val="21"/>
                <w:highlight w:val="none"/>
              </w:rPr>
              <w:t>Carex</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rigescens</w:t>
            </w:r>
          </w:p>
        </w:tc>
      </w:tr>
      <w:tr w14:paraId="528A2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bottom w:val="nil"/>
            </w:tcBorders>
            <w:vAlign w:val="center"/>
          </w:tcPr>
          <w:p w14:paraId="34FAB0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410501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9"/>
                <w:position w:val="2"/>
                <w:sz w:val="21"/>
                <w:szCs w:val="21"/>
                <w:highlight w:val="none"/>
              </w:rPr>
              <w:t xml:space="preserve">地榆+细叶苔草草甸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9"/>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Sanguisorba</w:t>
            </w:r>
            <w:r>
              <w:rPr>
                <w:rFonts w:hint="default" w:ascii="Times New Roman" w:hAnsi="Times New Roman" w:eastAsia="宋体" w:cs="Times New Roman"/>
                <w:i/>
                <w:iCs/>
                <w:color w:val="auto"/>
                <w:spacing w:val="19"/>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o</w:t>
            </w:r>
            <w:r>
              <w:rPr>
                <w:rFonts w:hint="default" w:ascii="Times New Roman" w:hAnsi="Times New Roman" w:eastAsia="宋体" w:cs="Times New Roman"/>
                <w:b/>
                <w:bCs/>
                <w:i/>
                <w:iCs/>
                <w:color w:val="auto"/>
                <w:position w:val="2"/>
                <w:sz w:val="21"/>
                <w:szCs w:val="21"/>
                <w:highlight w:val="none"/>
              </w:rPr>
              <w:t>f</w:t>
            </w:r>
            <w:r>
              <w:rPr>
                <w:rFonts w:hint="default" w:ascii="Times New Roman" w:hAnsi="Times New Roman" w:eastAsia="宋体" w:cs="Times New Roman"/>
                <w:i/>
                <w:iCs/>
                <w:color w:val="auto"/>
                <w:position w:val="2"/>
                <w:sz w:val="21"/>
                <w:szCs w:val="21"/>
                <w:highlight w:val="none"/>
              </w:rPr>
              <w:t>icinalis</w:t>
            </w:r>
            <w:r>
              <w:rPr>
                <w:rFonts w:hint="default" w:ascii="Times New Roman" w:hAnsi="Times New Roman" w:eastAsia="宋体" w:cs="Times New Roman"/>
                <w:i/>
                <w:iCs/>
                <w:color w:val="auto"/>
                <w:spacing w:val="36"/>
                <w:position w:val="2"/>
                <w:sz w:val="21"/>
                <w:szCs w:val="21"/>
                <w:highlight w:val="none"/>
              </w:rPr>
              <w:t xml:space="preserve"> </w:t>
            </w:r>
            <w:r>
              <w:rPr>
                <w:rFonts w:hint="default" w:ascii="Times New Roman" w:hAnsi="Times New Roman" w:eastAsia="宋体" w:cs="Times New Roman"/>
                <w:i/>
                <w:iCs/>
                <w:color w:val="auto"/>
                <w:spacing w:val="19"/>
                <w:position w:val="2"/>
                <w:sz w:val="21"/>
                <w:szCs w:val="21"/>
                <w:highlight w:val="none"/>
              </w:rPr>
              <w:t>+</w:t>
            </w:r>
            <w:r>
              <w:rPr>
                <w:rFonts w:hint="default" w:ascii="Times New Roman" w:hAnsi="Times New Roman" w:eastAsia="宋体" w:cs="Times New Roman"/>
                <w:i/>
                <w:iCs/>
                <w:color w:val="auto"/>
                <w:position w:val="2"/>
                <w:sz w:val="21"/>
                <w:szCs w:val="21"/>
                <w:highlight w:val="none"/>
              </w:rPr>
              <w:t>Carex</w:t>
            </w:r>
            <w:r>
              <w:rPr>
                <w:rFonts w:hint="default" w:ascii="Times New Roman" w:hAnsi="Times New Roman" w:eastAsia="宋体" w:cs="Times New Roman"/>
                <w:i/>
                <w:iCs/>
                <w:color w:val="auto"/>
                <w:spacing w:val="19"/>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rigescens</w:t>
            </w:r>
          </w:p>
        </w:tc>
      </w:tr>
      <w:tr w14:paraId="0ADF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75" w:type="dxa"/>
            <w:vMerge w:val="continue"/>
            <w:tcBorders>
              <w:top w:val="nil"/>
            </w:tcBorders>
            <w:vAlign w:val="center"/>
          </w:tcPr>
          <w:p w14:paraId="64DB14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6549" w:type="dxa"/>
            <w:vAlign w:val="center"/>
          </w:tcPr>
          <w:p w14:paraId="50400D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7"/>
                <w:position w:val="2"/>
                <w:sz w:val="21"/>
                <w:szCs w:val="21"/>
                <w:highlight w:val="none"/>
              </w:rPr>
              <w:t xml:space="preserve">披碱草草甸 </w:t>
            </w:r>
            <w:r>
              <w:rPr>
                <w:rFonts w:hint="default" w:ascii="Times New Roman" w:hAnsi="Times New Roman" w:eastAsia="宋体" w:cs="Times New Roman"/>
                <w:color w:val="auto"/>
                <w:position w:val="2"/>
                <w:sz w:val="21"/>
                <w:szCs w:val="21"/>
                <w:highlight w:val="none"/>
              </w:rPr>
              <w:t>Form</w:t>
            </w:r>
            <w:r>
              <w:rPr>
                <w:rFonts w:hint="default" w:ascii="Times New Roman" w:hAnsi="Times New Roman" w:eastAsia="宋体" w:cs="Times New Roman"/>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Elymus</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dahuricus</w:t>
            </w:r>
            <w:r>
              <w:rPr>
                <w:rFonts w:hint="default" w:ascii="Times New Roman" w:hAnsi="Times New Roman" w:eastAsia="宋体" w:cs="Times New Roman"/>
                <w:i/>
                <w:iCs/>
                <w:color w:val="auto"/>
                <w:spacing w:val="17"/>
                <w:position w:val="2"/>
                <w:sz w:val="21"/>
                <w:szCs w:val="21"/>
                <w:highlight w:val="none"/>
              </w:rPr>
              <w:t xml:space="preserve"> </w:t>
            </w:r>
            <w:r>
              <w:rPr>
                <w:rFonts w:hint="default" w:ascii="Times New Roman" w:hAnsi="Times New Roman" w:eastAsia="宋体" w:cs="Times New Roman"/>
                <w:i/>
                <w:iCs/>
                <w:color w:val="auto"/>
                <w:position w:val="2"/>
                <w:sz w:val="21"/>
                <w:szCs w:val="21"/>
                <w:highlight w:val="none"/>
              </w:rPr>
              <w:t>meadow</w:t>
            </w:r>
          </w:p>
        </w:tc>
      </w:tr>
    </w:tbl>
    <w:p w14:paraId="132DDD42">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.3.3野生动植物资源</w:t>
      </w:r>
    </w:p>
    <w:p w14:paraId="6C8EB1B0">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自然保护区内有高等植物资源丰富，有高等植物1096种，隶属于142科501属。其中苔藓植物39科89属192种，蕨类植物12科17属27种，裸子植物3科7属12种，被子植物88科388属865种。保护区内分布有国家二级保护野生植物4种，分别为黄檗、甘草、软枣猕猴桃、野大豆。河北省重点保护区植物56种，包括华北蓝盆花、苍术、秦艽、油松、黄精、蒙椴等。</w:t>
      </w:r>
    </w:p>
    <w:p w14:paraId="39D9BB4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自然保护区现有野生脊椎动物343种，隶属于32目85科216属。其中，哺乳纲6目16科38属46种，鸟纲20目56科144属252种，爬行纲1目5科8属15种，两栖纲1目3科4属5种，硬骨鱼纲4目5科22属25种。国家一级保护野生动物11种，分别是黑鹳（</w:t>
      </w:r>
      <w:r>
        <w:rPr>
          <w:rFonts w:hint="eastAsia" w:ascii="Times New Roman" w:hAnsi="Times New Roman" w:eastAsia="宋体" w:cs="Times New Roman"/>
          <w:i/>
          <w:iCs/>
          <w:color w:val="auto"/>
          <w:sz w:val="24"/>
          <w:szCs w:val="24"/>
          <w:highlight w:val="none"/>
        </w:rPr>
        <w:t>Ciconia nigra</w:t>
      </w:r>
      <w:r>
        <w:rPr>
          <w:rFonts w:hint="eastAsia" w:ascii="Times New Roman" w:hAnsi="Times New Roman" w:eastAsia="宋体" w:cs="Times New Roman"/>
          <w:color w:val="auto"/>
          <w:sz w:val="24"/>
          <w:szCs w:val="24"/>
          <w:highlight w:val="none"/>
        </w:rPr>
        <w:t>）、青头潜鸭（</w:t>
      </w:r>
      <w:r>
        <w:rPr>
          <w:rFonts w:hint="eastAsia" w:ascii="Times New Roman" w:hAnsi="Times New Roman" w:eastAsia="宋体" w:cs="Times New Roman"/>
          <w:i/>
          <w:iCs/>
          <w:color w:val="auto"/>
          <w:sz w:val="24"/>
          <w:szCs w:val="24"/>
          <w:highlight w:val="none"/>
        </w:rPr>
        <w:t>Aythya baeri</w:t>
      </w:r>
      <w:r>
        <w:rPr>
          <w:rFonts w:hint="eastAsia" w:ascii="Times New Roman" w:hAnsi="Times New Roman" w:eastAsia="宋体" w:cs="Times New Roman"/>
          <w:color w:val="auto"/>
          <w:sz w:val="24"/>
          <w:szCs w:val="24"/>
          <w:highlight w:val="none"/>
        </w:rPr>
        <w:t>）、金雕（</w:t>
      </w:r>
      <w:r>
        <w:rPr>
          <w:rFonts w:hint="eastAsia" w:ascii="Times New Roman" w:hAnsi="Times New Roman" w:eastAsia="宋体" w:cs="Times New Roman"/>
          <w:i/>
          <w:iCs/>
          <w:color w:val="auto"/>
          <w:sz w:val="24"/>
          <w:szCs w:val="24"/>
          <w:highlight w:val="none"/>
        </w:rPr>
        <w:t>Aquila chrysaetos</w:t>
      </w:r>
      <w:r>
        <w:rPr>
          <w:rFonts w:hint="eastAsia" w:ascii="Times New Roman" w:hAnsi="Times New Roman" w:eastAsia="宋体" w:cs="Times New Roman"/>
          <w:color w:val="auto"/>
          <w:sz w:val="24"/>
          <w:szCs w:val="24"/>
          <w:highlight w:val="none"/>
        </w:rPr>
        <w:t>）、草原雕（</w:t>
      </w:r>
      <w:r>
        <w:rPr>
          <w:rFonts w:hint="eastAsia" w:ascii="Times New Roman" w:hAnsi="Times New Roman" w:eastAsia="宋体" w:cs="Times New Roman"/>
          <w:i/>
          <w:iCs/>
          <w:color w:val="auto"/>
          <w:sz w:val="24"/>
          <w:szCs w:val="24"/>
          <w:highlight w:val="none"/>
        </w:rPr>
        <w:t>Aquila nipalensis</w:t>
      </w:r>
      <w:r>
        <w:rPr>
          <w:rFonts w:hint="eastAsia" w:ascii="Times New Roman" w:hAnsi="Times New Roman" w:eastAsia="宋体" w:cs="Times New Roman"/>
          <w:color w:val="auto"/>
          <w:sz w:val="24"/>
          <w:szCs w:val="24"/>
          <w:highlight w:val="none"/>
        </w:rPr>
        <w:t>）、乌雕（</w:t>
      </w:r>
      <w:r>
        <w:rPr>
          <w:rFonts w:hint="eastAsia" w:ascii="Times New Roman" w:hAnsi="Times New Roman" w:eastAsia="宋体" w:cs="Times New Roman"/>
          <w:i/>
          <w:iCs/>
          <w:color w:val="auto"/>
          <w:sz w:val="24"/>
          <w:szCs w:val="24"/>
          <w:highlight w:val="none"/>
        </w:rPr>
        <w:t>Aquila clanga</w:t>
      </w:r>
      <w:r>
        <w:rPr>
          <w:rFonts w:hint="eastAsia" w:ascii="Times New Roman" w:hAnsi="Times New Roman" w:eastAsia="宋体" w:cs="Times New Roman"/>
          <w:color w:val="auto"/>
          <w:sz w:val="24"/>
          <w:szCs w:val="24"/>
          <w:highlight w:val="none"/>
        </w:rPr>
        <w:t>）、秃鹫（</w:t>
      </w:r>
      <w:r>
        <w:rPr>
          <w:rFonts w:hint="eastAsia" w:ascii="Times New Roman" w:hAnsi="Times New Roman" w:eastAsia="宋体" w:cs="Times New Roman"/>
          <w:i/>
          <w:iCs/>
          <w:color w:val="auto"/>
          <w:sz w:val="24"/>
          <w:szCs w:val="24"/>
          <w:highlight w:val="none"/>
        </w:rPr>
        <w:t>Aegypius monachus</w:t>
      </w:r>
      <w:r>
        <w:rPr>
          <w:rFonts w:hint="eastAsia" w:ascii="Times New Roman" w:hAnsi="Times New Roman" w:eastAsia="宋体" w:cs="Times New Roman"/>
          <w:color w:val="auto"/>
          <w:sz w:val="24"/>
          <w:szCs w:val="24"/>
          <w:highlight w:val="none"/>
        </w:rPr>
        <w:t>）、黑琴鸡（</w:t>
      </w:r>
      <w:r>
        <w:rPr>
          <w:rFonts w:hint="eastAsia" w:ascii="Times New Roman" w:hAnsi="Times New Roman" w:eastAsia="宋体" w:cs="Times New Roman"/>
          <w:i/>
          <w:iCs/>
          <w:color w:val="auto"/>
          <w:sz w:val="24"/>
          <w:szCs w:val="24"/>
          <w:highlight w:val="none"/>
        </w:rPr>
        <w:t>Lyrurus tetrix</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5"/>
          <w:sz w:val="24"/>
          <w:szCs w:val="24"/>
          <w:highlight w:val="none"/>
        </w:rPr>
        <w:t>白头鹤（</w:t>
      </w:r>
      <w:r>
        <w:rPr>
          <w:rFonts w:hint="default" w:ascii="Times New Roman" w:hAnsi="Times New Roman" w:eastAsia="宋体" w:cs="Times New Roman"/>
          <w:i/>
          <w:iCs/>
          <w:color w:val="auto"/>
          <w:spacing w:val="-5"/>
          <w:sz w:val="24"/>
          <w:szCs w:val="24"/>
          <w:highlight w:val="none"/>
        </w:rPr>
        <w:t>Grus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17"/>
          <w:sz w:val="24"/>
          <w:szCs w:val="24"/>
          <w:highlight w:val="none"/>
        </w:rPr>
        <w:t>monacha</w:t>
      </w:r>
      <w:r>
        <w:rPr>
          <w:rFonts w:hint="default" w:ascii="Times New Roman" w:hAnsi="Times New Roman" w:eastAsia="宋体" w:cs="Times New Roman"/>
          <w:color w:val="auto"/>
          <w:spacing w:val="-17"/>
          <w:sz w:val="24"/>
          <w:szCs w:val="24"/>
          <w:highlight w:val="none"/>
        </w:rPr>
        <w:t>）、白枕鹤（</w:t>
      </w:r>
      <w:r>
        <w:rPr>
          <w:rFonts w:hint="default" w:ascii="Times New Roman" w:hAnsi="Times New Roman" w:eastAsia="宋体" w:cs="Times New Roman"/>
          <w:i/>
          <w:iCs/>
          <w:color w:val="auto"/>
          <w:spacing w:val="-17"/>
          <w:sz w:val="24"/>
          <w:szCs w:val="24"/>
          <w:highlight w:val="none"/>
        </w:rPr>
        <w:t>Grus vipio</w:t>
      </w:r>
      <w:r>
        <w:rPr>
          <w:rFonts w:hint="default" w:ascii="Times New Roman" w:hAnsi="Times New Roman" w:eastAsia="宋体" w:cs="Times New Roman"/>
          <w:color w:val="auto"/>
          <w:spacing w:val="-17"/>
          <w:sz w:val="24"/>
          <w:szCs w:val="24"/>
          <w:highlight w:val="none"/>
        </w:rPr>
        <w:t>）、大鸨（</w:t>
      </w:r>
      <w:r>
        <w:rPr>
          <w:rFonts w:hint="default" w:ascii="Times New Roman" w:hAnsi="Times New Roman" w:eastAsia="宋体" w:cs="Times New Roman"/>
          <w:i/>
          <w:iCs/>
          <w:color w:val="auto"/>
          <w:spacing w:val="-17"/>
          <w:sz w:val="24"/>
          <w:szCs w:val="24"/>
          <w:highlight w:val="none"/>
        </w:rPr>
        <w:t>Otis</w:t>
      </w:r>
      <w:r>
        <w:rPr>
          <w:rFonts w:hint="default" w:ascii="Times New Roman" w:hAnsi="Times New Roman" w:eastAsia="宋体" w:cs="Times New Roman"/>
          <w:i/>
          <w:iCs/>
          <w:color w:val="auto"/>
          <w:spacing w:val="12"/>
          <w:sz w:val="24"/>
          <w:szCs w:val="24"/>
          <w:highlight w:val="none"/>
        </w:rPr>
        <w:t xml:space="preserve"> </w:t>
      </w:r>
      <w:r>
        <w:rPr>
          <w:rFonts w:hint="default" w:ascii="Times New Roman" w:hAnsi="Times New Roman" w:eastAsia="宋体" w:cs="Times New Roman"/>
          <w:i/>
          <w:iCs/>
          <w:color w:val="auto"/>
          <w:spacing w:val="-17"/>
          <w:sz w:val="24"/>
          <w:szCs w:val="24"/>
          <w:highlight w:val="none"/>
        </w:rPr>
        <w:t>tarda</w:t>
      </w:r>
      <w:r>
        <w:rPr>
          <w:rFonts w:hint="default" w:ascii="Times New Roman" w:hAnsi="Times New Roman" w:eastAsia="宋体" w:cs="Times New Roman"/>
          <w:color w:val="auto"/>
          <w:spacing w:val="-17"/>
          <w:sz w:val="24"/>
          <w:szCs w:val="24"/>
          <w:highlight w:val="none"/>
        </w:rPr>
        <w:t>）</w:t>
      </w:r>
      <w:r>
        <w:rPr>
          <w:rFonts w:hint="default" w:ascii="Times New Roman" w:hAnsi="Times New Roman" w:eastAsia="宋体" w:cs="Times New Roman"/>
          <w:color w:val="auto"/>
          <w:spacing w:val="-18"/>
          <w:sz w:val="24"/>
          <w:szCs w:val="24"/>
          <w:highlight w:val="none"/>
        </w:rPr>
        <w:t>、黄胸鸥（</w:t>
      </w:r>
      <w:r>
        <w:rPr>
          <w:rFonts w:hint="default" w:ascii="Times New Roman" w:hAnsi="Times New Roman" w:eastAsia="宋体" w:cs="Times New Roman"/>
          <w:i/>
          <w:iCs/>
          <w:color w:val="auto"/>
          <w:spacing w:val="-18"/>
          <w:sz w:val="24"/>
          <w:szCs w:val="24"/>
          <w:highlight w:val="none"/>
        </w:rPr>
        <w:t>Emberiza</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7"/>
          <w:sz w:val="24"/>
          <w:szCs w:val="24"/>
          <w:highlight w:val="none"/>
        </w:rPr>
        <w:t>aureola</w:t>
      </w:r>
      <w:r>
        <w:rPr>
          <w:rFonts w:hint="default" w:ascii="Times New Roman" w:hAnsi="Times New Roman" w:eastAsia="宋体" w:cs="Times New Roman"/>
          <w:color w:val="auto"/>
          <w:spacing w:val="-55"/>
          <w:sz w:val="24"/>
          <w:szCs w:val="24"/>
          <w:highlight w:val="none"/>
        </w:rPr>
        <w:t>）；</w:t>
      </w:r>
      <w:r>
        <w:rPr>
          <w:rFonts w:hint="default" w:ascii="Times New Roman" w:hAnsi="Times New Roman" w:eastAsia="宋体" w:cs="Times New Roman"/>
          <w:color w:val="auto"/>
          <w:spacing w:val="-7"/>
          <w:sz w:val="24"/>
          <w:szCs w:val="24"/>
          <w:highlight w:val="none"/>
        </w:rPr>
        <w:t>国家二级保护野生动物43种，包括鸿雁（</w:t>
      </w:r>
      <w:r>
        <w:rPr>
          <w:rFonts w:hint="default" w:ascii="Times New Roman" w:hAnsi="Times New Roman" w:eastAsia="宋体" w:cs="Times New Roman"/>
          <w:i/>
          <w:iCs/>
          <w:color w:val="auto"/>
          <w:spacing w:val="-7"/>
          <w:sz w:val="24"/>
          <w:szCs w:val="24"/>
          <w:highlight w:val="none"/>
        </w:rPr>
        <w:t>Anser cygnoide</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spacing w:val="-8"/>
          <w:sz w:val="24"/>
          <w:szCs w:val="24"/>
          <w:highlight w:val="none"/>
        </w:rPr>
        <w:t>长耳</w:t>
      </w:r>
      <w:r>
        <w:rPr>
          <w:rFonts w:hint="eastAsia" w:ascii="Times New Roman" w:hAnsi="Times New Roman" w:eastAsia="宋体" w:cs="Times New Roman"/>
          <w:color w:val="auto"/>
          <w:spacing w:val="-8"/>
          <w:sz w:val="24"/>
          <w:szCs w:val="24"/>
          <w:highlight w:val="none"/>
          <w:lang w:eastAsia="zh-CN"/>
        </w:rPr>
        <w:t>鸮</w:t>
      </w:r>
      <w:r>
        <w:rPr>
          <w:rFonts w:hint="default" w:ascii="Times New Roman" w:hAnsi="Times New Roman" w:eastAsia="宋体" w:cs="Times New Roman"/>
          <w:color w:val="auto"/>
          <w:spacing w:val="-8"/>
          <w:sz w:val="24"/>
          <w:szCs w:val="24"/>
          <w:highlight w:val="none"/>
        </w:rPr>
        <w:t>（</w:t>
      </w:r>
      <w:r>
        <w:rPr>
          <w:rFonts w:hint="default" w:ascii="Times New Roman" w:hAnsi="Times New Roman" w:eastAsia="宋体" w:cs="Times New Roman"/>
          <w:i/>
          <w:iCs/>
          <w:color w:val="auto"/>
          <w:spacing w:val="-8"/>
          <w:sz w:val="24"/>
          <w:szCs w:val="24"/>
          <w:highlight w:val="none"/>
        </w:rPr>
        <w:t>Asio otus</w:t>
      </w:r>
      <w:r>
        <w:rPr>
          <w:rFonts w:hint="default" w:ascii="Times New Roman" w:hAnsi="Times New Roman" w:eastAsia="宋体" w:cs="Times New Roman"/>
          <w:color w:val="auto"/>
          <w:spacing w:val="-8"/>
          <w:sz w:val="24"/>
          <w:szCs w:val="24"/>
          <w:highlight w:val="none"/>
        </w:rPr>
        <w:t>）、短耳</w:t>
      </w:r>
      <w:r>
        <w:rPr>
          <w:rFonts w:hint="eastAsia" w:ascii="Times New Roman" w:hAnsi="Times New Roman" w:eastAsia="宋体" w:cs="Times New Roman"/>
          <w:color w:val="auto"/>
          <w:spacing w:val="-8"/>
          <w:sz w:val="24"/>
          <w:szCs w:val="24"/>
          <w:highlight w:val="none"/>
          <w:lang w:eastAsia="zh-CN"/>
        </w:rPr>
        <w:t>鸮</w:t>
      </w:r>
      <w:r>
        <w:rPr>
          <w:rFonts w:hint="default" w:ascii="Times New Roman" w:hAnsi="Times New Roman" w:eastAsia="宋体" w:cs="Times New Roman"/>
          <w:color w:val="auto"/>
          <w:spacing w:val="-8"/>
          <w:sz w:val="24"/>
          <w:szCs w:val="24"/>
          <w:highlight w:val="none"/>
        </w:rPr>
        <w:t>（</w:t>
      </w:r>
      <w:r>
        <w:rPr>
          <w:rFonts w:hint="default" w:ascii="Times New Roman" w:hAnsi="Times New Roman" w:eastAsia="宋体" w:cs="Times New Roman"/>
          <w:i/>
          <w:iCs/>
          <w:color w:val="auto"/>
          <w:spacing w:val="-8"/>
          <w:sz w:val="24"/>
          <w:szCs w:val="24"/>
          <w:highlight w:val="none"/>
        </w:rPr>
        <w:t>Asioflammeus</w:t>
      </w:r>
      <w:r>
        <w:rPr>
          <w:rFonts w:hint="default" w:ascii="Times New Roman" w:hAnsi="Times New Roman" w:eastAsia="宋体" w:cs="Times New Roman"/>
          <w:color w:val="auto"/>
          <w:spacing w:val="-8"/>
          <w:sz w:val="24"/>
          <w:szCs w:val="24"/>
          <w:highlight w:val="none"/>
        </w:rPr>
        <w:t>）、雀鹰（</w:t>
      </w:r>
      <w:r>
        <w:rPr>
          <w:rFonts w:hint="default" w:ascii="Times New Roman" w:hAnsi="Times New Roman" w:eastAsia="宋体" w:cs="Times New Roman"/>
          <w:i/>
          <w:iCs/>
          <w:color w:val="auto"/>
          <w:spacing w:val="-8"/>
          <w:sz w:val="24"/>
          <w:szCs w:val="24"/>
          <w:highlight w:val="none"/>
        </w:rPr>
        <w:t>Ac</w:t>
      </w:r>
      <w:r>
        <w:rPr>
          <w:rFonts w:hint="default" w:ascii="Times New Roman" w:hAnsi="Times New Roman" w:eastAsia="宋体" w:cs="Times New Roman"/>
          <w:i/>
          <w:iCs/>
          <w:color w:val="auto"/>
          <w:spacing w:val="-9"/>
          <w:sz w:val="24"/>
          <w:szCs w:val="24"/>
          <w:highlight w:val="none"/>
        </w:rPr>
        <w:t>cipiter nisu</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9"/>
          <w:sz w:val="24"/>
          <w:szCs w:val="24"/>
          <w:highlight w:val="none"/>
        </w:rPr>
        <w:t>苍鹰（</w:t>
      </w:r>
      <w:r>
        <w:rPr>
          <w:rFonts w:hint="default" w:ascii="Times New Roman" w:hAnsi="Times New Roman" w:eastAsia="宋体" w:cs="Times New Roman"/>
          <w:i/>
          <w:iCs/>
          <w:color w:val="auto"/>
          <w:sz w:val="24"/>
          <w:szCs w:val="24"/>
          <w:highlight w:val="none"/>
        </w:rPr>
        <w:t>Accipiter</w:t>
      </w:r>
      <w:r>
        <w:rPr>
          <w:rFonts w:hint="default" w:ascii="Times New Roman" w:hAnsi="Times New Roman" w:eastAsia="宋体" w:cs="Times New Roman"/>
          <w:i/>
          <w:iCs/>
          <w:color w:val="auto"/>
          <w:spacing w:val="-8"/>
          <w:sz w:val="24"/>
          <w:szCs w:val="24"/>
          <w:highlight w:val="none"/>
        </w:rPr>
        <w:t xml:space="preserve"> </w:t>
      </w:r>
      <w:r>
        <w:rPr>
          <w:rFonts w:hint="default" w:ascii="Times New Roman" w:hAnsi="Times New Roman" w:eastAsia="宋体" w:cs="Times New Roman"/>
          <w:i/>
          <w:iCs/>
          <w:color w:val="auto"/>
          <w:sz w:val="24"/>
          <w:szCs w:val="24"/>
          <w:highlight w:val="none"/>
        </w:rPr>
        <w:t>gentiles</w:t>
      </w:r>
      <w:r>
        <w:rPr>
          <w:rFonts w:hint="default" w:ascii="Times New Roman" w:hAnsi="Times New Roman" w:eastAsia="宋体" w:cs="Times New Roman"/>
          <w:color w:val="auto"/>
          <w:spacing w:val="9"/>
          <w:sz w:val="24"/>
          <w:szCs w:val="24"/>
          <w:highlight w:val="none"/>
        </w:rPr>
        <w:t>）、松雀鹰（</w:t>
      </w:r>
      <w:r>
        <w:rPr>
          <w:rFonts w:hint="default" w:ascii="Times New Roman" w:hAnsi="Times New Roman" w:eastAsia="宋体" w:cs="Times New Roman"/>
          <w:i/>
          <w:iCs/>
          <w:color w:val="auto"/>
          <w:sz w:val="24"/>
          <w:szCs w:val="24"/>
          <w:highlight w:val="none"/>
        </w:rPr>
        <w:t>Accipiter</w:t>
      </w:r>
      <w:r>
        <w:rPr>
          <w:rFonts w:hint="default" w:ascii="Times New Roman" w:hAnsi="Times New Roman" w:eastAsia="宋体" w:cs="Times New Roman"/>
          <w:i/>
          <w:iCs/>
          <w:color w:val="auto"/>
          <w:spacing w:val="9"/>
          <w:sz w:val="24"/>
          <w:szCs w:val="24"/>
          <w:highlight w:val="none"/>
        </w:rPr>
        <w:t xml:space="preserve"> </w:t>
      </w:r>
      <w:r>
        <w:rPr>
          <w:rFonts w:hint="default" w:ascii="Times New Roman" w:hAnsi="Times New Roman" w:eastAsia="宋体" w:cs="Times New Roman"/>
          <w:i/>
          <w:iCs/>
          <w:color w:val="auto"/>
          <w:sz w:val="24"/>
          <w:szCs w:val="24"/>
          <w:highlight w:val="none"/>
        </w:rPr>
        <w:t>virgatus</w:t>
      </w:r>
      <w:r>
        <w:rPr>
          <w:rFonts w:hint="default" w:ascii="Times New Roman" w:hAnsi="Times New Roman" w:eastAsia="宋体" w:cs="Times New Roman"/>
          <w:color w:val="auto"/>
          <w:spacing w:val="9"/>
          <w:sz w:val="24"/>
          <w:szCs w:val="24"/>
          <w:highlight w:val="none"/>
        </w:rPr>
        <w:t>）、红脚隼</w:t>
      </w:r>
      <w:r>
        <w:rPr>
          <w:rFonts w:hint="default" w:ascii="Times New Roman" w:hAnsi="Times New Roman" w:eastAsia="宋体" w:cs="Times New Roman"/>
          <w:color w:val="auto"/>
          <w:spacing w:val="-13"/>
          <w:sz w:val="24"/>
          <w:szCs w:val="24"/>
          <w:highlight w:val="none"/>
        </w:rPr>
        <w:t>（</w:t>
      </w:r>
      <w:r>
        <w:rPr>
          <w:rFonts w:hint="default" w:ascii="Times New Roman" w:hAnsi="Times New Roman" w:eastAsia="宋体" w:cs="Times New Roman"/>
          <w:i/>
          <w:iCs/>
          <w:color w:val="auto"/>
          <w:spacing w:val="-13"/>
          <w:sz w:val="24"/>
          <w:szCs w:val="24"/>
          <w:highlight w:val="none"/>
        </w:rPr>
        <w:t>Falco amurensis</w:t>
      </w:r>
      <w:r>
        <w:rPr>
          <w:rFonts w:hint="default" w:ascii="Times New Roman" w:hAnsi="Times New Roman" w:eastAsia="宋体" w:cs="Times New Roman"/>
          <w:color w:val="auto"/>
          <w:spacing w:val="-13"/>
          <w:sz w:val="24"/>
          <w:szCs w:val="24"/>
          <w:highlight w:val="none"/>
        </w:rPr>
        <w:t>）、燕隼</w:t>
      </w:r>
      <w:r>
        <w:rPr>
          <w:rFonts w:hint="default" w:ascii="Times New Roman" w:hAnsi="Times New Roman" w:eastAsia="宋体" w:cs="Times New Roman"/>
          <w:color w:val="auto"/>
          <w:spacing w:val="-14"/>
          <w:sz w:val="24"/>
          <w:szCs w:val="24"/>
          <w:highlight w:val="none"/>
        </w:rPr>
        <w:t>（</w:t>
      </w:r>
      <w:r>
        <w:rPr>
          <w:rFonts w:hint="default" w:ascii="Times New Roman" w:hAnsi="Times New Roman" w:eastAsia="宋体" w:cs="Times New Roman"/>
          <w:i/>
          <w:iCs/>
          <w:color w:val="auto"/>
          <w:spacing w:val="-14"/>
          <w:sz w:val="24"/>
          <w:szCs w:val="24"/>
          <w:highlight w:val="none"/>
        </w:rPr>
        <w:t>Falco subbuteo</w:t>
      </w:r>
      <w:r>
        <w:rPr>
          <w:rFonts w:hint="default" w:ascii="Times New Roman" w:hAnsi="Times New Roman" w:eastAsia="宋体" w:cs="Times New Roman"/>
          <w:color w:val="auto"/>
          <w:spacing w:val="-14"/>
          <w:sz w:val="24"/>
          <w:szCs w:val="24"/>
          <w:highlight w:val="none"/>
        </w:rPr>
        <w:t>）、红隼（</w:t>
      </w:r>
      <w:r>
        <w:rPr>
          <w:rFonts w:hint="default" w:ascii="Times New Roman" w:hAnsi="Times New Roman" w:eastAsia="宋体" w:cs="Times New Roman"/>
          <w:i/>
          <w:iCs/>
          <w:color w:val="auto"/>
          <w:spacing w:val="-14"/>
          <w:sz w:val="24"/>
          <w:szCs w:val="24"/>
          <w:highlight w:val="none"/>
        </w:rPr>
        <w:t>Falco</w:t>
      </w:r>
      <w:r>
        <w:rPr>
          <w:rFonts w:hint="default" w:ascii="Times New Roman" w:hAnsi="Times New Roman" w:eastAsia="宋体" w:cs="Times New Roman"/>
          <w:i/>
          <w:iCs/>
          <w:color w:val="auto"/>
          <w:spacing w:val="13"/>
          <w:sz w:val="24"/>
          <w:szCs w:val="24"/>
          <w:highlight w:val="none"/>
        </w:rPr>
        <w:t xml:space="preserve"> </w:t>
      </w:r>
      <w:r>
        <w:rPr>
          <w:rFonts w:hint="default" w:ascii="Times New Roman" w:hAnsi="Times New Roman" w:eastAsia="宋体" w:cs="Times New Roman"/>
          <w:i/>
          <w:iCs/>
          <w:color w:val="auto"/>
          <w:spacing w:val="-14"/>
          <w:sz w:val="24"/>
          <w:szCs w:val="24"/>
          <w:highlight w:val="none"/>
        </w:rPr>
        <w:t>tinnunculus</w:t>
      </w:r>
      <w:r>
        <w:rPr>
          <w:rFonts w:hint="default" w:ascii="Times New Roman" w:hAnsi="Times New Roman" w:eastAsia="宋体" w:cs="Times New Roman"/>
          <w:color w:val="auto"/>
          <w:spacing w:val="-14"/>
          <w:sz w:val="24"/>
          <w:szCs w:val="24"/>
          <w:highlight w:val="none"/>
        </w:rPr>
        <w:t>）、</w:t>
      </w:r>
      <w:r>
        <w:rPr>
          <w:rFonts w:hint="default" w:ascii="Times New Roman" w:hAnsi="Times New Roman" w:eastAsia="宋体" w:cs="Times New Roman"/>
          <w:color w:val="auto"/>
          <w:spacing w:val="4"/>
          <w:sz w:val="24"/>
          <w:szCs w:val="24"/>
          <w:highlight w:val="none"/>
        </w:rPr>
        <w:t>北朱雀（</w:t>
      </w:r>
      <w:r>
        <w:rPr>
          <w:rFonts w:hint="default" w:ascii="Times New Roman" w:hAnsi="Times New Roman" w:eastAsia="宋体" w:cs="Times New Roman"/>
          <w:i/>
          <w:iCs/>
          <w:color w:val="auto"/>
          <w:sz w:val="24"/>
          <w:szCs w:val="24"/>
          <w:highlight w:val="none"/>
        </w:rPr>
        <w:t>Carpodacus</w:t>
      </w:r>
      <w:r>
        <w:rPr>
          <w:rFonts w:hint="default" w:ascii="Times New Roman" w:hAnsi="Times New Roman" w:eastAsia="宋体" w:cs="Times New Roman"/>
          <w:i/>
          <w:iCs/>
          <w:color w:val="auto"/>
          <w:spacing w:val="4"/>
          <w:sz w:val="24"/>
          <w:szCs w:val="24"/>
          <w:highlight w:val="none"/>
        </w:rPr>
        <w:t xml:space="preserve"> </w:t>
      </w:r>
      <w:r>
        <w:rPr>
          <w:rFonts w:hint="default" w:ascii="Times New Roman" w:hAnsi="Times New Roman" w:eastAsia="宋体" w:cs="Times New Roman"/>
          <w:i/>
          <w:iCs/>
          <w:color w:val="auto"/>
          <w:sz w:val="24"/>
          <w:szCs w:val="24"/>
          <w:highlight w:val="none"/>
        </w:rPr>
        <w:t>roseus</w:t>
      </w:r>
      <w:r>
        <w:rPr>
          <w:rFonts w:hint="default" w:ascii="Times New Roman" w:hAnsi="Times New Roman" w:eastAsia="宋体" w:cs="Times New Roman"/>
          <w:color w:val="auto"/>
          <w:spacing w:val="4"/>
          <w:sz w:val="24"/>
          <w:szCs w:val="24"/>
          <w:highlight w:val="none"/>
        </w:rPr>
        <w:t>）等。河北省重点保护动物共83种，如赤峰锦蛇（</w:t>
      </w:r>
      <w:r>
        <w:rPr>
          <w:rFonts w:hint="default" w:ascii="Times New Roman" w:hAnsi="Times New Roman" w:eastAsia="宋体" w:cs="Times New Roman"/>
          <w:i/>
          <w:iCs/>
          <w:color w:val="auto"/>
          <w:sz w:val="24"/>
          <w:szCs w:val="24"/>
          <w:highlight w:val="none"/>
        </w:rPr>
        <w:t>Elaphe</w:t>
      </w:r>
      <w:r>
        <w:rPr>
          <w:rFonts w:hint="default" w:ascii="Times New Roman" w:hAnsi="Times New Roman" w:eastAsia="宋体" w:cs="Times New Roman"/>
          <w:i/>
          <w:iCs/>
          <w:color w:val="auto"/>
          <w:spacing w:val="4"/>
          <w:sz w:val="24"/>
          <w:szCs w:val="24"/>
          <w:highlight w:val="none"/>
        </w:rPr>
        <w:t xml:space="preserve"> </w:t>
      </w:r>
      <w:r>
        <w:rPr>
          <w:rFonts w:hint="default" w:ascii="Times New Roman" w:hAnsi="Times New Roman" w:eastAsia="宋体" w:cs="Times New Roman"/>
          <w:i/>
          <w:iCs/>
          <w:color w:val="auto"/>
          <w:sz w:val="24"/>
          <w:szCs w:val="24"/>
          <w:highlight w:val="none"/>
        </w:rPr>
        <w:t>anomala</w:t>
      </w:r>
      <w:r>
        <w:rPr>
          <w:rFonts w:hint="default" w:ascii="Times New Roman" w:hAnsi="Times New Roman" w:eastAsia="宋体" w:cs="Times New Roman"/>
          <w:color w:val="auto"/>
          <w:spacing w:val="4"/>
          <w:sz w:val="24"/>
          <w:szCs w:val="24"/>
          <w:highlight w:val="none"/>
        </w:rPr>
        <w:t>）、蓝尾石龙子（</w:t>
      </w:r>
      <w:r>
        <w:rPr>
          <w:rFonts w:hint="default" w:ascii="Times New Roman" w:hAnsi="Times New Roman" w:eastAsia="宋体" w:cs="Times New Roman"/>
          <w:i/>
          <w:iCs/>
          <w:color w:val="auto"/>
          <w:sz w:val="24"/>
          <w:szCs w:val="24"/>
          <w:highlight w:val="none"/>
        </w:rPr>
        <w:t>Eumeces</w:t>
      </w:r>
      <w:r>
        <w:rPr>
          <w:rFonts w:hint="default" w:ascii="Times New Roman" w:hAnsi="Times New Roman" w:eastAsia="宋体" w:cs="Times New Roman"/>
          <w:i/>
          <w:iCs/>
          <w:color w:val="auto"/>
          <w:spacing w:val="4"/>
          <w:sz w:val="24"/>
          <w:szCs w:val="24"/>
          <w:highlight w:val="none"/>
        </w:rPr>
        <w:t xml:space="preserve"> </w:t>
      </w:r>
      <w:r>
        <w:rPr>
          <w:rFonts w:hint="default" w:ascii="Times New Roman" w:hAnsi="Times New Roman" w:eastAsia="宋体" w:cs="Times New Roman"/>
          <w:i/>
          <w:iCs/>
          <w:color w:val="auto"/>
          <w:sz w:val="24"/>
          <w:szCs w:val="24"/>
          <w:highlight w:val="none"/>
        </w:rPr>
        <w:t>elegans</w:t>
      </w:r>
      <w:r>
        <w:rPr>
          <w:rFonts w:hint="default" w:ascii="Times New Roman" w:hAnsi="Times New Roman" w:eastAsia="宋体" w:cs="Times New Roman"/>
          <w:color w:val="auto"/>
          <w:spacing w:val="4"/>
          <w:sz w:val="24"/>
          <w:szCs w:val="24"/>
          <w:highlight w:val="none"/>
        </w:rPr>
        <w:t>）、四</w:t>
      </w:r>
      <w:r>
        <w:rPr>
          <w:rFonts w:hint="default" w:ascii="Times New Roman" w:hAnsi="Times New Roman" w:eastAsia="宋体" w:cs="Times New Roman"/>
          <w:color w:val="auto"/>
          <w:spacing w:val="-2"/>
          <w:sz w:val="24"/>
          <w:szCs w:val="24"/>
          <w:highlight w:val="none"/>
        </w:rPr>
        <w:t>声杜鹃（</w:t>
      </w:r>
      <w:r>
        <w:rPr>
          <w:rFonts w:hint="default" w:ascii="Times New Roman" w:hAnsi="Times New Roman" w:eastAsia="宋体" w:cs="Times New Roman"/>
          <w:i/>
          <w:iCs/>
          <w:color w:val="auto"/>
          <w:spacing w:val="-2"/>
          <w:sz w:val="24"/>
          <w:szCs w:val="24"/>
          <w:highlight w:val="none"/>
        </w:rPr>
        <w:t>Cuculus micropter</w:t>
      </w:r>
      <w:r>
        <w:rPr>
          <w:rFonts w:hint="default" w:ascii="Times New Roman" w:hAnsi="Times New Roman" w:eastAsia="宋体" w:cs="Times New Roman"/>
          <w:i/>
          <w:iCs/>
          <w:color w:val="auto"/>
          <w:spacing w:val="-3"/>
          <w:sz w:val="24"/>
          <w:szCs w:val="24"/>
          <w:highlight w:val="none"/>
        </w:rPr>
        <w:t>us</w:t>
      </w:r>
      <w:r>
        <w:rPr>
          <w:rFonts w:hint="default" w:ascii="Times New Roman" w:hAnsi="Times New Roman" w:eastAsia="宋体" w:cs="Times New Roman"/>
          <w:color w:val="auto"/>
          <w:spacing w:val="-3"/>
          <w:sz w:val="24"/>
          <w:szCs w:val="24"/>
          <w:highlight w:val="none"/>
        </w:rPr>
        <w:t>）、灰头绿啄木鸟（</w:t>
      </w:r>
      <w:r>
        <w:rPr>
          <w:rFonts w:hint="default" w:ascii="Times New Roman" w:hAnsi="Times New Roman" w:eastAsia="宋体" w:cs="Times New Roman"/>
          <w:i/>
          <w:iCs/>
          <w:color w:val="auto"/>
          <w:spacing w:val="-3"/>
          <w:sz w:val="24"/>
          <w:szCs w:val="24"/>
          <w:highlight w:val="none"/>
        </w:rPr>
        <w:t>Picus canus</w:t>
      </w:r>
      <w:r>
        <w:rPr>
          <w:rFonts w:hint="default" w:ascii="Times New Roman" w:hAnsi="Times New Roman" w:eastAsia="宋体" w:cs="Times New Roman"/>
          <w:color w:val="auto"/>
          <w:spacing w:val="-3"/>
          <w:sz w:val="24"/>
          <w:szCs w:val="24"/>
          <w:highlight w:val="none"/>
        </w:rPr>
        <w:t>）、山噪</w:t>
      </w:r>
      <w:r>
        <w:rPr>
          <w:rFonts w:hint="default" w:ascii="Times New Roman" w:hAnsi="Times New Roman" w:eastAsia="宋体" w:cs="Times New Roman"/>
          <w:color w:val="auto"/>
          <w:spacing w:val="-8"/>
          <w:sz w:val="24"/>
          <w:szCs w:val="24"/>
          <w:highlight w:val="none"/>
        </w:rPr>
        <w:t>鹛（</w:t>
      </w:r>
      <w:r>
        <w:rPr>
          <w:rFonts w:hint="default" w:ascii="Times New Roman" w:hAnsi="Times New Roman" w:eastAsia="宋体" w:cs="Times New Roman"/>
          <w:i/>
          <w:iCs/>
          <w:color w:val="auto"/>
          <w:spacing w:val="-8"/>
          <w:sz w:val="24"/>
          <w:szCs w:val="24"/>
          <w:highlight w:val="none"/>
        </w:rPr>
        <w:t>Pterorhinus davidi</w:t>
      </w:r>
      <w:r>
        <w:rPr>
          <w:rFonts w:hint="default" w:ascii="Times New Roman" w:hAnsi="Times New Roman" w:eastAsia="宋体" w:cs="Times New Roman"/>
          <w:color w:val="auto"/>
          <w:spacing w:val="-8"/>
          <w:sz w:val="24"/>
          <w:szCs w:val="24"/>
          <w:highlight w:val="none"/>
        </w:rPr>
        <w:t>）、太平鸟（</w:t>
      </w:r>
      <w:r>
        <w:rPr>
          <w:rFonts w:hint="default" w:ascii="Times New Roman" w:hAnsi="Times New Roman" w:eastAsia="宋体" w:cs="Times New Roman"/>
          <w:i/>
          <w:iCs/>
          <w:color w:val="auto"/>
          <w:spacing w:val="-8"/>
          <w:sz w:val="24"/>
          <w:szCs w:val="24"/>
          <w:highlight w:val="none"/>
        </w:rPr>
        <w:t>B</w:t>
      </w:r>
      <w:r>
        <w:rPr>
          <w:rFonts w:hint="default" w:ascii="Times New Roman" w:hAnsi="Times New Roman" w:eastAsia="宋体" w:cs="Times New Roman"/>
          <w:i/>
          <w:iCs/>
          <w:color w:val="auto"/>
          <w:spacing w:val="-9"/>
          <w:sz w:val="24"/>
          <w:szCs w:val="24"/>
          <w:highlight w:val="none"/>
        </w:rPr>
        <w:t>ombycilla garrulus</w:t>
      </w:r>
      <w:r>
        <w:rPr>
          <w:rFonts w:hint="default" w:ascii="Times New Roman" w:hAnsi="Times New Roman" w:eastAsia="宋体" w:cs="Times New Roman"/>
          <w:color w:val="auto"/>
          <w:spacing w:val="-9"/>
          <w:sz w:val="24"/>
          <w:szCs w:val="24"/>
          <w:highlight w:val="none"/>
        </w:rPr>
        <w:t>）、黄雀（</w:t>
      </w:r>
      <w:r>
        <w:rPr>
          <w:rFonts w:hint="default" w:ascii="Times New Roman" w:hAnsi="Times New Roman" w:eastAsia="宋体" w:cs="Times New Roman"/>
          <w:i/>
          <w:iCs/>
          <w:color w:val="auto"/>
          <w:spacing w:val="-9"/>
          <w:sz w:val="24"/>
          <w:szCs w:val="24"/>
          <w:highlight w:val="none"/>
        </w:rPr>
        <w:t>Spinus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12"/>
          <w:sz w:val="24"/>
          <w:szCs w:val="24"/>
          <w:highlight w:val="none"/>
        </w:rPr>
        <w:t>spinus</w:t>
      </w:r>
      <w:r>
        <w:rPr>
          <w:rFonts w:hint="default" w:ascii="Times New Roman" w:hAnsi="Times New Roman" w:eastAsia="宋体" w:cs="Times New Roman"/>
          <w:color w:val="auto"/>
          <w:spacing w:val="-12"/>
          <w:sz w:val="24"/>
          <w:szCs w:val="24"/>
          <w:highlight w:val="none"/>
        </w:rPr>
        <w:t>）、大斑啄木鸟（</w:t>
      </w:r>
      <w:r>
        <w:rPr>
          <w:rFonts w:hint="default" w:ascii="Times New Roman" w:hAnsi="Times New Roman" w:eastAsia="宋体" w:cs="Times New Roman"/>
          <w:i/>
          <w:iCs/>
          <w:color w:val="auto"/>
          <w:spacing w:val="-12"/>
          <w:sz w:val="24"/>
          <w:szCs w:val="24"/>
          <w:highlight w:val="none"/>
        </w:rPr>
        <w:t>Dendrocop</w:t>
      </w:r>
      <w:r>
        <w:rPr>
          <w:rFonts w:hint="default" w:ascii="Times New Roman" w:hAnsi="Times New Roman" w:eastAsia="宋体" w:cs="Times New Roman"/>
          <w:i/>
          <w:iCs/>
          <w:color w:val="auto"/>
          <w:spacing w:val="-13"/>
          <w:sz w:val="24"/>
          <w:szCs w:val="24"/>
          <w:highlight w:val="none"/>
        </w:rPr>
        <w:t>os major</w:t>
      </w:r>
      <w:r>
        <w:rPr>
          <w:rFonts w:hint="default" w:ascii="Times New Roman" w:hAnsi="Times New Roman" w:eastAsia="宋体" w:cs="Times New Roman"/>
          <w:color w:val="auto"/>
          <w:spacing w:val="-13"/>
          <w:sz w:val="24"/>
          <w:szCs w:val="24"/>
          <w:highlight w:val="none"/>
        </w:rPr>
        <w:t>）、棕腹啄木鸟（</w:t>
      </w:r>
      <w:r>
        <w:rPr>
          <w:rFonts w:hint="default" w:ascii="Times New Roman" w:hAnsi="Times New Roman" w:eastAsia="宋体" w:cs="Times New Roman"/>
          <w:i/>
          <w:iCs/>
          <w:color w:val="auto"/>
          <w:spacing w:val="-13"/>
          <w:sz w:val="24"/>
          <w:szCs w:val="24"/>
          <w:highlight w:val="none"/>
        </w:rPr>
        <w:t>Dendrocopos</w:t>
      </w:r>
      <w:r>
        <w:rPr>
          <w:rFonts w:hint="default" w:ascii="Times New Roman" w:hAnsi="Times New Roman" w:eastAsia="宋体" w:cs="Times New Roman"/>
          <w:i/>
          <w:iCs/>
          <w:color w:val="auto"/>
          <w:sz w:val="24"/>
          <w:szCs w:val="24"/>
          <w:highlight w:val="none"/>
        </w:rPr>
        <w:t xml:space="preserve"> hyperythrus</w:t>
      </w:r>
      <w:r>
        <w:rPr>
          <w:rFonts w:hint="default" w:ascii="Times New Roman" w:hAnsi="Times New Roman" w:eastAsia="宋体" w:cs="Times New Roman"/>
          <w:color w:val="auto"/>
          <w:spacing w:val="21"/>
          <w:sz w:val="24"/>
          <w:szCs w:val="24"/>
          <w:highlight w:val="none"/>
        </w:rPr>
        <w:t>）、红尾伯劳（</w:t>
      </w:r>
      <w:r>
        <w:rPr>
          <w:rFonts w:hint="default" w:ascii="Times New Roman" w:hAnsi="Times New Roman" w:eastAsia="宋体" w:cs="Times New Roman"/>
          <w:i/>
          <w:iCs/>
          <w:color w:val="auto"/>
          <w:sz w:val="24"/>
          <w:szCs w:val="24"/>
          <w:highlight w:val="none"/>
        </w:rPr>
        <w:t>Lanius</w:t>
      </w:r>
      <w:r>
        <w:rPr>
          <w:rFonts w:hint="default" w:ascii="Times New Roman" w:hAnsi="Times New Roman" w:eastAsia="宋体" w:cs="Times New Roman"/>
          <w:i/>
          <w:iCs/>
          <w:color w:val="auto"/>
          <w:spacing w:val="34"/>
          <w:w w:val="101"/>
          <w:sz w:val="24"/>
          <w:szCs w:val="24"/>
          <w:highlight w:val="none"/>
        </w:rPr>
        <w:t xml:space="preserve"> </w:t>
      </w:r>
      <w:r>
        <w:rPr>
          <w:rFonts w:hint="default" w:ascii="Times New Roman" w:hAnsi="Times New Roman" w:eastAsia="宋体" w:cs="Times New Roman"/>
          <w:i/>
          <w:iCs/>
          <w:color w:val="auto"/>
          <w:sz w:val="24"/>
          <w:szCs w:val="24"/>
          <w:highlight w:val="none"/>
        </w:rPr>
        <w:t>cristatus</w:t>
      </w:r>
      <w:r>
        <w:rPr>
          <w:rFonts w:hint="default" w:ascii="Times New Roman" w:hAnsi="Times New Roman" w:eastAsia="宋体" w:cs="Times New Roman"/>
          <w:color w:val="auto"/>
          <w:spacing w:val="21"/>
          <w:sz w:val="24"/>
          <w:szCs w:val="24"/>
          <w:highlight w:val="none"/>
        </w:rPr>
        <w:t>）、牛头伯劳（</w:t>
      </w:r>
      <w:r>
        <w:rPr>
          <w:rFonts w:hint="default" w:ascii="Times New Roman" w:hAnsi="Times New Roman" w:eastAsia="宋体" w:cs="Times New Roman"/>
          <w:i/>
          <w:iCs/>
          <w:color w:val="auto"/>
          <w:sz w:val="24"/>
          <w:szCs w:val="24"/>
          <w:highlight w:val="none"/>
        </w:rPr>
        <w:t>Lanius bucephalus</w:t>
      </w:r>
      <w:r>
        <w:rPr>
          <w:rFonts w:hint="default" w:ascii="Times New Roman" w:hAnsi="Times New Roman" w:eastAsia="宋体" w:cs="Times New Roman"/>
          <w:color w:val="auto"/>
          <w:spacing w:val="2"/>
          <w:sz w:val="24"/>
          <w:szCs w:val="24"/>
          <w:highlight w:val="none"/>
        </w:rPr>
        <w:t>）、红嘴蓝鹊（</w:t>
      </w:r>
      <w:r>
        <w:rPr>
          <w:rFonts w:hint="default" w:ascii="Times New Roman" w:hAnsi="Times New Roman" w:eastAsia="宋体" w:cs="Times New Roman"/>
          <w:i/>
          <w:iCs/>
          <w:color w:val="auto"/>
          <w:sz w:val="24"/>
          <w:szCs w:val="24"/>
          <w:highlight w:val="none"/>
        </w:rPr>
        <w:t>Urocissa</w:t>
      </w:r>
      <w:r>
        <w:rPr>
          <w:rFonts w:hint="default" w:ascii="Times New Roman" w:hAnsi="Times New Roman" w:eastAsia="宋体" w:cs="Times New Roman"/>
          <w:i/>
          <w:iCs/>
          <w:color w:val="auto"/>
          <w:spacing w:val="2"/>
          <w:sz w:val="24"/>
          <w:szCs w:val="24"/>
          <w:highlight w:val="none"/>
        </w:rPr>
        <w:t xml:space="preserve"> </w:t>
      </w:r>
      <w:r>
        <w:rPr>
          <w:rFonts w:hint="default" w:ascii="Times New Roman" w:hAnsi="Times New Roman" w:eastAsia="宋体" w:cs="Times New Roman"/>
          <w:i/>
          <w:iCs/>
          <w:color w:val="auto"/>
          <w:sz w:val="24"/>
          <w:szCs w:val="24"/>
          <w:highlight w:val="none"/>
        </w:rPr>
        <w:t>eythrorhyncha</w:t>
      </w:r>
      <w:r>
        <w:rPr>
          <w:rFonts w:hint="default" w:ascii="Times New Roman" w:hAnsi="Times New Roman" w:eastAsia="宋体" w:cs="Times New Roman"/>
          <w:color w:val="auto"/>
          <w:spacing w:val="2"/>
          <w:sz w:val="24"/>
          <w:szCs w:val="24"/>
          <w:highlight w:val="none"/>
        </w:rPr>
        <w:t>）、大山雀（</w:t>
      </w:r>
      <w:r>
        <w:rPr>
          <w:rFonts w:hint="default" w:ascii="Times New Roman" w:hAnsi="Times New Roman" w:eastAsia="宋体" w:cs="Times New Roman"/>
          <w:i/>
          <w:iCs/>
          <w:color w:val="auto"/>
          <w:sz w:val="24"/>
          <w:szCs w:val="24"/>
          <w:highlight w:val="none"/>
        </w:rPr>
        <w:t>Parus minor</w:t>
      </w:r>
      <w:r>
        <w:rPr>
          <w:rFonts w:hint="default" w:ascii="Times New Roman" w:hAnsi="Times New Roman" w:eastAsia="宋体" w:cs="Times New Roman"/>
          <w:color w:val="auto"/>
          <w:spacing w:val="16"/>
          <w:sz w:val="24"/>
          <w:szCs w:val="24"/>
          <w:highlight w:val="none"/>
        </w:rPr>
        <w:t>）、褐头山雀（</w:t>
      </w:r>
      <w:r>
        <w:rPr>
          <w:rFonts w:hint="default" w:ascii="Times New Roman" w:hAnsi="Times New Roman" w:eastAsia="宋体" w:cs="Times New Roman"/>
          <w:i/>
          <w:iCs/>
          <w:color w:val="auto"/>
          <w:sz w:val="24"/>
          <w:szCs w:val="24"/>
          <w:highlight w:val="none"/>
        </w:rPr>
        <w:t>Poecile</w:t>
      </w:r>
      <w:r>
        <w:rPr>
          <w:rFonts w:hint="default" w:ascii="Times New Roman" w:hAnsi="Times New Roman" w:eastAsia="宋体" w:cs="Times New Roman"/>
          <w:i/>
          <w:iCs/>
          <w:color w:val="auto"/>
          <w:spacing w:val="16"/>
          <w:sz w:val="24"/>
          <w:szCs w:val="24"/>
          <w:highlight w:val="none"/>
        </w:rPr>
        <w:t xml:space="preserve"> </w:t>
      </w:r>
      <w:r>
        <w:rPr>
          <w:rFonts w:hint="default" w:ascii="Times New Roman" w:hAnsi="Times New Roman" w:eastAsia="宋体" w:cs="Times New Roman"/>
          <w:i/>
          <w:iCs/>
          <w:color w:val="auto"/>
          <w:sz w:val="24"/>
          <w:szCs w:val="24"/>
          <w:highlight w:val="none"/>
        </w:rPr>
        <w:t>montanus</w:t>
      </w:r>
      <w:r>
        <w:rPr>
          <w:rFonts w:hint="default" w:ascii="Times New Roman" w:hAnsi="Times New Roman" w:eastAsia="宋体" w:cs="Times New Roman"/>
          <w:color w:val="auto"/>
          <w:spacing w:val="16"/>
          <w:sz w:val="24"/>
          <w:szCs w:val="24"/>
          <w:highlight w:val="none"/>
        </w:rPr>
        <w:t>）、黄腹山雀（</w:t>
      </w:r>
      <w:r>
        <w:rPr>
          <w:rFonts w:hint="default" w:ascii="Times New Roman" w:hAnsi="Times New Roman" w:eastAsia="宋体" w:cs="Times New Roman"/>
          <w:i/>
          <w:iCs/>
          <w:color w:val="auto"/>
          <w:sz w:val="24"/>
          <w:szCs w:val="24"/>
          <w:highlight w:val="none"/>
        </w:rPr>
        <w:t>Pardaliparus</w:t>
      </w:r>
      <w:r>
        <w:rPr>
          <w:rFonts w:hint="default" w:ascii="Times New Roman" w:hAnsi="Times New Roman" w:eastAsia="宋体" w:cs="Times New Roman"/>
          <w:i/>
          <w:iCs/>
          <w:color w:val="auto"/>
          <w:spacing w:val="1"/>
          <w:sz w:val="24"/>
          <w:szCs w:val="24"/>
          <w:highlight w:val="none"/>
        </w:rPr>
        <w:t xml:space="preserve"> </w:t>
      </w:r>
      <w:r>
        <w:rPr>
          <w:rFonts w:hint="default" w:ascii="Times New Roman" w:hAnsi="Times New Roman" w:eastAsia="宋体" w:cs="Times New Roman"/>
          <w:i/>
          <w:iCs/>
          <w:color w:val="auto"/>
          <w:sz w:val="24"/>
          <w:szCs w:val="24"/>
          <w:highlight w:val="none"/>
        </w:rPr>
        <w:t>venustulus</w:t>
      </w:r>
      <w:r>
        <w:rPr>
          <w:rFonts w:hint="default" w:ascii="Times New Roman" w:hAnsi="Times New Roman" w:eastAsia="宋体" w:cs="Times New Roman"/>
          <w:color w:val="auto"/>
          <w:sz w:val="24"/>
          <w:szCs w:val="24"/>
          <w:highlight w:val="none"/>
        </w:rPr>
        <w:t>）、凤头百灵（</w:t>
      </w:r>
      <w:r>
        <w:rPr>
          <w:rFonts w:hint="default" w:ascii="Times New Roman" w:hAnsi="Times New Roman" w:eastAsia="宋体" w:cs="Times New Roman"/>
          <w:i/>
          <w:iCs/>
          <w:color w:val="auto"/>
          <w:sz w:val="24"/>
          <w:szCs w:val="24"/>
          <w:highlight w:val="none"/>
        </w:rPr>
        <w:t>Galerida crista</w:t>
      </w:r>
      <w:r>
        <w:rPr>
          <w:rFonts w:hint="default" w:ascii="Times New Roman" w:hAnsi="Times New Roman" w:eastAsia="宋体" w:cs="Times New Roman"/>
          <w:i/>
          <w:iCs/>
          <w:color w:val="auto"/>
          <w:spacing w:val="-1"/>
          <w:sz w:val="24"/>
          <w:szCs w:val="24"/>
          <w:highlight w:val="none"/>
        </w:rPr>
        <w:t>ta</w:t>
      </w:r>
      <w:r>
        <w:rPr>
          <w:rFonts w:hint="default" w:ascii="Times New Roman" w:hAnsi="Times New Roman" w:eastAsia="宋体" w:cs="Times New Roman"/>
          <w:color w:val="auto"/>
          <w:spacing w:val="-1"/>
          <w:sz w:val="24"/>
          <w:szCs w:val="24"/>
          <w:highlight w:val="none"/>
        </w:rPr>
        <w:t>）、小太平鸟（Bombycilla</w:t>
      </w:r>
      <w:r>
        <w:rPr>
          <w:rFonts w:hint="default" w:ascii="Times New Roman" w:hAnsi="Times New Roman" w:eastAsia="宋体" w:cs="Times New Roman"/>
          <w:color w:val="auto"/>
          <w:sz w:val="24"/>
          <w:szCs w:val="24"/>
          <w:highlight w:val="none"/>
        </w:rPr>
        <w:t xml:space="preserve"> japonica</w:t>
      </w:r>
      <w:r>
        <w:rPr>
          <w:rFonts w:hint="default" w:ascii="Times New Roman" w:hAnsi="Times New Roman" w:eastAsia="宋体" w:cs="Times New Roman"/>
          <w:color w:val="auto"/>
          <w:spacing w:val="12"/>
          <w:sz w:val="24"/>
          <w:szCs w:val="24"/>
          <w:highlight w:val="none"/>
        </w:rPr>
        <w:t>）、狍（</w:t>
      </w:r>
      <w:r>
        <w:rPr>
          <w:rFonts w:hint="default" w:ascii="Times New Roman" w:hAnsi="Times New Roman" w:eastAsia="宋体" w:cs="Times New Roman"/>
          <w:i/>
          <w:iCs/>
          <w:color w:val="auto"/>
          <w:sz w:val="24"/>
          <w:szCs w:val="24"/>
          <w:highlight w:val="none"/>
        </w:rPr>
        <w:t>Capreolus</w:t>
      </w:r>
      <w:r>
        <w:rPr>
          <w:rFonts w:hint="default" w:ascii="Times New Roman" w:hAnsi="Times New Roman" w:eastAsia="宋体" w:cs="Times New Roman"/>
          <w:i/>
          <w:iCs/>
          <w:color w:val="auto"/>
          <w:spacing w:val="12"/>
          <w:sz w:val="24"/>
          <w:szCs w:val="24"/>
          <w:highlight w:val="none"/>
        </w:rPr>
        <w:t xml:space="preserve"> </w:t>
      </w:r>
      <w:r>
        <w:rPr>
          <w:rFonts w:hint="default" w:ascii="Times New Roman" w:hAnsi="Times New Roman" w:eastAsia="宋体" w:cs="Times New Roman"/>
          <w:i/>
          <w:iCs/>
          <w:color w:val="auto"/>
          <w:sz w:val="24"/>
          <w:szCs w:val="24"/>
          <w:highlight w:val="none"/>
        </w:rPr>
        <w:t>capreolus</w:t>
      </w:r>
      <w:r>
        <w:rPr>
          <w:rFonts w:hint="default" w:ascii="Times New Roman" w:hAnsi="Times New Roman" w:eastAsia="宋体" w:cs="Times New Roman"/>
          <w:color w:val="auto"/>
          <w:spacing w:val="12"/>
          <w:sz w:val="24"/>
          <w:szCs w:val="24"/>
          <w:highlight w:val="none"/>
        </w:rPr>
        <w:t>）、黄鼬（</w:t>
      </w:r>
      <w:r>
        <w:rPr>
          <w:rFonts w:hint="default" w:ascii="Times New Roman" w:hAnsi="Times New Roman" w:eastAsia="宋体" w:cs="Times New Roman"/>
          <w:i/>
          <w:iCs/>
          <w:color w:val="auto"/>
          <w:sz w:val="24"/>
          <w:szCs w:val="24"/>
          <w:highlight w:val="none"/>
        </w:rPr>
        <w:t>Mustela</w:t>
      </w:r>
      <w:r>
        <w:rPr>
          <w:rFonts w:hint="default" w:ascii="Times New Roman" w:hAnsi="Times New Roman" w:eastAsia="宋体" w:cs="Times New Roman"/>
          <w:i/>
          <w:iCs/>
          <w:color w:val="auto"/>
          <w:spacing w:val="12"/>
          <w:sz w:val="24"/>
          <w:szCs w:val="24"/>
          <w:highlight w:val="none"/>
        </w:rPr>
        <w:t xml:space="preserve"> </w:t>
      </w:r>
      <w:r>
        <w:rPr>
          <w:rFonts w:hint="default" w:ascii="Times New Roman" w:hAnsi="Times New Roman" w:eastAsia="宋体" w:cs="Times New Roman"/>
          <w:i/>
          <w:iCs/>
          <w:color w:val="auto"/>
          <w:sz w:val="24"/>
          <w:szCs w:val="24"/>
          <w:highlight w:val="none"/>
        </w:rPr>
        <w:t>sibirica</w:t>
      </w:r>
      <w:r>
        <w:rPr>
          <w:rFonts w:hint="default" w:ascii="Times New Roman" w:hAnsi="Times New Roman" w:eastAsia="宋体" w:cs="Times New Roman"/>
          <w:color w:val="auto"/>
          <w:spacing w:val="12"/>
          <w:sz w:val="24"/>
          <w:szCs w:val="24"/>
          <w:highlight w:val="none"/>
        </w:rPr>
        <w:t>）、</w:t>
      </w:r>
      <w:r>
        <w:rPr>
          <w:rFonts w:hint="default" w:ascii="Times New Roman" w:hAnsi="Times New Roman" w:eastAsia="宋体" w:cs="Times New Roman"/>
          <w:color w:val="auto"/>
          <w:spacing w:val="1"/>
          <w:sz w:val="24"/>
          <w:szCs w:val="24"/>
          <w:highlight w:val="none"/>
        </w:rPr>
        <w:t>艾鼬（</w:t>
      </w:r>
      <w:r>
        <w:rPr>
          <w:rFonts w:hint="default" w:ascii="Times New Roman" w:hAnsi="Times New Roman" w:eastAsia="宋体" w:cs="Times New Roman"/>
          <w:i/>
          <w:iCs/>
          <w:color w:val="auto"/>
          <w:sz w:val="24"/>
          <w:szCs w:val="24"/>
          <w:highlight w:val="none"/>
        </w:rPr>
        <w:t>Mustela</w:t>
      </w:r>
      <w:r>
        <w:rPr>
          <w:rFonts w:hint="default" w:ascii="Times New Roman" w:hAnsi="Times New Roman" w:eastAsia="宋体" w:cs="Times New Roman"/>
          <w:i/>
          <w:iCs/>
          <w:color w:val="auto"/>
          <w:spacing w:val="1"/>
          <w:sz w:val="24"/>
          <w:szCs w:val="24"/>
          <w:highlight w:val="none"/>
        </w:rPr>
        <w:t xml:space="preserve"> </w:t>
      </w:r>
      <w:r>
        <w:rPr>
          <w:rFonts w:hint="default" w:ascii="Times New Roman" w:hAnsi="Times New Roman" w:eastAsia="宋体" w:cs="Times New Roman"/>
          <w:i/>
          <w:iCs/>
          <w:color w:val="auto"/>
          <w:sz w:val="24"/>
          <w:szCs w:val="24"/>
          <w:highlight w:val="none"/>
        </w:rPr>
        <w:t>eversmannii</w:t>
      </w:r>
      <w:r>
        <w:rPr>
          <w:rFonts w:hint="default" w:ascii="Times New Roman" w:hAnsi="Times New Roman" w:eastAsia="宋体" w:cs="Times New Roman"/>
          <w:color w:val="auto"/>
          <w:spacing w:val="1"/>
          <w:sz w:val="24"/>
          <w:szCs w:val="24"/>
          <w:highlight w:val="none"/>
        </w:rPr>
        <w:t>）、狗獾（</w:t>
      </w:r>
      <w:r>
        <w:rPr>
          <w:rFonts w:hint="default" w:ascii="Times New Roman" w:hAnsi="Times New Roman" w:eastAsia="宋体" w:cs="Times New Roman"/>
          <w:i/>
          <w:iCs/>
          <w:color w:val="auto"/>
          <w:sz w:val="24"/>
          <w:szCs w:val="24"/>
          <w:highlight w:val="none"/>
        </w:rPr>
        <w:t>Me</w:t>
      </w:r>
      <w:r>
        <w:rPr>
          <w:rFonts w:hint="default" w:ascii="Times New Roman" w:hAnsi="Times New Roman" w:eastAsia="宋体" w:cs="Times New Roman"/>
          <w:i/>
          <w:iCs/>
          <w:color w:val="auto"/>
          <w:spacing w:val="1"/>
          <w:sz w:val="24"/>
          <w:szCs w:val="24"/>
          <w:highlight w:val="none"/>
        </w:rPr>
        <w:t>1</w:t>
      </w:r>
      <w:r>
        <w:rPr>
          <w:rFonts w:hint="default" w:ascii="Times New Roman" w:hAnsi="Times New Roman" w:eastAsia="宋体" w:cs="Times New Roman"/>
          <w:i/>
          <w:iCs/>
          <w:color w:val="auto"/>
          <w:sz w:val="24"/>
          <w:szCs w:val="24"/>
          <w:highlight w:val="none"/>
        </w:rPr>
        <w:t>es</w:t>
      </w:r>
      <w:r>
        <w:rPr>
          <w:rFonts w:hint="default" w:ascii="Times New Roman" w:hAnsi="Times New Roman" w:eastAsia="宋体" w:cs="Times New Roman"/>
          <w:i/>
          <w:iCs/>
          <w:color w:val="auto"/>
          <w:spacing w:val="1"/>
          <w:sz w:val="24"/>
          <w:szCs w:val="24"/>
          <w:highlight w:val="none"/>
        </w:rPr>
        <w:t xml:space="preserve"> </w:t>
      </w:r>
      <w:r>
        <w:rPr>
          <w:rFonts w:hint="default" w:ascii="Times New Roman" w:hAnsi="Times New Roman" w:eastAsia="宋体" w:cs="Times New Roman"/>
          <w:i/>
          <w:iCs/>
          <w:color w:val="auto"/>
          <w:sz w:val="24"/>
          <w:szCs w:val="24"/>
          <w:highlight w:val="none"/>
        </w:rPr>
        <w:t>me</w:t>
      </w:r>
      <w:r>
        <w:rPr>
          <w:rFonts w:hint="default" w:ascii="Times New Roman" w:hAnsi="Times New Roman" w:eastAsia="宋体" w:cs="Times New Roman"/>
          <w:i/>
          <w:iCs/>
          <w:color w:val="auto"/>
          <w:spacing w:val="1"/>
          <w:sz w:val="24"/>
          <w:szCs w:val="24"/>
          <w:highlight w:val="none"/>
        </w:rPr>
        <w:t>1</w:t>
      </w:r>
      <w:r>
        <w:rPr>
          <w:rFonts w:hint="default" w:ascii="Times New Roman" w:hAnsi="Times New Roman" w:eastAsia="宋体" w:cs="Times New Roman"/>
          <w:i/>
          <w:iCs/>
          <w:color w:val="auto"/>
          <w:sz w:val="24"/>
          <w:szCs w:val="24"/>
          <w:highlight w:val="none"/>
        </w:rPr>
        <w:t>es</w:t>
      </w:r>
      <w:r>
        <w:rPr>
          <w:rFonts w:hint="default" w:ascii="Times New Roman" w:hAnsi="Times New Roman" w:eastAsia="宋体" w:cs="Times New Roman"/>
          <w:color w:val="auto"/>
          <w:spacing w:val="1"/>
          <w:sz w:val="24"/>
          <w:szCs w:val="24"/>
          <w:highlight w:val="none"/>
        </w:rPr>
        <w:t>）等</w:t>
      </w:r>
      <w:r>
        <w:rPr>
          <w:rFonts w:hint="eastAsia" w:ascii="Times New Roman" w:hAnsi="Times New Roman" w:eastAsia="宋体" w:cs="Times New Roman"/>
          <w:color w:val="auto"/>
          <w:sz w:val="24"/>
          <w:szCs w:val="24"/>
          <w:highlight w:val="none"/>
        </w:rPr>
        <w:t>。</w:t>
      </w:r>
    </w:p>
    <w:p w14:paraId="2A661C94">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.4社会经济概况</w:t>
      </w:r>
    </w:p>
    <w:p w14:paraId="2F589AFE">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.4.1行政区域</w:t>
      </w:r>
    </w:p>
    <w:p w14:paraId="031C153E">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河北滦河上游国家级自然保护区位于河北省围场满族蒙古族自治县境内，依托河北省木兰围场国有林场建设，涉及木兰围场国有林场12个分场中燕格柏、桃山、孟滦、五道沟、良繁场5个分场的部分地域，还包括围场满族蒙古族自治县下辖的燕格柏、南山咀、西龙头、城子、御道口、老窝铺6个乡镇的部分地域。</w:t>
      </w:r>
    </w:p>
    <w:p w14:paraId="7BD477B3">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.4.2人口数量与民族组成</w:t>
      </w:r>
    </w:p>
    <w:p w14:paraId="4FC9BA05">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最新资料，保护区周边地区除木兰围场国有林场职工外，涉及围场满族蒙古族自治县的6个乡镇、16个村、3190户，共12763人。其中核心区有3个乡镇、7个村，2114人分布，缓冲区分布5个乡镇9个村1453人，实验区内有5个乡镇15个村共9196人。</w:t>
      </w:r>
    </w:p>
    <w:p w14:paraId="520F0F9A">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社区人口中蒙古族最多，人数占50%左右，另有15%左右为满族，其余为汉族。</w:t>
      </w:r>
    </w:p>
    <w:p w14:paraId="3A83FFD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.4.3基础设施与交通通信</w:t>
      </w:r>
    </w:p>
    <w:p w14:paraId="45285DD7">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（1）交通</w:t>
      </w:r>
    </w:p>
    <w:p w14:paraId="1CA69405">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社区与外界的交通联系基本依靠公路，最主要的有国道111、省道351、县道523、御克公路、乡道011、乡道123等社区周边路网较为完善，人员出行和进入均较为便利，近期新修了一条防火公路穿过保护区实验区。</w:t>
      </w:r>
    </w:p>
    <w:p w14:paraId="3A97A006">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（2）通讯</w:t>
      </w:r>
    </w:p>
    <w:p w14:paraId="200D476F">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社区通讯以电话为主，移动信号不能全覆盖。主要工程是在较偏远地带建立通讯基站。</w:t>
      </w:r>
    </w:p>
    <w:p w14:paraId="2CD52824">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（3）供电</w:t>
      </w:r>
    </w:p>
    <w:p w14:paraId="0A41272A">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周边社区已接入区域电网，用电有保障。</w:t>
      </w:r>
    </w:p>
    <w:p w14:paraId="49DF9DBC">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（4）给排水</w:t>
      </w:r>
    </w:p>
    <w:p w14:paraId="090AE27B">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保护区及其周边用水尚未接入自来水市政管网，主要依靠地表水，部分依靠管井取地下水。原因是保护区各区、站、点离市区太远，无法接入市政管网，给水只能依靠地表水，排水靠修建化粪池解决。</w:t>
      </w:r>
    </w:p>
    <w:p w14:paraId="474929C2">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（5）教育</w:t>
      </w:r>
    </w:p>
    <w:p w14:paraId="25A6F3A1">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保护区周边社区有51所中小学，在校生3993名，教师282人，多数乡镇还办有学前班，对学龄前儿童进行学前教育。各乡镇实现了九年义务教育，适龄儿童入学率达100％，青壮年非文盲率达90％以上。</w:t>
      </w:r>
    </w:p>
    <w:p w14:paraId="106B6661">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（6）医疗卫生</w:t>
      </w:r>
    </w:p>
    <w:p w14:paraId="60C06DA7">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保护区社区民族医疗卫生事业有所保障。保护区涉及的乡镇有卫生所28所，病床83张，医生122名。各村有卫生所，乡镇有医院</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有病床，建立起比较完善的农村医疗卫生体系。目前，保护区社区地方病已经根除，卫生防疫部门定期进行检测，各种免疫工作扎实到位。</w:t>
      </w:r>
    </w:p>
    <w:p w14:paraId="1A79295B">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.4.4地方经济</w:t>
      </w:r>
    </w:p>
    <w:p w14:paraId="1D2714A9">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保护区社区经济以农业、畜牧业、劳务输出为主，当地社区的主导产业包括：马铃薯种植、肉牛养殖和蔬菜种植，且已形成较为系统的规模种养模式。</w:t>
      </w:r>
    </w:p>
    <w:p w14:paraId="0B51E7A5">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2023年围场满族蒙古族自治县地区生产总值实现2037248万元，比上年增长5.7%，其中第一产业实现增加值859756万元，增长4.9%；第二产业实现增加值419195万元，增长6.8%；第三产业实现增加值758297万元，增长5.7%。全部财政收入135785万元，比上年增长14.5%。</w:t>
      </w:r>
    </w:p>
    <w:p w14:paraId="44BEC481">
      <w:pPr>
        <w:pStyle w:val="2"/>
        <w:spacing w:line="48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rPr>
        <w:t>.5已建项目概况</w:t>
      </w:r>
    </w:p>
    <w:p w14:paraId="35023A13">
      <w:pPr>
        <w:pStyle w:val="2"/>
        <w:spacing w:line="48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影响评价区外延直线距离2km范围内已建成项目有S301（国家一号风景大道）、S351（围察线）、</w:t>
      </w:r>
      <w:r>
        <w:rPr>
          <w:rFonts w:hint="eastAsia" w:ascii="Times New Roman" w:hAnsi="Times New Roman" w:eastAsia="宋体" w:cs="Times New Roman"/>
          <w:color w:val="auto"/>
          <w:sz w:val="24"/>
          <w:szCs w:val="24"/>
          <w:highlight w:val="none"/>
          <w:lang w:val="en-US" w:eastAsia="zh-CN"/>
        </w:rPr>
        <w:t>220kV点祥线、</w:t>
      </w:r>
      <w:r>
        <w:rPr>
          <w:rFonts w:hint="eastAsia" w:ascii="Times New Roman" w:hAnsi="Times New Roman" w:eastAsia="宋体" w:cs="Times New Roman"/>
          <w:color w:val="auto"/>
          <w:sz w:val="24"/>
          <w:szCs w:val="24"/>
          <w:highlight w:val="none"/>
        </w:rPr>
        <w:t>其他乡村道路等设施。</w:t>
      </w:r>
    </w:p>
    <w:p w14:paraId="5AECB34E">
      <w:pPr>
        <w:pStyle w:val="8"/>
        <w:keepNext/>
        <w:keepLines/>
        <w:pageBreakBefore w:val="0"/>
        <w:widowControl w:val="0"/>
        <w:kinsoku/>
        <w:wordWrap/>
        <w:overflowPunct/>
        <w:topLinePunct w:val="0"/>
        <w:autoSpaceDE/>
        <w:autoSpaceDN/>
        <w:bidi w:val="0"/>
        <w:adjustRightInd/>
        <w:snapToGrid/>
        <w:ind w:firstLine="602" w:firstLineChars="200"/>
        <w:textAlignment w:val="auto"/>
        <w:rPr>
          <w:color w:val="auto"/>
          <w:highlight w:val="none"/>
        </w:rPr>
      </w:pPr>
      <w:bookmarkStart w:id="45" w:name="_Toc523841210"/>
      <w:r>
        <w:rPr>
          <w:rFonts w:hint="eastAsia"/>
          <w:color w:val="auto"/>
          <w:highlight w:val="none"/>
          <w:lang w:eastAsia="zh-CN"/>
        </w:rPr>
        <w:t>4.</w:t>
      </w:r>
      <w:r>
        <w:rPr>
          <w:rFonts w:hint="eastAsia"/>
          <w:color w:val="auto"/>
          <w:highlight w:val="none"/>
          <w:lang w:val="en-US" w:eastAsia="zh-CN"/>
        </w:rPr>
        <w:t>2</w:t>
      </w:r>
      <w:r>
        <w:rPr>
          <w:color w:val="auto"/>
          <w:highlight w:val="none"/>
        </w:rPr>
        <w:t>生态功能定位</w:t>
      </w:r>
      <w:bookmarkEnd w:id="45"/>
    </w:p>
    <w:p w14:paraId="4CDD67F6">
      <w:pPr>
        <w:pStyle w:val="28"/>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（1）全国生态功能区划</w:t>
      </w:r>
    </w:p>
    <w:p w14:paraId="658BD505">
      <w:pPr>
        <w:pStyle w:val="28"/>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区域在《全国生态功能区划（修编版）》中，属于生态功能大类中的生态调节功能区，在生态调节功能区中属于水源涵养功能区中的京津冀北部水源涵养功能区（编号Ⅰ-01-06）和防风固沙功能区中的浑善达克沙地防风固沙功能区（编号为Ⅰ-04-03）。</w:t>
      </w:r>
    </w:p>
    <w:p w14:paraId="48F167B5">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w:t>
      </w:r>
      <w:r>
        <w:rPr>
          <w:rFonts w:hint="eastAsia"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lang w:eastAsia="zh-CN"/>
        </w:rPr>
        <w:t>-1  项目所在区域生态功能区划</w:t>
      </w:r>
    </w:p>
    <w:tbl>
      <w:tblPr>
        <w:tblStyle w:val="15"/>
        <w:tblW w:w="84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06"/>
        <w:gridCol w:w="916"/>
        <w:gridCol w:w="1572"/>
        <w:gridCol w:w="4720"/>
      </w:tblGrid>
      <w:tr w14:paraId="4D723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3CDD94F4">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935" w:type="pct"/>
            <w:vMerge w:val="restart"/>
            <w:tcBorders>
              <w:top w:val="single" w:color="auto" w:sz="4" w:space="0"/>
              <w:left w:val="single" w:color="auto" w:sz="4" w:space="0"/>
              <w:bottom w:val="single" w:color="auto" w:sz="4" w:space="0"/>
              <w:right w:val="single" w:color="auto" w:sz="4" w:space="0"/>
            </w:tcBorders>
            <w:vAlign w:val="center"/>
          </w:tcPr>
          <w:p w14:paraId="2E2DE8B1">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2807" w:type="pct"/>
            <w:vMerge w:val="restart"/>
            <w:tcBorders>
              <w:top w:val="single" w:color="auto" w:sz="4" w:space="0"/>
              <w:left w:val="single" w:color="auto" w:sz="4" w:space="0"/>
              <w:bottom w:val="single" w:color="auto" w:sz="4" w:space="0"/>
              <w:right w:val="single" w:color="auto" w:sz="4" w:space="0"/>
            </w:tcBorders>
            <w:vAlign w:val="center"/>
          </w:tcPr>
          <w:p w14:paraId="64572B8B">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生态保护主要方向</w:t>
            </w:r>
          </w:p>
        </w:tc>
      </w:tr>
      <w:tr w14:paraId="66C62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pct"/>
            <w:gridSpan w:val="3"/>
            <w:tcBorders>
              <w:top w:val="single" w:color="auto" w:sz="4" w:space="0"/>
              <w:left w:val="single" w:color="auto" w:sz="4" w:space="0"/>
              <w:bottom w:val="single" w:color="auto" w:sz="4" w:space="0"/>
              <w:right w:val="single" w:color="auto" w:sz="4" w:space="0"/>
            </w:tcBorders>
            <w:vAlign w:val="center"/>
          </w:tcPr>
          <w:p w14:paraId="613DCD19">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935" w:type="pct"/>
            <w:vMerge w:val="continue"/>
            <w:tcBorders>
              <w:top w:val="single" w:color="auto" w:sz="12" w:space="0"/>
              <w:left w:val="single" w:color="auto" w:sz="4" w:space="0"/>
              <w:bottom w:val="single" w:color="auto" w:sz="4" w:space="0"/>
              <w:right w:val="single" w:color="auto" w:sz="4" w:space="0"/>
            </w:tcBorders>
            <w:vAlign w:val="center"/>
          </w:tcPr>
          <w:p w14:paraId="362D4AEA">
            <w:pPr>
              <w:widowControl/>
              <w:rPr>
                <w:rFonts w:hint="default" w:ascii="Times New Roman" w:hAnsi="Times New Roman" w:eastAsia="宋体" w:cs="Times New Roman"/>
                <w:bCs/>
                <w:color w:val="auto"/>
                <w:kern w:val="2"/>
                <w:sz w:val="21"/>
                <w:szCs w:val="21"/>
                <w:highlight w:val="none"/>
              </w:rPr>
            </w:pPr>
          </w:p>
        </w:tc>
        <w:tc>
          <w:tcPr>
            <w:tcW w:w="2807" w:type="pct"/>
            <w:vMerge w:val="continue"/>
            <w:tcBorders>
              <w:top w:val="single" w:color="auto" w:sz="12" w:space="0"/>
              <w:left w:val="single" w:color="auto" w:sz="4" w:space="0"/>
              <w:bottom w:val="single" w:color="auto" w:sz="4" w:space="0"/>
              <w:right w:val="single" w:color="auto" w:sz="4" w:space="0"/>
            </w:tcBorders>
            <w:vAlign w:val="center"/>
          </w:tcPr>
          <w:p w14:paraId="3690C3C6">
            <w:pPr>
              <w:widowControl/>
              <w:rPr>
                <w:rFonts w:hint="default" w:ascii="Times New Roman" w:hAnsi="Times New Roman" w:eastAsia="宋体" w:cs="Times New Roman"/>
                <w:bCs/>
                <w:color w:val="auto"/>
                <w:kern w:val="2"/>
                <w:sz w:val="21"/>
                <w:szCs w:val="21"/>
                <w:highlight w:val="none"/>
              </w:rPr>
            </w:pPr>
          </w:p>
        </w:tc>
      </w:tr>
      <w:tr w14:paraId="5DCE4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restart"/>
            <w:tcBorders>
              <w:top w:val="single" w:color="auto" w:sz="4" w:space="0"/>
              <w:left w:val="single" w:color="auto" w:sz="4" w:space="0"/>
              <w:right w:val="single" w:color="auto" w:sz="4" w:space="0"/>
            </w:tcBorders>
            <w:vAlign w:val="center"/>
          </w:tcPr>
          <w:p w14:paraId="5E2A12DD">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生态调节功能区Ⅰ</w:t>
            </w:r>
          </w:p>
        </w:tc>
        <w:tc>
          <w:tcPr>
            <w:tcW w:w="420" w:type="pct"/>
            <w:tcBorders>
              <w:top w:val="single" w:color="auto" w:sz="4" w:space="0"/>
              <w:left w:val="single" w:color="auto" w:sz="4" w:space="0"/>
              <w:bottom w:val="single" w:color="auto" w:sz="4" w:space="0"/>
              <w:right w:val="single" w:color="auto" w:sz="4" w:space="0"/>
            </w:tcBorders>
            <w:vAlign w:val="center"/>
          </w:tcPr>
          <w:p w14:paraId="78B53C77">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水源涵养功能区Ⅰ-01</w:t>
            </w:r>
          </w:p>
        </w:tc>
        <w:tc>
          <w:tcPr>
            <w:tcW w:w="545" w:type="pct"/>
            <w:tcBorders>
              <w:top w:val="single" w:color="auto" w:sz="4" w:space="0"/>
              <w:left w:val="single" w:color="auto" w:sz="4" w:space="0"/>
              <w:bottom w:val="single" w:color="auto" w:sz="4" w:space="0"/>
              <w:right w:val="single" w:color="auto" w:sz="4" w:space="0"/>
            </w:tcBorders>
            <w:vAlign w:val="center"/>
          </w:tcPr>
          <w:p w14:paraId="0BEB9265">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京津冀北部水源涵养功能区Ⅰ-01-06</w:t>
            </w:r>
          </w:p>
        </w:tc>
        <w:tc>
          <w:tcPr>
            <w:tcW w:w="935" w:type="pct"/>
            <w:tcBorders>
              <w:top w:val="single" w:color="auto" w:sz="4" w:space="0"/>
              <w:left w:val="single" w:color="auto" w:sz="4" w:space="0"/>
              <w:bottom w:val="single" w:color="auto" w:sz="4" w:space="0"/>
              <w:right w:val="single" w:color="auto" w:sz="4" w:space="0"/>
            </w:tcBorders>
            <w:vAlign w:val="center"/>
          </w:tcPr>
          <w:p w14:paraId="4DF82238">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人类活动干扰强度大；生态系统结构单一，生态系统质量低，水源涵养功能衰退；森林资源过度开发、天然草原过度放牧等导致植被破坏、水土流失与土地沙化严重；湿地萎缩、面积减少；冰川后退，雪线上升</w:t>
            </w:r>
          </w:p>
        </w:tc>
        <w:tc>
          <w:tcPr>
            <w:tcW w:w="2807" w:type="pct"/>
            <w:tcBorders>
              <w:top w:val="single" w:color="auto" w:sz="4" w:space="0"/>
              <w:left w:val="single" w:color="auto" w:sz="4" w:space="0"/>
              <w:bottom w:val="single" w:color="auto" w:sz="4" w:space="0"/>
              <w:right w:val="single" w:color="auto" w:sz="4" w:space="0"/>
            </w:tcBorders>
            <w:vAlign w:val="center"/>
          </w:tcPr>
          <w:p w14:paraId="195C00B3">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对重要水源涵养区建立生态功能保护区，加强对水源涵养区的保护与管理，严格保护具有重要水源涵养功能的自然植被，限制或禁止各种损害生态系统水源涵养功能的经济社会活动和生产方式，如无序采矿、毁林开荒、湿地和草地开垦、过度放牧、道路建设等。</w:t>
            </w:r>
          </w:p>
          <w:p w14:paraId="3E0F1028">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（2）继续加强生态保护与恢复，恢复与重建水源涵养区森林、草地、湿地等生态系统，提高生态系统的水源涵养能力。坚持自然恢复为主，严格限制在水源涵养区大规模人工造林。</w:t>
            </w:r>
          </w:p>
          <w:p w14:paraId="5E1AFA7E">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（3）控制水污染，减轻水污染负荷，禁止导致水体污染的产业发展，开展生态清洁小流域的建设。</w:t>
            </w:r>
          </w:p>
          <w:p w14:paraId="6535B637">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（4）严格控制载畜量，实行以草定畜，在农牧交错区提倡农牧结合，发展生态产业，培育替代产业，减轻区内畜牧业对水源和生态系统的压力。</w:t>
            </w:r>
          </w:p>
        </w:tc>
      </w:tr>
      <w:tr w14:paraId="78FA8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Merge w:val="continue"/>
            <w:tcBorders>
              <w:left w:val="single" w:color="auto" w:sz="4" w:space="0"/>
              <w:bottom w:val="single" w:color="auto" w:sz="4" w:space="0"/>
              <w:right w:val="single" w:color="auto" w:sz="4" w:space="0"/>
            </w:tcBorders>
            <w:vAlign w:val="center"/>
          </w:tcPr>
          <w:p w14:paraId="6BD7196F">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0ABEAE0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防风固沙功能区Ⅰ-04</w:t>
            </w:r>
          </w:p>
        </w:tc>
        <w:tc>
          <w:tcPr>
            <w:tcW w:w="545" w:type="pct"/>
            <w:tcBorders>
              <w:top w:val="single" w:color="auto" w:sz="4" w:space="0"/>
              <w:left w:val="single" w:color="auto" w:sz="4" w:space="0"/>
              <w:bottom w:val="single" w:color="auto" w:sz="4" w:space="0"/>
              <w:right w:val="single" w:color="auto" w:sz="4" w:space="0"/>
            </w:tcBorders>
            <w:vAlign w:val="center"/>
          </w:tcPr>
          <w:p w14:paraId="4A7F686E">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浑善达克沙地防风固沙功能区Ⅰ-04-03</w:t>
            </w:r>
          </w:p>
        </w:tc>
        <w:tc>
          <w:tcPr>
            <w:tcW w:w="935" w:type="pct"/>
            <w:tcBorders>
              <w:top w:val="single" w:color="auto" w:sz="4" w:space="0"/>
              <w:left w:val="single" w:color="auto" w:sz="4" w:space="0"/>
              <w:bottom w:val="single" w:color="auto" w:sz="4" w:space="0"/>
              <w:right w:val="single" w:color="auto" w:sz="4" w:space="0"/>
            </w:tcBorders>
            <w:vAlign w:val="center"/>
          </w:tcPr>
          <w:p w14:paraId="1DAB2A43">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过度放牧、草原开垦、水资源严重短缺与水资源过度开发导致植被退化、土地沙化、沙尘暴等。</w:t>
            </w:r>
          </w:p>
        </w:tc>
        <w:tc>
          <w:tcPr>
            <w:tcW w:w="2807" w:type="pct"/>
            <w:tcBorders>
              <w:top w:val="single" w:color="auto" w:sz="4" w:space="0"/>
              <w:left w:val="single" w:color="auto" w:sz="4" w:space="0"/>
              <w:bottom w:val="single" w:color="auto" w:sz="4" w:space="0"/>
              <w:right w:val="single" w:color="auto" w:sz="4" w:space="0"/>
            </w:tcBorders>
            <w:vAlign w:val="center"/>
          </w:tcPr>
          <w:p w14:paraId="64ACE514">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（1）在沙漠化极敏感区和高度敏感区建立生态功能保护区，严格控制放牧和草原生物资源的利用，禁止开垦草原，加强植被恢复和保护。</w:t>
            </w:r>
          </w:p>
          <w:p w14:paraId="315E88CA">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（2）调整传统的畜牧业生产方式，大力发展草业，加快规模化圈养牧业的发展，控制放养对草地生态系统的损害。</w:t>
            </w:r>
          </w:p>
          <w:p w14:paraId="68FE00C1">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（3）积极推进草畜平衡科学管理办法，限制养殖规模。</w:t>
            </w:r>
          </w:p>
          <w:p w14:paraId="772C6891">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（4）实施防风固沙工程，恢复草地植被，大力推进调整产业结构，退耕还草，退牧还草等措施。</w:t>
            </w:r>
          </w:p>
        </w:tc>
      </w:tr>
    </w:tbl>
    <w:p w14:paraId="1B08355B">
      <w:pPr>
        <w:pStyle w:val="28"/>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eastAsiaTheme="minorEastAsia"/>
          <w:color w:val="auto"/>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w:t>
      </w:r>
      <w:r>
        <w:rPr>
          <w:rFonts w:hint="default" w:ascii="Times New Roman" w:hAnsi="Times New Roman" w:cs="Times New Roman"/>
          <w:color w:val="auto"/>
          <w:szCs w:val="24"/>
          <w:highlight w:val="none"/>
        </w:rPr>
        <w:t>符合</w:t>
      </w:r>
      <w:r>
        <w:rPr>
          <w:rFonts w:hint="default" w:ascii="Times New Roman" w:hAnsi="Times New Roman" w:eastAsia="宋体" w:cs="Times New Roman"/>
          <w:color w:val="auto"/>
          <w:highlight w:val="none"/>
        </w:rPr>
        <w:t>《全国生态功能区划（修编版）》</w:t>
      </w:r>
      <w:r>
        <w:rPr>
          <w:rFonts w:hint="default" w:ascii="Times New Roman" w:hAnsi="Times New Roman" w:cs="Times New Roman"/>
          <w:color w:val="auto"/>
          <w:highlight w:val="none"/>
        </w:rPr>
        <w:t>要求。</w:t>
      </w:r>
    </w:p>
    <w:p w14:paraId="234D29B1">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（2）《河北省生态功能区划》</w:t>
      </w:r>
    </w:p>
    <w:p w14:paraId="349D16D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根据《河北省生态功能区划》，本项目属于Ⅰ2-3御道口农牧与水土保持功能区、</w:t>
      </w: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2 \* ROMAN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II</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bCs/>
          <w:color w:val="auto"/>
          <w:sz w:val="24"/>
          <w:szCs w:val="24"/>
          <w:highlight w:val="none"/>
        </w:rPr>
        <w:t>1-2燕山山地北部水源涵养与水土保持生态功能区</w:t>
      </w:r>
      <w:r>
        <w:rPr>
          <w:rFonts w:hint="default" w:ascii="Times New Roman" w:hAnsi="Times New Roman" w:eastAsia="宋体" w:cs="Times New Roman"/>
          <w:color w:val="auto"/>
          <w:sz w:val="24"/>
          <w:szCs w:val="24"/>
          <w:highlight w:val="none"/>
        </w:rPr>
        <w:t>，详见附图12，评价范围的生态功能状况如下：</w:t>
      </w:r>
    </w:p>
    <w:p w14:paraId="58FFF713">
      <w:pPr>
        <w:pStyle w:val="2"/>
        <w:spacing w:after="0" w:line="240" w:lineRule="auto"/>
        <w:ind w:firstLine="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w:t>
      </w:r>
      <w:r>
        <w:rPr>
          <w:rFonts w:hint="eastAsia"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lang w:eastAsia="zh-CN"/>
        </w:rPr>
        <w:t>-2  项目所在区域生态功能区划</w:t>
      </w:r>
    </w:p>
    <w:tbl>
      <w:tblPr>
        <w:tblStyle w:val="15"/>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097"/>
        <w:gridCol w:w="1558"/>
        <w:gridCol w:w="1555"/>
        <w:gridCol w:w="1628"/>
        <w:gridCol w:w="1341"/>
      </w:tblGrid>
      <w:tr w14:paraId="7E361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0" w:type="dxa"/>
            <w:gridSpan w:val="3"/>
            <w:tcBorders>
              <w:top w:val="single" w:color="auto" w:sz="4" w:space="0"/>
              <w:left w:val="single" w:color="auto" w:sz="4" w:space="0"/>
              <w:bottom w:val="single" w:color="auto" w:sz="4" w:space="0"/>
              <w:right w:val="single" w:color="auto" w:sz="4" w:space="0"/>
            </w:tcBorders>
            <w:vAlign w:val="center"/>
          </w:tcPr>
          <w:p w14:paraId="112019D3">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1555" w:type="dxa"/>
            <w:vMerge w:val="restart"/>
            <w:tcBorders>
              <w:top w:val="single" w:color="auto" w:sz="4" w:space="0"/>
              <w:left w:val="single" w:color="auto" w:sz="4" w:space="0"/>
              <w:bottom w:val="single" w:color="auto" w:sz="4" w:space="0"/>
              <w:right w:val="single" w:color="auto" w:sz="4" w:space="0"/>
            </w:tcBorders>
            <w:vAlign w:val="center"/>
          </w:tcPr>
          <w:p w14:paraId="592D7F27">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1628" w:type="dxa"/>
            <w:vMerge w:val="restart"/>
            <w:tcBorders>
              <w:top w:val="single" w:color="auto" w:sz="4" w:space="0"/>
              <w:left w:val="single" w:color="auto" w:sz="4" w:space="0"/>
              <w:bottom w:val="single" w:color="auto" w:sz="4" w:space="0"/>
              <w:right w:val="single" w:color="auto" w:sz="4" w:space="0"/>
            </w:tcBorders>
            <w:vAlign w:val="center"/>
          </w:tcPr>
          <w:p w14:paraId="7364D7BB">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环保目标</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14:paraId="1516CF4D">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15BDC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3A116A85">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1097" w:type="dxa"/>
            <w:tcBorders>
              <w:top w:val="single" w:color="auto" w:sz="4" w:space="0"/>
              <w:left w:val="single" w:color="auto" w:sz="4" w:space="0"/>
              <w:bottom w:val="single" w:color="auto" w:sz="4" w:space="0"/>
              <w:right w:val="single" w:color="auto" w:sz="4" w:space="0"/>
            </w:tcBorders>
            <w:vAlign w:val="center"/>
          </w:tcPr>
          <w:p w14:paraId="4575F039">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741E892D">
            <w:pPr>
              <w:pStyle w:val="29"/>
              <w:autoSpaceDE w:val="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1555" w:type="dxa"/>
            <w:vMerge w:val="continue"/>
            <w:tcBorders>
              <w:top w:val="single" w:color="auto" w:sz="12" w:space="0"/>
              <w:left w:val="single" w:color="auto" w:sz="4" w:space="0"/>
              <w:bottom w:val="single" w:color="auto" w:sz="4" w:space="0"/>
              <w:right w:val="single" w:color="auto" w:sz="4" w:space="0"/>
            </w:tcBorders>
            <w:vAlign w:val="center"/>
          </w:tcPr>
          <w:p w14:paraId="08484178">
            <w:pPr>
              <w:widowControl/>
              <w:rPr>
                <w:rFonts w:hint="default" w:ascii="Times New Roman" w:hAnsi="Times New Roman" w:eastAsia="宋体" w:cs="Times New Roman"/>
                <w:bCs/>
                <w:color w:val="auto"/>
                <w:kern w:val="2"/>
                <w:sz w:val="21"/>
                <w:szCs w:val="21"/>
                <w:highlight w:val="none"/>
              </w:rPr>
            </w:pPr>
          </w:p>
        </w:tc>
        <w:tc>
          <w:tcPr>
            <w:tcW w:w="1628" w:type="dxa"/>
            <w:vMerge w:val="continue"/>
            <w:tcBorders>
              <w:top w:val="single" w:color="auto" w:sz="12" w:space="0"/>
              <w:left w:val="single" w:color="auto" w:sz="4" w:space="0"/>
              <w:bottom w:val="single" w:color="auto" w:sz="4" w:space="0"/>
              <w:right w:val="single" w:color="auto" w:sz="4" w:space="0"/>
            </w:tcBorders>
            <w:vAlign w:val="center"/>
          </w:tcPr>
          <w:p w14:paraId="45169C42">
            <w:pPr>
              <w:widowControl/>
              <w:rPr>
                <w:rFonts w:hint="default" w:ascii="Times New Roman" w:hAnsi="Times New Roman" w:eastAsia="宋体" w:cs="Times New Roman"/>
                <w:bCs/>
                <w:color w:val="auto"/>
                <w:kern w:val="2"/>
                <w:sz w:val="21"/>
                <w:szCs w:val="21"/>
                <w:highlight w:val="none"/>
              </w:rPr>
            </w:pPr>
          </w:p>
        </w:tc>
        <w:tc>
          <w:tcPr>
            <w:tcW w:w="1341" w:type="dxa"/>
            <w:vMerge w:val="continue"/>
            <w:tcBorders>
              <w:top w:val="single" w:color="auto" w:sz="12" w:space="0"/>
              <w:left w:val="single" w:color="auto" w:sz="4" w:space="0"/>
              <w:bottom w:val="single" w:color="auto" w:sz="4" w:space="0"/>
              <w:right w:val="single" w:color="auto" w:sz="4" w:space="0"/>
            </w:tcBorders>
            <w:vAlign w:val="center"/>
          </w:tcPr>
          <w:p w14:paraId="339FE8A2">
            <w:pPr>
              <w:widowControl/>
              <w:rPr>
                <w:rFonts w:hint="default" w:ascii="Times New Roman" w:hAnsi="Times New Roman" w:eastAsia="宋体" w:cs="Times New Roman"/>
                <w:bCs/>
                <w:color w:val="auto"/>
                <w:kern w:val="2"/>
                <w:sz w:val="21"/>
                <w:szCs w:val="21"/>
                <w:highlight w:val="none"/>
              </w:rPr>
            </w:pPr>
          </w:p>
        </w:tc>
      </w:tr>
      <w:tr w14:paraId="747BE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66FC1600">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Ⅰ坝上高原生态区</w:t>
            </w:r>
          </w:p>
        </w:tc>
        <w:tc>
          <w:tcPr>
            <w:tcW w:w="1097" w:type="dxa"/>
            <w:tcBorders>
              <w:top w:val="single" w:color="auto" w:sz="4" w:space="0"/>
              <w:left w:val="single" w:color="auto" w:sz="4" w:space="0"/>
              <w:bottom w:val="single" w:color="auto" w:sz="4" w:space="0"/>
              <w:right w:val="single" w:color="auto" w:sz="4" w:space="0"/>
            </w:tcBorders>
            <w:vAlign w:val="center"/>
          </w:tcPr>
          <w:p w14:paraId="3C5CFDF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Ⅰ2坝上高原东部森林草原生态亚区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07273B73">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Ⅰ2-3御道口农牧与水土保持功能区</w:t>
            </w:r>
          </w:p>
        </w:tc>
        <w:tc>
          <w:tcPr>
            <w:tcW w:w="1555" w:type="dxa"/>
            <w:tcBorders>
              <w:top w:val="single" w:color="auto" w:sz="4" w:space="0"/>
              <w:left w:val="single" w:color="auto" w:sz="4" w:space="0"/>
              <w:bottom w:val="single" w:color="auto" w:sz="4" w:space="0"/>
              <w:right w:val="single" w:color="auto" w:sz="4" w:space="0"/>
            </w:tcBorders>
            <w:vAlign w:val="center"/>
          </w:tcPr>
          <w:p w14:paraId="7351EC7D">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水环境污染严重，林草退化严重和土地严重荒漠化</w:t>
            </w:r>
          </w:p>
        </w:tc>
        <w:tc>
          <w:tcPr>
            <w:tcW w:w="1628" w:type="dxa"/>
            <w:tcBorders>
              <w:top w:val="single" w:color="auto" w:sz="4" w:space="0"/>
              <w:left w:val="single" w:color="auto" w:sz="4" w:space="0"/>
              <w:bottom w:val="single" w:color="auto" w:sz="4" w:space="0"/>
              <w:right w:val="single" w:color="auto" w:sz="4" w:space="0"/>
            </w:tcBorders>
            <w:vAlign w:val="center"/>
          </w:tcPr>
          <w:p w14:paraId="4D8B66DE">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保护草原生态系统，加强荒漠化治理；防治水土流失，减少水环境污染</w:t>
            </w:r>
          </w:p>
        </w:tc>
        <w:tc>
          <w:tcPr>
            <w:tcW w:w="1341" w:type="dxa"/>
            <w:tcBorders>
              <w:top w:val="single" w:color="auto" w:sz="4" w:space="0"/>
              <w:left w:val="single" w:color="auto" w:sz="4" w:space="0"/>
              <w:bottom w:val="single" w:color="auto" w:sz="4" w:space="0"/>
              <w:right w:val="single" w:color="auto" w:sz="4" w:space="0"/>
            </w:tcBorders>
            <w:vAlign w:val="center"/>
          </w:tcPr>
          <w:p w14:paraId="3BD3BEB9">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调整农牧用地比例、合理利用草原、开展生态旅游业</w:t>
            </w:r>
          </w:p>
        </w:tc>
      </w:tr>
      <w:tr w14:paraId="3D1D4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tcBorders>
              <w:top w:val="single" w:color="auto" w:sz="4" w:space="0"/>
              <w:left w:val="single" w:color="auto" w:sz="4" w:space="0"/>
              <w:bottom w:val="single" w:color="auto" w:sz="4" w:space="0"/>
              <w:right w:val="single" w:color="auto" w:sz="4" w:space="0"/>
            </w:tcBorders>
            <w:vAlign w:val="center"/>
          </w:tcPr>
          <w:p w14:paraId="6C5223C6">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II河北山地生态区</w:t>
            </w:r>
          </w:p>
        </w:tc>
        <w:tc>
          <w:tcPr>
            <w:tcW w:w="1097" w:type="dxa"/>
            <w:tcBorders>
              <w:top w:val="single" w:color="auto" w:sz="4" w:space="0"/>
              <w:left w:val="single" w:color="auto" w:sz="4" w:space="0"/>
              <w:bottom w:val="single" w:color="auto" w:sz="4" w:space="0"/>
              <w:right w:val="single" w:color="auto" w:sz="4" w:space="0"/>
            </w:tcBorders>
            <w:vAlign w:val="center"/>
          </w:tcPr>
          <w:p w14:paraId="00856937">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II1冀北及燕山山地森林生态亚区</w:t>
            </w:r>
          </w:p>
        </w:tc>
        <w:tc>
          <w:tcPr>
            <w:tcW w:w="1558" w:type="dxa"/>
            <w:tcBorders>
              <w:top w:val="single" w:color="auto" w:sz="4" w:space="0"/>
              <w:left w:val="single" w:color="auto" w:sz="4" w:space="0"/>
              <w:bottom w:val="single" w:color="auto" w:sz="4" w:space="0"/>
              <w:right w:val="single" w:color="auto" w:sz="4" w:space="0"/>
            </w:tcBorders>
            <w:vAlign w:val="center"/>
          </w:tcPr>
          <w:p w14:paraId="1DC60FFD">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II1-2燕山山地北部水源涵养与水土保持生态功能区</w:t>
            </w:r>
          </w:p>
        </w:tc>
        <w:tc>
          <w:tcPr>
            <w:tcW w:w="1555" w:type="dxa"/>
            <w:tcBorders>
              <w:top w:val="single" w:color="auto" w:sz="4" w:space="0"/>
              <w:left w:val="single" w:color="auto" w:sz="4" w:space="0"/>
              <w:bottom w:val="single" w:color="auto" w:sz="4" w:space="0"/>
              <w:right w:val="single" w:color="auto" w:sz="4" w:space="0"/>
            </w:tcBorders>
            <w:vAlign w:val="center"/>
          </w:tcPr>
          <w:p w14:paraId="06D074C2">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水土流失、森林生态功能较弱</w:t>
            </w:r>
          </w:p>
        </w:tc>
        <w:tc>
          <w:tcPr>
            <w:tcW w:w="1628" w:type="dxa"/>
            <w:tcBorders>
              <w:top w:val="single" w:color="auto" w:sz="4" w:space="0"/>
              <w:left w:val="single" w:color="auto" w:sz="4" w:space="0"/>
              <w:bottom w:val="single" w:color="auto" w:sz="4" w:space="0"/>
              <w:right w:val="single" w:color="auto" w:sz="4" w:space="0"/>
            </w:tcBorders>
            <w:vAlign w:val="center"/>
          </w:tcPr>
          <w:p w14:paraId="7E3039B3">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水源涵养林建设、维护生物多样性、加强水土流失重点区域治理</w:t>
            </w:r>
          </w:p>
        </w:tc>
        <w:tc>
          <w:tcPr>
            <w:tcW w:w="1341" w:type="dxa"/>
            <w:tcBorders>
              <w:top w:val="single" w:color="auto" w:sz="4" w:space="0"/>
              <w:left w:val="single" w:color="auto" w:sz="4" w:space="0"/>
              <w:bottom w:val="single" w:color="auto" w:sz="4" w:space="0"/>
              <w:right w:val="single" w:color="auto" w:sz="4" w:space="0"/>
            </w:tcBorders>
            <w:vAlign w:val="center"/>
          </w:tcPr>
          <w:p w14:paraId="1840FCBD">
            <w:pPr>
              <w:pStyle w:val="29"/>
              <w:autoSpaceDE w:val="0"/>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大力营造水保林、防护林、开发生态旅游、发展生态农业</w:t>
            </w:r>
          </w:p>
        </w:tc>
      </w:tr>
    </w:tbl>
    <w:p w14:paraId="2CD460C7">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项目符合国土空间用途管制要求，建设的杆塔为点状工程，输电线路为架空形式</w:t>
      </w:r>
      <w:r>
        <w:rPr>
          <w:rFonts w:hint="default" w:ascii="Times New Roman" w:hAnsi="Times New Roman" w:eastAsia="宋体" w:cs="Times New Roman"/>
          <w:bCs/>
          <w:color w:val="auto"/>
          <w:kern w:val="2"/>
          <w:sz w:val="24"/>
          <w:szCs w:val="24"/>
          <w:highlight w:val="none"/>
          <w:lang w:eastAsia="zh-CN"/>
        </w:rPr>
        <w:t>，不属于资源消耗高、环境污染重的工业项目</w:t>
      </w:r>
      <w:r>
        <w:rPr>
          <w:rFonts w:hint="default" w:ascii="Times New Roman" w:hAnsi="Times New Roman" w:cs="Times New Roman" w:eastAsiaTheme="minorEastAsia"/>
          <w:color w:val="auto"/>
          <w:sz w:val="24"/>
          <w:szCs w:val="24"/>
          <w:highlight w:val="none"/>
          <w:lang w:eastAsia="zh-CN"/>
        </w:rPr>
        <w:t>，不会造成连续性大面积植被破坏，不影响生境连通性，不会造成生物多样性减少、土</w:t>
      </w:r>
      <w:r>
        <w:rPr>
          <w:rFonts w:hint="eastAsia" w:ascii="Times New Roman" w:hAnsi="Times New Roman" w:cs="Times New Roman" w:eastAsiaTheme="minorEastAsia"/>
          <w:color w:val="auto"/>
          <w:sz w:val="24"/>
          <w:szCs w:val="24"/>
          <w:highlight w:val="none"/>
          <w:lang w:val="en-US" w:eastAsia="zh-CN"/>
        </w:rPr>
        <w:t>地</w:t>
      </w:r>
      <w:r>
        <w:rPr>
          <w:rFonts w:hint="default" w:ascii="Times New Roman" w:hAnsi="Times New Roman" w:cs="Times New Roman" w:eastAsiaTheme="minorEastAsia"/>
          <w:color w:val="auto"/>
          <w:sz w:val="24"/>
          <w:szCs w:val="24"/>
          <w:highlight w:val="none"/>
          <w:lang w:eastAsia="zh-CN"/>
        </w:rPr>
        <w:t>沙化等。杆塔建成后进行植被恢复，对生态功能进行补偿</w:t>
      </w:r>
      <w:r>
        <w:rPr>
          <w:rFonts w:hint="default" w:ascii="Times New Roman" w:hAnsi="Times New Roman" w:eastAsia="宋体" w:cs="Times New Roman"/>
          <w:bCs/>
          <w:color w:val="auto"/>
          <w:kern w:val="2"/>
          <w:sz w:val="24"/>
          <w:szCs w:val="24"/>
          <w:highlight w:val="none"/>
          <w:lang w:eastAsia="zh-CN"/>
        </w:rPr>
        <w:t>，与功能区建设方向无冲突。符合</w:t>
      </w:r>
      <w:r>
        <w:rPr>
          <w:rFonts w:hint="default" w:ascii="Times New Roman" w:hAnsi="Times New Roman" w:eastAsia="宋体" w:cs="Times New Roman"/>
          <w:color w:val="auto"/>
          <w:sz w:val="24"/>
          <w:highlight w:val="none"/>
          <w:lang w:eastAsia="zh-CN"/>
        </w:rPr>
        <w:t>《河北省生态功能区划》</w:t>
      </w:r>
      <w:r>
        <w:rPr>
          <w:rFonts w:hint="default" w:ascii="Times New Roman" w:hAnsi="Times New Roman" w:eastAsia="宋体" w:cs="Times New Roman"/>
          <w:bCs/>
          <w:color w:val="auto"/>
          <w:kern w:val="2"/>
          <w:sz w:val="24"/>
          <w:szCs w:val="24"/>
          <w:highlight w:val="none"/>
          <w:lang w:eastAsia="zh-CN"/>
        </w:rPr>
        <w:t>要求。</w:t>
      </w:r>
    </w:p>
    <w:p w14:paraId="5FABFF41">
      <w:pPr>
        <w:pStyle w:val="2"/>
        <w:adjustRightInd w:val="0"/>
        <w:snapToGrid w:val="0"/>
        <w:spacing w:after="0" w:line="480" w:lineRule="exact"/>
        <w:ind w:firstLine="480" w:firstLineChars="200"/>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t>（3）</w:t>
      </w:r>
      <w:r>
        <w:rPr>
          <w:rFonts w:hint="default" w:ascii="Times New Roman" w:hAnsi="Times New Roman" w:eastAsia="宋体" w:cs="Times New Roman"/>
          <w:bCs/>
          <w:snapToGrid w:val="0"/>
          <w:color w:val="auto"/>
          <w:sz w:val="24"/>
          <w:szCs w:val="24"/>
          <w:highlight w:val="none"/>
          <w:lang w:eastAsia="zh-CN"/>
        </w:rPr>
        <w:t>《承德市城市总体规划》（2016-2030年）</w:t>
      </w:r>
    </w:p>
    <w:p w14:paraId="636C7830">
      <w:pPr>
        <w:pStyle w:val="2"/>
        <w:adjustRightInd w:val="0"/>
        <w:snapToGrid w:val="0"/>
        <w:spacing w:after="0" w:line="480" w:lineRule="exact"/>
        <w:ind w:firstLine="480" w:firstLineChars="200"/>
        <w:rPr>
          <w:rFonts w:hint="default" w:ascii="Times New Roman" w:hAnsi="Times New Roman" w:eastAsia="宋体" w:cs="Times New Roman"/>
          <w:bCs/>
          <w:snapToGrid w:val="0"/>
          <w:color w:val="auto"/>
          <w:sz w:val="24"/>
          <w:szCs w:val="24"/>
          <w:highlight w:val="none"/>
          <w:lang w:eastAsia="zh-CN"/>
        </w:rPr>
      </w:pPr>
      <w:r>
        <w:rPr>
          <w:rFonts w:hint="default" w:ascii="Times New Roman" w:hAnsi="Times New Roman" w:eastAsia="宋体" w:cs="Times New Roman"/>
          <w:bCs/>
          <w:snapToGrid w:val="0"/>
          <w:color w:val="auto"/>
          <w:sz w:val="24"/>
          <w:szCs w:val="24"/>
          <w:highlight w:val="none"/>
          <w:lang w:eastAsia="zh-CN"/>
        </w:rPr>
        <w:t>根据《承德市城市总体规划》（2016-2030年）中的生态功能区划，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w:t>
      </w:r>
    </w:p>
    <w:p w14:paraId="62C585A2">
      <w:pPr>
        <w:bidi w:val="0"/>
        <w:rPr>
          <w:rFonts w:hint="default" w:ascii="Times New Roman" w:hAnsi="Times New Roman" w:eastAsia="宋体" w:cs="Times New Roman"/>
          <w:b w:val="0"/>
          <w:snapToGrid w:val="0"/>
          <w:color w:val="auto"/>
          <w:sz w:val="24"/>
          <w:szCs w:val="24"/>
          <w:highlight w:val="none"/>
        </w:rPr>
      </w:pPr>
      <w:r>
        <w:rPr>
          <w:rFonts w:hint="default" w:ascii="Times New Roman" w:hAnsi="Times New Roman" w:cs="Times New Roman"/>
          <w:b w:val="0"/>
          <w:color w:val="auto"/>
          <w:sz w:val="24"/>
          <w:szCs w:val="24"/>
          <w:highlight w:val="none"/>
        </w:rPr>
        <w:t>本</w:t>
      </w:r>
      <w:r>
        <w:rPr>
          <w:rFonts w:hint="default" w:ascii="Times New Roman" w:hAnsi="Times New Roman" w:eastAsia="宋体" w:cs="Times New Roman"/>
          <w:b w:val="0"/>
          <w:snapToGrid w:val="0"/>
          <w:color w:val="auto"/>
          <w:sz w:val="24"/>
          <w:szCs w:val="24"/>
          <w:highlight w:val="none"/>
        </w:rPr>
        <w:t>项目部分区域属于</w:t>
      </w:r>
      <w:r>
        <w:rPr>
          <w:rFonts w:hint="default" w:ascii="Times New Roman" w:hAnsi="Times New Roman" w:cs="Times New Roman" w:eastAsiaTheme="minorEastAsia"/>
          <w:b w:val="0"/>
          <w:snapToGrid w:val="0"/>
          <w:color w:val="auto"/>
          <w:sz w:val="24"/>
          <w:szCs w:val="24"/>
          <w:highlight w:val="none"/>
        </w:rPr>
        <w:t>“坝上高原生态区（I）—坝上高原东部森林草原亚区（I-2）—御道口生物多样性保护、水源涵养功能区（I-2-3）”</w:t>
      </w:r>
      <w:r>
        <w:rPr>
          <w:rFonts w:hint="eastAsia" w:ascii="Times New Roman" w:hAnsi="Times New Roman" w:cs="Times New Roman" w:eastAsiaTheme="minorEastAsia"/>
          <w:b w:val="0"/>
          <w:snapToGrid w:val="0"/>
          <w:color w:val="auto"/>
          <w:sz w:val="24"/>
          <w:szCs w:val="24"/>
          <w:highlight w:val="none"/>
          <w:lang w:eastAsia="zh-CN"/>
        </w:rPr>
        <w:t>和“冀北及燕山山地生态区（Ⅱ）—冀北山地森林生态亚区（Ⅱ-1）—滦河上游生物多样性保护功能区（Ⅱ-1-3）”</w:t>
      </w:r>
      <w:r>
        <w:rPr>
          <w:rFonts w:hint="default" w:ascii="Times New Roman" w:hAnsi="Times New Roman" w:eastAsia="宋体" w:cs="Times New Roman"/>
          <w:b w:val="0"/>
          <w:snapToGrid w:val="0"/>
          <w:color w:val="auto"/>
          <w:sz w:val="24"/>
          <w:szCs w:val="24"/>
          <w:highlight w:val="none"/>
        </w:rPr>
        <w:t>，区域主要生态环境问题、生态服务功能、建设方向及措施如下表所示</w:t>
      </w:r>
    </w:p>
    <w:p w14:paraId="0FBFDE3E">
      <w:pPr>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sz w:val="21"/>
          <w:szCs w:val="21"/>
          <w:highlight w:val="none"/>
        </w:rPr>
        <w:t>表</w:t>
      </w:r>
      <w:r>
        <w:rPr>
          <w:rFonts w:hint="eastAsia" w:ascii="Times New Roman" w:hAnsi="Times New Roman" w:cs="Times New Roman"/>
          <w:b/>
          <w:color w:val="auto"/>
          <w:sz w:val="21"/>
          <w:szCs w:val="21"/>
          <w:highlight w:val="none"/>
          <w:lang w:val="en-US" w:eastAsia="zh-CN"/>
        </w:rPr>
        <w:t>4.2</w:t>
      </w:r>
      <w:r>
        <w:rPr>
          <w:rFonts w:hint="default" w:ascii="Times New Roman" w:hAnsi="Times New Roman" w:cs="Times New Roman" w:eastAsiaTheme="minorEastAsia"/>
          <w:b/>
          <w:color w:val="auto"/>
          <w:sz w:val="21"/>
          <w:szCs w:val="21"/>
          <w:highlight w:val="none"/>
        </w:rPr>
        <w:t>-3   承德市总体规划中生态功能区划相关功能分区</w:t>
      </w:r>
    </w:p>
    <w:tbl>
      <w:tblPr>
        <w:tblStyle w:val="15"/>
        <w:tblW w:w="82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28"/>
        <w:gridCol w:w="948"/>
        <w:gridCol w:w="2018"/>
        <w:gridCol w:w="927"/>
        <w:gridCol w:w="2874"/>
      </w:tblGrid>
      <w:tr w14:paraId="7DD2C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72" w:type="dxa"/>
            <w:gridSpan w:val="3"/>
            <w:tcBorders>
              <w:top w:val="single" w:color="auto" w:sz="4" w:space="0"/>
              <w:left w:val="single" w:color="auto" w:sz="4" w:space="0"/>
              <w:bottom w:val="single" w:color="auto" w:sz="4" w:space="0"/>
              <w:right w:val="single" w:color="auto" w:sz="4" w:space="0"/>
            </w:tcBorders>
            <w:vAlign w:val="center"/>
          </w:tcPr>
          <w:p w14:paraId="74B11B32">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生态功能分区单元</w:t>
            </w:r>
          </w:p>
        </w:tc>
        <w:tc>
          <w:tcPr>
            <w:tcW w:w="2018" w:type="dxa"/>
            <w:vMerge w:val="restart"/>
            <w:tcBorders>
              <w:top w:val="single" w:color="auto" w:sz="4" w:space="0"/>
              <w:left w:val="single" w:color="auto" w:sz="4" w:space="0"/>
              <w:bottom w:val="single" w:color="auto" w:sz="4" w:space="0"/>
              <w:right w:val="single" w:color="auto" w:sz="4" w:space="0"/>
            </w:tcBorders>
            <w:vAlign w:val="center"/>
          </w:tcPr>
          <w:p w14:paraId="1B2A2B0F">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主要生态环境问题</w:t>
            </w:r>
          </w:p>
        </w:tc>
        <w:tc>
          <w:tcPr>
            <w:tcW w:w="927" w:type="dxa"/>
            <w:vMerge w:val="restart"/>
            <w:tcBorders>
              <w:top w:val="single" w:color="auto" w:sz="4" w:space="0"/>
              <w:left w:val="single" w:color="auto" w:sz="4" w:space="0"/>
              <w:bottom w:val="single" w:color="auto" w:sz="4" w:space="0"/>
              <w:right w:val="single" w:color="auto" w:sz="4" w:space="0"/>
            </w:tcBorders>
            <w:vAlign w:val="center"/>
          </w:tcPr>
          <w:p w14:paraId="685BC6DA">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生态服务功能</w:t>
            </w:r>
          </w:p>
        </w:tc>
        <w:tc>
          <w:tcPr>
            <w:tcW w:w="2874" w:type="dxa"/>
            <w:vMerge w:val="restart"/>
            <w:tcBorders>
              <w:top w:val="single" w:color="auto" w:sz="4" w:space="0"/>
              <w:left w:val="single" w:color="auto" w:sz="4" w:space="0"/>
              <w:bottom w:val="single" w:color="auto" w:sz="4" w:space="0"/>
              <w:right w:val="single" w:color="auto" w:sz="4" w:space="0"/>
            </w:tcBorders>
            <w:vAlign w:val="center"/>
          </w:tcPr>
          <w:p w14:paraId="36ACB3B2">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建设方向及措施</w:t>
            </w:r>
          </w:p>
        </w:tc>
      </w:tr>
      <w:tr w14:paraId="1314B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21B2C1E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生态区</w:t>
            </w:r>
          </w:p>
        </w:tc>
        <w:tc>
          <w:tcPr>
            <w:tcW w:w="828" w:type="dxa"/>
            <w:tcBorders>
              <w:top w:val="single" w:color="auto" w:sz="4" w:space="0"/>
              <w:left w:val="single" w:color="auto" w:sz="4" w:space="0"/>
              <w:bottom w:val="single" w:color="auto" w:sz="4" w:space="0"/>
              <w:right w:val="single" w:color="auto" w:sz="4" w:space="0"/>
            </w:tcBorders>
            <w:vAlign w:val="center"/>
          </w:tcPr>
          <w:p w14:paraId="7C8E7BA2">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生态亚区</w:t>
            </w:r>
          </w:p>
        </w:tc>
        <w:tc>
          <w:tcPr>
            <w:tcW w:w="948" w:type="dxa"/>
            <w:tcBorders>
              <w:top w:val="single" w:color="auto" w:sz="4" w:space="0"/>
              <w:left w:val="single" w:color="auto" w:sz="4" w:space="0"/>
              <w:bottom w:val="single" w:color="auto" w:sz="4" w:space="0"/>
              <w:right w:val="single" w:color="auto" w:sz="4" w:space="0"/>
            </w:tcBorders>
            <w:vAlign w:val="center"/>
          </w:tcPr>
          <w:p w14:paraId="30417F5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w:t>
            </w:r>
          </w:p>
        </w:tc>
        <w:tc>
          <w:tcPr>
            <w:tcW w:w="2018" w:type="dxa"/>
            <w:vMerge w:val="continue"/>
            <w:tcBorders>
              <w:top w:val="single" w:color="auto" w:sz="12" w:space="0"/>
              <w:left w:val="single" w:color="auto" w:sz="4" w:space="0"/>
              <w:bottom w:val="single" w:color="auto" w:sz="4" w:space="0"/>
              <w:right w:val="single" w:color="auto" w:sz="4" w:space="0"/>
            </w:tcBorders>
            <w:vAlign w:val="center"/>
          </w:tcPr>
          <w:p w14:paraId="4F4C8A7C">
            <w:pPr>
              <w:widowControl/>
              <w:rPr>
                <w:rFonts w:hint="default" w:ascii="Times New Roman" w:hAnsi="Times New Roman" w:eastAsia="宋体" w:cs="Times New Roman"/>
                <w:bCs/>
                <w:color w:val="auto"/>
                <w:kern w:val="2"/>
                <w:sz w:val="21"/>
                <w:szCs w:val="21"/>
                <w:highlight w:val="none"/>
              </w:rPr>
            </w:pPr>
          </w:p>
        </w:tc>
        <w:tc>
          <w:tcPr>
            <w:tcW w:w="927" w:type="dxa"/>
            <w:vMerge w:val="continue"/>
            <w:tcBorders>
              <w:top w:val="single" w:color="auto" w:sz="12" w:space="0"/>
              <w:left w:val="single" w:color="auto" w:sz="4" w:space="0"/>
              <w:bottom w:val="single" w:color="auto" w:sz="4" w:space="0"/>
              <w:right w:val="single" w:color="auto" w:sz="4" w:space="0"/>
            </w:tcBorders>
            <w:vAlign w:val="center"/>
          </w:tcPr>
          <w:p w14:paraId="7EE19752">
            <w:pPr>
              <w:widowControl/>
              <w:rPr>
                <w:rFonts w:hint="default" w:ascii="Times New Roman" w:hAnsi="Times New Roman" w:eastAsia="宋体" w:cs="Times New Roman"/>
                <w:bCs/>
                <w:color w:val="auto"/>
                <w:kern w:val="2"/>
                <w:sz w:val="21"/>
                <w:szCs w:val="21"/>
                <w:highlight w:val="none"/>
              </w:rPr>
            </w:pPr>
          </w:p>
        </w:tc>
        <w:tc>
          <w:tcPr>
            <w:tcW w:w="2874" w:type="dxa"/>
            <w:vMerge w:val="continue"/>
            <w:tcBorders>
              <w:top w:val="single" w:color="auto" w:sz="12" w:space="0"/>
              <w:left w:val="single" w:color="auto" w:sz="4" w:space="0"/>
              <w:bottom w:val="single" w:color="auto" w:sz="4" w:space="0"/>
              <w:right w:val="single" w:color="auto" w:sz="4" w:space="0"/>
            </w:tcBorders>
            <w:vAlign w:val="center"/>
          </w:tcPr>
          <w:p w14:paraId="10A853BB">
            <w:pPr>
              <w:widowControl/>
              <w:rPr>
                <w:rFonts w:hint="default" w:ascii="Times New Roman" w:hAnsi="Times New Roman" w:eastAsia="宋体" w:cs="Times New Roman"/>
                <w:bCs/>
                <w:color w:val="auto"/>
                <w:kern w:val="2"/>
                <w:sz w:val="21"/>
                <w:szCs w:val="21"/>
                <w:highlight w:val="none"/>
              </w:rPr>
            </w:pPr>
          </w:p>
        </w:tc>
      </w:tr>
      <w:tr w14:paraId="5D88E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207D4F43">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坝上高原生态区（I）</w:t>
            </w:r>
          </w:p>
        </w:tc>
        <w:tc>
          <w:tcPr>
            <w:tcW w:w="828" w:type="dxa"/>
            <w:tcBorders>
              <w:top w:val="single" w:color="auto" w:sz="4" w:space="0"/>
              <w:left w:val="single" w:color="auto" w:sz="4" w:space="0"/>
              <w:bottom w:val="single" w:color="auto" w:sz="4" w:space="0"/>
              <w:right w:val="single" w:color="auto" w:sz="4" w:space="0"/>
            </w:tcBorders>
            <w:vAlign w:val="center"/>
          </w:tcPr>
          <w:p w14:paraId="584B3E81">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坝上高原东部森林草原亚区（I-2）</w:t>
            </w:r>
          </w:p>
        </w:tc>
        <w:tc>
          <w:tcPr>
            <w:tcW w:w="948" w:type="dxa"/>
            <w:tcBorders>
              <w:top w:val="single" w:color="auto" w:sz="4" w:space="0"/>
              <w:left w:val="single" w:color="auto" w:sz="4" w:space="0"/>
              <w:bottom w:val="single" w:color="auto" w:sz="4" w:space="0"/>
              <w:right w:val="single" w:color="auto" w:sz="4" w:space="0"/>
            </w:tcBorders>
            <w:vAlign w:val="center"/>
          </w:tcPr>
          <w:p w14:paraId="4FDDFA8D">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御道口生物多样性保护、水源涵养功能区（I-2-3）</w:t>
            </w:r>
          </w:p>
        </w:tc>
        <w:tc>
          <w:tcPr>
            <w:tcW w:w="2018" w:type="dxa"/>
            <w:tcBorders>
              <w:top w:val="single" w:color="auto" w:sz="4" w:space="0"/>
              <w:left w:val="single" w:color="auto" w:sz="4" w:space="0"/>
              <w:bottom w:val="single" w:color="auto" w:sz="4" w:space="0"/>
              <w:right w:val="single" w:color="auto" w:sz="4" w:space="0"/>
            </w:tcBorders>
            <w:vAlign w:val="center"/>
          </w:tcPr>
          <w:p w14:paraId="27548AC0">
            <w:pPr>
              <w:pStyle w:val="29"/>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生态功能区内水草丰美，物种多样性丰富，但由于人为活动频繁，过度开垦土地和放牧，导致部分地区草场退化，生物多样性减少，土地沙化，是土壤侵蚀（风蚀）敏感区。</w:t>
            </w:r>
          </w:p>
        </w:tc>
        <w:tc>
          <w:tcPr>
            <w:tcW w:w="927" w:type="dxa"/>
            <w:tcBorders>
              <w:top w:val="single" w:color="auto" w:sz="4" w:space="0"/>
              <w:left w:val="single" w:color="auto" w:sz="4" w:space="0"/>
              <w:bottom w:val="single" w:color="auto" w:sz="4" w:space="0"/>
              <w:right w:val="single" w:color="auto" w:sz="4" w:space="0"/>
            </w:tcBorders>
            <w:vAlign w:val="center"/>
          </w:tcPr>
          <w:p w14:paraId="7453DC6B">
            <w:pPr>
              <w:pStyle w:val="29"/>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生物多样性保护，水源涵养</w:t>
            </w:r>
          </w:p>
        </w:tc>
        <w:tc>
          <w:tcPr>
            <w:tcW w:w="2874" w:type="dxa"/>
            <w:tcBorders>
              <w:top w:val="single" w:color="auto" w:sz="4" w:space="0"/>
              <w:left w:val="single" w:color="auto" w:sz="4" w:space="0"/>
              <w:bottom w:val="single" w:color="auto" w:sz="4" w:space="0"/>
              <w:right w:val="single" w:color="auto" w:sz="4" w:space="0"/>
            </w:tcBorders>
            <w:vAlign w:val="center"/>
          </w:tcPr>
          <w:p w14:paraId="21C5B83F">
            <w:pPr>
              <w:pStyle w:val="29"/>
              <w:spacing w:line="240" w:lineRule="auto"/>
              <w:ind w:firstLine="0" w:firstLineChars="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加强植被恢复，控制过度放牧，加强荒漠化治理，恢复本区水源涵养能力。加大退耕还林还草力度，合理利用土地资源；保护湿地生态环境，维持生物多样性；保护草原生态系统，控制草场载畜量，严格控制草原过度放牧，防止草场退化；适当开展生态旅游</w:t>
            </w:r>
          </w:p>
        </w:tc>
      </w:tr>
      <w:tr w14:paraId="5B1AB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96" w:type="dxa"/>
            <w:tcBorders>
              <w:top w:val="single" w:color="auto" w:sz="4" w:space="0"/>
              <w:left w:val="single" w:color="auto" w:sz="4" w:space="0"/>
              <w:right w:val="single" w:color="auto" w:sz="4" w:space="0"/>
            </w:tcBorders>
            <w:vAlign w:val="center"/>
          </w:tcPr>
          <w:p w14:paraId="300D0AEF">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冀北及燕山山地生态区（Ⅱ）</w:t>
            </w:r>
          </w:p>
        </w:tc>
        <w:tc>
          <w:tcPr>
            <w:tcW w:w="828" w:type="dxa"/>
            <w:tcBorders>
              <w:top w:val="single" w:color="auto" w:sz="4" w:space="0"/>
              <w:left w:val="single" w:color="auto" w:sz="4" w:space="0"/>
              <w:bottom w:val="single" w:color="auto" w:sz="4" w:space="0"/>
              <w:right w:val="single" w:color="auto" w:sz="4" w:space="0"/>
            </w:tcBorders>
            <w:vAlign w:val="center"/>
          </w:tcPr>
          <w:p w14:paraId="44DFDC78">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冀北山地森林生态亚区（Ⅱ-1）</w:t>
            </w:r>
          </w:p>
        </w:tc>
        <w:tc>
          <w:tcPr>
            <w:tcW w:w="948" w:type="dxa"/>
            <w:tcBorders>
              <w:top w:val="single" w:color="auto" w:sz="4" w:space="0"/>
              <w:left w:val="single" w:color="auto" w:sz="4" w:space="0"/>
              <w:bottom w:val="single" w:color="auto" w:sz="4" w:space="0"/>
              <w:right w:val="single" w:color="auto" w:sz="4" w:space="0"/>
            </w:tcBorders>
            <w:vAlign w:val="center"/>
          </w:tcPr>
          <w:p w14:paraId="7DBE9023">
            <w:pPr>
              <w:pStyle w:val="29"/>
              <w:autoSpaceDE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滦河上游生物多样性保护功能区（Ⅱ-1-3）</w:t>
            </w:r>
          </w:p>
        </w:tc>
        <w:tc>
          <w:tcPr>
            <w:tcW w:w="2018" w:type="dxa"/>
            <w:tcBorders>
              <w:top w:val="single" w:color="auto" w:sz="4" w:space="0"/>
              <w:left w:val="single" w:color="auto" w:sz="4" w:space="0"/>
              <w:bottom w:val="single" w:color="auto" w:sz="4" w:space="0"/>
              <w:right w:val="single" w:color="auto" w:sz="4" w:space="0"/>
            </w:tcBorders>
            <w:vAlign w:val="center"/>
          </w:tcPr>
          <w:p w14:paraId="0AD5F53B">
            <w:pPr>
              <w:pStyle w:val="29"/>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生物多样性减少，水土流失严重，草地退化，沙化面积不断扩大</w:t>
            </w:r>
          </w:p>
        </w:tc>
        <w:tc>
          <w:tcPr>
            <w:tcW w:w="927" w:type="dxa"/>
            <w:tcBorders>
              <w:top w:val="single" w:color="auto" w:sz="4" w:space="0"/>
              <w:left w:val="single" w:color="auto" w:sz="4" w:space="0"/>
              <w:bottom w:val="single" w:color="auto" w:sz="4" w:space="0"/>
              <w:right w:val="single" w:color="auto" w:sz="4" w:space="0"/>
            </w:tcBorders>
            <w:vAlign w:val="center"/>
          </w:tcPr>
          <w:p w14:paraId="0A61FB1D">
            <w:pPr>
              <w:pStyle w:val="29"/>
              <w:spacing w:line="240" w:lineRule="auto"/>
              <w:ind w:firstLine="0" w:firstLineChars="0"/>
              <w:jc w:val="left"/>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生物多样性保护、荒漠化防治、水资源保护</w:t>
            </w:r>
          </w:p>
        </w:tc>
        <w:tc>
          <w:tcPr>
            <w:tcW w:w="2874" w:type="dxa"/>
            <w:tcBorders>
              <w:top w:val="single" w:color="auto" w:sz="4" w:space="0"/>
              <w:left w:val="single" w:color="auto" w:sz="4" w:space="0"/>
              <w:bottom w:val="single" w:color="auto" w:sz="4" w:space="0"/>
              <w:right w:val="single" w:color="auto" w:sz="4" w:space="0"/>
            </w:tcBorders>
            <w:vAlign w:val="center"/>
          </w:tcPr>
          <w:p w14:paraId="712CD350">
            <w:pPr>
              <w:pStyle w:val="29"/>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eastAsia" w:ascii="Times New Roman" w:cs="Times New Roman"/>
                <w:bCs/>
                <w:color w:val="auto"/>
                <w:sz w:val="21"/>
                <w:szCs w:val="21"/>
                <w:highlight w:val="none"/>
                <w:lang w:eastAsia="zh-CN"/>
              </w:rPr>
              <w:t>积极推进生物多样性保护工作，水土流失综合防治，积极推进退耕还林；增加植被覆盖度，增强水源涵养功能。加强滦河上游自然保护区的保护与管理，强力恢复植被、不断扩大种群，防治病虫害</w:t>
            </w:r>
          </w:p>
        </w:tc>
      </w:tr>
    </w:tbl>
    <w:p w14:paraId="65411C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eastAsiaTheme="minorEastAsia"/>
          <w:color w:val="auto"/>
          <w:sz w:val="24"/>
          <w:szCs w:val="24"/>
          <w:highlight w:val="none"/>
        </w:rPr>
        <w:t>项目符合国土空间用途管制要求，建设的杆塔为点状工程，输电线路为架空形式，不会造成连续性大面积植被破坏，不影响生境连通性，不会造成生物多样性减少、土沙化等。杆塔建成后进行植被恢复，对生态功能进行补偿。因此，项目建设与承德市生态功能区划不冲突。</w:t>
      </w:r>
    </w:p>
    <w:p w14:paraId="3CC1F702">
      <w:pPr>
        <w:pStyle w:val="8"/>
        <w:pageBreakBefore w:val="0"/>
        <w:numPr>
          <w:ilvl w:val="0"/>
          <w:numId w:val="0"/>
        </w:numPr>
        <w:kinsoku/>
        <w:wordWrap/>
        <w:overflowPunct/>
        <w:topLinePunct w:val="0"/>
        <w:autoSpaceDE/>
        <w:autoSpaceDN/>
        <w:bidi w:val="0"/>
        <w:snapToGrid/>
        <w:spacing w:line="360" w:lineRule="auto"/>
        <w:ind w:firstLine="602" w:firstLineChars="200"/>
        <w:jc w:val="left"/>
        <w:textAlignment w:val="auto"/>
        <w:rPr>
          <w:rFonts w:ascii="Times New Roman" w:hAnsi="Times New Roman"/>
          <w:color w:val="auto"/>
          <w:highlight w:val="none"/>
        </w:rPr>
      </w:pPr>
      <w:bookmarkStart w:id="46" w:name="_Toc523841211"/>
      <w:r>
        <w:rPr>
          <w:rFonts w:hint="eastAsia" w:ascii="Times New Roman" w:hAnsi="Times New Roman"/>
          <w:color w:val="auto"/>
          <w:highlight w:val="none"/>
          <w:lang w:eastAsia="zh-CN"/>
        </w:rPr>
        <w:t>4.</w:t>
      </w:r>
      <w:r>
        <w:rPr>
          <w:rFonts w:hint="eastAsia" w:ascii="Times New Roman" w:hAnsi="Times New Roman"/>
          <w:color w:val="auto"/>
          <w:highlight w:val="none"/>
          <w:lang w:val="en-US" w:eastAsia="zh-CN"/>
        </w:rPr>
        <w:t>3</w:t>
      </w:r>
      <w:r>
        <w:rPr>
          <w:rFonts w:ascii="Times New Roman" w:hAnsi="Times New Roman"/>
          <w:color w:val="auto"/>
          <w:highlight w:val="none"/>
        </w:rPr>
        <w:t>生态现状调查方法</w:t>
      </w:r>
      <w:bookmarkEnd w:id="46"/>
    </w:p>
    <w:p w14:paraId="7F7D056D">
      <w:pPr>
        <w:pageBreakBefore w:val="0"/>
        <w:kinsoku/>
        <w:wordWrap/>
        <w:overflowPunct/>
        <w:topLinePunct w:val="0"/>
        <w:autoSpaceDE/>
        <w:autoSpaceDN/>
        <w:bidi w:val="0"/>
        <w:snapToGrid/>
        <w:spacing w:line="360" w:lineRule="auto"/>
        <w:ind w:firstLine="480" w:firstLineChars="200"/>
        <w:jc w:val="left"/>
        <w:textAlignment w:val="auto"/>
        <w:rPr>
          <w:color w:val="auto"/>
          <w:sz w:val="24"/>
          <w:highlight w:val="none"/>
        </w:rPr>
      </w:pPr>
      <w:r>
        <w:rPr>
          <w:color w:val="auto"/>
          <w:sz w:val="24"/>
          <w:highlight w:val="none"/>
        </w:rPr>
        <w:t>收集整理项目区域及邻近地区的现有生物多样性资料，在综合分析现有资料的基础上，生物量和生物多样性调查依据已有资料推断，采用遥感影像辅证并实测一定数量的具有代表性的样方调查验证的方法。</w:t>
      </w:r>
    </w:p>
    <w:p w14:paraId="137CF945">
      <w:pPr>
        <w:pStyle w:val="9"/>
        <w:pageBreakBefore w:val="0"/>
        <w:numPr>
          <w:ilvl w:val="0"/>
          <w:numId w:val="0"/>
        </w:numPr>
        <w:kinsoku/>
        <w:wordWrap/>
        <w:overflowPunct/>
        <w:topLinePunct w:val="0"/>
        <w:autoSpaceDE/>
        <w:autoSpaceDN/>
        <w:bidi w:val="0"/>
        <w:snapToGrid/>
        <w:spacing w:line="360" w:lineRule="auto"/>
        <w:ind w:firstLine="560" w:firstLineChars="200"/>
        <w:jc w:val="left"/>
        <w:textAlignment w:val="auto"/>
        <w:rPr>
          <w:color w:val="auto"/>
          <w:highlight w:val="none"/>
        </w:rPr>
      </w:pPr>
      <w:r>
        <w:rPr>
          <w:rFonts w:hint="eastAsia"/>
          <w:color w:val="auto"/>
          <w:highlight w:val="none"/>
          <w:lang w:eastAsia="zh-CN"/>
        </w:rPr>
        <w:t>4.</w:t>
      </w:r>
      <w:r>
        <w:rPr>
          <w:rFonts w:hint="eastAsia"/>
          <w:color w:val="auto"/>
          <w:highlight w:val="none"/>
          <w:lang w:val="en-US" w:eastAsia="zh-CN"/>
        </w:rPr>
        <w:t>3</w:t>
      </w:r>
      <w:r>
        <w:rPr>
          <w:rFonts w:hint="eastAsia"/>
          <w:color w:val="auto"/>
          <w:highlight w:val="none"/>
          <w:lang w:eastAsia="zh-CN"/>
        </w:rPr>
        <w:t>.1</w:t>
      </w:r>
      <w:r>
        <w:rPr>
          <w:color w:val="auto"/>
          <w:highlight w:val="none"/>
        </w:rPr>
        <w:t>基础资料收集</w:t>
      </w:r>
    </w:p>
    <w:p w14:paraId="5BDA0041">
      <w:pPr>
        <w:pageBreakBefore w:val="0"/>
        <w:kinsoku/>
        <w:wordWrap/>
        <w:overflowPunct/>
        <w:topLinePunct w:val="0"/>
        <w:autoSpaceDE/>
        <w:autoSpaceDN/>
        <w:bidi w:val="0"/>
        <w:snapToGrid/>
        <w:spacing w:line="360" w:lineRule="auto"/>
        <w:ind w:firstLine="480" w:firstLineChars="200"/>
        <w:jc w:val="left"/>
        <w:textAlignment w:val="auto"/>
        <w:rPr>
          <w:color w:val="auto"/>
          <w:sz w:val="24"/>
          <w:highlight w:val="none"/>
        </w:rPr>
      </w:pPr>
      <w:r>
        <w:rPr>
          <w:color w:val="auto"/>
          <w:sz w:val="24"/>
          <w:highlight w:val="none"/>
        </w:rPr>
        <w:t>收集整理项目区域及邻近地区的相关自然地理资料如气候、地形地貌、土壤、动植物资源及现有生物多样性资料，在综合分析现有资料的基础上，确定生态调查范围、生态调查路线、生态监测布点。收集到的资料包括</w:t>
      </w:r>
      <w:r>
        <w:rPr>
          <w:rFonts w:hint="eastAsia"/>
          <w:color w:val="auto"/>
          <w:sz w:val="24"/>
          <w:highlight w:val="none"/>
        </w:rPr>
        <w:t>《河北植物志》《国家重点保护野生动物名录》（国家林业和草原局 农业农村部公告 2021年第3号）、《国家重点保护野生植物名录》（国家林业和草原局 农业农村部公告 2021年第15号）、《河北省重点保护野生植物名录》（第一批）（2010）、《河北省人民政府关于调整河北省重点保护陆生野生动物名录的通知（冀政字〔2022〕6号）》</w:t>
      </w:r>
      <w:r>
        <w:rPr>
          <w:rFonts w:hint="eastAsia" w:eastAsia="宋体" w:cs="Times New Roman"/>
          <w:bCs/>
          <w:color w:val="auto"/>
          <w:szCs w:val="24"/>
          <w:highlight w:val="none"/>
        </w:rPr>
        <w:t>《河北滦河上游国家级自然保护区总体规划（2008~2015年）》《河北滦河上游国家级自然保护区科学考察报告（2019 年）》</w:t>
      </w:r>
      <w:r>
        <w:rPr>
          <w:rFonts w:hint="eastAsia" w:eastAsia="宋体" w:cs="Times New Roman"/>
          <w:bCs/>
          <w:color w:val="auto"/>
          <w:szCs w:val="24"/>
          <w:highlight w:val="none"/>
          <w:lang w:eastAsia="zh-CN"/>
        </w:rPr>
        <w:t>《华能围场“风光储氢热一体化”项目（光伏200MW）项目220kV送出线路工程对河北滦河上游国家级自然保护区生物多样性影响评价报告》</w:t>
      </w:r>
      <w:r>
        <w:rPr>
          <w:color w:val="auto"/>
          <w:sz w:val="24"/>
          <w:highlight w:val="none"/>
        </w:rPr>
        <w:t>等。</w:t>
      </w:r>
    </w:p>
    <w:p w14:paraId="494DD373">
      <w:pPr>
        <w:pStyle w:val="9"/>
        <w:pageBreakBefore w:val="0"/>
        <w:numPr>
          <w:ilvl w:val="0"/>
          <w:numId w:val="0"/>
        </w:numPr>
        <w:kinsoku/>
        <w:wordWrap/>
        <w:overflowPunct/>
        <w:topLinePunct w:val="0"/>
        <w:autoSpaceDE/>
        <w:autoSpaceDN/>
        <w:bidi w:val="0"/>
        <w:snapToGrid/>
        <w:spacing w:line="360" w:lineRule="auto"/>
        <w:ind w:firstLine="560" w:firstLineChars="200"/>
        <w:jc w:val="left"/>
        <w:textAlignment w:val="auto"/>
        <w:rPr>
          <w:color w:val="auto"/>
          <w:highlight w:val="none"/>
        </w:rPr>
      </w:pPr>
      <w:r>
        <w:rPr>
          <w:rFonts w:hint="eastAsia"/>
          <w:color w:val="auto"/>
          <w:highlight w:val="none"/>
          <w:lang w:eastAsia="zh-CN"/>
        </w:rPr>
        <w:t>4.</w:t>
      </w:r>
      <w:r>
        <w:rPr>
          <w:rFonts w:hint="eastAsia"/>
          <w:color w:val="auto"/>
          <w:highlight w:val="none"/>
          <w:lang w:val="en-US" w:eastAsia="zh-CN"/>
        </w:rPr>
        <w:t>3</w:t>
      </w:r>
      <w:r>
        <w:rPr>
          <w:rFonts w:hint="eastAsia"/>
          <w:color w:val="auto"/>
          <w:highlight w:val="none"/>
          <w:lang w:eastAsia="zh-CN"/>
        </w:rPr>
        <w:t>.2</w:t>
      </w:r>
      <w:r>
        <w:rPr>
          <w:color w:val="auto"/>
          <w:highlight w:val="none"/>
        </w:rPr>
        <w:t>遥感数据获取和处理</w:t>
      </w:r>
    </w:p>
    <w:p w14:paraId="4F656EDF">
      <w:pPr>
        <w:pStyle w:val="10"/>
        <w:pageBreakBefore w:val="0"/>
        <w:numPr>
          <w:ilvl w:val="0"/>
          <w:numId w:val="0"/>
        </w:numPr>
        <w:tabs>
          <w:tab w:val="left" w:pos="1680"/>
        </w:tabs>
        <w:kinsoku/>
        <w:wordWrap/>
        <w:overflowPunct/>
        <w:topLinePunct w:val="0"/>
        <w:autoSpaceDE/>
        <w:autoSpaceDN/>
        <w:bidi w:val="0"/>
        <w:snapToGrid/>
        <w:spacing w:before="0" w:after="0" w:line="360" w:lineRule="auto"/>
        <w:ind w:firstLine="562" w:firstLineChars="200"/>
        <w:jc w:val="left"/>
        <w:textAlignment w:val="auto"/>
        <w:rPr>
          <w:color w:val="auto"/>
          <w:highlight w:val="none"/>
        </w:rPr>
      </w:pPr>
      <w:r>
        <w:rPr>
          <w:rFonts w:hint="eastAsia"/>
          <w:color w:val="auto"/>
          <w:highlight w:val="none"/>
          <w:lang w:eastAsia="zh-CN"/>
        </w:rPr>
        <w:t>4.</w:t>
      </w:r>
      <w:r>
        <w:rPr>
          <w:rFonts w:hint="eastAsia"/>
          <w:color w:val="auto"/>
          <w:highlight w:val="none"/>
          <w:lang w:val="en-US" w:eastAsia="zh-CN"/>
        </w:rPr>
        <w:t>3</w:t>
      </w:r>
      <w:r>
        <w:rPr>
          <w:rFonts w:hint="eastAsia"/>
          <w:color w:val="auto"/>
          <w:highlight w:val="none"/>
          <w:lang w:eastAsia="zh-CN"/>
        </w:rPr>
        <w:t>.2.1</w:t>
      </w:r>
      <w:r>
        <w:rPr>
          <w:color w:val="auto"/>
          <w:highlight w:val="none"/>
        </w:rPr>
        <w:t>遥感数据源的选择和解译</w:t>
      </w:r>
    </w:p>
    <w:p w14:paraId="234789E4">
      <w:pPr>
        <w:pageBreakBefore w:val="0"/>
        <w:kinsoku/>
        <w:wordWrap/>
        <w:overflowPunct/>
        <w:topLinePunct w:val="0"/>
        <w:autoSpaceDE/>
        <w:autoSpaceDN/>
        <w:bidi w:val="0"/>
        <w:snapToGrid/>
        <w:spacing w:line="360" w:lineRule="auto"/>
        <w:ind w:firstLine="480" w:firstLineChars="200"/>
        <w:jc w:val="left"/>
        <w:textAlignment w:val="auto"/>
        <w:rPr>
          <w:color w:val="auto"/>
          <w:sz w:val="24"/>
          <w:highlight w:val="none"/>
        </w:rPr>
      </w:pPr>
      <w:r>
        <w:rPr>
          <w:rFonts w:hint="eastAsia"/>
          <w:color w:val="auto"/>
          <w:sz w:val="24"/>
          <w:highlight w:val="none"/>
        </w:rPr>
        <w:t>本次解译选取2021年8月的资源三号（ZY-3）影像像数据作为基本信息源，全色空间分辨率2.1m，经过融合处理后的图像地表信息丰富，有利于生态环境因子遥感解译标志的建立，保证了各生态环境要素解译成果的准确性。采用人机交互解译的方式进行初步解译，对解译结果进行外业核查并进行室内修正，得到最终的解译结果。</w:t>
      </w:r>
    </w:p>
    <w:p w14:paraId="07E160B8">
      <w:pPr>
        <w:pStyle w:val="10"/>
        <w:pageBreakBefore w:val="0"/>
        <w:numPr>
          <w:ilvl w:val="0"/>
          <w:numId w:val="0"/>
        </w:numPr>
        <w:tabs>
          <w:tab w:val="left" w:pos="1680"/>
        </w:tabs>
        <w:kinsoku/>
        <w:wordWrap/>
        <w:overflowPunct/>
        <w:topLinePunct w:val="0"/>
        <w:autoSpaceDE/>
        <w:autoSpaceDN/>
        <w:bidi w:val="0"/>
        <w:snapToGrid/>
        <w:spacing w:before="0" w:after="0" w:line="360" w:lineRule="auto"/>
        <w:ind w:firstLine="562" w:firstLineChars="200"/>
        <w:jc w:val="left"/>
        <w:textAlignment w:val="auto"/>
        <w:rPr>
          <w:color w:val="auto"/>
          <w:highlight w:val="none"/>
        </w:rPr>
      </w:pPr>
      <w:r>
        <w:rPr>
          <w:rFonts w:hint="eastAsia"/>
          <w:color w:val="auto"/>
          <w:highlight w:val="none"/>
          <w:lang w:eastAsia="zh-CN"/>
        </w:rPr>
        <w:t>4.</w:t>
      </w:r>
      <w:r>
        <w:rPr>
          <w:rFonts w:hint="eastAsia"/>
          <w:color w:val="auto"/>
          <w:highlight w:val="none"/>
          <w:lang w:val="en-US" w:eastAsia="zh-CN"/>
        </w:rPr>
        <w:t>3</w:t>
      </w:r>
      <w:r>
        <w:rPr>
          <w:rFonts w:hint="eastAsia"/>
          <w:color w:val="auto"/>
          <w:highlight w:val="none"/>
          <w:lang w:eastAsia="zh-CN"/>
        </w:rPr>
        <w:t>.2.2</w:t>
      </w:r>
      <w:r>
        <w:rPr>
          <w:color w:val="auto"/>
          <w:highlight w:val="none"/>
        </w:rPr>
        <w:t>利用“3S”技术进行生态制图</w:t>
      </w:r>
    </w:p>
    <w:p w14:paraId="0A90DC71">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Ansi="宋体"/>
          <w:color w:val="auto"/>
          <w:sz w:val="24"/>
          <w:highlight w:val="none"/>
        </w:rPr>
        <w:t>采用</w:t>
      </w:r>
      <w:r>
        <w:rPr>
          <w:color w:val="auto"/>
          <w:sz w:val="24"/>
          <w:highlight w:val="none"/>
        </w:rPr>
        <w:t>GPS</w:t>
      </w:r>
      <w:r>
        <w:rPr>
          <w:rFonts w:hAnsi="宋体"/>
          <w:color w:val="auto"/>
          <w:sz w:val="24"/>
          <w:highlight w:val="none"/>
        </w:rPr>
        <w:t>、</w:t>
      </w:r>
      <w:r>
        <w:rPr>
          <w:color w:val="auto"/>
          <w:sz w:val="24"/>
          <w:highlight w:val="none"/>
        </w:rPr>
        <w:t>RS</w:t>
      </w:r>
      <w:r>
        <w:rPr>
          <w:rFonts w:hAnsi="宋体"/>
          <w:color w:val="auto"/>
          <w:sz w:val="24"/>
          <w:highlight w:val="none"/>
        </w:rPr>
        <w:t>和</w:t>
      </w:r>
      <w:r>
        <w:rPr>
          <w:color w:val="auto"/>
          <w:sz w:val="24"/>
          <w:highlight w:val="none"/>
        </w:rPr>
        <w:t>GIS</w:t>
      </w:r>
      <w:r>
        <w:rPr>
          <w:rFonts w:hAnsi="宋体"/>
          <w:color w:val="auto"/>
          <w:sz w:val="24"/>
          <w:highlight w:val="none"/>
        </w:rPr>
        <w:t>相结合的空间信息技术，进行地面类型的数字化判读，完成数字化的植被图和土地利用类型图，进行景观质量和生态环境质量的定性和定量评价。</w:t>
      </w:r>
    </w:p>
    <w:p w14:paraId="086A06E4">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Ansi="宋体"/>
          <w:color w:val="auto"/>
          <w:sz w:val="24"/>
          <w:highlight w:val="none"/>
        </w:rPr>
        <w:t>从遥感信息获取的地面覆盖类型，必需在地面调查和历史植被基础上进行综合判读，采用监督分类的方法才能最终赋予生态学的含义。生态环境现状遥感信息提取将以</w:t>
      </w:r>
      <w:r>
        <w:rPr>
          <w:rFonts w:hint="eastAsia" w:hAnsi="宋体"/>
          <w:color w:val="auto"/>
          <w:sz w:val="24"/>
          <w:highlight w:val="none"/>
        </w:rPr>
        <w:t>2021年8月的资源三号（ZY-3）</w:t>
      </w:r>
      <w:r>
        <w:rPr>
          <w:rFonts w:hAnsi="宋体"/>
          <w:color w:val="auto"/>
          <w:sz w:val="24"/>
          <w:highlight w:val="none"/>
        </w:rPr>
        <w:t>作为主要数据源进行评价范围内土地利用</w:t>
      </w:r>
      <w:r>
        <w:rPr>
          <w:color w:val="auto"/>
          <w:sz w:val="24"/>
          <w:highlight w:val="none"/>
        </w:rPr>
        <w:t>/</w:t>
      </w:r>
      <w:r>
        <w:rPr>
          <w:rFonts w:hAnsi="宋体"/>
          <w:color w:val="auto"/>
          <w:sz w:val="24"/>
          <w:highlight w:val="none"/>
        </w:rPr>
        <w:t>土地覆被现状解析（包括数据几何校正、地表覆盖分类判读等）。</w:t>
      </w:r>
    </w:p>
    <w:p w14:paraId="65606166">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Ansi="宋体"/>
          <w:color w:val="auto"/>
          <w:sz w:val="24"/>
          <w:highlight w:val="none"/>
        </w:rPr>
        <w:t>根据调查区域生态环境特征，结合遥感手段的优势，对构成生态环境的某一专题要素进行信息提取，分析其现状、变化及趋势。采用数据生产、质量检查相分离的工作方法进行。</w:t>
      </w:r>
      <w:r>
        <w:rPr>
          <w:rFonts w:hAnsi="宋体"/>
          <w:bCs/>
          <w:color w:val="auto"/>
          <w:sz w:val="24"/>
          <w:highlight w:val="none"/>
        </w:rPr>
        <w:t>卫星</w:t>
      </w:r>
      <w:r>
        <w:rPr>
          <w:rFonts w:hAnsi="宋体"/>
          <w:color w:val="auto"/>
          <w:sz w:val="24"/>
          <w:highlight w:val="none"/>
        </w:rPr>
        <w:t>空间分辨率为全色和多光谱，以反映地面植被特征的卫星遥感影像，其中植被影像主要反映为绿色。植被类型不同，色彩和色调发生相应变化，因此可区分出植被亚型以上的植被类型以及农田、居民地等地面类型。此外，植被类型的确定需结合不同植被类型分布的生态学特征，不能单纯依靠色彩进行划分，对监督分类产生的植被初图，结合地面的</w:t>
      </w:r>
      <w:r>
        <w:rPr>
          <w:color w:val="auto"/>
          <w:sz w:val="24"/>
          <w:highlight w:val="none"/>
        </w:rPr>
        <w:t>GPS</w:t>
      </w:r>
      <w:r>
        <w:rPr>
          <w:rFonts w:hAnsi="宋体"/>
          <w:color w:val="auto"/>
          <w:sz w:val="24"/>
          <w:highlight w:val="none"/>
        </w:rPr>
        <w:t>样点等信息，对植被图进行目视解译校正，得到符合精度要求的植被图。在植被图的基础上，进一步合并有关地面类型，得到现状土地利用类型图。</w:t>
      </w:r>
    </w:p>
    <w:p w14:paraId="68A636C5">
      <w:pPr>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Ansi="宋体"/>
          <w:color w:val="auto"/>
          <w:sz w:val="24"/>
          <w:highlight w:val="none"/>
        </w:rPr>
        <w:t>生态项目区植被调查是通过实地勘察、卫片解译、室内分析并结合收集的资料经综合分析而完成。卫片信息的提取过程如下：对选取的卫星数据，利用遥感图象处理软件进行解译，并经几何精校正、图象增强、进行融合，根据各类环境信息数据及相关图像处理软件进行综合分析，得到项目区内生态环境研究所需的相关数据和生态图件。</w:t>
      </w:r>
    </w:p>
    <w:p w14:paraId="0D8E8CE2">
      <w:pPr>
        <w:pStyle w:val="9"/>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eastAsiaTheme="minorEastAsia"/>
          <w:color w:val="auto"/>
          <w:highlight w:val="none"/>
          <w:lang w:eastAsia="zh-CN"/>
        </w:rPr>
      </w:pPr>
      <w:r>
        <w:rPr>
          <w:rFonts w:hint="eastAsia"/>
          <w:color w:val="auto"/>
          <w:highlight w:val="none"/>
          <w:lang w:eastAsia="zh-CN"/>
        </w:rPr>
        <w:t>4.</w:t>
      </w:r>
      <w:r>
        <w:rPr>
          <w:rFonts w:hint="eastAsia"/>
          <w:color w:val="auto"/>
          <w:highlight w:val="none"/>
          <w:lang w:val="en-US" w:eastAsia="zh-CN"/>
        </w:rPr>
        <w:t>3</w:t>
      </w:r>
      <w:r>
        <w:rPr>
          <w:rFonts w:hint="eastAsia"/>
          <w:color w:val="auto"/>
          <w:highlight w:val="none"/>
          <w:lang w:eastAsia="zh-CN"/>
        </w:rPr>
        <w:t>.3</w:t>
      </w:r>
      <w:r>
        <w:rPr>
          <w:color w:val="auto"/>
          <w:highlight w:val="none"/>
        </w:rPr>
        <w:t>野外动植物调查方法</w:t>
      </w:r>
      <w:r>
        <w:rPr>
          <w:rFonts w:hint="eastAsia"/>
          <w:color w:val="auto"/>
          <w:highlight w:val="none"/>
          <w:lang w:eastAsia="zh-CN"/>
        </w:rPr>
        <w:t>及布置</w:t>
      </w:r>
    </w:p>
    <w:p w14:paraId="122786BD">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ascii="宋体" w:hAnsi="宋体" w:eastAsia="宋体"/>
          <w:color w:val="auto"/>
          <w:sz w:val="24"/>
          <w:szCs w:val="24"/>
          <w:highlight w:val="none"/>
          <w:lang w:eastAsia="zh-CN"/>
        </w:rPr>
        <w:t>调查方法</w:t>
      </w:r>
      <w:r>
        <w:rPr>
          <w:rFonts w:hint="eastAsia" w:ascii="宋体" w:hAnsi="宋体" w:eastAsia="宋体"/>
          <w:color w:val="auto"/>
          <w:sz w:val="24"/>
          <w:szCs w:val="24"/>
          <w:highlight w:val="none"/>
        </w:rPr>
        <w:t>包括基础资料收集、野外实地调查法（包括植物样方、动物样线调查法）、文献查阅、遥感解译法、访问有关部门和公众等相结合的方法。</w:t>
      </w:r>
      <w:r>
        <w:rPr>
          <w:rFonts w:hint="eastAsia" w:ascii="宋体" w:hAnsi="宋体" w:eastAsia="宋体"/>
          <w:color w:val="auto"/>
          <w:sz w:val="23"/>
          <w:szCs w:val="24"/>
          <w:highlight w:val="none"/>
        </w:rPr>
        <w:t xml:space="preserve"> </w:t>
      </w:r>
    </w:p>
    <w:p w14:paraId="36719E62">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植被及植物多样性调查</w:t>
      </w:r>
    </w:p>
    <w:p w14:paraId="4AA3DA65">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调查区域是河北坝上高原温带草原生态系统的典型区域，从本区的自然景观上看，包括了温带森林草甸、草甸草原景观等。高原寒冷干燥气候使这里生长发育了以耐寒、耐旱草本植物为主的草原植被。其典型植被是以禾本科、豆科、蔷薇科和菊科等种类为主的温带草原。</w:t>
      </w:r>
    </w:p>
    <w:p w14:paraId="6D7802C8">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植物群落调查和植物现状调查采取样方调查，在评价区不同海拔、不同类型、不同区域内设置样方、在样方上识别和记录看到的植物物种。物种多样性调查的基本内容包括评价区植物种类和分布，以及重点保护物种的种群数量和分布（经纬度和海拔）。调查重点是种子植物。</w:t>
      </w:r>
    </w:p>
    <w:p w14:paraId="355233E5">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调查时间：</w:t>
      </w:r>
      <w:r>
        <w:rPr>
          <w:rFonts w:hint="eastAsia"/>
          <w:color w:val="auto"/>
          <w:highlight w:val="none"/>
          <w:lang w:val="en-US" w:eastAsia="zh-CN"/>
        </w:rPr>
        <w:t>2024</w:t>
      </w:r>
      <w:r>
        <w:rPr>
          <w:rFonts w:hint="eastAsia"/>
          <w:color w:val="auto"/>
          <w:highlight w:val="none"/>
          <w:lang w:eastAsia="zh-CN"/>
        </w:rPr>
        <w:t>年</w:t>
      </w:r>
      <w:r>
        <w:rPr>
          <w:rFonts w:hint="eastAsia"/>
          <w:color w:val="auto"/>
          <w:highlight w:val="none"/>
          <w:lang w:val="en-US" w:eastAsia="zh-CN"/>
        </w:rPr>
        <w:t>8</w:t>
      </w:r>
      <w:r>
        <w:rPr>
          <w:rFonts w:hint="eastAsia"/>
          <w:color w:val="auto"/>
          <w:highlight w:val="none"/>
          <w:lang w:eastAsia="zh-CN"/>
        </w:rPr>
        <w:t>月2</w:t>
      </w:r>
      <w:r>
        <w:rPr>
          <w:rFonts w:hint="eastAsia"/>
          <w:color w:val="auto"/>
          <w:highlight w:val="none"/>
          <w:lang w:val="en-US" w:eastAsia="zh-CN"/>
        </w:rPr>
        <w:t>1</w:t>
      </w:r>
      <w:r>
        <w:rPr>
          <w:rFonts w:hint="eastAsia"/>
          <w:color w:val="auto"/>
          <w:highlight w:val="none"/>
          <w:lang w:eastAsia="zh-CN"/>
        </w:rPr>
        <w:t>日-</w:t>
      </w:r>
      <w:r>
        <w:rPr>
          <w:rFonts w:hint="eastAsia"/>
          <w:color w:val="auto"/>
          <w:highlight w:val="none"/>
          <w:lang w:val="en-US" w:eastAsia="zh-CN"/>
        </w:rPr>
        <w:t>8</w:t>
      </w:r>
      <w:r>
        <w:rPr>
          <w:rFonts w:hint="eastAsia"/>
          <w:color w:val="auto"/>
          <w:highlight w:val="none"/>
          <w:lang w:eastAsia="zh-CN"/>
        </w:rPr>
        <w:t>月2</w:t>
      </w:r>
      <w:r>
        <w:rPr>
          <w:rFonts w:hint="eastAsia"/>
          <w:color w:val="auto"/>
          <w:highlight w:val="none"/>
          <w:lang w:val="en-US" w:eastAsia="zh-CN"/>
        </w:rPr>
        <w:t>4</w:t>
      </w:r>
      <w:r>
        <w:rPr>
          <w:rFonts w:hint="eastAsia"/>
          <w:color w:val="auto"/>
          <w:highlight w:val="none"/>
          <w:lang w:eastAsia="zh-CN"/>
        </w:rPr>
        <w:t>日。</w:t>
      </w:r>
    </w:p>
    <w:p w14:paraId="7E050116">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样方设置：植物群落样线调查时用目测法，在调查典型代表性植物群落类型中随机抽取植物样方。植被样方调查时，根据乔木、灌丛、草地优势种确定植物群落类型，在工程所在区域各类植物群落中均要抽取样方，做样方调查。植物样方调查中分成乔木、灌木和草本三种类型，大小分别为20m×20m，5m×5m，1m×1m。本项目在重点评价区共设置了</w:t>
      </w:r>
      <w:r>
        <w:rPr>
          <w:rFonts w:hint="eastAsia"/>
          <w:color w:val="auto"/>
          <w:highlight w:val="none"/>
          <w:lang w:val="en-US" w:eastAsia="zh-CN"/>
        </w:rPr>
        <w:t>23</w:t>
      </w:r>
      <w:r>
        <w:rPr>
          <w:rFonts w:hint="eastAsia"/>
          <w:color w:val="auto"/>
          <w:highlight w:val="none"/>
          <w:lang w:eastAsia="zh-CN"/>
        </w:rPr>
        <w:t>个样地调查。调查样方布设与植被图相对应，确保涵盖当地典型植被类型和不同优势种群落。</w:t>
      </w:r>
    </w:p>
    <w:p w14:paraId="51B549F4">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调查内容：样方调查中，识别并记录样方中的植物种、胸径和树高（乔木）、基径和树高（灌木）、高度、盖度，郁闭度、地理位置、小地名等基本地理数据。植物物种鉴定中记录植物的科、属、种名，调查中对植物种属能直接进行鉴定的就立即进行鉴定，不能立即鉴定的带回实验室。国家重点保护植物记录经纬度、海拔、生境和种群数量。</w:t>
      </w:r>
    </w:p>
    <w:p w14:paraId="5116AF6E">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动物及动物多样性调查</w:t>
      </w:r>
    </w:p>
    <w:p w14:paraId="7D7EAFB5">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项目所处区域在动物地理区划位置上隶属古北界蒙新区和华北区的交汇地带。从陆生脊椎动物区系成分来看，以古北型种类为主，其次为东北型（东北地区或附近地区)和全北型，体现了较明显的北方型特征，亦反映了地理分布由北方型向东北型的过渡性，此外，分布广泛难以确定的种类较多，呈现了以北方种类为主、各类型物种混杂的局面。</w:t>
      </w:r>
    </w:p>
    <w:p w14:paraId="22F9BF03">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其中现场调查采用现场样线调查，除收集资料外，还访问了围场县林业与草原局、保护区管理处等部门，现场访问了当地农牧民。</w:t>
      </w:r>
    </w:p>
    <w:p w14:paraId="115EF39E">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动物物种重点调查区域中按植被类型设置样线，并考虑不同海拔。鸟类野外样线调查中，根据见到的个体、听到的鸣叫或者痕迹如羽毛识别物种。对于大型鸟类，采用了访问法调查，访问中记录看到的标本、羽毛、实体等。兽类调查与鸟类样线和访问调查同时进行。野外调查中根据观察到的兽类实体、毛发、粪便、脚印和其他活动痕迹等识别大中型兽类。</w:t>
      </w:r>
    </w:p>
    <w:p w14:paraId="161CCE23">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样线调查法：现场调查采用动物样线法，评价范围内共有森林、灌丛、草原3种生境类型，本次现场调查共布设样线</w:t>
      </w:r>
      <w:r>
        <w:rPr>
          <w:rFonts w:hint="eastAsia"/>
          <w:color w:val="auto"/>
          <w:highlight w:val="none"/>
          <w:lang w:val="en-US" w:eastAsia="zh-CN"/>
        </w:rPr>
        <w:t>8</w:t>
      </w:r>
      <w:r>
        <w:rPr>
          <w:rFonts w:hint="eastAsia"/>
          <w:color w:val="auto"/>
          <w:highlight w:val="none"/>
          <w:lang w:eastAsia="zh-CN"/>
        </w:rPr>
        <w:t>条，保证森林生境、灌丛生境、草原每种生境类型布设不少于5条，样线调查位置见附图</w:t>
      </w:r>
      <w:r>
        <w:rPr>
          <w:rFonts w:hint="eastAsia"/>
          <w:color w:val="auto"/>
          <w:highlight w:val="none"/>
          <w:lang w:val="en-US" w:eastAsia="zh-CN"/>
        </w:rPr>
        <w:t>23</w:t>
      </w:r>
      <w:r>
        <w:rPr>
          <w:rFonts w:hint="eastAsia"/>
          <w:color w:val="auto"/>
          <w:highlight w:val="none"/>
          <w:lang w:eastAsia="zh-CN"/>
        </w:rPr>
        <w:t>。根据调查区域动物栖息地植被小斑分析，植被类型单一，人为干扰大，调查区域大部分为针叶林、阔叶林、灌丛、草原。具体调查方法如下：</w:t>
      </w:r>
    </w:p>
    <w:p w14:paraId="6A433A0C">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脊椎动物物种多样性的调查根据不同脊椎动物类型采用不同的调查方法，尽量做到在不同生境中都设置样带。以样线（点）法为主，重点调查区域中所有占地地块均设置样线，一般调查区域在不同植被类型设置样线，并考虑不同海拔的差异。调查中记录物种名称、数量、海拔、生境类型，以及样线地理位置、小地名、经纬度、调查时间和调查人员等。</w:t>
      </w:r>
    </w:p>
    <w:p w14:paraId="353F5DC8">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两栖爬行类：两栖爬行类在宽为10m的样带内进行搜寻，记录观察到的种类，结合陷阱法及样方法调查种类并查阅相关的历史文献确定区域内的种类与种群数量。</w:t>
      </w:r>
    </w:p>
    <w:p w14:paraId="6642FF5F">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鸟类：采用样带观察法，样带单侧宽100m，以望远镜（10倍）观察，并辅助以鸣声特点判断鸟类种类、数量。对于大型鸟类，采用了访问法调查，访问中记录看到的标本、羽毛、实体等。</w:t>
      </w:r>
    </w:p>
    <w:p w14:paraId="702F9BC1">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兽类：采用样线调查法，主要通过动物活动痕迹来判断物种，包括足迹、粪便、取食痕迹以及毛发等证据及文献调查。</w:t>
      </w:r>
    </w:p>
    <w:p w14:paraId="38FDEB40">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综合上述工作，获得了评价区域202</w:t>
      </w:r>
      <w:r>
        <w:rPr>
          <w:rFonts w:hint="eastAsia"/>
          <w:color w:val="auto"/>
          <w:highlight w:val="none"/>
          <w:lang w:val="en-US" w:eastAsia="zh-CN"/>
        </w:rPr>
        <w:t>3</w:t>
      </w:r>
      <w:r>
        <w:rPr>
          <w:rFonts w:hint="eastAsia"/>
          <w:color w:val="auto"/>
          <w:highlight w:val="none"/>
          <w:lang w:eastAsia="zh-CN"/>
        </w:rPr>
        <w:t>年9月—202</w:t>
      </w:r>
      <w:r>
        <w:rPr>
          <w:rFonts w:hint="eastAsia"/>
          <w:color w:val="auto"/>
          <w:highlight w:val="none"/>
          <w:lang w:val="en-US" w:eastAsia="zh-CN"/>
        </w:rPr>
        <w:t>4</w:t>
      </w:r>
      <w:r>
        <w:rPr>
          <w:rFonts w:hint="eastAsia"/>
          <w:color w:val="auto"/>
          <w:highlight w:val="none"/>
          <w:lang w:eastAsia="zh-CN"/>
        </w:rPr>
        <w:t>年8月一个完整年度的动物多样性数据。</w:t>
      </w:r>
    </w:p>
    <w:p w14:paraId="42A1F8B3">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3、</w:t>
      </w:r>
      <w:r>
        <w:rPr>
          <w:rFonts w:hint="eastAsia"/>
          <w:color w:val="auto"/>
          <w:highlight w:val="none"/>
          <w:lang w:eastAsia="zh-CN"/>
        </w:rPr>
        <w:t>植物群落生物量</w:t>
      </w:r>
    </w:p>
    <w:p w14:paraId="2285D950">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为了分析工程占地造成的植被生物量损失，需要调查评价区主要植物群落生物量。生物量调查采用资料收集法，主要引用在类似区域的发表的文献。</w:t>
      </w:r>
    </w:p>
    <w:p w14:paraId="4C83A672">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4、</w:t>
      </w:r>
      <w:r>
        <w:rPr>
          <w:rFonts w:hint="eastAsia"/>
          <w:color w:val="auto"/>
          <w:highlight w:val="none"/>
          <w:lang w:eastAsia="zh-CN"/>
        </w:rPr>
        <w:t>样方调查</w:t>
      </w:r>
    </w:p>
    <w:p w14:paraId="649BC0CC">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采用GPS、RS和GIS相结合的空间信息技术，进行地面类型的数字化判读， 完成数字化的植被类型图和生态系统类型图，进行景观质量和生态质量的定性和定量评价。根据工作精度满足万分之一以上比例要求的遥感解译植被类型图区分出植被群系主要为：落叶松、樟子松、油松群系；蒙古栎、白桦、山杨群系；杂草草甸群系以及绣线菊、榛子、胡枝子群系。生态系统类型图区分出森林、草原、灌丛等生境类型。</w:t>
      </w:r>
    </w:p>
    <w:p w14:paraId="7A31A591">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结合植被图、遥感资料与实地调查，评价区坝上植被类型为丛生禾草为主的草甸性草原，间或有针叶或阔叶疏林分布的林地和破碎性小面积的灌丛。坝下为森林与灌丛植被，主要以针阔混交林以及杂草灌丛为主。本次调查在草地（</w:t>
      </w:r>
      <w:r>
        <w:rPr>
          <w:rFonts w:hint="eastAsia"/>
          <w:color w:val="auto"/>
          <w:highlight w:val="none"/>
          <w:lang w:val="en-US" w:eastAsia="zh-CN"/>
        </w:rPr>
        <w:t>6</w:t>
      </w:r>
      <w:r>
        <w:rPr>
          <w:rFonts w:hint="eastAsia"/>
          <w:color w:val="auto"/>
          <w:highlight w:val="none"/>
          <w:lang w:eastAsia="zh-CN"/>
        </w:rPr>
        <w:t>个）、林地（</w:t>
      </w:r>
      <w:r>
        <w:rPr>
          <w:rFonts w:hint="eastAsia"/>
          <w:color w:val="auto"/>
          <w:highlight w:val="none"/>
          <w:lang w:val="en-US" w:eastAsia="zh-CN"/>
        </w:rPr>
        <w:t>11</w:t>
      </w:r>
      <w:r>
        <w:rPr>
          <w:rFonts w:hint="eastAsia"/>
          <w:color w:val="auto"/>
          <w:highlight w:val="none"/>
          <w:lang w:eastAsia="zh-CN"/>
        </w:rPr>
        <w:t>个）和灌丛（</w:t>
      </w:r>
      <w:r>
        <w:rPr>
          <w:rFonts w:hint="eastAsia"/>
          <w:color w:val="auto"/>
          <w:highlight w:val="none"/>
          <w:lang w:val="en-US" w:eastAsia="zh-CN"/>
        </w:rPr>
        <w:t>6</w:t>
      </w:r>
      <w:r>
        <w:rPr>
          <w:rFonts w:hint="eastAsia"/>
          <w:color w:val="auto"/>
          <w:highlight w:val="none"/>
          <w:lang w:eastAsia="zh-CN"/>
        </w:rPr>
        <w:t>个）共设定了</w:t>
      </w:r>
      <w:r>
        <w:rPr>
          <w:rFonts w:hint="eastAsia"/>
          <w:color w:val="auto"/>
          <w:highlight w:val="none"/>
          <w:lang w:val="en-US" w:eastAsia="zh-CN"/>
        </w:rPr>
        <w:t>23</w:t>
      </w:r>
      <w:r>
        <w:rPr>
          <w:rFonts w:hint="eastAsia"/>
          <w:color w:val="auto"/>
          <w:highlight w:val="none"/>
          <w:lang w:eastAsia="zh-CN"/>
        </w:rPr>
        <w:t>观测样地点。</w:t>
      </w:r>
    </w:p>
    <w:p w14:paraId="6583503B">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eastAsia="zh-CN"/>
        </w:rPr>
        <w:t>依据《环境影响评价技术导则 生态影响》（HJ19-2022）规定，在评价区内对落叶松、樟子松、油松群系（观测样方</w:t>
      </w:r>
      <w:r>
        <w:rPr>
          <w:rFonts w:hint="eastAsia"/>
          <w:color w:val="auto"/>
          <w:highlight w:val="none"/>
          <w:lang w:val="en-US" w:eastAsia="zh-CN"/>
        </w:rPr>
        <w:t>5</w:t>
      </w:r>
      <w:r>
        <w:rPr>
          <w:rFonts w:hint="eastAsia"/>
          <w:color w:val="auto"/>
          <w:highlight w:val="none"/>
          <w:lang w:eastAsia="zh-CN"/>
        </w:rPr>
        <w:t>个）、蒙古栎、白桦、山杨群系（观测样样方</w:t>
      </w:r>
      <w:r>
        <w:rPr>
          <w:rFonts w:hint="eastAsia"/>
          <w:color w:val="auto"/>
          <w:highlight w:val="none"/>
          <w:lang w:val="en-US" w:eastAsia="zh-CN"/>
        </w:rPr>
        <w:t>6</w:t>
      </w:r>
      <w:r>
        <w:rPr>
          <w:rFonts w:hint="eastAsia"/>
          <w:color w:val="auto"/>
          <w:highlight w:val="none"/>
          <w:lang w:eastAsia="zh-CN"/>
        </w:rPr>
        <w:t>个）、绣线菊、榛子、胡枝子群系（观测样方1</w:t>
      </w:r>
      <w:r>
        <w:rPr>
          <w:rFonts w:hint="eastAsia"/>
          <w:color w:val="auto"/>
          <w:highlight w:val="none"/>
          <w:lang w:val="en-US" w:eastAsia="zh-CN"/>
        </w:rPr>
        <w:t>3</w:t>
      </w:r>
      <w:r>
        <w:rPr>
          <w:rFonts w:hint="eastAsia"/>
          <w:color w:val="auto"/>
          <w:highlight w:val="none"/>
          <w:lang w:eastAsia="zh-CN"/>
        </w:rPr>
        <w:t>个）和杂草草甸群系（观测样方</w:t>
      </w:r>
      <w:r>
        <w:rPr>
          <w:rFonts w:hint="eastAsia"/>
          <w:color w:val="auto"/>
          <w:highlight w:val="none"/>
          <w:lang w:val="en-US" w:eastAsia="zh-CN"/>
        </w:rPr>
        <w:t>23</w:t>
      </w:r>
      <w:r>
        <w:rPr>
          <w:rFonts w:hint="eastAsia"/>
          <w:color w:val="auto"/>
          <w:highlight w:val="none"/>
          <w:lang w:eastAsia="zh-CN"/>
        </w:rPr>
        <w:t>个）等4个群系类型，在</w:t>
      </w:r>
      <w:r>
        <w:rPr>
          <w:rFonts w:hint="eastAsia"/>
          <w:color w:val="auto"/>
          <w:highlight w:val="none"/>
          <w:lang w:val="en-US" w:eastAsia="zh-CN"/>
        </w:rPr>
        <w:t>23</w:t>
      </w:r>
      <w:r>
        <w:rPr>
          <w:rFonts w:hint="eastAsia"/>
          <w:color w:val="auto"/>
          <w:highlight w:val="none"/>
          <w:lang w:eastAsia="zh-CN"/>
        </w:rPr>
        <w:t>个观测样地点上，每个样点设置1~3个一定面积的均质样方共</w:t>
      </w:r>
      <w:r>
        <w:rPr>
          <w:rFonts w:hint="eastAsia"/>
          <w:color w:val="auto"/>
          <w:highlight w:val="none"/>
          <w:lang w:val="en-US" w:eastAsia="zh-CN"/>
        </w:rPr>
        <w:t>47</w:t>
      </w:r>
      <w:r>
        <w:rPr>
          <w:rFonts w:hint="eastAsia"/>
          <w:color w:val="auto"/>
          <w:highlight w:val="none"/>
          <w:lang w:eastAsia="zh-CN"/>
        </w:rPr>
        <w:t>个。保证每个群系类型选取不少于5个样测样地点，包含不同演替状态和混交比例的小群系。</w:t>
      </w:r>
    </w:p>
    <w:p w14:paraId="258250E8">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olor w:val="auto"/>
          <w:highlight w:val="none"/>
          <w:lang w:val="en-US" w:eastAsia="zh-CN"/>
        </w:rPr>
        <w:t>47</w:t>
      </w:r>
      <w:r>
        <w:rPr>
          <w:rFonts w:hint="eastAsia"/>
          <w:color w:val="auto"/>
          <w:highlight w:val="none"/>
          <w:lang w:eastAsia="zh-CN"/>
        </w:rPr>
        <w:t>个样方大小根据所调查的乔灌草层次确定。其中乔木样方</w:t>
      </w:r>
      <w:r>
        <w:rPr>
          <w:rFonts w:hint="eastAsia"/>
          <w:color w:val="auto"/>
          <w:highlight w:val="none"/>
          <w:lang w:val="en-US" w:eastAsia="zh-CN"/>
        </w:rPr>
        <w:t>11</w:t>
      </w:r>
      <w:r>
        <w:rPr>
          <w:rFonts w:hint="eastAsia"/>
          <w:color w:val="auto"/>
          <w:highlight w:val="none"/>
          <w:lang w:eastAsia="zh-CN"/>
        </w:rPr>
        <w:t>个，面积为</w:t>
      </w:r>
      <w:r>
        <w:rPr>
          <w:rFonts w:hint="eastAsia"/>
          <w:color w:val="auto"/>
          <w:highlight w:val="none"/>
          <w:lang w:val="en-US" w:eastAsia="zh-CN"/>
        </w:rPr>
        <w:t>2</w:t>
      </w:r>
      <w:r>
        <w:rPr>
          <w:rFonts w:hint="eastAsia"/>
          <w:color w:val="auto"/>
          <w:highlight w:val="none"/>
          <w:lang w:eastAsia="zh-CN"/>
        </w:rPr>
        <w:t>0m×</w:t>
      </w:r>
      <w:r>
        <w:rPr>
          <w:rFonts w:hint="eastAsia"/>
          <w:color w:val="auto"/>
          <w:highlight w:val="none"/>
          <w:lang w:val="en-US" w:eastAsia="zh-CN"/>
        </w:rPr>
        <w:t>2</w:t>
      </w:r>
      <w:r>
        <w:rPr>
          <w:rFonts w:hint="eastAsia"/>
          <w:color w:val="auto"/>
          <w:highlight w:val="none"/>
          <w:lang w:eastAsia="zh-CN"/>
        </w:rPr>
        <w:t>0m；灌木样方</w:t>
      </w:r>
      <w:r>
        <w:rPr>
          <w:rFonts w:hint="eastAsia"/>
          <w:color w:val="auto"/>
          <w:highlight w:val="none"/>
          <w:lang w:val="en-US" w:eastAsia="zh-CN"/>
        </w:rPr>
        <w:t>13</w:t>
      </w:r>
      <w:r>
        <w:rPr>
          <w:rFonts w:hint="eastAsia"/>
          <w:color w:val="auto"/>
          <w:highlight w:val="none"/>
          <w:lang w:eastAsia="zh-CN"/>
        </w:rPr>
        <w:t>个，面积为5m×5m；草本样方2</w:t>
      </w:r>
      <w:r>
        <w:rPr>
          <w:rFonts w:hint="eastAsia"/>
          <w:color w:val="auto"/>
          <w:highlight w:val="none"/>
          <w:lang w:val="en-US" w:eastAsia="zh-CN"/>
        </w:rPr>
        <w:t>3</w:t>
      </w:r>
      <w:r>
        <w:rPr>
          <w:rFonts w:hint="eastAsia"/>
          <w:color w:val="auto"/>
          <w:highlight w:val="none"/>
          <w:lang w:eastAsia="zh-CN"/>
        </w:rPr>
        <w:t>个，面积为1m×1m。</w:t>
      </w:r>
    </w:p>
    <w:p w14:paraId="5D337160">
      <w:pPr>
        <w:pStyle w:val="3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ascii="宋体" w:hAnsi="宋体" w:eastAsia="宋体"/>
          <w:color w:val="auto"/>
          <w:sz w:val="24"/>
          <w:szCs w:val="24"/>
          <w:highlight w:val="none"/>
        </w:rPr>
        <w:t>项目全线外扩</w:t>
      </w:r>
      <w:r>
        <w:rPr>
          <w:rFonts w:hint="eastAsia" w:ascii="Times New Roman" w:hAnsi="Times New Roman" w:eastAsia="Times New Roman"/>
          <w:color w:val="auto"/>
          <w:sz w:val="24"/>
          <w:szCs w:val="24"/>
          <w:highlight w:val="none"/>
        </w:rPr>
        <w:t>1km</w:t>
      </w:r>
      <w:r>
        <w:rPr>
          <w:rFonts w:hint="eastAsia" w:ascii="宋体" w:hAnsi="宋体" w:eastAsia="宋体"/>
          <w:color w:val="auto"/>
          <w:sz w:val="24"/>
          <w:szCs w:val="24"/>
          <w:highlight w:val="none"/>
        </w:rPr>
        <w:t>评价区样</w:t>
      </w:r>
      <w:r>
        <w:rPr>
          <w:rFonts w:hint="eastAsia"/>
          <w:color w:val="auto"/>
          <w:highlight w:val="none"/>
          <w:lang w:eastAsia="zh-CN"/>
        </w:rPr>
        <w:t>方调查表见表</w:t>
      </w:r>
      <w:r>
        <w:rPr>
          <w:rFonts w:hint="eastAsia"/>
          <w:color w:val="auto"/>
          <w:highlight w:val="none"/>
          <w:lang w:val="en-US" w:eastAsia="zh-CN"/>
        </w:rPr>
        <w:t>4.3-</w:t>
      </w:r>
      <w:r>
        <w:rPr>
          <w:rFonts w:hint="eastAsia"/>
          <w:color w:val="auto"/>
          <w:highlight w:val="none"/>
          <w:lang w:eastAsia="zh-CN"/>
        </w:rPr>
        <w:t>1。</w:t>
      </w:r>
    </w:p>
    <w:p w14:paraId="7F7E7703">
      <w:pPr>
        <w:pStyle w:val="37"/>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b/>
          <w:bCs/>
          <w:color w:val="auto"/>
          <w:sz w:val="21"/>
          <w:szCs w:val="21"/>
          <w:highlight w:val="none"/>
          <w:lang w:eastAsia="zh-CN"/>
        </w:rPr>
        <w:sectPr>
          <w:footerReference r:id="rId23" w:type="default"/>
          <w:pgSz w:w="11906" w:h="16839"/>
          <w:pgMar w:top="1431" w:right="1724" w:bottom="1152" w:left="1785" w:header="0" w:footer="987" w:gutter="0"/>
          <w:pgNumType w:fmt="decimal"/>
          <w:cols w:space="720" w:num="1"/>
        </w:sectPr>
      </w:pPr>
    </w:p>
    <w:p w14:paraId="5C2D5E7D">
      <w:pPr>
        <w:pStyle w:val="37"/>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b/>
          <w:bCs/>
          <w:color w:val="auto"/>
          <w:sz w:val="21"/>
          <w:szCs w:val="21"/>
          <w:highlight w:val="none"/>
          <w:lang w:eastAsia="zh-CN"/>
        </w:rPr>
      </w:pPr>
      <w:r>
        <w:rPr>
          <w:rFonts w:hint="eastAsia"/>
          <w:b/>
          <w:bCs/>
          <w:color w:val="auto"/>
          <w:sz w:val="21"/>
          <w:szCs w:val="21"/>
          <w:highlight w:val="none"/>
          <w:lang w:eastAsia="zh-CN"/>
        </w:rPr>
        <w:t>表</w:t>
      </w:r>
      <w:r>
        <w:rPr>
          <w:rFonts w:hint="eastAsia"/>
          <w:b/>
          <w:bCs/>
          <w:color w:val="auto"/>
          <w:sz w:val="21"/>
          <w:szCs w:val="21"/>
          <w:highlight w:val="none"/>
          <w:lang w:val="en-US" w:eastAsia="zh-CN"/>
        </w:rPr>
        <w:t>4.3</w:t>
      </w:r>
      <w:r>
        <w:rPr>
          <w:rFonts w:hint="eastAsia"/>
          <w:b/>
          <w:bCs/>
          <w:color w:val="auto"/>
          <w:sz w:val="21"/>
          <w:szCs w:val="21"/>
          <w:highlight w:val="none"/>
          <w:lang w:eastAsia="zh-CN"/>
        </w:rPr>
        <w:t>-1 植物样地调查布设点位</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855"/>
        <w:gridCol w:w="1530"/>
        <w:gridCol w:w="1815"/>
        <w:gridCol w:w="1708"/>
        <w:gridCol w:w="2790"/>
        <w:gridCol w:w="2775"/>
        <w:gridCol w:w="1632"/>
      </w:tblGrid>
      <w:tr w14:paraId="7189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restart"/>
            <w:vAlign w:val="center"/>
          </w:tcPr>
          <w:p w14:paraId="3DA4B60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观测样地点</w:t>
            </w:r>
          </w:p>
        </w:tc>
        <w:tc>
          <w:tcPr>
            <w:tcW w:w="855" w:type="dxa"/>
            <w:vMerge w:val="restart"/>
            <w:vAlign w:val="center"/>
          </w:tcPr>
          <w:p w14:paraId="1C6E23B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样地编号</w:t>
            </w:r>
          </w:p>
        </w:tc>
        <w:tc>
          <w:tcPr>
            <w:tcW w:w="1530" w:type="dxa"/>
            <w:vMerge w:val="restart"/>
            <w:vAlign w:val="center"/>
          </w:tcPr>
          <w:p w14:paraId="44951BB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样方编号</w:t>
            </w:r>
          </w:p>
        </w:tc>
        <w:tc>
          <w:tcPr>
            <w:tcW w:w="1815" w:type="dxa"/>
            <w:vMerge w:val="restart"/>
            <w:vAlign w:val="center"/>
          </w:tcPr>
          <w:p w14:paraId="68E7CCC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经度</w:t>
            </w:r>
          </w:p>
        </w:tc>
        <w:tc>
          <w:tcPr>
            <w:tcW w:w="1708" w:type="dxa"/>
            <w:vMerge w:val="restart"/>
            <w:vAlign w:val="center"/>
          </w:tcPr>
          <w:p w14:paraId="3BBEA9C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纬度</w:t>
            </w:r>
          </w:p>
        </w:tc>
        <w:tc>
          <w:tcPr>
            <w:tcW w:w="7197" w:type="dxa"/>
            <w:gridSpan w:val="3"/>
            <w:vAlign w:val="center"/>
          </w:tcPr>
          <w:p w14:paraId="7133BE8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代表植物群系</w:t>
            </w:r>
          </w:p>
        </w:tc>
      </w:tr>
      <w:tr w14:paraId="26BB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55B30D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p>
        </w:tc>
        <w:tc>
          <w:tcPr>
            <w:tcW w:w="855" w:type="dxa"/>
            <w:vMerge w:val="continue"/>
            <w:vAlign w:val="center"/>
          </w:tcPr>
          <w:p w14:paraId="0602F53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p>
        </w:tc>
        <w:tc>
          <w:tcPr>
            <w:tcW w:w="1530" w:type="dxa"/>
            <w:vMerge w:val="continue"/>
            <w:vAlign w:val="center"/>
          </w:tcPr>
          <w:p w14:paraId="7DAB0B1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p>
        </w:tc>
        <w:tc>
          <w:tcPr>
            <w:tcW w:w="1815" w:type="dxa"/>
            <w:vMerge w:val="continue"/>
            <w:vAlign w:val="center"/>
          </w:tcPr>
          <w:p w14:paraId="4D71092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p>
        </w:tc>
        <w:tc>
          <w:tcPr>
            <w:tcW w:w="1708" w:type="dxa"/>
            <w:vMerge w:val="continue"/>
            <w:vAlign w:val="center"/>
          </w:tcPr>
          <w:p w14:paraId="4DAB079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p>
        </w:tc>
        <w:tc>
          <w:tcPr>
            <w:tcW w:w="2790" w:type="dxa"/>
            <w:vAlign w:val="center"/>
          </w:tcPr>
          <w:p w14:paraId="5AF41A2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乔木层</w:t>
            </w:r>
          </w:p>
        </w:tc>
        <w:tc>
          <w:tcPr>
            <w:tcW w:w="2775" w:type="dxa"/>
            <w:vAlign w:val="center"/>
          </w:tcPr>
          <w:p w14:paraId="00AEB96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灌丛层</w:t>
            </w:r>
          </w:p>
        </w:tc>
        <w:tc>
          <w:tcPr>
            <w:tcW w:w="1632" w:type="dxa"/>
            <w:vAlign w:val="center"/>
          </w:tcPr>
          <w:p w14:paraId="7185413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vertAlign w:val="baseline"/>
                <w:lang w:eastAsia="zh-CN"/>
              </w:rPr>
            </w:pPr>
            <w:r>
              <w:rPr>
                <w:rFonts w:hint="default" w:ascii="Times New Roman" w:hAnsi="Times New Roman" w:eastAsia="宋体" w:cs="Times New Roman"/>
                <w:b/>
                <w:bCs/>
                <w:color w:val="auto"/>
                <w:sz w:val="21"/>
                <w:szCs w:val="21"/>
                <w:highlight w:val="none"/>
                <w:u w:val="none" w:color="auto"/>
                <w:vertAlign w:val="baseline"/>
                <w:lang w:eastAsia="zh-CN"/>
              </w:rPr>
              <w:t>草本层</w:t>
            </w:r>
          </w:p>
        </w:tc>
      </w:tr>
      <w:tr w14:paraId="2CCD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restart"/>
            <w:vAlign w:val="center"/>
          </w:tcPr>
          <w:p w14:paraId="0A21E23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河北滦河上游国家级自然保护区实验区</w:t>
            </w:r>
          </w:p>
        </w:tc>
        <w:tc>
          <w:tcPr>
            <w:tcW w:w="855" w:type="dxa"/>
            <w:vAlign w:val="center"/>
          </w:tcPr>
          <w:p w14:paraId="2063291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w:t>
            </w:r>
          </w:p>
        </w:tc>
        <w:tc>
          <w:tcPr>
            <w:tcW w:w="1530" w:type="dxa"/>
            <w:vAlign w:val="center"/>
          </w:tcPr>
          <w:p w14:paraId="0DA40B9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1-1、1-2、1-3</w:t>
            </w:r>
          </w:p>
        </w:tc>
        <w:tc>
          <w:tcPr>
            <w:tcW w:w="1815" w:type="dxa"/>
            <w:vAlign w:val="center"/>
          </w:tcPr>
          <w:p w14:paraId="0A6DD72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E</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117°</w:t>
            </w:r>
            <w:r>
              <w:rPr>
                <w:rFonts w:hint="default" w:ascii="Times New Roman" w:hAnsi="Times New Roman" w:eastAsia="宋体" w:cs="Times New Roman"/>
                <w:b w:val="0"/>
                <w:bCs w:val="0"/>
                <w:color w:val="auto"/>
                <w:spacing w:val="2"/>
                <w:sz w:val="21"/>
                <w:szCs w:val="21"/>
                <w:highlight w:val="none"/>
                <w:u w:val="none" w:color="auto"/>
              </w:rPr>
              <w:t>6</w:t>
            </w:r>
            <w:r>
              <w:rPr>
                <w:rFonts w:hint="default" w:ascii="Times New Roman" w:hAnsi="Times New Roman" w:eastAsia="宋体" w:cs="Times New Roman"/>
                <w:b w:val="0"/>
                <w:bCs w:val="0"/>
                <w:color w:val="auto"/>
                <w:spacing w:val="-34"/>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′36.886″</w:t>
            </w:r>
          </w:p>
        </w:tc>
        <w:tc>
          <w:tcPr>
            <w:tcW w:w="1708" w:type="dxa"/>
            <w:vAlign w:val="center"/>
          </w:tcPr>
          <w:p w14:paraId="556A083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N</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42°2′29.676″</w:t>
            </w:r>
          </w:p>
        </w:tc>
        <w:tc>
          <w:tcPr>
            <w:tcW w:w="2790" w:type="dxa"/>
            <w:vAlign w:val="center"/>
          </w:tcPr>
          <w:p w14:paraId="2A007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0989920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29C1643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2C17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632638F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3F526B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w:t>
            </w:r>
          </w:p>
        </w:tc>
        <w:tc>
          <w:tcPr>
            <w:tcW w:w="1530" w:type="dxa"/>
            <w:vAlign w:val="center"/>
          </w:tcPr>
          <w:p w14:paraId="4F9693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2-2、2-2、2-3</w:t>
            </w:r>
          </w:p>
        </w:tc>
        <w:tc>
          <w:tcPr>
            <w:tcW w:w="1815" w:type="dxa"/>
            <w:vAlign w:val="center"/>
          </w:tcPr>
          <w:p w14:paraId="61EB994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E：117°2′ 17.674″</w:t>
            </w:r>
          </w:p>
        </w:tc>
        <w:tc>
          <w:tcPr>
            <w:tcW w:w="1708" w:type="dxa"/>
            <w:vAlign w:val="center"/>
          </w:tcPr>
          <w:p w14:paraId="3A0FF89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 xml:space="preserve">N：42°3′40.744″  </w:t>
            </w:r>
          </w:p>
        </w:tc>
        <w:tc>
          <w:tcPr>
            <w:tcW w:w="2790" w:type="dxa"/>
            <w:vAlign w:val="center"/>
          </w:tcPr>
          <w:p w14:paraId="696BC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2B7405A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6BE67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1159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0E8CF1B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0FF9587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3</w:t>
            </w:r>
          </w:p>
        </w:tc>
        <w:tc>
          <w:tcPr>
            <w:tcW w:w="1530" w:type="dxa"/>
            <w:vAlign w:val="center"/>
          </w:tcPr>
          <w:p w14:paraId="6663295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3-1、3-2、3-3</w:t>
            </w:r>
          </w:p>
        </w:tc>
        <w:tc>
          <w:tcPr>
            <w:tcW w:w="1815" w:type="dxa"/>
            <w:vAlign w:val="center"/>
          </w:tcPr>
          <w:p w14:paraId="02A4FFC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2"/>
                <w:sz w:val="21"/>
                <w:szCs w:val="21"/>
                <w:highlight w:val="none"/>
                <w:u w:val="none" w:color="auto"/>
              </w:rPr>
              <w:t>E</w:t>
            </w:r>
            <w:r>
              <w:rPr>
                <w:rFonts w:hint="default" w:ascii="Times New Roman" w:hAnsi="Times New Roman" w:eastAsia="宋体" w:cs="Times New Roman"/>
                <w:b w:val="0"/>
                <w:bCs w:val="0"/>
                <w:color w:val="auto"/>
                <w:spacing w:val="2"/>
                <w:sz w:val="21"/>
                <w:szCs w:val="21"/>
                <w:highlight w:val="none"/>
                <w:u w:val="none" w:color="auto"/>
                <w:lang w:eastAsia="zh-CN"/>
              </w:rPr>
              <w:t>：</w:t>
            </w:r>
            <w:r>
              <w:rPr>
                <w:rFonts w:hint="default" w:ascii="Times New Roman" w:hAnsi="Times New Roman" w:eastAsia="宋体" w:cs="Times New Roman"/>
                <w:b w:val="0"/>
                <w:bCs w:val="0"/>
                <w:color w:val="auto"/>
                <w:spacing w:val="2"/>
                <w:sz w:val="21"/>
                <w:szCs w:val="21"/>
                <w:highlight w:val="none"/>
                <w:u w:val="none" w:color="auto"/>
              </w:rPr>
              <w:t>117°4</w:t>
            </w:r>
            <w:r>
              <w:rPr>
                <w:rFonts w:hint="default" w:ascii="Times New Roman" w:hAnsi="Times New Roman" w:eastAsia="宋体" w:cs="Times New Roman"/>
                <w:b w:val="0"/>
                <w:bCs w:val="0"/>
                <w:color w:val="auto"/>
                <w:spacing w:val="-34"/>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′28.385″</w:t>
            </w:r>
          </w:p>
        </w:tc>
        <w:tc>
          <w:tcPr>
            <w:tcW w:w="1708" w:type="dxa"/>
            <w:vAlign w:val="center"/>
          </w:tcPr>
          <w:p w14:paraId="0878B2B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2"/>
                <w:sz w:val="21"/>
                <w:szCs w:val="21"/>
                <w:highlight w:val="none"/>
                <w:u w:val="none" w:color="auto"/>
              </w:rPr>
              <w:t>N</w:t>
            </w:r>
            <w:r>
              <w:rPr>
                <w:rFonts w:hint="default" w:ascii="Times New Roman" w:hAnsi="Times New Roman" w:eastAsia="宋体" w:cs="Times New Roman"/>
                <w:b w:val="0"/>
                <w:bCs w:val="0"/>
                <w:color w:val="auto"/>
                <w:spacing w:val="2"/>
                <w:sz w:val="21"/>
                <w:szCs w:val="21"/>
                <w:highlight w:val="none"/>
                <w:u w:val="none" w:color="auto"/>
                <w:lang w:eastAsia="zh-CN"/>
              </w:rPr>
              <w:t>：</w:t>
            </w:r>
            <w:r>
              <w:rPr>
                <w:rFonts w:hint="default" w:ascii="Times New Roman" w:hAnsi="Times New Roman" w:eastAsia="宋体" w:cs="Times New Roman"/>
                <w:b w:val="0"/>
                <w:bCs w:val="0"/>
                <w:color w:val="auto"/>
                <w:spacing w:val="2"/>
                <w:sz w:val="21"/>
                <w:szCs w:val="21"/>
                <w:highlight w:val="none"/>
                <w:u w:val="none" w:color="auto"/>
              </w:rPr>
              <w:t>42°4</w:t>
            </w:r>
            <w:r>
              <w:rPr>
                <w:rFonts w:hint="default" w:ascii="Times New Roman" w:hAnsi="Times New Roman" w:eastAsia="宋体" w:cs="Times New Roman"/>
                <w:b w:val="0"/>
                <w:bCs w:val="0"/>
                <w:color w:val="auto"/>
                <w:spacing w:val="-20"/>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′12.826″</w:t>
            </w:r>
          </w:p>
        </w:tc>
        <w:tc>
          <w:tcPr>
            <w:tcW w:w="2790" w:type="dxa"/>
            <w:vAlign w:val="center"/>
          </w:tcPr>
          <w:p w14:paraId="0467A3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1205A8C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572F7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6511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76EC8E1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311C976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4</w:t>
            </w:r>
          </w:p>
        </w:tc>
        <w:tc>
          <w:tcPr>
            <w:tcW w:w="1530" w:type="dxa"/>
            <w:vAlign w:val="center"/>
          </w:tcPr>
          <w:p w14:paraId="2D5EF3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4-1、4-2</w:t>
            </w:r>
          </w:p>
        </w:tc>
        <w:tc>
          <w:tcPr>
            <w:tcW w:w="1815" w:type="dxa"/>
            <w:vAlign w:val="center"/>
          </w:tcPr>
          <w:p w14:paraId="7C880EF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E</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117°5</w:t>
            </w:r>
            <w:r>
              <w:rPr>
                <w:rFonts w:hint="default" w:ascii="Times New Roman" w:hAnsi="Times New Roman" w:eastAsia="宋体" w:cs="Times New Roman"/>
                <w:b w:val="0"/>
                <w:bCs w:val="0"/>
                <w:color w:val="auto"/>
                <w:spacing w:val="-35"/>
                <w:sz w:val="21"/>
                <w:szCs w:val="21"/>
                <w:highlight w:val="none"/>
                <w:u w:val="none" w:color="auto"/>
              </w:rPr>
              <w:t xml:space="preserve"> </w:t>
            </w:r>
            <w:r>
              <w:rPr>
                <w:rFonts w:hint="default" w:ascii="Times New Roman" w:hAnsi="Times New Roman" w:eastAsia="宋体" w:cs="Times New Roman"/>
                <w:b w:val="0"/>
                <w:bCs w:val="0"/>
                <w:color w:val="auto"/>
                <w:spacing w:val="3"/>
                <w:sz w:val="21"/>
                <w:szCs w:val="21"/>
                <w:highlight w:val="none"/>
                <w:u w:val="none" w:color="auto"/>
              </w:rPr>
              <w:t>′</w:t>
            </w:r>
            <w:r>
              <w:rPr>
                <w:rFonts w:hint="default" w:ascii="Times New Roman" w:hAnsi="Times New Roman" w:eastAsia="宋体" w:cs="Times New Roman"/>
                <w:b w:val="0"/>
                <w:bCs w:val="0"/>
                <w:color w:val="auto"/>
                <w:spacing w:val="-26"/>
                <w:sz w:val="21"/>
                <w:szCs w:val="21"/>
                <w:highlight w:val="none"/>
                <w:u w:val="none" w:color="auto"/>
              </w:rPr>
              <w:t xml:space="preserve"> </w:t>
            </w:r>
            <w:r>
              <w:rPr>
                <w:rFonts w:hint="default" w:ascii="Times New Roman" w:hAnsi="Times New Roman" w:eastAsia="宋体" w:cs="Times New Roman"/>
                <w:b w:val="0"/>
                <w:bCs w:val="0"/>
                <w:color w:val="auto"/>
                <w:spacing w:val="3"/>
                <w:sz w:val="21"/>
                <w:szCs w:val="21"/>
                <w:highlight w:val="none"/>
                <w:u w:val="none" w:color="auto"/>
              </w:rPr>
              <w:t>17.07</w:t>
            </w:r>
            <w:r>
              <w:rPr>
                <w:rFonts w:hint="default" w:ascii="Times New Roman" w:hAnsi="Times New Roman" w:eastAsia="宋体" w:cs="Times New Roman"/>
                <w:b w:val="0"/>
                <w:bCs w:val="0"/>
                <w:color w:val="auto"/>
                <w:spacing w:val="3"/>
                <w:sz w:val="21"/>
                <w:szCs w:val="21"/>
                <w:highlight w:val="none"/>
                <w:u w:val="none" w:color="auto"/>
                <w:lang w:val="en-US" w:eastAsia="zh-CN"/>
              </w:rPr>
              <w:t>0</w:t>
            </w:r>
            <w:r>
              <w:rPr>
                <w:rFonts w:hint="default" w:ascii="Times New Roman" w:hAnsi="Times New Roman" w:eastAsia="宋体" w:cs="Times New Roman"/>
                <w:b w:val="0"/>
                <w:bCs w:val="0"/>
                <w:color w:val="auto"/>
                <w:spacing w:val="3"/>
                <w:sz w:val="21"/>
                <w:szCs w:val="21"/>
                <w:highlight w:val="none"/>
                <w:u w:val="none" w:color="auto"/>
              </w:rPr>
              <w:t>″</w:t>
            </w:r>
          </w:p>
        </w:tc>
        <w:tc>
          <w:tcPr>
            <w:tcW w:w="1708" w:type="dxa"/>
            <w:vAlign w:val="center"/>
          </w:tcPr>
          <w:p w14:paraId="0025C8C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N</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42°3′52.021″</w:t>
            </w:r>
          </w:p>
        </w:tc>
        <w:tc>
          <w:tcPr>
            <w:tcW w:w="2790" w:type="dxa"/>
            <w:vAlign w:val="center"/>
          </w:tcPr>
          <w:p w14:paraId="49502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落叶松、樟子松、油松群系</w:t>
            </w:r>
          </w:p>
        </w:tc>
        <w:tc>
          <w:tcPr>
            <w:tcW w:w="2775" w:type="dxa"/>
            <w:vAlign w:val="center"/>
          </w:tcPr>
          <w:p w14:paraId="44452EB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4F386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3EEE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6690D30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1BAA804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5</w:t>
            </w:r>
          </w:p>
        </w:tc>
        <w:tc>
          <w:tcPr>
            <w:tcW w:w="1530" w:type="dxa"/>
            <w:vAlign w:val="center"/>
          </w:tcPr>
          <w:p w14:paraId="1EC5296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5-1、5-2</w:t>
            </w:r>
          </w:p>
        </w:tc>
        <w:tc>
          <w:tcPr>
            <w:tcW w:w="1815" w:type="dxa"/>
            <w:vAlign w:val="center"/>
          </w:tcPr>
          <w:p w14:paraId="15C7FEC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2"/>
                <w:sz w:val="21"/>
                <w:szCs w:val="21"/>
                <w:highlight w:val="none"/>
                <w:u w:val="none" w:color="auto"/>
              </w:rPr>
              <w:t>E</w:t>
            </w:r>
            <w:r>
              <w:rPr>
                <w:rFonts w:hint="default" w:ascii="Times New Roman" w:hAnsi="Times New Roman" w:eastAsia="宋体" w:cs="Times New Roman"/>
                <w:b w:val="0"/>
                <w:bCs w:val="0"/>
                <w:color w:val="auto"/>
                <w:spacing w:val="2"/>
                <w:sz w:val="21"/>
                <w:szCs w:val="21"/>
                <w:highlight w:val="none"/>
                <w:u w:val="none" w:color="auto"/>
                <w:lang w:eastAsia="zh-CN"/>
              </w:rPr>
              <w:t>：</w:t>
            </w:r>
            <w:r>
              <w:rPr>
                <w:rFonts w:hint="default" w:ascii="Times New Roman" w:hAnsi="Times New Roman" w:eastAsia="宋体" w:cs="Times New Roman"/>
                <w:b w:val="0"/>
                <w:bCs w:val="0"/>
                <w:color w:val="auto"/>
                <w:spacing w:val="2"/>
                <w:sz w:val="21"/>
                <w:szCs w:val="21"/>
                <w:highlight w:val="none"/>
                <w:u w:val="none" w:color="auto"/>
              </w:rPr>
              <w:t>117°6′</w:t>
            </w:r>
            <w:r>
              <w:rPr>
                <w:rFonts w:hint="default" w:ascii="Times New Roman" w:hAnsi="Times New Roman" w:eastAsia="宋体" w:cs="Times New Roman"/>
                <w:b w:val="0"/>
                <w:bCs w:val="0"/>
                <w:color w:val="auto"/>
                <w:spacing w:val="-23"/>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14.698″</w:t>
            </w:r>
          </w:p>
        </w:tc>
        <w:tc>
          <w:tcPr>
            <w:tcW w:w="1708" w:type="dxa"/>
            <w:vAlign w:val="center"/>
          </w:tcPr>
          <w:p w14:paraId="63AC3F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N</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42°3</w:t>
            </w:r>
            <w:r>
              <w:rPr>
                <w:rFonts w:hint="default" w:ascii="Times New Roman" w:hAnsi="Times New Roman" w:eastAsia="宋体" w:cs="Times New Roman"/>
                <w:b w:val="0"/>
                <w:bCs w:val="0"/>
                <w:color w:val="auto"/>
                <w:spacing w:val="-35"/>
                <w:sz w:val="21"/>
                <w:szCs w:val="21"/>
                <w:highlight w:val="none"/>
                <w:u w:val="none" w:color="auto"/>
              </w:rPr>
              <w:t xml:space="preserve"> </w:t>
            </w:r>
            <w:r>
              <w:rPr>
                <w:rFonts w:hint="default" w:ascii="Times New Roman" w:hAnsi="Times New Roman" w:eastAsia="宋体" w:cs="Times New Roman"/>
                <w:b w:val="0"/>
                <w:bCs w:val="0"/>
                <w:color w:val="auto"/>
                <w:spacing w:val="3"/>
                <w:sz w:val="21"/>
                <w:szCs w:val="21"/>
                <w:highlight w:val="none"/>
                <w:u w:val="none" w:color="auto"/>
              </w:rPr>
              <w:t>′28.7</w:t>
            </w:r>
            <w:r>
              <w:rPr>
                <w:rFonts w:hint="default" w:ascii="Times New Roman" w:hAnsi="Times New Roman" w:eastAsia="宋体" w:cs="Times New Roman"/>
                <w:b w:val="0"/>
                <w:bCs w:val="0"/>
                <w:color w:val="auto"/>
                <w:spacing w:val="2"/>
                <w:sz w:val="21"/>
                <w:szCs w:val="21"/>
                <w:highlight w:val="none"/>
                <w:u w:val="none" w:color="auto"/>
              </w:rPr>
              <w:t>98″</w:t>
            </w:r>
          </w:p>
        </w:tc>
        <w:tc>
          <w:tcPr>
            <w:tcW w:w="2790" w:type="dxa"/>
            <w:vAlign w:val="center"/>
          </w:tcPr>
          <w:p w14:paraId="543D4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落叶松、樟子松、油松群系</w:t>
            </w:r>
          </w:p>
        </w:tc>
        <w:tc>
          <w:tcPr>
            <w:tcW w:w="2775" w:type="dxa"/>
            <w:vAlign w:val="center"/>
          </w:tcPr>
          <w:p w14:paraId="316E459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4FF4F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7D3F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4C4D585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4247044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6</w:t>
            </w:r>
          </w:p>
        </w:tc>
        <w:tc>
          <w:tcPr>
            <w:tcW w:w="1530" w:type="dxa"/>
            <w:vAlign w:val="center"/>
          </w:tcPr>
          <w:p w14:paraId="63D78E7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6-1、6-2、6-3</w:t>
            </w:r>
          </w:p>
        </w:tc>
        <w:tc>
          <w:tcPr>
            <w:tcW w:w="1815" w:type="dxa"/>
            <w:vAlign w:val="center"/>
          </w:tcPr>
          <w:p w14:paraId="737DCD7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E</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117°</w:t>
            </w:r>
            <w:r>
              <w:rPr>
                <w:rFonts w:hint="default" w:ascii="Times New Roman" w:hAnsi="Times New Roman" w:eastAsia="宋体" w:cs="Times New Roman"/>
                <w:b w:val="0"/>
                <w:bCs w:val="0"/>
                <w:color w:val="auto"/>
                <w:spacing w:val="2"/>
                <w:sz w:val="21"/>
                <w:szCs w:val="21"/>
                <w:highlight w:val="none"/>
                <w:u w:val="none" w:color="auto"/>
              </w:rPr>
              <w:t>6</w:t>
            </w:r>
            <w:r>
              <w:rPr>
                <w:rFonts w:hint="default" w:ascii="Times New Roman" w:hAnsi="Times New Roman" w:eastAsia="宋体" w:cs="Times New Roman"/>
                <w:b w:val="0"/>
                <w:bCs w:val="0"/>
                <w:color w:val="auto"/>
                <w:spacing w:val="-34"/>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′26.486″</w:t>
            </w:r>
          </w:p>
        </w:tc>
        <w:tc>
          <w:tcPr>
            <w:tcW w:w="1708" w:type="dxa"/>
            <w:vAlign w:val="center"/>
          </w:tcPr>
          <w:p w14:paraId="1F7A4D1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N</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 xml:space="preserve">42°2′59.922″ </w:t>
            </w:r>
          </w:p>
        </w:tc>
        <w:tc>
          <w:tcPr>
            <w:tcW w:w="2790" w:type="dxa"/>
            <w:vAlign w:val="center"/>
          </w:tcPr>
          <w:p w14:paraId="75ED41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落叶松、樟子松、油松群系</w:t>
            </w:r>
          </w:p>
        </w:tc>
        <w:tc>
          <w:tcPr>
            <w:tcW w:w="2775" w:type="dxa"/>
            <w:vAlign w:val="center"/>
          </w:tcPr>
          <w:p w14:paraId="74BA9DF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4D5EC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3E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07958AB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3725CFD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7</w:t>
            </w:r>
          </w:p>
        </w:tc>
        <w:tc>
          <w:tcPr>
            <w:tcW w:w="1530" w:type="dxa"/>
            <w:vAlign w:val="center"/>
          </w:tcPr>
          <w:p w14:paraId="112D77B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7-1、7-2、7-3</w:t>
            </w:r>
          </w:p>
        </w:tc>
        <w:tc>
          <w:tcPr>
            <w:tcW w:w="1815" w:type="dxa"/>
            <w:vAlign w:val="center"/>
          </w:tcPr>
          <w:p w14:paraId="7BD3B7A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E：117°3 ′34.084″</w:t>
            </w:r>
          </w:p>
        </w:tc>
        <w:tc>
          <w:tcPr>
            <w:tcW w:w="1708" w:type="dxa"/>
            <w:vAlign w:val="center"/>
          </w:tcPr>
          <w:p w14:paraId="220C369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N：42°4′3.895″</w:t>
            </w:r>
          </w:p>
        </w:tc>
        <w:tc>
          <w:tcPr>
            <w:tcW w:w="2790" w:type="dxa"/>
            <w:vAlign w:val="center"/>
          </w:tcPr>
          <w:p w14:paraId="484AE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65A05EC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6E2D3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00E2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337EA02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3CA22F0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8</w:t>
            </w:r>
          </w:p>
        </w:tc>
        <w:tc>
          <w:tcPr>
            <w:tcW w:w="1530" w:type="dxa"/>
            <w:vAlign w:val="center"/>
          </w:tcPr>
          <w:p w14:paraId="3BB26CD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8-1、8-2、8-3</w:t>
            </w:r>
          </w:p>
        </w:tc>
        <w:tc>
          <w:tcPr>
            <w:tcW w:w="1815" w:type="dxa"/>
            <w:vAlign w:val="center"/>
          </w:tcPr>
          <w:p w14:paraId="42618AD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2"/>
                <w:sz w:val="21"/>
                <w:szCs w:val="21"/>
                <w:highlight w:val="none"/>
                <w:u w:val="none" w:color="auto"/>
              </w:rPr>
              <w:t>E</w:t>
            </w:r>
            <w:r>
              <w:rPr>
                <w:rFonts w:hint="default" w:ascii="Times New Roman" w:hAnsi="Times New Roman" w:eastAsia="宋体" w:cs="Times New Roman"/>
                <w:b w:val="0"/>
                <w:bCs w:val="0"/>
                <w:color w:val="auto"/>
                <w:spacing w:val="-25"/>
                <w:sz w:val="21"/>
                <w:szCs w:val="21"/>
                <w:highlight w:val="none"/>
                <w:u w:val="none" w:color="auto"/>
                <w:lang w:eastAsia="zh-CN"/>
              </w:rPr>
              <w:t>：</w:t>
            </w:r>
            <w:r>
              <w:rPr>
                <w:rFonts w:hint="default" w:ascii="Times New Roman" w:hAnsi="Times New Roman" w:eastAsia="宋体" w:cs="Times New Roman"/>
                <w:b w:val="0"/>
                <w:bCs w:val="0"/>
                <w:color w:val="auto"/>
                <w:spacing w:val="2"/>
                <w:sz w:val="21"/>
                <w:szCs w:val="21"/>
                <w:highlight w:val="none"/>
                <w:u w:val="none" w:color="auto"/>
              </w:rPr>
              <w:t>117°5</w:t>
            </w:r>
            <w:r>
              <w:rPr>
                <w:rFonts w:hint="default" w:ascii="Times New Roman" w:hAnsi="Times New Roman" w:eastAsia="宋体" w:cs="Times New Roman"/>
                <w:b w:val="0"/>
                <w:bCs w:val="0"/>
                <w:color w:val="auto"/>
                <w:spacing w:val="-35"/>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′3.071″</w:t>
            </w:r>
          </w:p>
        </w:tc>
        <w:tc>
          <w:tcPr>
            <w:tcW w:w="1708" w:type="dxa"/>
            <w:vAlign w:val="center"/>
          </w:tcPr>
          <w:p w14:paraId="0716B22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2"/>
                <w:sz w:val="21"/>
                <w:szCs w:val="21"/>
                <w:highlight w:val="none"/>
                <w:u w:val="none" w:color="auto"/>
              </w:rPr>
              <w:t>N</w:t>
            </w:r>
            <w:r>
              <w:rPr>
                <w:rFonts w:hint="default" w:ascii="Times New Roman" w:hAnsi="Times New Roman" w:eastAsia="宋体" w:cs="Times New Roman"/>
                <w:b w:val="0"/>
                <w:bCs w:val="0"/>
                <w:color w:val="auto"/>
                <w:spacing w:val="2"/>
                <w:sz w:val="21"/>
                <w:szCs w:val="21"/>
                <w:highlight w:val="none"/>
                <w:u w:val="none" w:color="auto"/>
                <w:lang w:eastAsia="zh-CN"/>
              </w:rPr>
              <w:t>：</w:t>
            </w:r>
            <w:r>
              <w:rPr>
                <w:rFonts w:hint="default" w:ascii="Times New Roman" w:hAnsi="Times New Roman" w:eastAsia="宋体" w:cs="Times New Roman"/>
                <w:b w:val="0"/>
                <w:bCs w:val="0"/>
                <w:color w:val="auto"/>
                <w:spacing w:val="2"/>
                <w:sz w:val="21"/>
                <w:szCs w:val="21"/>
                <w:highlight w:val="none"/>
                <w:u w:val="none" w:color="auto"/>
              </w:rPr>
              <w:t>42°4′</w:t>
            </w:r>
            <w:r>
              <w:rPr>
                <w:rFonts w:hint="default" w:ascii="Times New Roman" w:hAnsi="Times New Roman" w:eastAsia="宋体" w:cs="Times New Roman"/>
                <w:b w:val="0"/>
                <w:bCs w:val="0"/>
                <w:color w:val="auto"/>
                <w:spacing w:val="-26"/>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1.824″</w:t>
            </w:r>
          </w:p>
        </w:tc>
        <w:tc>
          <w:tcPr>
            <w:tcW w:w="2790" w:type="dxa"/>
            <w:vAlign w:val="center"/>
          </w:tcPr>
          <w:p w14:paraId="30D43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1BFED1A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0C840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6F7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1E60EB4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34B660E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9</w:t>
            </w:r>
          </w:p>
        </w:tc>
        <w:tc>
          <w:tcPr>
            <w:tcW w:w="1530" w:type="dxa"/>
            <w:vAlign w:val="center"/>
          </w:tcPr>
          <w:p w14:paraId="1907680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9-1、9-2、9-3</w:t>
            </w:r>
          </w:p>
        </w:tc>
        <w:tc>
          <w:tcPr>
            <w:tcW w:w="1815" w:type="dxa"/>
            <w:vAlign w:val="center"/>
          </w:tcPr>
          <w:p w14:paraId="381228A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E</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117°</w:t>
            </w:r>
            <w:r>
              <w:rPr>
                <w:rFonts w:hint="default" w:ascii="Times New Roman" w:hAnsi="Times New Roman" w:eastAsia="宋体" w:cs="Times New Roman"/>
                <w:b w:val="0"/>
                <w:bCs w:val="0"/>
                <w:color w:val="auto"/>
                <w:spacing w:val="2"/>
                <w:sz w:val="21"/>
                <w:szCs w:val="21"/>
                <w:highlight w:val="none"/>
                <w:u w:val="none" w:color="auto"/>
              </w:rPr>
              <w:t>3</w:t>
            </w:r>
            <w:r>
              <w:rPr>
                <w:rFonts w:hint="default" w:ascii="Times New Roman" w:hAnsi="Times New Roman" w:eastAsia="宋体" w:cs="Times New Roman"/>
                <w:b w:val="0"/>
                <w:bCs w:val="0"/>
                <w:color w:val="auto"/>
                <w:spacing w:val="-34"/>
                <w:sz w:val="21"/>
                <w:szCs w:val="21"/>
                <w:highlight w:val="none"/>
                <w:u w:val="none" w:color="auto"/>
              </w:rPr>
              <w:t xml:space="preserve"> </w:t>
            </w:r>
            <w:r>
              <w:rPr>
                <w:rFonts w:hint="default" w:ascii="Times New Roman" w:hAnsi="Times New Roman" w:eastAsia="宋体" w:cs="Times New Roman"/>
                <w:b w:val="0"/>
                <w:bCs w:val="0"/>
                <w:color w:val="auto"/>
                <w:spacing w:val="2"/>
                <w:sz w:val="21"/>
                <w:szCs w:val="21"/>
                <w:highlight w:val="none"/>
                <w:u w:val="none" w:color="auto"/>
              </w:rPr>
              <w:t>′21.925″</w:t>
            </w:r>
          </w:p>
        </w:tc>
        <w:tc>
          <w:tcPr>
            <w:tcW w:w="1708" w:type="dxa"/>
            <w:vAlign w:val="center"/>
          </w:tcPr>
          <w:p w14:paraId="790EB3A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pacing w:val="3"/>
                <w:sz w:val="21"/>
                <w:szCs w:val="21"/>
                <w:highlight w:val="none"/>
                <w:u w:val="none" w:color="auto"/>
              </w:rPr>
              <w:t>N</w:t>
            </w:r>
            <w:r>
              <w:rPr>
                <w:rFonts w:hint="default" w:ascii="Times New Roman" w:hAnsi="Times New Roman" w:eastAsia="宋体" w:cs="Times New Roman"/>
                <w:b w:val="0"/>
                <w:bCs w:val="0"/>
                <w:color w:val="auto"/>
                <w:spacing w:val="3"/>
                <w:sz w:val="21"/>
                <w:szCs w:val="21"/>
                <w:highlight w:val="none"/>
                <w:u w:val="none" w:color="auto"/>
                <w:lang w:eastAsia="zh-CN"/>
              </w:rPr>
              <w:t>：</w:t>
            </w:r>
            <w:r>
              <w:rPr>
                <w:rFonts w:hint="default" w:ascii="Times New Roman" w:hAnsi="Times New Roman" w:eastAsia="宋体" w:cs="Times New Roman"/>
                <w:b w:val="0"/>
                <w:bCs w:val="0"/>
                <w:color w:val="auto"/>
                <w:spacing w:val="3"/>
                <w:sz w:val="21"/>
                <w:szCs w:val="21"/>
                <w:highlight w:val="none"/>
                <w:u w:val="none" w:color="auto"/>
              </w:rPr>
              <w:t>42°3</w:t>
            </w:r>
            <w:r>
              <w:rPr>
                <w:rFonts w:hint="default" w:ascii="Times New Roman" w:hAnsi="Times New Roman" w:eastAsia="宋体" w:cs="Times New Roman"/>
                <w:b w:val="0"/>
                <w:bCs w:val="0"/>
                <w:color w:val="auto"/>
                <w:spacing w:val="-35"/>
                <w:sz w:val="21"/>
                <w:szCs w:val="21"/>
                <w:highlight w:val="none"/>
                <w:u w:val="none" w:color="auto"/>
              </w:rPr>
              <w:t xml:space="preserve"> </w:t>
            </w:r>
            <w:r>
              <w:rPr>
                <w:rFonts w:hint="default" w:ascii="Times New Roman" w:hAnsi="Times New Roman" w:eastAsia="宋体" w:cs="Times New Roman"/>
                <w:b w:val="0"/>
                <w:bCs w:val="0"/>
                <w:color w:val="auto"/>
                <w:spacing w:val="3"/>
                <w:sz w:val="21"/>
                <w:szCs w:val="21"/>
                <w:highlight w:val="none"/>
                <w:u w:val="none" w:color="auto"/>
              </w:rPr>
              <w:t>′59.794″</w:t>
            </w:r>
          </w:p>
        </w:tc>
        <w:tc>
          <w:tcPr>
            <w:tcW w:w="2790" w:type="dxa"/>
            <w:vAlign w:val="center"/>
          </w:tcPr>
          <w:p w14:paraId="61989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蒙古栎、白桦、</w:t>
            </w: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山杨</w:t>
            </w: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群系</w:t>
            </w:r>
          </w:p>
        </w:tc>
        <w:tc>
          <w:tcPr>
            <w:tcW w:w="2775" w:type="dxa"/>
            <w:vAlign w:val="center"/>
          </w:tcPr>
          <w:p w14:paraId="41A459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71ADB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60F9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7236B26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4D12AFB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10</w:t>
            </w:r>
          </w:p>
        </w:tc>
        <w:tc>
          <w:tcPr>
            <w:tcW w:w="1530" w:type="dxa"/>
            <w:vAlign w:val="center"/>
          </w:tcPr>
          <w:p w14:paraId="1BD1DB2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10-1、10-2</w:t>
            </w:r>
          </w:p>
        </w:tc>
        <w:tc>
          <w:tcPr>
            <w:tcW w:w="1815" w:type="dxa"/>
            <w:vAlign w:val="center"/>
          </w:tcPr>
          <w:p w14:paraId="607F628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color w:val="auto"/>
                <w:spacing w:val="2"/>
                <w:sz w:val="21"/>
                <w:szCs w:val="21"/>
                <w:highlight w:val="none"/>
                <w:u w:val="none" w:color="auto"/>
              </w:rPr>
              <w:t>E</w:t>
            </w:r>
            <w:r>
              <w:rPr>
                <w:rFonts w:hint="default" w:ascii="Times New Roman" w:hAnsi="Times New Roman" w:eastAsia="宋体" w:cs="Times New Roman"/>
                <w:color w:val="auto"/>
                <w:spacing w:val="2"/>
                <w:sz w:val="21"/>
                <w:szCs w:val="21"/>
                <w:highlight w:val="none"/>
                <w:u w:val="none" w:color="auto"/>
                <w:lang w:eastAsia="zh-CN"/>
              </w:rPr>
              <w:t>：</w:t>
            </w:r>
            <w:r>
              <w:rPr>
                <w:rFonts w:hint="default" w:ascii="Times New Roman" w:hAnsi="Times New Roman" w:eastAsia="宋体" w:cs="Times New Roman"/>
                <w:color w:val="auto"/>
                <w:spacing w:val="2"/>
                <w:sz w:val="21"/>
                <w:szCs w:val="21"/>
                <w:highlight w:val="none"/>
                <w:u w:val="none" w:color="auto"/>
              </w:rPr>
              <w:t>117°2</w:t>
            </w:r>
            <w:r>
              <w:rPr>
                <w:rFonts w:hint="default" w:ascii="Times New Roman" w:hAnsi="Times New Roman" w:eastAsia="宋体" w:cs="Times New Roman"/>
                <w:color w:val="auto"/>
                <w:spacing w:val="-35"/>
                <w:sz w:val="21"/>
                <w:szCs w:val="21"/>
                <w:highlight w:val="none"/>
                <w:u w:val="none" w:color="auto"/>
              </w:rPr>
              <w:t xml:space="preserve"> </w:t>
            </w:r>
            <w:r>
              <w:rPr>
                <w:rFonts w:hint="default" w:ascii="Times New Roman" w:hAnsi="Times New Roman" w:eastAsia="宋体" w:cs="Times New Roman"/>
                <w:color w:val="auto"/>
                <w:spacing w:val="2"/>
                <w:sz w:val="21"/>
                <w:szCs w:val="21"/>
                <w:highlight w:val="none"/>
                <w:u w:val="none" w:color="auto"/>
              </w:rPr>
              <w:t>′54.198″</w:t>
            </w:r>
          </w:p>
        </w:tc>
        <w:tc>
          <w:tcPr>
            <w:tcW w:w="1708" w:type="dxa"/>
            <w:vAlign w:val="center"/>
          </w:tcPr>
          <w:p w14:paraId="02E693F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color w:val="auto"/>
                <w:spacing w:val="2"/>
                <w:sz w:val="21"/>
                <w:szCs w:val="21"/>
                <w:highlight w:val="none"/>
                <w:u w:val="none" w:color="auto"/>
              </w:rPr>
              <w:t>N</w:t>
            </w:r>
            <w:r>
              <w:rPr>
                <w:rFonts w:hint="default" w:ascii="Times New Roman" w:hAnsi="Times New Roman" w:eastAsia="宋体" w:cs="Times New Roman"/>
                <w:color w:val="auto"/>
                <w:spacing w:val="2"/>
                <w:sz w:val="21"/>
                <w:szCs w:val="21"/>
                <w:highlight w:val="none"/>
                <w:u w:val="none" w:color="auto"/>
                <w:lang w:eastAsia="zh-CN"/>
              </w:rPr>
              <w:t>：</w:t>
            </w:r>
            <w:r>
              <w:rPr>
                <w:rFonts w:hint="default" w:ascii="Times New Roman" w:hAnsi="Times New Roman" w:eastAsia="宋体" w:cs="Times New Roman"/>
                <w:color w:val="auto"/>
                <w:spacing w:val="2"/>
                <w:sz w:val="21"/>
                <w:szCs w:val="21"/>
                <w:highlight w:val="none"/>
                <w:u w:val="none" w:color="auto"/>
              </w:rPr>
              <w:t>42°3</w:t>
            </w:r>
            <w:r>
              <w:rPr>
                <w:rFonts w:hint="default" w:ascii="Times New Roman" w:hAnsi="Times New Roman" w:eastAsia="宋体" w:cs="Times New Roman"/>
                <w:color w:val="auto"/>
                <w:spacing w:val="-28"/>
                <w:sz w:val="21"/>
                <w:szCs w:val="21"/>
                <w:highlight w:val="none"/>
                <w:u w:val="none" w:color="auto"/>
              </w:rPr>
              <w:t xml:space="preserve"> </w:t>
            </w:r>
            <w:r>
              <w:rPr>
                <w:rFonts w:hint="default" w:ascii="Times New Roman" w:hAnsi="Times New Roman" w:eastAsia="宋体" w:cs="Times New Roman"/>
                <w:color w:val="auto"/>
                <w:spacing w:val="2"/>
                <w:sz w:val="21"/>
                <w:szCs w:val="21"/>
                <w:highlight w:val="none"/>
                <w:u w:val="none" w:color="auto"/>
              </w:rPr>
              <w:t>′50.</w:t>
            </w:r>
            <w:r>
              <w:rPr>
                <w:rFonts w:hint="default" w:ascii="Times New Roman" w:hAnsi="Times New Roman" w:eastAsia="宋体" w:cs="Times New Roman"/>
                <w:color w:val="auto"/>
                <w:spacing w:val="-25"/>
                <w:sz w:val="21"/>
                <w:szCs w:val="21"/>
                <w:highlight w:val="none"/>
                <w:u w:val="none" w:color="auto"/>
              </w:rPr>
              <w:t xml:space="preserve"> </w:t>
            </w:r>
            <w:r>
              <w:rPr>
                <w:rFonts w:hint="default" w:ascii="Times New Roman" w:hAnsi="Times New Roman" w:eastAsia="宋体" w:cs="Times New Roman"/>
                <w:color w:val="auto"/>
                <w:spacing w:val="2"/>
                <w:sz w:val="21"/>
                <w:szCs w:val="21"/>
                <w:highlight w:val="none"/>
                <w:u w:val="none" w:color="auto"/>
              </w:rPr>
              <w:t>122″</w:t>
            </w:r>
          </w:p>
        </w:tc>
        <w:tc>
          <w:tcPr>
            <w:tcW w:w="2790" w:type="dxa"/>
            <w:vAlign w:val="center"/>
          </w:tcPr>
          <w:p w14:paraId="5088972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5233D7D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7121CD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5B64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38717D7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6DFB10E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11</w:t>
            </w:r>
          </w:p>
        </w:tc>
        <w:tc>
          <w:tcPr>
            <w:tcW w:w="1530" w:type="dxa"/>
            <w:vAlign w:val="center"/>
          </w:tcPr>
          <w:p w14:paraId="5FFE8C5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11-1、11-2</w:t>
            </w:r>
          </w:p>
        </w:tc>
        <w:tc>
          <w:tcPr>
            <w:tcW w:w="1815" w:type="dxa"/>
            <w:vAlign w:val="center"/>
          </w:tcPr>
          <w:p w14:paraId="7F47D60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E：117°4′9.626″</w:t>
            </w:r>
          </w:p>
        </w:tc>
        <w:tc>
          <w:tcPr>
            <w:tcW w:w="1708" w:type="dxa"/>
            <w:vAlign w:val="center"/>
          </w:tcPr>
          <w:p w14:paraId="0ACDF7E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N：42°4′9.856″</w:t>
            </w:r>
          </w:p>
        </w:tc>
        <w:tc>
          <w:tcPr>
            <w:tcW w:w="2790" w:type="dxa"/>
            <w:vAlign w:val="center"/>
          </w:tcPr>
          <w:p w14:paraId="63D9134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7494F14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1ADB2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544D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6A3CDFD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7036E8D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12</w:t>
            </w:r>
          </w:p>
        </w:tc>
        <w:tc>
          <w:tcPr>
            <w:tcW w:w="1530" w:type="dxa"/>
            <w:vAlign w:val="center"/>
          </w:tcPr>
          <w:p w14:paraId="0BC3B8A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12-1、12-2</w:t>
            </w:r>
          </w:p>
        </w:tc>
        <w:tc>
          <w:tcPr>
            <w:tcW w:w="1815" w:type="dxa"/>
            <w:vAlign w:val="center"/>
          </w:tcPr>
          <w:p w14:paraId="2EFF80C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E：117°4′40.787″</w:t>
            </w:r>
          </w:p>
        </w:tc>
        <w:tc>
          <w:tcPr>
            <w:tcW w:w="1708" w:type="dxa"/>
            <w:vAlign w:val="center"/>
          </w:tcPr>
          <w:p w14:paraId="4D67A42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N：42°4′9.125″</w:t>
            </w:r>
          </w:p>
        </w:tc>
        <w:tc>
          <w:tcPr>
            <w:tcW w:w="2790" w:type="dxa"/>
            <w:vAlign w:val="center"/>
          </w:tcPr>
          <w:p w14:paraId="189D45B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133C3B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56D5D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1979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6CE2830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6D4A4E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13</w:t>
            </w:r>
          </w:p>
        </w:tc>
        <w:tc>
          <w:tcPr>
            <w:tcW w:w="1530" w:type="dxa"/>
            <w:vAlign w:val="center"/>
          </w:tcPr>
          <w:p w14:paraId="62F143C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13-1、13-2</w:t>
            </w:r>
          </w:p>
        </w:tc>
        <w:tc>
          <w:tcPr>
            <w:tcW w:w="1815" w:type="dxa"/>
            <w:vAlign w:val="center"/>
          </w:tcPr>
          <w:p w14:paraId="73761FA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E：117°4′57.625″</w:t>
            </w:r>
          </w:p>
        </w:tc>
        <w:tc>
          <w:tcPr>
            <w:tcW w:w="1708" w:type="dxa"/>
            <w:vAlign w:val="center"/>
          </w:tcPr>
          <w:p w14:paraId="501739F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N：42°4′6.318″</w:t>
            </w:r>
          </w:p>
        </w:tc>
        <w:tc>
          <w:tcPr>
            <w:tcW w:w="2790" w:type="dxa"/>
            <w:vAlign w:val="center"/>
          </w:tcPr>
          <w:p w14:paraId="4A06CE8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62896B5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7FCB2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7D2F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55F9645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52051E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14</w:t>
            </w:r>
          </w:p>
        </w:tc>
        <w:tc>
          <w:tcPr>
            <w:tcW w:w="1530" w:type="dxa"/>
            <w:vAlign w:val="center"/>
          </w:tcPr>
          <w:p w14:paraId="4A84442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14-1、14-2</w:t>
            </w:r>
          </w:p>
        </w:tc>
        <w:tc>
          <w:tcPr>
            <w:tcW w:w="1815" w:type="dxa"/>
            <w:vAlign w:val="center"/>
          </w:tcPr>
          <w:p w14:paraId="3F527FC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E：117°5′31.054″</w:t>
            </w:r>
          </w:p>
        </w:tc>
        <w:tc>
          <w:tcPr>
            <w:tcW w:w="1708" w:type="dxa"/>
            <w:vAlign w:val="center"/>
          </w:tcPr>
          <w:p w14:paraId="637308B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N：42°3′49.518″</w:t>
            </w:r>
          </w:p>
        </w:tc>
        <w:tc>
          <w:tcPr>
            <w:tcW w:w="2790" w:type="dxa"/>
            <w:vAlign w:val="center"/>
          </w:tcPr>
          <w:p w14:paraId="537ED7D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1333030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22CD2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6EC0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714EAFD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66924E1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15</w:t>
            </w:r>
          </w:p>
        </w:tc>
        <w:tc>
          <w:tcPr>
            <w:tcW w:w="1530" w:type="dxa"/>
            <w:vAlign w:val="center"/>
          </w:tcPr>
          <w:p w14:paraId="2E1D3B0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15-1、15-2</w:t>
            </w:r>
          </w:p>
        </w:tc>
        <w:tc>
          <w:tcPr>
            <w:tcW w:w="1815" w:type="dxa"/>
            <w:vAlign w:val="center"/>
          </w:tcPr>
          <w:p w14:paraId="52B574C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E：117°5′57.043″</w:t>
            </w:r>
          </w:p>
        </w:tc>
        <w:tc>
          <w:tcPr>
            <w:tcW w:w="1708" w:type="dxa"/>
            <w:vAlign w:val="center"/>
          </w:tcPr>
          <w:p w14:paraId="7A06FEB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N：42°3′37.134″</w:t>
            </w:r>
          </w:p>
        </w:tc>
        <w:tc>
          <w:tcPr>
            <w:tcW w:w="2790" w:type="dxa"/>
            <w:vAlign w:val="center"/>
          </w:tcPr>
          <w:p w14:paraId="17C7842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2F89B4E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绣线菊、榛子、胡枝子群系</w:t>
            </w:r>
          </w:p>
        </w:tc>
        <w:tc>
          <w:tcPr>
            <w:tcW w:w="1632" w:type="dxa"/>
            <w:vAlign w:val="center"/>
          </w:tcPr>
          <w:p w14:paraId="060548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0732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7571412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7B15D4A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16</w:t>
            </w:r>
          </w:p>
        </w:tc>
        <w:tc>
          <w:tcPr>
            <w:tcW w:w="1530" w:type="dxa"/>
            <w:vAlign w:val="center"/>
          </w:tcPr>
          <w:p w14:paraId="4B519FC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16-1</w:t>
            </w:r>
          </w:p>
        </w:tc>
        <w:tc>
          <w:tcPr>
            <w:tcW w:w="1815" w:type="dxa"/>
            <w:vAlign w:val="center"/>
          </w:tcPr>
          <w:p w14:paraId="2AC3BA5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w:t>
            </w:r>
            <w:r>
              <w:rPr>
                <w:rFonts w:hint="default" w:ascii="Times New Roman" w:hAnsi="Times New Roman" w:eastAsia="宋体" w:cs="Times New Roman"/>
                <w:b w:val="0"/>
                <w:bCs w:val="0"/>
                <w:color w:val="auto"/>
                <w:sz w:val="21"/>
                <w:szCs w:val="21"/>
                <w:highlight w:val="none"/>
                <w:u w:val="none" w:color="auto"/>
                <w:vertAlign w:val="baseline"/>
                <w:lang w:val="en-US" w:eastAsia="zh-CN"/>
              </w:rPr>
              <w:t>1</w:t>
            </w:r>
            <w:r>
              <w:rPr>
                <w:rFonts w:hint="default" w:ascii="Times New Roman" w:hAnsi="Times New Roman" w:eastAsia="宋体" w:cs="Times New Roman"/>
                <w:b w:val="0"/>
                <w:bCs w:val="0"/>
                <w:color w:val="auto"/>
                <w:sz w:val="21"/>
                <w:szCs w:val="21"/>
                <w:highlight w:val="none"/>
                <w:u w:val="none" w:color="auto"/>
                <w:vertAlign w:val="baseline"/>
                <w:lang w:eastAsia="zh-CN"/>
              </w:rPr>
              <w:t>17°6′23.215″</w:t>
            </w:r>
          </w:p>
        </w:tc>
        <w:tc>
          <w:tcPr>
            <w:tcW w:w="1708" w:type="dxa"/>
            <w:vAlign w:val="center"/>
          </w:tcPr>
          <w:p w14:paraId="5BD1284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N：42°3′26.427″</w:t>
            </w:r>
          </w:p>
        </w:tc>
        <w:tc>
          <w:tcPr>
            <w:tcW w:w="2790" w:type="dxa"/>
            <w:vAlign w:val="center"/>
          </w:tcPr>
          <w:p w14:paraId="141C8A3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3BECBDB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55CBA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4FDF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4279D8A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02CAD27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17</w:t>
            </w:r>
          </w:p>
        </w:tc>
        <w:tc>
          <w:tcPr>
            <w:tcW w:w="1530" w:type="dxa"/>
            <w:vAlign w:val="center"/>
          </w:tcPr>
          <w:p w14:paraId="053F660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17-1</w:t>
            </w:r>
          </w:p>
        </w:tc>
        <w:tc>
          <w:tcPr>
            <w:tcW w:w="1815" w:type="dxa"/>
            <w:vAlign w:val="center"/>
          </w:tcPr>
          <w:p w14:paraId="432FF6D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E：117°6′30.077″</w:t>
            </w:r>
          </w:p>
        </w:tc>
        <w:tc>
          <w:tcPr>
            <w:tcW w:w="1708" w:type="dxa"/>
            <w:vAlign w:val="center"/>
          </w:tcPr>
          <w:p w14:paraId="6E4CA3F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N：42°2′42.894″</w:t>
            </w:r>
          </w:p>
        </w:tc>
        <w:tc>
          <w:tcPr>
            <w:tcW w:w="2790" w:type="dxa"/>
            <w:vAlign w:val="center"/>
          </w:tcPr>
          <w:p w14:paraId="769411B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3B9385F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1AAAA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0AF4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1D07DCE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5AC658D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18</w:t>
            </w:r>
          </w:p>
        </w:tc>
        <w:tc>
          <w:tcPr>
            <w:tcW w:w="1530" w:type="dxa"/>
            <w:vAlign w:val="center"/>
          </w:tcPr>
          <w:p w14:paraId="2F5EB78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18-1</w:t>
            </w:r>
          </w:p>
        </w:tc>
        <w:tc>
          <w:tcPr>
            <w:tcW w:w="1815" w:type="dxa"/>
            <w:vAlign w:val="center"/>
          </w:tcPr>
          <w:p w14:paraId="40B0F08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E：117°1′51.792″</w:t>
            </w:r>
          </w:p>
        </w:tc>
        <w:tc>
          <w:tcPr>
            <w:tcW w:w="1708" w:type="dxa"/>
            <w:vAlign w:val="center"/>
          </w:tcPr>
          <w:p w14:paraId="0963882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N：42°3′33.803″</w:t>
            </w:r>
          </w:p>
        </w:tc>
        <w:tc>
          <w:tcPr>
            <w:tcW w:w="2790" w:type="dxa"/>
            <w:vAlign w:val="center"/>
          </w:tcPr>
          <w:p w14:paraId="6510B87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5038C46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4F317C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02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0FACE4C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4056693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19</w:t>
            </w:r>
          </w:p>
        </w:tc>
        <w:tc>
          <w:tcPr>
            <w:tcW w:w="1530" w:type="dxa"/>
            <w:vAlign w:val="center"/>
          </w:tcPr>
          <w:p w14:paraId="17CC0DC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19-1</w:t>
            </w:r>
          </w:p>
        </w:tc>
        <w:tc>
          <w:tcPr>
            <w:tcW w:w="1815" w:type="dxa"/>
            <w:vAlign w:val="center"/>
          </w:tcPr>
          <w:p w14:paraId="521DA8B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E：117°5′45.258″</w:t>
            </w:r>
          </w:p>
        </w:tc>
        <w:tc>
          <w:tcPr>
            <w:tcW w:w="1708" w:type="dxa"/>
            <w:vAlign w:val="center"/>
          </w:tcPr>
          <w:p w14:paraId="1519F70C">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N：42°3′46.941″</w:t>
            </w:r>
          </w:p>
        </w:tc>
        <w:tc>
          <w:tcPr>
            <w:tcW w:w="2790" w:type="dxa"/>
            <w:vAlign w:val="center"/>
          </w:tcPr>
          <w:p w14:paraId="3C575B1D">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241F868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40E4C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573E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3CCF9A7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4E0D780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20</w:t>
            </w:r>
          </w:p>
        </w:tc>
        <w:tc>
          <w:tcPr>
            <w:tcW w:w="1530" w:type="dxa"/>
            <w:vAlign w:val="center"/>
          </w:tcPr>
          <w:p w14:paraId="3833C84F">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20-1</w:t>
            </w:r>
          </w:p>
        </w:tc>
        <w:tc>
          <w:tcPr>
            <w:tcW w:w="1815" w:type="dxa"/>
            <w:vAlign w:val="center"/>
          </w:tcPr>
          <w:p w14:paraId="0FE8D2BA">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E：117°3′48.016″</w:t>
            </w:r>
          </w:p>
        </w:tc>
        <w:tc>
          <w:tcPr>
            <w:tcW w:w="1708" w:type="dxa"/>
            <w:vAlign w:val="center"/>
          </w:tcPr>
          <w:p w14:paraId="448BFFB2">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N：42°4′3.936″</w:t>
            </w:r>
          </w:p>
        </w:tc>
        <w:tc>
          <w:tcPr>
            <w:tcW w:w="2790" w:type="dxa"/>
            <w:vAlign w:val="center"/>
          </w:tcPr>
          <w:p w14:paraId="7D9AFFE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42F3495B">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325CE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12D3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Merge w:val="continue"/>
            <w:vAlign w:val="center"/>
          </w:tcPr>
          <w:p w14:paraId="62F99A1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p>
        </w:tc>
        <w:tc>
          <w:tcPr>
            <w:tcW w:w="855" w:type="dxa"/>
            <w:vAlign w:val="center"/>
          </w:tcPr>
          <w:p w14:paraId="6C8828B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21</w:t>
            </w:r>
          </w:p>
        </w:tc>
        <w:tc>
          <w:tcPr>
            <w:tcW w:w="1530" w:type="dxa"/>
            <w:vAlign w:val="center"/>
          </w:tcPr>
          <w:p w14:paraId="39AA28E3">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21-1</w:t>
            </w:r>
          </w:p>
        </w:tc>
        <w:tc>
          <w:tcPr>
            <w:tcW w:w="1815" w:type="dxa"/>
            <w:vAlign w:val="center"/>
          </w:tcPr>
          <w:p w14:paraId="635C05D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E：117°6′25.189″</w:t>
            </w:r>
          </w:p>
        </w:tc>
        <w:tc>
          <w:tcPr>
            <w:tcW w:w="1708" w:type="dxa"/>
            <w:vAlign w:val="center"/>
          </w:tcPr>
          <w:p w14:paraId="70A50BE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N：42°3′ 14.522″</w:t>
            </w:r>
          </w:p>
        </w:tc>
        <w:tc>
          <w:tcPr>
            <w:tcW w:w="2790" w:type="dxa"/>
            <w:vAlign w:val="center"/>
          </w:tcPr>
          <w:p w14:paraId="6A516FB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2775" w:type="dxa"/>
            <w:vAlign w:val="center"/>
          </w:tcPr>
          <w:p w14:paraId="5B6A2010">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7F47D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0208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14:paraId="4D9B776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N37塔西300m</w:t>
            </w:r>
          </w:p>
        </w:tc>
        <w:tc>
          <w:tcPr>
            <w:tcW w:w="855" w:type="dxa"/>
            <w:vAlign w:val="center"/>
          </w:tcPr>
          <w:p w14:paraId="23E57C08">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22</w:t>
            </w:r>
          </w:p>
        </w:tc>
        <w:tc>
          <w:tcPr>
            <w:tcW w:w="1530" w:type="dxa"/>
            <w:vAlign w:val="center"/>
          </w:tcPr>
          <w:p w14:paraId="3CB433F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22-1、22-2</w:t>
            </w:r>
          </w:p>
        </w:tc>
        <w:tc>
          <w:tcPr>
            <w:tcW w:w="1815" w:type="dxa"/>
            <w:vAlign w:val="center"/>
          </w:tcPr>
          <w:p w14:paraId="3632D0CE">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E：117°</w:t>
            </w:r>
            <w:r>
              <w:rPr>
                <w:rFonts w:hint="eastAsia" w:eastAsia="宋体" w:cs="Times New Roman"/>
                <w:b w:val="0"/>
                <w:bCs w:val="0"/>
                <w:color w:val="auto"/>
                <w:sz w:val="21"/>
                <w:szCs w:val="21"/>
                <w:highlight w:val="none"/>
                <w:u w:val="none" w:color="auto"/>
                <w:vertAlign w:val="baseline"/>
                <w:lang w:val="en-US" w:eastAsia="zh-CN"/>
              </w:rPr>
              <w:t>8</w:t>
            </w:r>
            <w:r>
              <w:rPr>
                <w:rFonts w:hint="default" w:ascii="Times New Roman" w:hAnsi="Times New Roman" w:eastAsia="宋体" w:cs="Times New Roman"/>
                <w:b w:val="0"/>
                <w:bCs w:val="0"/>
                <w:color w:val="auto"/>
                <w:sz w:val="21"/>
                <w:szCs w:val="21"/>
                <w:highlight w:val="none"/>
                <w:u w:val="none" w:color="auto"/>
                <w:vertAlign w:val="baseline"/>
                <w:lang w:eastAsia="zh-CN"/>
              </w:rPr>
              <w:t>′</w:t>
            </w:r>
            <w:r>
              <w:rPr>
                <w:rFonts w:hint="eastAsia" w:eastAsia="宋体" w:cs="Times New Roman"/>
                <w:b w:val="0"/>
                <w:bCs w:val="0"/>
                <w:color w:val="auto"/>
                <w:sz w:val="21"/>
                <w:szCs w:val="21"/>
                <w:highlight w:val="none"/>
                <w:u w:val="none" w:color="auto"/>
                <w:vertAlign w:val="baseline"/>
                <w:lang w:val="en-US" w:eastAsia="zh-CN"/>
              </w:rPr>
              <w:t>5.766</w:t>
            </w:r>
            <w:r>
              <w:rPr>
                <w:rFonts w:hint="default" w:ascii="Times New Roman" w:hAnsi="Times New Roman" w:eastAsia="宋体" w:cs="Times New Roman"/>
                <w:b w:val="0"/>
                <w:bCs w:val="0"/>
                <w:color w:val="auto"/>
                <w:sz w:val="21"/>
                <w:szCs w:val="21"/>
                <w:highlight w:val="none"/>
                <w:u w:val="none" w:color="auto"/>
                <w:vertAlign w:val="baseline"/>
                <w:lang w:eastAsia="zh-CN"/>
              </w:rPr>
              <w:t>″</w:t>
            </w:r>
          </w:p>
        </w:tc>
        <w:tc>
          <w:tcPr>
            <w:tcW w:w="1708" w:type="dxa"/>
            <w:vAlign w:val="center"/>
          </w:tcPr>
          <w:p w14:paraId="3AF45D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N：42°</w:t>
            </w:r>
            <w:r>
              <w:rPr>
                <w:rFonts w:hint="eastAsia" w:eastAsia="宋体" w:cs="Times New Roman"/>
                <w:b w:val="0"/>
                <w:bCs w:val="0"/>
                <w:color w:val="auto"/>
                <w:sz w:val="21"/>
                <w:szCs w:val="21"/>
                <w:highlight w:val="none"/>
                <w:u w:val="none" w:color="auto"/>
                <w:vertAlign w:val="baseline"/>
                <w:lang w:val="en-US" w:eastAsia="zh-CN"/>
              </w:rPr>
              <w:t>0</w:t>
            </w:r>
            <w:r>
              <w:rPr>
                <w:rFonts w:hint="default" w:ascii="Times New Roman" w:hAnsi="Times New Roman" w:eastAsia="宋体" w:cs="Times New Roman"/>
                <w:b w:val="0"/>
                <w:bCs w:val="0"/>
                <w:color w:val="auto"/>
                <w:sz w:val="21"/>
                <w:szCs w:val="21"/>
                <w:highlight w:val="none"/>
                <w:u w:val="none" w:color="auto"/>
                <w:vertAlign w:val="baseline"/>
                <w:lang w:eastAsia="zh-CN"/>
              </w:rPr>
              <w:t>′14.522″</w:t>
            </w:r>
          </w:p>
        </w:tc>
        <w:tc>
          <w:tcPr>
            <w:tcW w:w="2790" w:type="dxa"/>
            <w:vAlign w:val="center"/>
          </w:tcPr>
          <w:p w14:paraId="3B6590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落叶松、樟子松、油松群系</w:t>
            </w:r>
          </w:p>
        </w:tc>
        <w:tc>
          <w:tcPr>
            <w:tcW w:w="2775" w:type="dxa"/>
            <w:vAlign w:val="center"/>
          </w:tcPr>
          <w:p w14:paraId="504B92B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6381B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r w14:paraId="63A4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14:paraId="60E139F4">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N</w:t>
            </w:r>
            <w:r>
              <w:rPr>
                <w:rFonts w:hint="eastAsia" w:eastAsia="宋体" w:cs="Times New Roman"/>
                <w:b w:val="0"/>
                <w:bCs w:val="0"/>
                <w:color w:val="auto"/>
                <w:sz w:val="21"/>
                <w:szCs w:val="21"/>
                <w:highlight w:val="none"/>
                <w:u w:val="none" w:color="auto"/>
                <w:vertAlign w:val="baseline"/>
                <w:lang w:val="en-US" w:eastAsia="zh-CN"/>
              </w:rPr>
              <w:t>52</w:t>
            </w:r>
            <w:r>
              <w:rPr>
                <w:rFonts w:hint="eastAsia" w:ascii="Times New Roman" w:hAnsi="Times New Roman" w:eastAsia="宋体" w:cs="Times New Roman"/>
                <w:b w:val="0"/>
                <w:bCs w:val="0"/>
                <w:color w:val="auto"/>
                <w:sz w:val="21"/>
                <w:szCs w:val="21"/>
                <w:highlight w:val="none"/>
                <w:u w:val="none" w:color="auto"/>
                <w:vertAlign w:val="baseline"/>
                <w:lang w:val="en-US" w:eastAsia="zh-CN"/>
              </w:rPr>
              <w:t>塔</w:t>
            </w:r>
            <w:r>
              <w:rPr>
                <w:rFonts w:hint="eastAsia" w:eastAsia="宋体" w:cs="Times New Roman"/>
                <w:b w:val="0"/>
                <w:bCs w:val="0"/>
                <w:color w:val="auto"/>
                <w:sz w:val="21"/>
                <w:szCs w:val="21"/>
                <w:highlight w:val="none"/>
                <w:u w:val="none" w:color="auto"/>
                <w:vertAlign w:val="baseline"/>
                <w:lang w:val="en-US" w:eastAsia="zh-CN"/>
              </w:rPr>
              <w:t>北24</w:t>
            </w:r>
            <w:r>
              <w:rPr>
                <w:rFonts w:hint="eastAsia" w:ascii="Times New Roman" w:hAnsi="Times New Roman" w:eastAsia="宋体" w:cs="Times New Roman"/>
                <w:b w:val="0"/>
                <w:bCs w:val="0"/>
                <w:color w:val="auto"/>
                <w:sz w:val="21"/>
                <w:szCs w:val="21"/>
                <w:highlight w:val="none"/>
                <w:u w:val="none" w:color="auto"/>
                <w:vertAlign w:val="baseline"/>
                <w:lang w:val="en-US" w:eastAsia="zh-CN"/>
              </w:rPr>
              <w:t>0m</w:t>
            </w:r>
          </w:p>
        </w:tc>
        <w:tc>
          <w:tcPr>
            <w:tcW w:w="855" w:type="dxa"/>
            <w:vAlign w:val="center"/>
          </w:tcPr>
          <w:p w14:paraId="43CE75D7">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23</w:t>
            </w:r>
          </w:p>
        </w:tc>
        <w:tc>
          <w:tcPr>
            <w:tcW w:w="1530" w:type="dxa"/>
            <w:vAlign w:val="center"/>
          </w:tcPr>
          <w:p w14:paraId="4D328E26">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23-1、23-2</w:t>
            </w:r>
          </w:p>
        </w:tc>
        <w:tc>
          <w:tcPr>
            <w:tcW w:w="1815" w:type="dxa"/>
            <w:vAlign w:val="center"/>
          </w:tcPr>
          <w:p w14:paraId="136D0815">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E：117°</w:t>
            </w:r>
            <w:r>
              <w:rPr>
                <w:rFonts w:hint="eastAsia" w:eastAsia="宋体" w:cs="Times New Roman"/>
                <w:b w:val="0"/>
                <w:bCs w:val="0"/>
                <w:color w:val="auto"/>
                <w:sz w:val="21"/>
                <w:szCs w:val="21"/>
                <w:highlight w:val="none"/>
                <w:u w:val="none" w:color="auto"/>
                <w:vertAlign w:val="baseline"/>
                <w:lang w:val="en-US" w:eastAsia="zh-CN"/>
              </w:rPr>
              <w:t>9</w:t>
            </w:r>
            <w:r>
              <w:rPr>
                <w:rFonts w:hint="default" w:ascii="Times New Roman" w:hAnsi="Times New Roman" w:eastAsia="宋体" w:cs="Times New Roman"/>
                <w:b w:val="0"/>
                <w:bCs w:val="0"/>
                <w:color w:val="auto"/>
                <w:sz w:val="21"/>
                <w:szCs w:val="21"/>
                <w:highlight w:val="none"/>
                <w:u w:val="none" w:color="auto"/>
                <w:vertAlign w:val="baseline"/>
                <w:lang w:eastAsia="zh-CN"/>
              </w:rPr>
              <w:t>′</w:t>
            </w:r>
            <w:r>
              <w:rPr>
                <w:rFonts w:hint="eastAsia" w:eastAsia="宋体" w:cs="Times New Roman"/>
                <w:b w:val="0"/>
                <w:bCs w:val="0"/>
                <w:color w:val="auto"/>
                <w:sz w:val="21"/>
                <w:szCs w:val="21"/>
                <w:highlight w:val="none"/>
                <w:u w:val="none" w:color="auto"/>
                <w:vertAlign w:val="baseline"/>
                <w:lang w:val="en-US" w:eastAsia="zh-CN"/>
              </w:rPr>
              <w:t>55.381</w:t>
            </w:r>
            <w:r>
              <w:rPr>
                <w:rFonts w:hint="default" w:ascii="Times New Roman" w:hAnsi="Times New Roman" w:eastAsia="宋体" w:cs="Times New Roman"/>
                <w:b w:val="0"/>
                <w:bCs w:val="0"/>
                <w:color w:val="auto"/>
                <w:sz w:val="21"/>
                <w:szCs w:val="21"/>
                <w:highlight w:val="none"/>
                <w:u w:val="none" w:color="auto"/>
                <w:vertAlign w:val="baseline"/>
                <w:lang w:eastAsia="zh-CN"/>
              </w:rPr>
              <w:t>″</w:t>
            </w:r>
          </w:p>
        </w:tc>
        <w:tc>
          <w:tcPr>
            <w:tcW w:w="1708" w:type="dxa"/>
            <w:vAlign w:val="center"/>
          </w:tcPr>
          <w:p w14:paraId="1F91CE59">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N：4</w:t>
            </w:r>
            <w:r>
              <w:rPr>
                <w:rFonts w:hint="eastAsia" w:eastAsia="宋体" w:cs="Times New Roman"/>
                <w:b w:val="0"/>
                <w:bCs w:val="0"/>
                <w:color w:val="auto"/>
                <w:sz w:val="21"/>
                <w:szCs w:val="21"/>
                <w:highlight w:val="none"/>
                <w:u w:val="none" w:color="auto"/>
                <w:vertAlign w:val="baseline"/>
                <w:lang w:val="en-US" w:eastAsia="zh-CN"/>
              </w:rPr>
              <w:t>1</w:t>
            </w:r>
            <w:r>
              <w:rPr>
                <w:rFonts w:hint="default" w:ascii="Times New Roman" w:hAnsi="Times New Roman" w:eastAsia="宋体" w:cs="Times New Roman"/>
                <w:b w:val="0"/>
                <w:bCs w:val="0"/>
                <w:color w:val="auto"/>
                <w:sz w:val="21"/>
                <w:szCs w:val="21"/>
                <w:highlight w:val="none"/>
                <w:u w:val="none" w:color="auto"/>
                <w:vertAlign w:val="baseline"/>
                <w:lang w:eastAsia="zh-CN"/>
              </w:rPr>
              <w:t>°</w:t>
            </w:r>
            <w:r>
              <w:rPr>
                <w:rFonts w:hint="eastAsia" w:eastAsia="宋体" w:cs="Times New Roman"/>
                <w:b w:val="0"/>
                <w:bCs w:val="0"/>
                <w:color w:val="auto"/>
                <w:sz w:val="21"/>
                <w:szCs w:val="21"/>
                <w:highlight w:val="none"/>
                <w:u w:val="none" w:color="auto"/>
                <w:vertAlign w:val="baseline"/>
                <w:lang w:val="en-US" w:eastAsia="zh-CN"/>
              </w:rPr>
              <w:t>58</w:t>
            </w:r>
            <w:r>
              <w:rPr>
                <w:rFonts w:hint="default" w:ascii="Times New Roman" w:hAnsi="Times New Roman" w:eastAsia="宋体" w:cs="Times New Roman"/>
                <w:b w:val="0"/>
                <w:bCs w:val="0"/>
                <w:color w:val="auto"/>
                <w:sz w:val="21"/>
                <w:szCs w:val="21"/>
                <w:highlight w:val="none"/>
                <w:u w:val="none" w:color="auto"/>
                <w:vertAlign w:val="baseline"/>
                <w:lang w:eastAsia="zh-CN"/>
              </w:rPr>
              <w:t>′</w:t>
            </w:r>
            <w:r>
              <w:rPr>
                <w:rFonts w:hint="eastAsia" w:eastAsia="宋体" w:cs="Times New Roman"/>
                <w:b w:val="0"/>
                <w:bCs w:val="0"/>
                <w:color w:val="auto"/>
                <w:sz w:val="21"/>
                <w:szCs w:val="21"/>
                <w:highlight w:val="none"/>
                <w:u w:val="none" w:color="auto"/>
                <w:vertAlign w:val="baseline"/>
                <w:lang w:val="en-US" w:eastAsia="zh-CN"/>
              </w:rPr>
              <w:t>11.8</w:t>
            </w:r>
            <w:r>
              <w:rPr>
                <w:rFonts w:hint="default" w:ascii="Times New Roman" w:hAnsi="Times New Roman" w:eastAsia="宋体" w:cs="Times New Roman"/>
                <w:b w:val="0"/>
                <w:bCs w:val="0"/>
                <w:color w:val="auto"/>
                <w:sz w:val="21"/>
                <w:szCs w:val="21"/>
                <w:highlight w:val="none"/>
                <w:u w:val="none" w:color="auto"/>
                <w:vertAlign w:val="baseline"/>
                <w:lang w:eastAsia="zh-CN"/>
              </w:rPr>
              <w:t>22″</w:t>
            </w:r>
          </w:p>
        </w:tc>
        <w:tc>
          <w:tcPr>
            <w:tcW w:w="2790" w:type="dxa"/>
            <w:vAlign w:val="center"/>
          </w:tcPr>
          <w:p w14:paraId="33AAE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ascii="Times New Roman" w:hAnsi="Times New Roman" w:eastAsia="宋体" w:cs="Times New Roman"/>
                <w:b w:val="0"/>
                <w:bCs w:val="0"/>
                <w:i w:val="0"/>
                <w:iCs w:val="0"/>
                <w:color w:val="auto"/>
                <w:kern w:val="0"/>
                <w:sz w:val="21"/>
                <w:szCs w:val="21"/>
                <w:highlight w:val="none"/>
                <w:u w:val="none" w:color="auto"/>
                <w:lang w:val="en-US" w:eastAsia="zh-CN" w:bidi="ar"/>
              </w:rPr>
              <w:t>落叶松、樟子松、油松群系</w:t>
            </w:r>
          </w:p>
        </w:tc>
        <w:tc>
          <w:tcPr>
            <w:tcW w:w="2775" w:type="dxa"/>
            <w:vAlign w:val="center"/>
          </w:tcPr>
          <w:p w14:paraId="5672E6D1">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1632" w:type="dxa"/>
            <w:vAlign w:val="center"/>
          </w:tcPr>
          <w:p w14:paraId="20967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none" w:color="auto"/>
                <w:vertAlign w:val="baseline"/>
                <w:lang w:eastAsia="zh-CN"/>
              </w:rPr>
              <w:t>杂草</w:t>
            </w:r>
            <w:r>
              <w:rPr>
                <w:rFonts w:hint="default" w:ascii="Times New Roman" w:hAnsi="Times New Roman" w:eastAsia="宋体" w:cs="Times New Roman"/>
                <w:b w:val="0"/>
                <w:bCs w:val="0"/>
                <w:color w:val="auto"/>
                <w:sz w:val="21"/>
                <w:szCs w:val="21"/>
                <w:highlight w:val="none"/>
                <w:u w:val="none" w:color="auto"/>
                <w:vertAlign w:val="baseline"/>
                <w:lang w:eastAsia="zh-CN"/>
              </w:rPr>
              <w:t>草甸群系</w:t>
            </w:r>
          </w:p>
        </w:tc>
      </w:tr>
    </w:tbl>
    <w:p w14:paraId="184CD3B5">
      <w:pPr>
        <w:pStyle w:val="37"/>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color w:val="auto"/>
          <w:sz w:val="10"/>
          <w:szCs w:val="10"/>
          <w:highlight w:val="none"/>
          <w:lang w:eastAsia="zh-CN"/>
        </w:rPr>
      </w:pPr>
    </w:p>
    <w:p w14:paraId="7D02951F">
      <w:pPr>
        <w:pStyle w:val="37"/>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color w:val="auto"/>
          <w:sz w:val="10"/>
          <w:szCs w:val="10"/>
          <w:highlight w:val="none"/>
          <w:lang w:eastAsia="zh-CN"/>
        </w:rPr>
        <w:sectPr>
          <w:pgSz w:w="16839" w:h="11906" w:orient="landscape"/>
          <w:pgMar w:top="1785" w:right="1431" w:bottom="1724" w:left="1152" w:header="0" w:footer="987" w:gutter="0"/>
          <w:pgNumType w:fmt="decimal"/>
          <w:cols w:space="720" w:num="1"/>
        </w:sectPr>
      </w:pPr>
    </w:p>
    <w:p w14:paraId="1555804A">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ascii="Times New Roman" w:hAnsi="Times New Roman" w:cs="Times New Roman"/>
          <w:color w:val="auto"/>
          <w:kern w:val="0"/>
          <w:szCs w:val="30"/>
          <w:highlight w:val="none"/>
        </w:rPr>
      </w:pPr>
      <w:r>
        <w:rPr>
          <w:rFonts w:hint="eastAsia" w:ascii="Times New Roman" w:hAnsi="Times New Roman" w:cs="Times New Roman"/>
          <w:color w:val="auto"/>
          <w:kern w:val="0"/>
          <w:szCs w:val="30"/>
          <w:highlight w:val="none"/>
          <w:lang w:val="en-US" w:eastAsia="zh-CN"/>
        </w:rPr>
        <w:t>4.</w:t>
      </w:r>
      <w:r>
        <w:rPr>
          <w:rFonts w:hint="eastAsia" w:cs="Times New Roman"/>
          <w:color w:val="auto"/>
          <w:kern w:val="0"/>
          <w:szCs w:val="30"/>
          <w:highlight w:val="none"/>
          <w:lang w:val="en-US" w:eastAsia="zh-CN"/>
        </w:rPr>
        <w:t>4评价范围内生物多样性现状</w:t>
      </w:r>
    </w:p>
    <w:p w14:paraId="3988E073">
      <w:pPr>
        <w:bidi w:val="0"/>
        <w:rPr>
          <w:color w:val="auto"/>
          <w:highlight w:val="none"/>
        </w:rPr>
      </w:pPr>
      <w:bookmarkStart w:id="47" w:name="bookmark41"/>
      <w:bookmarkEnd w:id="47"/>
      <w:r>
        <w:rPr>
          <w:rFonts w:hint="eastAsia"/>
          <w:color w:val="auto"/>
          <w:highlight w:val="none"/>
          <w:lang w:val="en-US" w:eastAsia="zh-CN"/>
        </w:rPr>
        <w:t>4.4</w:t>
      </w:r>
      <w:r>
        <w:rPr>
          <w:color w:val="auto"/>
          <w:highlight w:val="none"/>
        </w:rPr>
        <w:t>.1影响评价区划定</w:t>
      </w:r>
    </w:p>
    <w:p w14:paraId="49F33B6D">
      <w:pPr>
        <w:bidi w:val="0"/>
        <w:rPr>
          <w:color w:val="auto"/>
          <w:highlight w:val="none"/>
        </w:rPr>
      </w:pPr>
      <w:r>
        <w:rPr>
          <w:rFonts w:hint="eastAsia"/>
          <w:color w:val="auto"/>
          <w:highlight w:val="none"/>
          <w:lang w:val="en-US" w:eastAsia="zh-CN"/>
        </w:rPr>
        <w:t>4.4</w:t>
      </w:r>
      <w:r>
        <w:rPr>
          <w:color w:val="auto"/>
          <w:highlight w:val="none"/>
        </w:rPr>
        <w:t>.1.1划定依据</w:t>
      </w:r>
    </w:p>
    <w:p w14:paraId="058A0E92">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根据</w:t>
      </w:r>
      <w:r>
        <w:rPr>
          <w:rFonts w:cs="Times New Roman"/>
          <w:color w:val="auto"/>
          <w:spacing w:val="-6"/>
          <w:szCs w:val="24"/>
          <w:highlight w:val="none"/>
        </w:rPr>
        <w:t>《</w:t>
      </w:r>
      <w:r>
        <w:rPr>
          <w:rFonts w:hint="eastAsia" w:cs="Times New Roman"/>
          <w:color w:val="auto"/>
          <w:spacing w:val="-6"/>
          <w:szCs w:val="24"/>
          <w:highlight w:val="none"/>
        </w:rPr>
        <w:t>环境影响评价技术导则 生态影响</w:t>
      </w:r>
      <w:r>
        <w:rPr>
          <w:rFonts w:cs="Times New Roman"/>
          <w:color w:val="auto"/>
          <w:spacing w:val="-6"/>
          <w:szCs w:val="24"/>
          <w:highlight w:val="none"/>
        </w:rPr>
        <w:t>》（HJ</w:t>
      </w:r>
      <w:r>
        <w:rPr>
          <w:rFonts w:hint="eastAsia" w:cs="Times New Roman"/>
          <w:color w:val="auto"/>
          <w:spacing w:val="-6"/>
          <w:szCs w:val="24"/>
          <w:highlight w:val="none"/>
          <w:lang w:val="en-US" w:eastAsia="zh-CN"/>
        </w:rPr>
        <w:t>19</w:t>
      </w:r>
      <w:r>
        <w:rPr>
          <w:rFonts w:cs="Times New Roman"/>
          <w:color w:val="auto"/>
          <w:spacing w:val="-6"/>
          <w:szCs w:val="24"/>
          <w:highlight w:val="none"/>
        </w:rPr>
        <w:t>-202</w:t>
      </w:r>
      <w:r>
        <w:rPr>
          <w:rFonts w:hint="eastAsia" w:cs="Times New Roman"/>
          <w:color w:val="auto"/>
          <w:spacing w:val="-6"/>
          <w:szCs w:val="24"/>
          <w:highlight w:val="none"/>
          <w:lang w:val="en-US" w:eastAsia="zh-CN"/>
        </w:rPr>
        <w:t>2</w:t>
      </w:r>
      <w:r>
        <w:rPr>
          <w:rFonts w:cs="Times New Roman"/>
          <w:color w:val="auto"/>
          <w:spacing w:val="-6"/>
          <w:szCs w:val="24"/>
          <w:highlight w:val="none"/>
        </w:rPr>
        <w:t>）中</w:t>
      </w:r>
      <w:r>
        <w:rPr>
          <w:rFonts w:hint="eastAsia" w:eastAsia="宋体" w:cs="Times New Roman"/>
          <w:bCs/>
          <w:color w:val="auto"/>
          <w:szCs w:val="24"/>
          <w:highlight w:val="none"/>
          <w:lang w:eastAsia="zh-CN"/>
        </w:rPr>
        <w:t>6.2评价范围确定。</w:t>
      </w:r>
    </w:p>
    <w:p w14:paraId="41ADA765">
      <w:pPr>
        <w:bidi w:val="0"/>
        <w:rPr>
          <w:color w:val="auto"/>
          <w:highlight w:val="none"/>
        </w:rPr>
      </w:pPr>
      <w:r>
        <w:rPr>
          <w:rFonts w:hint="eastAsia"/>
          <w:color w:val="auto"/>
          <w:highlight w:val="none"/>
          <w:lang w:val="en-US" w:eastAsia="zh-CN"/>
        </w:rPr>
        <w:t>4.4</w:t>
      </w:r>
      <w:r>
        <w:rPr>
          <w:color w:val="auto"/>
          <w:highlight w:val="none"/>
        </w:rPr>
        <w:t>.1.2划定原则</w:t>
      </w:r>
    </w:p>
    <w:p w14:paraId="184E56C9">
      <w:pPr>
        <w:autoSpaceDE w:val="0"/>
        <w:autoSpaceDN w:val="0"/>
        <w:ind w:firstLine="480"/>
        <w:rPr>
          <w:rFonts w:hint="eastAsia" w:eastAsia="宋体" w:cs="Times New Roman"/>
          <w:bCs/>
          <w:color w:val="auto"/>
          <w:szCs w:val="24"/>
          <w:highlight w:val="none"/>
          <w:lang w:eastAsia="zh-CN"/>
        </w:rPr>
      </w:pPr>
      <w:r>
        <w:rPr>
          <w:rFonts w:hint="eastAsia" w:eastAsia="宋体" w:cs="Times New Roman"/>
          <w:bCs/>
          <w:color w:val="auto"/>
          <w:szCs w:val="24"/>
          <w:highlight w:val="none"/>
          <w:lang w:eastAsia="zh-CN"/>
        </w:rPr>
        <w:t>根据</w:t>
      </w:r>
      <w:r>
        <w:rPr>
          <w:rFonts w:cs="Times New Roman"/>
          <w:color w:val="auto"/>
          <w:spacing w:val="-6"/>
          <w:szCs w:val="24"/>
          <w:highlight w:val="none"/>
        </w:rPr>
        <w:t>《</w:t>
      </w:r>
      <w:r>
        <w:rPr>
          <w:rFonts w:hint="eastAsia" w:cs="Times New Roman"/>
          <w:color w:val="auto"/>
          <w:spacing w:val="-6"/>
          <w:szCs w:val="24"/>
          <w:highlight w:val="none"/>
        </w:rPr>
        <w:t>环境影响评价技术导则 生态影响</w:t>
      </w:r>
      <w:r>
        <w:rPr>
          <w:rFonts w:cs="Times New Roman"/>
          <w:color w:val="auto"/>
          <w:spacing w:val="-6"/>
          <w:szCs w:val="24"/>
          <w:highlight w:val="none"/>
        </w:rPr>
        <w:t>》（HJ</w:t>
      </w:r>
      <w:r>
        <w:rPr>
          <w:rFonts w:hint="eastAsia" w:cs="Times New Roman"/>
          <w:color w:val="auto"/>
          <w:spacing w:val="-6"/>
          <w:szCs w:val="24"/>
          <w:highlight w:val="none"/>
          <w:lang w:val="en-US" w:eastAsia="zh-CN"/>
        </w:rPr>
        <w:t>19</w:t>
      </w:r>
      <w:r>
        <w:rPr>
          <w:rFonts w:cs="Times New Roman"/>
          <w:color w:val="auto"/>
          <w:spacing w:val="-6"/>
          <w:szCs w:val="24"/>
          <w:highlight w:val="none"/>
        </w:rPr>
        <w:t>-202</w:t>
      </w:r>
      <w:r>
        <w:rPr>
          <w:rFonts w:hint="eastAsia" w:cs="Times New Roman"/>
          <w:color w:val="auto"/>
          <w:spacing w:val="-6"/>
          <w:szCs w:val="24"/>
          <w:highlight w:val="none"/>
          <w:lang w:val="en-US" w:eastAsia="zh-CN"/>
        </w:rPr>
        <w:t>2</w:t>
      </w:r>
      <w:r>
        <w:rPr>
          <w:rFonts w:cs="Times New Roman"/>
          <w:color w:val="auto"/>
          <w:spacing w:val="-6"/>
          <w:szCs w:val="24"/>
          <w:highlight w:val="none"/>
        </w:rPr>
        <w:t>）中</w:t>
      </w:r>
      <w:r>
        <w:rPr>
          <w:rFonts w:hint="eastAsia" w:eastAsia="宋体" w:cs="Times New Roman"/>
          <w:bCs/>
          <w:color w:val="auto"/>
          <w:szCs w:val="24"/>
          <w:highlight w:val="none"/>
          <w:lang w:eastAsia="zh-CN"/>
        </w:rPr>
        <w:t>6.2评价范围确定</w:t>
      </w:r>
      <w:r>
        <w:rPr>
          <w:rFonts w:hint="eastAsia" w:eastAsia="宋体" w:cs="Times New Roman"/>
          <w:bCs/>
          <w:color w:val="auto"/>
          <w:szCs w:val="24"/>
          <w:highlight w:val="none"/>
          <w:lang w:val="en-US" w:eastAsia="zh-CN"/>
        </w:rPr>
        <w:t>-</w:t>
      </w:r>
      <w:r>
        <w:rPr>
          <w:rFonts w:hint="eastAsia" w:eastAsia="宋体" w:cs="Times New Roman"/>
          <w:bCs/>
          <w:color w:val="auto"/>
          <w:szCs w:val="24"/>
          <w:highlight w:val="none"/>
          <w:lang w:eastAsia="zh-CN"/>
        </w:rPr>
        <w:t>6.2.5线性工程穿越生态敏感区时，以线路穿越段向两端外延1km、线路中心线向两侧外延1km为参考评价范围，实际确定时应结合生态敏感区主要保护对象的分布、生态学特征、项目的穿越方式、周边地形地貌等适当调整，主要保护对象为野生动物及其栖息地时，应进一步扩大评价范围，涉及迁徙、洄游物种的，其评价范围应涵盖工程影响的迁徙洄游通道范围；穿越非生态敏感区时，以线路中心线向两侧外延300m为参考评价范围。</w:t>
      </w:r>
    </w:p>
    <w:p w14:paraId="35E30AFC">
      <w:pPr>
        <w:autoSpaceDE w:val="0"/>
        <w:autoSpaceDN w:val="0"/>
        <w:ind w:firstLine="480"/>
        <w:rPr>
          <w:color w:val="auto"/>
          <w:highlight w:val="none"/>
        </w:rPr>
      </w:pPr>
      <w:r>
        <w:rPr>
          <w:rFonts w:cs="Times New Roman"/>
          <w:color w:val="auto"/>
          <w:spacing w:val="-6"/>
          <w:szCs w:val="24"/>
          <w:highlight w:val="none"/>
        </w:rPr>
        <w:t>本项目输电线路电压等级为</w:t>
      </w:r>
      <w:r>
        <w:rPr>
          <w:rFonts w:hint="eastAsia" w:cs="Times New Roman"/>
          <w:color w:val="auto"/>
          <w:spacing w:val="-6"/>
          <w:szCs w:val="24"/>
          <w:highlight w:val="none"/>
        </w:rPr>
        <w:t>22</w:t>
      </w:r>
      <w:r>
        <w:rPr>
          <w:rFonts w:cs="Times New Roman"/>
          <w:color w:val="auto"/>
          <w:spacing w:val="-6"/>
          <w:szCs w:val="24"/>
          <w:highlight w:val="none"/>
        </w:rPr>
        <w:t>0kV，</w:t>
      </w:r>
      <w:r>
        <w:rPr>
          <w:rFonts w:hint="eastAsia" w:cs="Times New Roman"/>
          <w:color w:val="auto"/>
          <w:spacing w:val="-6"/>
          <w:szCs w:val="24"/>
          <w:highlight w:val="none"/>
          <w:lang w:eastAsia="zh-CN"/>
        </w:rPr>
        <w:t>线路穿越河北滦河上游国家级自然保护区</w:t>
      </w:r>
      <w:r>
        <w:rPr>
          <w:rFonts w:hint="eastAsia" w:cs="Times New Roman"/>
          <w:color w:val="auto"/>
          <w:spacing w:val="-6"/>
          <w:szCs w:val="24"/>
          <w:highlight w:val="none"/>
        </w:rPr>
        <w:t>实验区</w:t>
      </w:r>
      <w:r>
        <w:rPr>
          <w:rFonts w:hint="eastAsia" w:cs="Times New Roman"/>
          <w:color w:val="auto"/>
          <w:spacing w:val="-6"/>
          <w:szCs w:val="24"/>
          <w:highlight w:val="none"/>
          <w:lang w:eastAsia="zh-CN"/>
        </w:rPr>
        <w:t>长度为</w:t>
      </w:r>
      <w:r>
        <w:rPr>
          <w:rFonts w:hint="eastAsia" w:cs="Times New Roman"/>
          <w:color w:val="auto"/>
          <w:spacing w:val="-6"/>
          <w:szCs w:val="24"/>
          <w:highlight w:val="none"/>
        </w:rPr>
        <w:t>9094.58m，</w:t>
      </w:r>
      <w:r>
        <w:rPr>
          <w:rFonts w:hint="eastAsia" w:cs="Times New Roman"/>
          <w:color w:val="auto"/>
          <w:spacing w:val="-6"/>
          <w:szCs w:val="24"/>
          <w:highlight w:val="none"/>
          <w:lang w:eastAsia="zh-CN"/>
        </w:rPr>
        <w:t>穿越生态保护红线长度为</w:t>
      </w:r>
      <w:r>
        <w:rPr>
          <w:rFonts w:hint="eastAsia" w:cs="Times New Roman"/>
          <w:color w:val="auto"/>
          <w:spacing w:val="-6"/>
          <w:szCs w:val="24"/>
          <w:highlight w:val="none"/>
          <w:lang w:val="en-US" w:eastAsia="zh-CN"/>
        </w:rPr>
        <w:t>12967m</w:t>
      </w:r>
      <w:r>
        <w:rPr>
          <w:rFonts w:hint="eastAsia" w:cs="Times New Roman"/>
          <w:color w:val="auto"/>
          <w:spacing w:val="-6"/>
          <w:szCs w:val="24"/>
          <w:highlight w:val="none"/>
          <w:lang w:eastAsia="zh-CN"/>
        </w:rPr>
        <w:t>，</w:t>
      </w:r>
      <w:r>
        <w:rPr>
          <w:rFonts w:hint="default" w:ascii="Times New Roman" w:hAnsi="Times New Roman" w:eastAsia="宋体" w:cs="Times New Roman"/>
          <w:color w:val="auto"/>
          <w:spacing w:val="0"/>
          <w:w w:val="100"/>
          <w:position w:val="0"/>
          <w:highlight w:val="none"/>
        </w:rPr>
        <w:t>因此，</w:t>
      </w:r>
      <w:r>
        <w:rPr>
          <w:rFonts w:hint="default" w:ascii="Times New Roman" w:hAnsi="Times New Roman" w:eastAsia="宋体" w:cs="Times New Roman"/>
          <w:color w:val="auto"/>
          <w:spacing w:val="0"/>
          <w:w w:val="100"/>
          <w:kern w:val="0"/>
          <w:position w:val="0"/>
          <w:highlight w:val="none"/>
        </w:rPr>
        <w:t>确定本项目生态环境影响评价</w:t>
      </w:r>
      <w:r>
        <w:rPr>
          <w:rFonts w:hint="eastAsia" w:ascii="Times New Roman" w:hAnsi="Times New Roman" w:eastAsia="宋体" w:cs="Times New Roman"/>
          <w:color w:val="auto"/>
          <w:spacing w:val="0"/>
          <w:w w:val="100"/>
          <w:kern w:val="0"/>
          <w:position w:val="0"/>
          <w:highlight w:val="none"/>
          <w:lang w:eastAsia="zh-CN"/>
        </w:rPr>
        <w:t>范围为</w:t>
      </w:r>
      <w:r>
        <w:rPr>
          <w:rFonts w:eastAsia="宋体" w:cs="Times New Roman"/>
          <w:bCs/>
          <w:color w:val="auto"/>
          <w:szCs w:val="24"/>
          <w:highlight w:val="none"/>
        </w:rPr>
        <w:t>架空线路</w:t>
      </w:r>
      <w:r>
        <w:rPr>
          <w:rFonts w:hint="eastAsia" w:eastAsia="宋体" w:cs="Times New Roman"/>
          <w:bCs/>
          <w:color w:val="auto"/>
          <w:szCs w:val="24"/>
          <w:highlight w:val="none"/>
          <w:lang w:eastAsia="zh-CN"/>
        </w:rPr>
        <w:t>向两端外延1km、线路中心线向两侧外延1km为评价范围</w:t>
      </w:r>
      <w:r>
        <w:rPr>
          <w:color w:val="auto"/>
          <w:highlight w:val="none"/>
        </w:rPr>
        <w:t>。</w:t>
      </w:r>
    </w:p>
    <w:p w14:paraId="51539D2E">
      <w:pPr>
        <w:bidi w:val="0"/>
        <w:rPr>
          <w:color w:val="auto"/>
          <w:highlight w:val="none"/>
        </w:rPr>
      </w:pPr>
      <w:r>
        <w:rPr>
          <w:rFonts w:hint="eastAsia"/>
          <w:color w:val="auto"/>
          <w:highlight w:val="none"/>
          <w:lang w:val="en-US" w:eastAsia="zh-CN"/>
        </w:rPr>
        <w:t>4.4</w:t>
      </w:r>
      <w:r>
        <w:rPr>
          <w:color w:val="auto"/>
          <w:highlight w:val="none"/>
        </w:rPr>
        <w:t>.1.3划定面积</w:t>
      </w:r>
    </w:p>
    <w:p w14:paraId="35DDA7BE">
      <w:pPr>
        <w:bidi w:val="0"/>
        <w:rPr>
          <w:color w:val="auto"/>
          <w:highlight w:val="none"/>
        </w:rPr>
      </w:pPr>
      <w:r>
        <w:rPr>
          <w:color w:val="auto"/>
          <w:highlight w:val="none"/>
        </w:rPr>
        <w:t>本项目为线性工程，</w:t>
      </w:r>
      <w:r>
        <w:rPr>
          <w:rFonts w:hint="eastAsia"/>
          <w:color w:val="auto"/>
          <w:highlight w:val="none"/>
          <w:lang w:eastAsia="zh-CN"/>
        </w:rPr>
        <w:t>线路长度</w:t>
      </w:r>
      <w:r>
        <w:rPr>
          <w:rFonts w:hint="eastAsia"/>
          <w:color w:val="auto"/>
          <w:highlight w:val="none"/>
          <w:lang w:val="en-US" w:eastAsia="zh-CN"/>
        </w:rPr>
        <w:t>22.99km，</w:t>
      </w:r>
      <w:r>
        <w:rPr>
          <w:color w:val="auto"/>
          <w:highlight w:val="none"/>
        </w:rPr>
        <w:t>穿越河北滦河上游国家级自然保护保-实验区，穿越长度9094.58m</w:t>
      </w:r>
      <w:r>
        <w:rPr>
          <w:rFonts w:hint="eastAsia"/>
          <w:color w:val="auto"/>
          <w:highlight w:val="none"/>
          <w:lang w:eastAsia="zh-CN"/>
        </w:rPr>
        <w:t>，穿越生态保护红线长度</w:t>
      </w:r>
      <w:r>
        <w:rPr>
          <w:rFonts w:hint="eastAsia"/>
          <w:color w:val="auto"/>
          <w:highlight w:val="none"/>
          <w:lang w:val="en-US" w:eastAsia="zh-CN"/>
        </w:rPr>
        <w:t>12967m</w:t>
      </w:r>
      <w:r>
        <w:rPr>
          <w:color w:val="auto"/>
          <w:highlight w:val="none"/>
        </w:rPr>
        <w:t>。</w:t>
      </w:r>
      <w:r>
        <w:rPr>
          <w:rFonts w:eastAsia="宋体" w:cs="Times New Roman"/>
          <w:bCs/>
          <w:color w:val="auto"/>
          <w:szCs w:val="24"/>
          <w:highlight w:val="none"/>
        </w:rPr>
        <w:t>架空线路</w:t>
      </w:r>
      <w:r>
        <w:rPr>
          <w:rFonts w:hint="eastAsia" w:eastAsia="宋体" w:cs="Times New Roman"/>
          <w:bCs/>
          <w:color w:val="auto"/>
          <w:szCs w:val="24"/>
          <w:highlight w:val="none"/>
          <w:lang w:eastAsia="zh-CN"/>
        </w:rPr>
        <w:t>向两端外延1km、线路中心线向两侧外延1km为评价范围</w:t>
      </w:r>
      <w:r>
        <w:rPr>
          <w:color w:val="auto"/>
          <w:highlight w:val="none"/>
        </w:rPr>
        <w:t>，评价区总面积为</w:t>
      </w:r>
      <w:r>
        <w:rPr>
          <w:rFonts w:hint="eastAsia"/>
          <w:color w:val="auto"/>
          <w:highlight w:val="none"/>
          <w:lang w:val="en-US" w:eastAsia="zh-CN"/>
        </w:rPr>
        <w:t>4798.65</w:t>
      </w:r>
      <w:r>
        <w:rPr>
          <w:color w:val="auto"/>
          <w:highlight w:val="none"/>
        </w:rPr>
        <w:t>hm</w:t>
      </w:r>
      <w:r>
        <w:rPr>
          <w:color w:val="auto"/>
          <w:highlight w:val="none"/>
          <w:vertAlign w:val="superscript"/>
        </w:rPr>
        <w:t>2</w:t>
      </w:r>
      <w:r>
        <w:rPr>
          <w:color w:val="auto"/>
          <w:highlight w:val="none"/>
        </w:rPr>
        <w:t>，其中涉及保护区面积</w:t>
      </w:r>
      <w:r>
        <w:rPr>
          <w:rFonts w:hint="eastAsia"/>
          <w:color w:val="auto"/>
          <w:highlight w:val="none"/>
          <w:lang w:val="en-US" w:eastAsia="zh-CN"/>
        </w:rPr>
        <w:t>1818.90</w:t>
      </w:r>
      <w:r>
        <w:rPr>
          <w:color w:val="auto"/>
          <w:highlight w:val="none"/>
        </w:rPr>
        <w:t>hm</w:t>
      </w:r>
      <w:r>
        <w:rPr>
          <w:color w:val="auto"/>
          <w:highlight w:val="none"/>
          <w:vertAlign w:val="superscript"/>
        </w:rPr>
        <w:t>2</w:t>
      </w:r>
      <w:r>
        <w:rPr>
          <w:rFonts w:hint="eastAsia"/>
          <w:color w:val="auto"/>
          <w:highlight w:val="none"/>
          <w:lang w:eastAsia="zh-CN"/>
        </w:rPr>
        <w:t>，保护区内</w:t>
      </w:r>
      <w:r>
        <w:rPr>
          <w:color w:val="auto"/>
          <w:highlight w:val="none"/>
        </w:rPr>
        <w:t>面积占评价区总面积的</w:t>
      </w:r>
      <w:r>
        <w:rPr>
          <w:rFonts w:hint="eastAsia"/>
          <w:color w:val="auto"/>
          <w:highlight w:val="none"/>
          <w:lang w:val="en-US" w:eastAsia="zh-CN"/>
        </w:rPr>
        <w:t>37.90</w:t>
      </w:r>
      <w:r>
        <w:rPr>
          <w:color w:val="auto"/>
          <w:highlight w:val="none"/>
        </w:rPr>
        <w:t>%。</w:t>
      </w:r>
    </w:p>
    <w:p w14:paraId="4AE78655">
      <w:pPr>
        <w:bidi w:val="0"/>
        <w:rPr>
          <w:color w:val="auto"/>
          <w:highlight w:val="none"/>
        </w:rPr>
      </w:pPr>
      <w:bookmarkStart w:id="48" w:name="bookmark43"/>
      <w:bookmarkEnd w:id="48"/>
      <w:bookmarkStart w:id="49" w:name="bookmark46"/>
      <w:bookmarkEnd w:id="49"/>
      <w:bookmarkStart w:id="50" w:name="bookmark45"/>
      <w:bookmarkEnd w:id="50"/>
      <w:bookmarkStart w:id="51" w:name="bookmark44"/>
      <w:bookmarkEnd w:id="51"/>
      <w:r>
        <w:rPr>
          <w:rFonts w:hint="eastAsia"/>
          <w:color w:val="auto"/>
          <w:highlight w:val="none"/>
          <w:lang w:val="en-US" w:eastAsia="zh-CN"/>
        </w:rPr>
        <w:t>4.4.2</w:t>
      </w:r>
      <w:r>
        <w:rPr>
          <w:color w:val="auto"/>
          <w:highlight w:val="none"/>
        </w:rPr>
        <w:t>生态系统</w:t>
      </w:r>
    </w:p>
    <w:p w14:paraId="5703A083">
      <w:pPr>
        <w:bidi w:val="0"/>
        <w:rPr>
          <w:color w:val="auto"/>
          <w:highlight w:val="none"/>
        </w:rPr>
      </w:pPr>
      <w:r>
        <w:rPr>
          <w:color w:val="auto"/>
          <w:highlight w:val="none"/>
        </w:rPr>
        <w:t>根据《自然保护区建设项目生物多样性影响评价技术规范》要求，依据河北滦河上游国家级自然保护区国土三调变更数据以及华能围场“风光储氢热一体化”项目（光伏200MW）项目220kV送出线路工程两侧</w:t>
      </w:r>
      <w:r>
        <w:rPr>
          <w:rFonts w:hint="eastAsia"/>
          <w:color w:val="auto"/>
          <w:highlight w:val="none"/>
          <w:lang w:val="en-US" w:eastAsia="zh-CN"/>
        </w:rPr>
        <w:t>10</w:t>
      </w:r>
      <w:r>
        <w:rPr>
          <w:color w:val="auto"/>
          <w:highlight w:val="none"/>
        </w:rPr>
        <w:t>00m范围国土三调数据，结合《河北滦河上游国家级自然保护区科学考察报告（2019年）》</w:t>
      </w:r>
      <w:r>
        <w:rPr>
          <w:rFonts w:hint="eastAsia"/>
          <w:color w:val="auto"/>
          <w:highlight w:val="none"/>
          <w:lang w:eastAsia="zh-CN"/>
        </w:rPr>
        <w:t>、《</w:t>
      </w:r>
      <w:r>
        <w:rPr>
          <w:rFonts w:hint="eastAsia" w:eastAsia="宋体" w:cs="Times New Roman"/>
          <w:bCs/>
          <w:color w:val="auto"/>
          <w:szCs w:val="24"/>
          <w:highlight w:val="none"/>
          <w:lang w:eastAsia="zh-CN"/>
        </w:rPr>
        <w:t>华能围场“风光储氢热一体化”项目（光伏200MW）项目220kV送出线路工程对河北滦河上游国家级自然保护区生物多样性影响评价报告</w:t>
      </w:r>
      <w:r>
        <w:rPr>
          <w:rFonts w:hint="eastAsia"/>
          <w:color w:val="auto"/>
          <w:highlight w:val="none"/>
          <w:lang w:eastAsia="zh-CN"/>
        </w:rPr>
        <w:t>》</w:t>
      </w:r>
      <w:r>
        <w:rPr>
          <w:color w:val="auto"/>
          <w:highlight w:val="none"/>
        </w:rPr>
        <w:t>，以近期卫星影像图为工作用图，采用线路调查和主要景观地段重点观测相结合，区划记录影响评价区不同自然</w:t>
      </w:r>
      <w:r>
        <w:rPr>
          <w:rFonts w:hint="eastAsia"/>
          <w:color w:val="auto"/>
          <w:highlight w:val="none"/>
          <w:lang w:eastAsia="zh-CN"/>
        </w:rPr>
        <w:t>生态系统</w:t>
      </w:r>
      <w:r>
        <w:rPr>
          <w:color w:val="auto"/>
          <w:highlight w:val="none"/>
        </w:rPr>
        <w:t>类型的范围、特征。</w:t>
      </w:r>
    </w:p>
    <w:p w14:paraId="0F605E7C">
      <w:pPr>
        <w:bidi w:val="0"/>
        <w:rPr>
          <w:color w:val="auto"/>
          <w:highlight w:val="none"/>
        </w:rPr>
      </w:pPr>
      <w:r>
        <w:rPr>
          <w:color w:val="auto"/>
          <w:highlight w:val="none"/>
        </w:rPr>
        <w:t>据调查统计，影响评价区共有</w:t>
      </w:r>
      <w:r>
        <w:rPr>
          <w:rFonts w:hint="eastAsia"/>
          <w:color w:val="auto"/>
          <w:highlight w:val="none"/>
          <w:lang w:val="en-US" w:eastAsia="zh-CN"/>
        </w:rPr>
        <w:t>6</w:t>
      </w:r>
      <w:r>
        <w:rPr>
          <w:color w:val="auto"/>
          <w:highlight w:val="none"/>
        </w:rPr>
        <w:t>种生态系统类型，分别为森林生态系统，面积为</w:t>
      </w:r>
      <w:r>
        <w:rPr>
          <w:rFonts w:hint="eastAsia"/>
          <w:color w:val="auto"/>
          <w:highlight w:val="none"/>
          <w:lang w:val="en-US" w:eastAsia="zh-CN"/>
        </w:rPr>
        <w:t>2502.35</w:t>
      </w:r>
      <w:r>
        <w:rPr>
          <w:color w:val="auto"/>
          <w:highlight w:val="none"/>
        </w:rPr>
        <w:t>hm</w:t>
      </w:r>
      <w:r>
        <w:rPr>
          <w:color w:val="auto"/>
          <w:highlight w:val="none"/>
          <w:vertAlign w:val="superscript"/>
        </w:rPr>
        <w:t>2</w:t>
      </w:r>
      <w:r>
        <w:rPr>
          <w:color w:val="auto"/>
          <w:highlight w:val="none"/>
        </w:rPr>
        <w:t>；</w:t>
      </w:r>
      <w:r>
        <w:rPr>
          <w:rFonts w:hint="eastAsia"/>
          <w:color w:val="auto"/>
          <w:highlight w:val="none"/>
          <w:lang w:eastAsia="zh-CN"/>
        </w:rPr>
        <w:t>灌丛生态系统</w:t>
      </w:r>
      <w:r>
        <w:rPr>
          <w:color w:val="auto"/>
          <w:highlight w:val="none"/>
        </w:rPr>
        <w:t>，面积</w:t>
      </w:r>
      <w:r>
        <w:rPr>
          <w:rFonts w:hint="eastAsia"/>
          <w:color w:val="auto"/>
          <w:highlight w:val="none"/>
          <w:lang w:val="en-US" w:eastAsia="zh-CN"/>
        </w:rPr>
        <w:t>605.59</w:t>
      </w:r>
      <w:r>
        <w:rPr>
          <w:color w:val="auto"/>
          <w:highlight w:val="none"/>
        </w:rPr>
        <w:t>hm</w:t>
      </w:r>
      <w:r>
        <w:rPr>
          <w:color w:val="auto"/>
          <w:highlight w:val="none"/>
          <w:vertAlign w:val="superscript"/>
        </w:rPr>
        <w:t>2</w:t>
      </w:r>
      <w:r>
        <w:rPr>
          <w:rFonts w:hint="eastAsia"/>
          <w:color w:val="auto"/>
          <w:highlight w:val="none"/>
          <w:lang w:eastAsia="zh-CN"/>
        </w:rPr>
        <w:t>，</w:t>
      </w:r>
      <w:r>
        <w:rPr>
          <w:color w:val="auto"/>
          <w:highlight w:val="none"/>
        </w:rPr>
        <w:t>草地生态系统，面积</w:t>
      </w:r>
      <w:r>
        <w:rPr>
          <w:rFonts w:hint="eastAsia"/>
          <w:color w:val="auto"/>
          <w:highlight w:val="none"/>
          <w:lang w:val="en-US" w:eastAsia="zh-CN"/>
        </w:rPr>
        <w:t>679.75</w:t>
      </w:r>
      <w:r>
        <w:rPr>
          <w:color w:val="auto"/>
          <w:highlight w:val="none"/>
        </w:rPr>
        <w:t>hm</w:t>
      </w:r>
      <w:r>
        <w:rPr>
          <w:color w:val="auto"/>
          <w:highlight w:val="none"/>
          <w:vertAlign w:val="superscript"/>
        </w:rPr>
        <w:t>2</w:t>
      </w:r>
      <w:r>
        <w:rPr>
          <w:color w:val="auto"/>
          <w:highlight w:val="none"/>
        </w:rPr>
        <w:t>；农田生态系统，面积为</w:t>
      </w:r>
      <w:r>
        <w:rPr>
          <w:rFonts w:hint="eastAsia"/>
          <w:color w:val="auto"/>
          <w:highlight w:val="none"/>
          <w:lang w:val="en-US" w:eastAsia="zh-CN"/>
        </w:rPr>
        <w:t>975.20</w:t>
      </w:r>
      <w:r>
        <w:rPr>
          <w:color w:val="auto"/>
          <w:highlight w:val="none"/>
        </w:rPr>
        <w:t>hm</w:t>
      </w:r>
      <w:r>
        <w:rPr>
          <w:color w:val="auto"/>
          <w:highlight w:val="none"/>
          <w:vertAlign w:val="superscript"/>
        </w:rPr>
        <w:t>2</w:t>
      </w:r>
      <w:r>
        <w:rPr>
          <w:color w:val="auto"/>
          <w:highlight w:val="none"/>
        </w:rPr>
        <w:t>；城镇生态系统，面积为</w:t>
      </w:r>
      <w:r>
        <w:rPr>
          <w:rFonts w:hint="eastAsia"/>
          <w:color w:val="auto"/>
          <w:highlight w:val="none"/>
          <w:lang w:val="en-US" w:eastAsia="zh-CN"/>
        </w:rPr>
        <w:t>31.13</w:t>
      </w:r>
      <w:r>
        <w:rPr>
          <w:color w:val="auto"/>
          <w:highlight w:val="none"/>
        </w:rPr>
        <w:t>hm</w:t>
      </w:r>
      <w:r>
        <w:rPr>
          <w:color w:val="auto"/>
          <w:highlight w:val="none"/>
          <w:vertAlign w:val="superscript"/>
        </w:rPr>
        <w:t>2</w:t>
      </w:r>
      <w:r>
        <w:rPr>
          <w:color w:val="auto"/>
          <w:highlight w:val="none"/>
        </w:rPr>
        <w:t>；</w:t>
      </w:r>
      <w:r>
        <w:rPr>
          <w:rFonts w:hint="eastAsia"/>
          <w:color w:val="auto"/>
          <w:highlight w:val="none"/>
          <w:lang w:eastAsia="zh-CN"/>
        </w:rPr>
        <w:t>湿地</w:t>
      </w:r>
      <w:r>
        <w:rPr>
          <w:color w:val="auto"/>
          <w:highlight w:val="none"/>
        </w:rPr>
        <w:t>生态系统，面积为</w:t>
      </w:r>
      <w:r>
        <w:rPr>
          <w:rFonts w:hint="eastAsia"/>
          <w:color w:val="auto"/>
          <w:highlight w:val="none"/>
          <w:lang w:val="en-US" w:eastAsia="zh-CN"/>
        </w:rPr>
        <w:t>4.63</w:t>
      </w:r>
      <w:r>
        <w:rPr>
          <w:color w:val="auto"/>
          <w:highlight w:val="none"/>
        </w:rPr>
        <w:t>hm</w:t>
      </w:r>
      <w:r>
        <w:rPr>
          <w:color w:val="auto"/>
          <w:highlight w:val="none"/>
          <w:vertAlign w:val="superscript"/>
        </w:rPr>
        <w:t>2</w:t>
      </w:r>
      <w:r>
        <w:rPr>
          <w:color w:val="auto"/>
          <w:highlight w:val="none"/>
        </w:rPr>
        <w:t>。</w:t>
      </w:r>
    </w:p>
    <w:p w14:paraId="4903BBD4">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eastAsia" w:ascii="Times New Roman" w:hAnsi="Times New Roman" w:eastAsia="宋体" w:cs="Times New Roman"/>
          <w:b/>
          <w:bCs/>
          <w:color w:val="auto"/>
          <w:sz w:val="21"/>
          <w:szCs w:val="21"/>
          <w:highlight w:val="none"/>
        </w:rPr>
        <w:t>-1  全线两侧1km区域</w:t>
      </w:r>
      <w:r>
        <w:rPr>
          <w:rFonts w:hint="eastAsia" w:ascii="Times New Roman" w:hAnsi="Times New Roman" w:eastAsia="宋体" w:cs="Times New Roman"/>
          <w:b/>
          <w:bCs/>
          <w:color w:val="auto"/>
          <w:sz w:val="21"/>
          <w:szCs w:val="21"/>
          <w:highlight w:val="none"/>
          <w:lang w:eastAsia="zh-CN"/>
        </w:rPr>
        <w:t>生态系统</w:t>
      </w:r>
      <w:r>
        <w:rPr>
          <w:rFonts w:hint="eastAsia" w:ascii="Times New Roman" w:hAnsi="Times New Roman" w:eastAsia="宋体" w:cs="Times New Roman"/>
          <w:b/>
          <w:bCs/>
          <w:color w:val="auto"/>
          <w:sz w:val="21"/>
          <w:szCs w:val="21"/>
          <w:highlight w:val="none"/>
        </w:rPr>
        <w:t>类型</w:t>
      </w:r>
      <w:r>
        <w:rPr>
          <w:rFonts w:hint="eastAsia" w:ascii="Times New Roman" w:hAnsi="Times New Roman" w:eastAsia="宋体" w:cs="Times New Roman"/>
          <w:b/>
          <w:bCs/>
          <w:color w:val="auto"/>
          <w:sz w:val="21"/>
          <w:szCs w:val="21"/>
          <w:highlight w:val="none"/>
          <w:lang w:eastAsia="zh-CN"/>
        </w:rPr>
        <w:t>一览</w:t>
      </w:r>
      <w:r>
        <w:rPr>
          <w:rFonts w:hint="eastAsia" w:ascii="Times New Roman" w:hAnsi="Times New Roman" w:eastAsia="宋体" w:cs="Times New Roman"/>
          <w:b/>
          <w:bCs/>
          <w:color w:val="auto"/>
          <w:sz w:val="21"/>
          <w:szCs w:val="21"/>
          <w:highlight w:val="none"/>
        </w:rPr>
        <w:t>表</w:t>
      </w:r>
    </w:p>
    <w:tbl>
      <w:tblPr>
        <w:tblStyle w:val="22"/>
        <w:tblW w:w="5004"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3580"/>
        <w:gridCol w:w="2409"/>
        <w:gridCol w:w="2556"/>
      </w:tblGrid>
      <w:tr w14:paraId="7DCABA3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3902D8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bookmarkStart w:id="52" w:name="bookmark48"/>
            <w:bookmarkEnd w:id="52"/>
            <w:r>
              <w:rPr>
                <w:rFonts w:hint="eastAsia" w:eastAsia="宋体" w:cs="Times New Roman"/>
                <w:color w:val="auto"/>
                <w:spacing w:val="5"/>
                <w:sz w:val="21"/>
                <w:szCs w:val="21"/>
                <w:highlight w:val="none"/>
                <w:lang w:val="en-US" w:eastAsia="zh-CN"/>
              </w:rPr>
              <w:t>生态系统</w:t>
            </w:r>
            <w:r>
              <w:rPr>
                <w:rFonts w:hint="default" w:ascii="Times New Roman" w:hAnsi="Times New Roman" w:eastAsia="宋体" w:cs="Times New Roman"/>
                <w:color w:val="auto"/>
                <w:spacing w:val="5"/>
                <w:sz w:val="21"/>
                <w:szCs w:val="21"/>
                <w:highlight w:val="none"/>
              </w:rPr>
              <w:t>类型</w:t>
            </w:r>
          </w:p>
        </w:tc>
        <w:tc>
          <w:tcPr>
            <w:tcW w:w="1409" w:type="pct"/>
            <w:vAlign w:val="center"/>
          </w:tcPr>
          <w:p w14:paraId="16A67A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6"/>
                <w:sz w:val="21"/>
                <w:szCs w:val="21"/>
                <w:highlight w:val="none"/>
              </w:rPr>
              <w:t>面积（公顷）</w:t>
            </w:r>
          </w:p>
        </w:tc>
        <w:tc>
          <w:tcPr>
            <w:tcW w:w="1495" w:type="pct"/>
            <w:vAlign w:val="center"/>
          </w:tcPr>
          <w:p w14:paraId="3231B1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z w:val="21"/>
                <w:szCs w:val="21"/>
                <w:highlight w:val="none"/>
              </w:rPr>
              <w:t>比例（%）</w:t>
            </w:r>
          </w:p>
        </w:tc>
      </w:tr>
      <w:tr w14:paraId="74C0BDA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4AD098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森林</w:t>
            </w:r>
            <w:r>
              <w:rPr>
                <w:rFonts w:hint="eastAsia" w:eastAsia="宋体" w:cs="Times New Roman"/>
                <w:color w:val="auto"/>
                <w:spacing w:val="7"/>
                <w:sz w:val="21"/>
                <w:szCs w:val="21"/>
                <w:highlight w:val="none"/>
                <w:lang w:eastAsia="zh-CN"/>
              </w:rPr>
              <w:t>生态系统</w:t>
            </w:r>
          </w:p>
        </w:tc>
        <w:tc>
          <w:tcPr>
            <w:tcW w:w="1409" w:type="pct"/>
            <w:vAlign w:val="center"/>
          </w:tcPr>
          <w:p w14:paraId="25BA32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2502.35</w:t>
            </w:r>
          </w:p>
        </w:tc>
        <w:tc>
          <w:tcPr>
            <w:tcW w:w="1495" w:type="pct"/>
            <w:vAlign w:val="center"/>
          </w:tcPr>
          <w:p w14:paraId="734BA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52.</w:t>
            </w:r>
            <w:r>
              <w:rPr>
                <w:rFonts w:hint="eastAsia" w:eastAsia="宋体" w:cs="Times New Roman"/>
                <w:i w:val="0"/>
                <w:iCs w:val="0"/>
                <w:color w:val="auto"/>
                <w:kern w:val="0"/>
                <w:sz w:val="21"/>
                <w:szCs w:val="21"/>
                <w:highlight w:val="none"/>
                <w:u w:val="none"/>
                <w:lang w:val="en-US" w:eastAsia="zh-CN" w:bidi="ar"/>
              </w:rPr>
              <w:t>15</w:t>
            </w:r>
          </w:p>
        </w:tc>
      </w:tr>
      <w:tr w14:paraId="5CBF67F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24DCCC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灌丛生态系统</w:t>
            </w:r>
          </w:p>
        </w:tc>
        <w:tc>
          <w:tcPr>
            <w:tcW w:w="1409" w:type="pct"/>
            <w:vAlign w:val="center"/>
          </w:tcPr>
          <w:p w14:paraId="1A6BE0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605.59</w:t>
            </w:r>
          </w:p>
        </w:tc>
        <w:tc>
          <w:tcPr>
            <w:tcW w:w="1495" w:type="pct"/>
            <w:vAlign w:val="center"/>
          </w:tcPr>
          <w:p w14:paraId="1C1E7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12.62</w:t>
            </w:r>
          </w:p>
        </w:tc>
      </w:tr>
      <w:tr w14:paraId="0D4BD82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01370D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草地</w:t>
            </w:r>
            <w:r>
              <w:rPr>
                <w:rFonts w:hint="eastAsia" w:eastAsia="宋体" w:cs="Times New Roman"/>
                <w:color w:val="auto"/>
                <w:spacing w:val="7"/>
                <w:sz w:val="21"/>
                <w:szCs w:val="21"/>
                <w:highlight w:val="none"/>
                <w:lang w:eastAsia="zh-CN"/>
              </w:rPr>
              <w:t>生态系统</w:t>
            </w:r>
          </w:p>
        </w:tc>
        <w:tc>
          <w:tcPr>
            <w:tcW w:w="1409" w:type="pct"/>
            <w:vAlign w:val="center"/>
          </w:tcPr>
          <w:p w14:paraId="256976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3"/>
                <w:sz w:val="21"/>
                <w:szCs w:val="21"/>
                <w:highlight w:val="none"/>
                <w:lang w:val="en-US" w:eastAsia="zh-CN"/>
              </w:rPr>
              <w:t>679.75</w:t>
            </w:r>
          </w:p>
        </w:tc>
        <w:tc>
          <w:tcPr>
            <w:tcW w:w="1495" w:type="pct"/>
            <w:vAlign w:val="center"/>
          </w:tcPr>
          <w:p w14:paraId="05624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eastAsia="宋体" w:cs="Times New Roman"/>
                <w:i w:val="0"/>
                <w:iCs w:val="0"/>
                <w:color w:val="auto"/>
                <w:kern w:val="0"/>
                <w:sz w:val="21"/>
                <w:szCs w:val="21"/>
                <w:highlight w:val="none"/>
                <w:u w:val="none"/>
                <w:lang w:val="en-US" w:eastAsia="zh-CN" w:bidi="ar"/>
              </w:rPr>
              <w:t>14.17</w:t>
            </w:r>
          </w:p>
        </w:tc>
      </w:tr>
      <w:tr w14:paraId="6685483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3F443B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农田</w:t>
            </w:r>
            <w:r>
              <w:rPr>
                <w:rFonts w:hint="eastAsia" w:eastAsia="宋体" w:cs="Times New Roman"/>
                <w:color w:val="auto"/>
                <w:spacing w:val="7"/>
                <w:sz w:val="21"/>
                <w:szCs w:val="21"/>
                <w:highlight w:val="none"/>
                <w:lang w:eastAsia="zh-CN"/>
              </w:rPr>
              <w:t>生态系统</w:t>
            </w:r>
          </w:p>
        </w:tc>
        <w:tc>
          <w:tcPr>
            <w:tcW w:w="1409" w:type="pct"/>
            <w:vAlign w:val="center"/>
          </w:tcPr>
          <w:p w14:paraId="53899F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4"/>
                <w:sz w:val="21"/>
                <w:szCs w:val="21"/>
                <w:highlight w:val="none"/>
                <w:lang w:val="en-US" w:eastAsia="zh-CN"/>
              </w:rPr>
              <w:t>975.20</w:t>
            </w:r>
          </w:p>
        </w:tc>
        <w:tc>
          <w:tcPr>
            <w:tcW w:w="1495" w:type="pct"/>
            <w:vAlign w:val="center"/>
          </w:tcPr>
          <w:p w14:paraId="4A3713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20.32</w:t>
            </w:r>
          </w:p>
        </w:tc>
      </w:tr>
      <w:tr w14:paraId="4252EAF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095" w:type="pct"/>
            <w:vAlign w:val="center"/>
          </w:tcPr>
          <w:p w14:paraId="4E81AD4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城镇</w:t>
            </w:r>
            <w:r>
              <w:rPr>
                <w:rFonts w:hint="eastAsia" w:eastAsia="宋体" w:cs="Times New Roman"/>
                <w:color w:val="auto"/>
                <w:spacing w:val="7"/>
                <w:sz w:val="21"/>
                <w:szCs w:val="21"/>
                <w:highlight w:val="none"/>
                <w:lang w:eastAsia="zh-CN"/>
              </w:rPr>
              <w:t>生态系统</w:t>
            </w:r>
          </w:p>
        </w:tc>
        <w:tc>
          <w:tcPr>
            <w:tcW w:w="1409" w:type="pct"/>
            <w:vAlign w:val="center"/>
          </w:tcPr>
          <w:p w14:paraId="4B9BF6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2"/>
                <w:sz w:val="21"/>
                <w:szCs w:val="21"/>
                <w:highlight w:val="none"/>
                <w:lang w:val="en-US" w:eastAsia="zh-CN"/>
              </w:rPr>
              <w:t>31.13</w:t>
            </w:r>
          </w:p>
        </w:tc>
        <w:tc>
          <w:tcPr>
            <w:tcW w:w="1495" w:type="pct"/>
            <w:vAlign w:val="center"/>
          </w:tcPr>
          <w:p w14:paraId="06BDA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eastAsia="宋体" w:cs="Times New Roman"/>
                <w:i w:val="0"/>
                <w:iCs w:val="0"/>
                <w:color w:val="auto"/>
                <w:kern w:val="0"/>
                <w:sz w:val="21"/>
                <w:szCs w:val="21"/>
                <w:highlight w:val="none"/>
                <w:u w:val="none"/>
                <w:lang w:val="en-US" w:eastAsia="zh-CN" w:bidi="ar"/>
              </w:rPr>
              <w:t>65</w:t>
            </w:r>
          </w:p>
        </w:tc>
      </w:tr>
      <w:tr w14:paraId="3078837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2095" w:type="pct"/>
            <w:vAlign w:val="center"/>
          </w:tcPr>
          <w:p w14:paraId="60D2F6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湿地生态系统</w:t>
            </w:r>
          </w:p>
        </w:tc>
        <w:tc>
          <w:tcPr>
            <w:tcW w:w="1409" w:type="pct"/>
            <w:vAlign w:val="center"/>
          </w:tcPr>
          <w:p w14:paraId="0AC264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val="en-US" w:eastAsia="zh-CN"/>
              </w:rPr>
              <w:t>4.63</w:t>
            </w:r>
          </w:p>
        </w:tc>
        <w:tc>
          <w:tcPr>
            <w:tcW w:w="1495" w:type="pct"/>
            <w:vAlign w:val="center"/>
          </w:tcPr>
          <w:p w14:paraId="6A1A0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14:paraId="4126070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2095" w:type="pct"/>
            <w:vAlign w:val="center"/>
          </w:tcPr>
          <w:p w14:paraId="39BCA3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4"/>
                <w:sz w:val="21"/>
                <w:szCs w:val="21"/>
                <w:highlight w:val="none"/>
                <w:lang w:eastAsia="zh-CN"/>
              </w:rPr>
              <w:t>合计</w:t>
            </w:r>
          </w:p>
        </w:tc>
        <w:tc>
          <w:tcPr>
            <w:tcW w:w="1409" w:type="pct"/>
            <w:vAlign w:val="center"/>
          </w:tcPr>
          <w:p w14:paraId="322E41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4798.65</w:t>
            </w:r>
          </w:p>
        </w:tc>
        <w:tc>
          <w:tcPr>
            <w:tcW w:w="1495" w:type="pct"/>
            <w:vAlign w:val="center"/>
          </w:tcPr>
          <w:p w14:paraId="03A72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i w:val="0"/>
                <w:iCs w:val="0"/>
                <w:color w:val="auto"/>
                <w:kern w:val="0"/>
                <w:sz w:val="21"/>
                <w:szCs w:val="21"/>
                <w:highlight w:val="none"/>
                <w:u w:val="none"/>
                <w:lang w:val="en-US" w:eastAsia="zh-CN" w:bidi="ar"/>
              </w:rPr>
              <w:t>100.00</w:t>
            </w:r>
          </w:p>
        </w:tc>
      </w:tr>
    </w:tbl>
    <w:p w14:paraId="52F3F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bookmarkStart w:id="53" w:name="bookmark47"/>
      <w:bookmarkEnd w:id="53"/>
      <w:r>
        <w:rPr>
          <w:rFonts w:hint="eastAsia" w:ascii="Times New Roman" w:hAnsi="Times New Roman" w:eastAsia="宋体" w:cs="Times New Roman"/>
          <w:color w:val="auto"/>
          <w:sz w:val="24"/>
          <w:szCs w:val="24"/>
          <w:highlight w:val="none"/>
          <w:lang w:val="en-US" w:eastAsia="zh-CN"/>
        </w:rPr>
        <w:t>由上表可知，评价区范围内的</w:t>
      </w:r>
      <w:r>
        <w:rPr>
          <w:rFonts w:hint="eastAsia" w:eastAsia="宋体" w:cs="Times New Roman"/>
          <w:color w:val="auto"/>
          <w:sz w:val="24"/>
          <w:szCs w:val="24"/>
          <w:highlight w:val="none"/>
          <w:lang w:val="en-US" w:eastAsia="zh-CN"/>
        </w:rPr>
        <w:t>生态系统</w:t>
      </w:r>
      <w:r>
        <w:rPr>
          <w:rFonts w:hint="eastAsia" w:ascii="Times New Roman" w:hAnsi="Times New Roman" w:eastAsia="宋体" w:cs="Times New Roman"/>
          <w:color w:val="auto"/>
          <w:sz w:val="24"/>
          <w:szCs w:val="24"/>
          <w:highlight w:val="none"/>
          <w:lang w:val="en-US" w:eastAsia="zh-CN"/>
        </w:rPr>
        <w:t>类型主要以</w:t>
      </w:r>
      <w:r>
        <w:rPr>
          <w:rFonts w:hint="eastAsia" w:eastAsia="宋体" w:cs="Times New Roman"/>
          <w:color w:val="auto"/>
          <w:sz w:val="24"/>
          <w:szCs w:val="24"/>
          <w:highlight w:val="none"/>
          <w:lang w:val="en-US" w:eastAsia="zh-CN"/>
        </w:rPr>
        <w:t>森林生态系统、农田生态系统和草地生态系统</w:t>
      </w:r>
      <w:r>
        <w:rPr>
          <w:rFonts w:hint="eastAsia" w:ascii="Times New Roman" w:hAnsi="Times New Roman" w:eastAsia="宋体" w:cs="Times New Roman"/>
          <w:color w:val="auto"/>
          <w:sz w:val="24"/>
          <w:szCs w:val="24"/>
          <w:highlight w:val="none"/>
          <w:lang w:val="en-US" w:eastAsia="zh-CN"/>
        </w:rPr>
        <w:t>为主，分别占评价区总面积的</w:t>
      </w:r>
      <w:r>
        <w:rPr>
          <w:rFonts w:hint="eastAsia" w:eastAsia="宋体" w:cs="Times New Roman"/>
          <w:color w:val="auto"/>
          <w:sz w:val="24"/>
          <w:szCs w:val="24"/>
          <w:highlight w:val="none"/>
          <w:lang w:val="en-US" w:eastAsia="zh-CN"/>
        </w:rPr>
        <w:t>52.15</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20.32</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和14.17%</w:t>
      </w:r>
      <w:r>
        <w:rPr>
          <w:rFonts w:hint="eastAsia" w:ascii="Times New Roman" w:hAnsi="Times New Roman" w:eastAsia="宋体" w:cs="Times New Roman"/>
          <w:color w:val="auto"/>
          <w:sz w:val="24"/>
          <w:szCs w:val="24"/>
          <w:highlight w:val="none"/>
          <w:lang w:val="en-US" w:eastAsia="zh-CN"/>
        </w:rPr>
        <w:t>，共计占评价区总面积的</w:t>
      </w:r>
      <w:r>
        <w:rPr>
          <w:rFonts w:hint="eastAsia" w:eastAsia="宋体" w:cs="Times New Roman"/>
          <w:color w:val="auto"/>
          <w:sz w:val="24"/>
          <w:szCs w:val="24"/>
          <w:highlight w:val="none"/>
          <w:lang w:val="en-US" w:eastAsia="zh-CN"/>
        </w:rPr>
        <w:t>86.64</w:t>
      </w:r>
      <w:r>
        <w:rPr>
          <w:rFonts w:hint="eastAsia" w:ascii="Times New Roman" w:hAnsi="Times New Roman" w:eastAsia="宋体" w:cs="Times New Roman"/>
          <w:color w:val="auto"/>
          <w:sz w:val="24"/>
          <w:szCs w:val="24"/>
          <w:highlight w:val="none"/>
          <w:lang w:val="en-US" w:eastAsia="zh-CN"/>
        </w:rPr>
        <w:t>％。除此而外，其他类型的</w:t>
      </w:r>
      <w:r>
        <w:rPr>
          <w:rFonts w:hint="eastAsia" w:eastAsia="宋体" w:cs="Times New Roman"/>
          <w:color w:val="auto"/>
          <w:sz w:val="24"/>
          <w:szCs w:val="24"/>
          <w:highlight w:val="none"/>
          <w:lang w:val="en-US" w:eastAsia="zh-CN"/>
        </w:rPr>
        <w:t>生态系统</w:t>
      </w:r>
      <w:r>
        <w:rPr>
          <w:rFonts w:hint="eastAsia" w:ascii="Times New Roman" w:hAnsi="Times New Roman" w:eastAsia="宋体" w:cs="Times New Roman"/>
          <w:color w:val="auto"/>
          <w:sz w:val="24"/>
          <w:szCs w:val="24"/>
          <w:highlight w:val="none"/>
          <w:lang w:val="en-US" w:eastAsia="zh-CN"/>
        </w:rPr>
        <w:t>主要包括</w:t>
      </w:r>
      <w:r>
        <w:rPr>
          <w:rFonts w:hint="eastAsia" w:eastAsia="宋体" w:cs="Times New Roman"/>
          <w:color w:val="auto"/>
          <w:sz w:val="24"/>
          <w:szCs w:val="24"/>
          <w:highlight w:val="none"/>
          <w:lang w:val="en-US" w:eastAsia="zh-CN"/>
        </w:rPr>
        <w:t>灌丛生态系统、城镇生态系统和湿地生态系统</w:t>
      </w:r>
      <w:r>
        <w:rPr>
          <w:rFonts w:hint="eastAsia" w:ascii="Times New Roman" w:hAnsi="Times New Roman" w:eastAsia="宋体" w:cs="Times New Roman"/>
          <w:color w:val="auto"/>
          <w:sz w:val="24"/>
          <w:szCs w:val="24"/>
          <w:highlight w:val="none"/>
          <w:lang w:val="en-US" w:eastAsia="zh-CN"/>
        </w:rPr>
        <w:t>等，共占评价区总面积的</w:t>
      </w:r>
      <w:r>
        <w:rPr>
          <w:rFonts w:hint="eastAsia" w:eastAsia="宋体" w:cs="Times New Roman"/>
          <w:color w:val="auto"/>
          <w:sz w:val="24"/>
          <w:szCs w:val="24"/>
          <w:highlight w:val="none"/>
          <w:lang w:val="en-US" w:eastAsia="zh-CN"/>
        </w:rPr>
        <w:t>13.36</w:t>
      </w:r>
      <w:r>
        <w:rPr>
          <w:rFonts w:hint="eastAsia" w:ascii="Times New Roman" w:hAnsi="Times New Roman" w:eastAsia="宋体" w:cs="Times New Roman"/>
          <w:color w:val="auto"/>
          <w:sz w:val="24"/>
          <w:szCs w:val="24"/>
          <w:highlight w:val="none"/>
          <w:lang w:val="en-US" w:eastAsia="zh-CN"/>
        </w:rPr>
        <w:t>％。</w:t>
      </w:r>
    </w:p>
    <w:p w14:paraId="511AEE14">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lang w:val="en-US" w:eastAsia="zh-CN"/>
        </w:rPr>
        <w:t>4.4.3调查区域植被整体情况</w:t>
      </w:r>
    </w:p>
    <w:p w14:paraId="79A1EF5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经实地调查和资料检索，评价区植被群落类型按群系分，包括白桦林、蒙古栎林、华北落叶松林、</w:t>
      </w:r>
      <w:r>
        <w:rPr>
          <w:rFonts w:hint="eastAsia"/>
          <w:color w:val="auto"/>
          <w:highlight w:val="none"/>
          <w:lang w:eastAsia="zh-CN"/>
        </w:rPr>
        <w:t>绣线菊、榛子、胡枝子</w:t>
      </w:r>
      <w:r>
        <w:rPr>
          <w:rFonts w:hint="default" w:ascii="Times New Roman" w:hAnsi="Times New Roman" w:cs="Times New Roman"/>
          <w:color w:val="auto"/>
          <w:highlight w:val="none"/>
        </w:rPr>
        <w:t>灌丛、杂类草草甸。</w:t>
      </w:r>
    </w:p>
    <w:p w14:paraId="56357570">
      <w:pPr>
        <w:keepNext w:val="0"/>
        <w:keepLines w:val="0"/>
        <w:pageBreakBefore w:val="0"/>
        <w:widowControl w:val="0"/>
        <w:kinsoku/>
        <w:wordWrap/>
        <w:overflowPunct/>
        <w:topLinePunct w:val="0"/>
        <w:autoSpaceDE/>
        <w:autoSpaceDN/>
        <w:bidi w:val="0"/>
        <w:adjustRightInd/>
        <w:snapToGrid/>
        <w:spacing w:line="360" w:lineRule="auto"/>
        <w:ind w:left="0" w:right="0" w:firstLine="44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t>其中，白桦林为本地区的天然次生林，乔木层以白桦</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i/>
          <w:iCs/>
          <w:color w:val="auto"/>
          <w:spacing w:val="-1"/>
          <w:sz w:val="24"/>
          <w:szCs w:val="24"/>
          <w:highlight w:val="none"/>
        </w:rPr>
        <w:t>Betula</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5"/>
          <w:sz w:val="24"/>
          <w:szCs w:val="24"/>
          <w:highlight w:val="none"/>
        </w:rPr>
        <w:t>platyphylla</w:t>
      </w:r>
      <w:r>
        <w:rPr>
          <w:rFonts w:hint="default" w:ascii="Times New Roman" w:hAnsi="Times New Roman" w:eastAsia="宋体" w:cs="Times New Roman"/>
          <w:color w:val="auto"/>
          <w:spacing w:val="-5"/>
          <w:sz w:val="24"/>
          <w:szCs w:val="24"/>
          <w:highlight w:val="none"/>
        </w:rPr>
        <w:t>）为优势种，在评价区范围内</w:t>
      </w:r>
      <w:r>
        <w:rPr>
          <w:rFonts w:hint="default" w:ascii="Times New Roman" w:hAnsi="Times New Roman" w:eastAsia="宋体" w:cs="Times New Roman"/>
          <w:color w:val="auto"/>
          <w:spacing w:val="-6"/>
          <w:sz w:val="24"/>
          <w:szCs w:val="24"/>
          <w:highlight w:val="none"/>
        </w:rPr>
        <w:t>分布较广。</w:t>
      </w:r>
      <w:r>
        <w:rPr>
          <w:rFonts w:hint="default" w:ascii="Times New Roman" w:hAnsi="Times New Roman" w:eastAsia="宋体" w:cs="Times New Roman"/>
          <w:color w:val="auto"/>
          <w:sz w:val="24"/>
          <w:szCs w:val="24"/>
          <w:highlight w:val="none"/>
        </w:rPr>
        <w:t>林下灌木层较发达，高度约为0.6-1.2m</w:t>
      </w:r>
      <w:r>
        <w:rPr>
          <w:rFonts w:hint="default" w:ascii="Times New Roman" w:hAnsi="Times New Roman" w:eastAsia="宋体" w:cs="Times New Roman"/>
          <w:color w:val="auto"/>
          <w:spacing w:val="-1"/>
          <w:sz w:val="24"/>
          <w:szCs w:val="24"/>
          <w:highlight w:val="none"/>
        </w:rPr>
        <w:t>主要包括平榛（</w:t>
      </w:r>
      <w:r>
        <w:rPr>
          <w:rFonts w:hint="default" w:ascii="Times New Roman" w:hAnsi="Times New Roman" w:eastAsia="宋体" w:cs="Times New Roman"/>
          <w:i/>
          <w:iCs/>
          <w:color w:val="auto"/>
          <w:spacing w:val="-1"/>
          <w:sz w:val="24"/>
          <w:szCs w:val="24"/>
          <w:highlight w:val="none"/>
        </w:rPr>
        <w:t>Corylus</w:t>
      </w:r>
      <w:r>
        <w:rPr>
          <w:rFonts w:hint="default" w:ascii="Times New Roman" w:hAnsi="Times New Roman" w:eastAsia="宋体" w:cs="Times New Roman"/>
          <w:i/>
          <w:iCs/>
          <w:color w:val="auto"/>
          <w:spacing w:val="-1"/>
          <w:sz w:val="24"/>
          <w:szCs w:val="24"/>
          <w:highlight w:val="none"/>
          <w:lang w:val="en-US" w:eastAsia="zh-CN"/>
        </w:rPr>
        <w:t xml:space="preserve"> </w:t>
      </w:r>
      <w:r>
        <w:rPr>
          <w:rFonts w:hint="default" w:ascii="Times New Roman" w:hAnsi="Times New Roman" w:eastAsia="宋体" w:cs="Times New Roman"/>
          <w:i/>
          <w:iCs/>
          <w:color w:val="auto"/>
          <w:sz w:val="24"/>
          <w:szCs w:val="24"/>
          <w:highlight w:val="none"/>
        </w:rPr>
        <w:t>heterophylla</w:t>
      </w:r>
      <w:r>
        <w:rPr>
          <w:rFonts w:hint="default" w:ascii="Times New Roman" w:hAnsi="Times New Roman" w:eastAsia="宋体" w:cs="Times New Roman"/>
          <w:color w:val="auto"/>
          <w:sz w:val="24"/>
          <w:szCs w:val="24"/>
          <w:highlight w:val="none"/>
        </w:rPr>
        <w:t>）、六道木（</w:t>
      </w:r>
      <w:r>
        <w:rPr>
          <w:rFonts w:hint="default" w:ascii="Times New Roman" w:hAnsi="Times New Roman" w:eastAsia="宋体" w:cs="Times New Roman"/>
          <w:i/>
          <w:iCs/>
          <w:color w:val="auto"/>
          <w:sz w:val="24"/>
          <w:szCs w:val="24"/>
          <w:highlight w:val="none"/>
        </w:rPr>
        <w:t>Zabelia biflora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rPr>
        <w:t>、二色胡枝子（</w:t>
      </w:r>
      <w:r>
        <w:rPr>
          <w:rFonts w:hint="default" w:ascii="Times New Roman" w:hAnsi="Times New Roman" w:eastAsia="宋体" w:cs="Times New Roman"/>
          <w:i/>
          <w:iCs/>
          <w:color w:val="auto"/>
          <w:spacing w:val="-1"/>
          <w:sz w:val="24"/>
          <w:szCs w:val="24"/>
          <w:highlight w:val="none"/>
        </w:rPr>
        <w:t>Lespedeza</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2"/>
          <w:sz w:val="24"/>
          <w:szCs w:val="24"/>
          <w:highlight w:val="none"/>
        </w:rPr>
        <w:t>bicolor</w:t>
      </w:r>
      <w:r>
        <w:rPr>
          <w:rFonts w:hint="default" w:ascii="Times New Roman" w:hAnsi="Times New Roman" w:eastAsia="宋体" w:cs="Times New Roman"/>
          <w:color w:val="auto"/>
          <w:spacing w:val="-2"/>
          <w:sz w:val="24"/>
          <w:szCs w:val="24"/>
          <w:highlight w:val="none"/>
        </w:rPr>
        <w:t>）、金花忍冬（</w:t>
      </w:r>
      <w:r>
        <w:rPr>
          <w:rFonts w:hint="default" w:ascii="Times New Roman" w:hAnsi="Times New Roman" w:eastAsia="宋体" w:cs="Times New Roman"/>
          <w:i/>
          <w:iCs/>
          <w:color w:val="auto"/>
          <w:spacing w:val="-2"/>
          <w:sz w:val="24"/>
          <w:szCs w:val="24"/>
          <w:highlight w:val="none"/>
        </w:rPr>
        <w:t>Lonicera chrysantha</w:t>
      </w:r>
      <w:r>
        <w:rPr>
          <w:rFonts w:hint="default" w:ascii="Times New Roman" w:hAnsi="Times New Roman" w:eastAsia="宋体" w:cs="Times New Roman"/>
          <w:color w:val="auto"/>
          <w:spacing w:val="-2"/>
          <w:sz w:val="24"/>
          <w:szCs w:val="24"/>
          <w:highlight w:val="none"/>
        </w:rPr>
        <w:t>）等。草本层物种较丰富，</w:t>
      </w:r>
      <w:r>
        <w:rPr>
          <w:rFonts w:hint="default" w:ascii="Times New Roman" w:hAnsi="Times New Roman" w:eastAsia="宋体" w:cs="Times New Roman"/>
          <w:color w:val="auto"/>
          <w:spacing w:val="-1"/>
          <w:sz w:val="24"/>
          <w:szCs w:val="24"/>
          <w:highlight w:val="none"/>
        </w:rPr>
        <w:t>草本地下芽和地面芽植物占优势，地上芽植物较少，总盖度在30%</w:t>
      </w:r>
      <w:r>
        <w:rPr>
          <w:rFonts w:hint="default" w:ascii="Times New Roman" w:hAnsi="Times New Roman" w:eastAsia="宋体" w:cs="Times New Roman"/>
          <w:color w:val="auto"/>
          <w:sz w:val="24"/>
          <w:szCs w:val="24"/>
          <w:highlight w:val="none"/>
        </w:rPr>
        <w:t>左右。主要有歪头菜（</w:t>
      </w:r>
      <w:r>
        <w:rPr>
          <w:rFonts w:hint="default" w:ascii="Times New Roman" w:hAnsi="Times New Roman" w:eastAsia="宋体" w:cs="Times New Roman"/>
          <w:i/>
          <w:iCs/>
          <w:color w:val="auto"/>
          <w:sz w:val="24"/>
          <w:szCs w:val="24"/>
          <w:highlight w:val="none"/>
        </w:rPr>
        <w:t>Vicia unijuga</w:t>
      </w:r>
      <w:r>
        <w:rPr>
          <w:rFonts w:hint="default" w:ascii="Times New Roman" w:hAnsi="Times New Roman" w:eastAsia="宋体" w:cs="Times New Roman"/>
          <w:color w:val="auto"/>
          <w:sz w:val="24"/>
          <w:szCs w:val="24"/>
          <w:highlight w:val="none"/>
        </w:rPr>
        <w:t>）、糙苏（</w:t>
      </w:r>
      <w:r>
        <w:rPr>
          <w:rFonts w:hint="default" w:ascii="Times New Roman" w:hAnsi="Times New Roman" w:eastAsia="宋体" w:cs="Times New Roman"/>
          <w:i/>
          <w:iCs/>
          <w:color w:val="auto"/>
          <w:sz w:val="24"/>
          <w:szCs w:val="24"/>
          <w:highlight w:val="none"/>
        </w:rPr>
        <w:t>Phlomis um</w:t>
      </w:r>
      <w:r>
        <w:rPr>
          <w:rFonts w:hint="default" w:ascii="Times New Roman" w:hAnsi="Times New Roman" w:eastAsia="宋体" w:cs="Times New Roman"/>
          <w:i/>
          <w:iCs/>
          <w:color w:val="auto"/>
          <w:spacing w:val="-1"/>
          <w:sz w:val="24"/>
          <w:szCs w:val="24"/>
          <w:highlight w:val="none"/>
        </w:rPr>
        <w:t>brosa</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z w:val="24"/>
          <w:szCs w:val="24"/>
          <w:highlight w:val="none"/>
        </w:rPr>
        <w:t>牛扁</w:t>
      </w:r>
      <w:r>
        <w:rPr>
          <w:rFonts w:hint="default" w:ascii="Times New Roman" w:hAnsi="Times New Roman" w:eastAsia="宋体" w:cs="Times New Roman"/>
          <w:i/>
          <w:iCs/>
          <w:color w:val="auto"/>
          <w:sz w:val="24"/>
          <w:szCs w:val="24"/>
          <w:highlight w:val="none"/>
        </w:rPr>
        <w:t>（Aconitum barbtum</w:t>
      </w:r>
      <w:r>
        <w:rPr>
          <w:rFonts w:hint="default" w:ascii="Times New Roman" w:hAnsi="Times New Roman" w:eastAsia="宋体" w:cs="Times New Roman"/>
          <w:color w:val="auto"/>
          <w:sz w:val="24"/>
          <w:szCs w:val="24"/>
          <w:highlight w:val="none"/>
        </w:rPr>
        <w:t>）、瓣蕊唐松草（</w:t>
      </w:r>
      <w:r>
        <w:rPr>
          <w:rFonts w:hint="default" w:ascii="Times New Roman" w:hAnsi="Times New Roman" w:eastAsia="宋体" w:cs="Times New Roman"/>
          <w:i/>
          <w:iCs/>
          <w:color w:val="auto"/>
          <w:sz w:val="24"/>
          <w:szCs w:val="24"/>
          <w:highlight w:val="none"/>
        </w:rPr>
        <w:t>Thalictrumpetaloideum</w:t>
      </w:r>
      <w:r>
        <w:rPr>
          <w:rFonts w:hint="default" w:ascii="Times New Roman" w:hAnsi="Times New Roman" w:eastAsia="宋体" w:cs="Times New Roman"/>
          <w:color w:val="auto"/>
          <w:sz w:val="24"/>
          <w:szCs w:val="24"/>
          <w:highlight w:val="none"/>
        </w:rPr>
        <w:t>）、乌头（</w:t>
      </w:r>
      <w:r>
        <w:rPr>
          <w:rFonts w:hint="default" w:ascii="Times New Roman" w:hAnsi="Times New Roman" w:eastAsia="宋体" w:cs="Times New Roman"/>
          <w:i/>
          <w:iCs/>
          <w:color w:val="auto"/>
          <w:sz w:val="24"/>
          <w:szCs w:val="24"/>
          <w:highlight w:val="none"/>
        </w:rPr>
        <w:t>Aconitum carmichaelii</w:t>
      </w:r>
      <w:r>
        <w:rPr>
          <w:rFonts w:hint="default" w:ascii="Times New Roman" w:hAnsi="Times New Roman" w:eastAsia="宋体" w:cs="Times New Roman"/>
          <w:color w:val="auto"/>
          <w:sz w:val="24"/>
          <w:szCs w:val="24"/>
          <w:highlight w:val="none"/>
        </w:rPr>
        <w:t>）、黄花菜（</w:t>
      </w:r>
      <w:r>
        <w:rPr>
          <w:rFonts w:hint="default" w:ascii="Times New Roman" w:hAnsi="Times New Roman" w:eastAsia="宋体" w:cs="Times New Roman"/>
          <w:i/>
          <w:iCs/>
          <w:color w:val="auto"/>
          <w:sz w:val="24"/>
          <w:szCs w:val="24"/>
          <w:highlight w:val="none"/>
        </w:rPr>
        <w:t>Hemer</w:t>
      </w:r>
      <w:r>
        <w:rPr>
          <w:rFonts w:hint="default" w:ascii="Times New Roman" w:hAnsi="Times New Roman" w:eastAsia="宋体" w:cs="Times New Roman"/>
          <w:i/>
          <w:iCs/>
          <w:color w:val="auto"/>
          <w:spacing w:val="-1"/>
          <w:sz w:val="24"/>
          <w:szCs w:val="24"/>
          <w:highlight w:val="none"/>
        </w:rPr>
        <w:t>ocallis citrina</w:t>
      </w:r>
      <w:r>
        <w:rPr>
          <w:rFonts w:hint="default" w:ascii="Times New Roman" w:hAnsi="Times New Roman" w:eastAsia="宋体" w:cs="Times New Roman"/>
          <w:color w:val="auto"/>
          <w:spacing w:val="-1"/>
          <w:sz w:val="24"/>
          <w:szCs w:val="24"/>
          <w:highlight w:val="none"/>
        </w:rPr>
        <w:t>）、龙</w:t>
      </w:r>
      <w:r>
        <w:rPr>
          <w:rFonts w:hint="default" w:ascii="Times New Roman" w:hAnsi="Times New Roman" w:eastAsia="宋体" w:cs="Times New Roman"/>
          <w:color w:val="auto"/>
          <w:spacing w:val="-9"/>
          <w:sz w:val="24"/>
          <w:szCs w:val="24"/>
          <w:highlight w:val="none"/>
        </w:rPr>
        <w:t>牙草（</w:t>
      </w:r>
      <w:r>
        <w:rPr>
          <w:rFonts w:hint="default" w:ascii="Times New Roman" w:hAnsi="Times New Roman" w:eastAsia="宋体" w:cs="Times New Roman"/>
          <w:i/>
          <w:iCs/>
          <w:color w:val="auto"/>
          <w:spacing w:val="-9"/>
          <w:sz w:val="24"/>
          <w:szCs w:val="24"/>
          <w:highlight w:val="none"/>
        </w:rPr>
        <w:t>Agrimonia</w:t>
      </w:r>
      <w:r>
        <w:rPr>
          <w:rFonts w:hint="default" w:ascii="Times New Roman" w:hAnsi="Times New Roman" w:eastAsia="宋体" w:cs="Times New Roman"/>
          <w:i/>
          <w:iCs/>
          <w:color w:val="auto"/>
          <w:spacing w:val="-32"/>
          <w:sz w:val="24"/>
          <w:szCs w:val="24"/>
          <w:highlight w:val="none"/>
        </w:rPr>
        <w:t xml:space="preserve"> </w:t>
      </w:r>
      <w:r>
        <w:rPr>
          <w:rFonts w:hint="default" w:ascii="Times New Roman" w:hAnsi="Times New Roman" w:eastAsia="宋体" w:cs="Times New Roman"/>
          <w:i/>
          <w:iCs/>
          <w:color w:val="auto"/>
          <w:spacing w:val="-9"/>
          <w:sz w:val="24"/>
          <w:szCs w:val="24"/>
          <w:highlight w:val="none"/>
        </w:rPr>
        <w:t>pilosa</w:t>
      </w:r>
      <w:r>
        <w:rPr>
          <w:rFonts w:hint="default" w:ascii="Times New Roman" w:hAnsi="Times New Roman" w:eastAsia="宋体" w:cs="Times New Roman"/>
          <w:color w:val="auto"/>
          <w:spacing w:val="-9"/>
          <w:sz w:val="24"/>
          <w:szCs w:val="24"/>
          <w:highlight w:val="none"/>
        </w:rPr>
        <w:t>）、地榆（Adina rubella）、水杨梅</w:t>
      </w:r>
      <w:r>
        <w:rPr>
          <w:rFonts w:hint="default" w:ascii="Times New Roman" w:hAnsi="Times New Roman" w:eastAsia="宋体" w:cs="Times New Roman"/>
          <w:color w:val="auto"/>
          <w:spacing w:val="-10"/>
          <w:sz w:val="24"/>
          <w:szCs w:val="24"/>
          <w:highlight w:val="none"/>
        </w:rPr>
        <w:t>（</w:t>
      </w:r>
      <w:r>
        <w:rPr>
          <w:rFonts w:hint="default" w:ascii="Times New Roman" w:hAnsi="Times New Roman" w:eastAsia="宋体" w:cs="Times New Roman"/>
          <w:i/>
          <w:iCs/>
          <w:color w:val="auto"/>
          <w:spacing w:val="-10"/>
          <w:sz w:val="24"/>
          <w:szCs w:val="24"/>
          <w:highlight w:val="none"/>
        </w:rPr>
        <w:t>Sanguisorba</w:t>
      </w:r>
      <w:r>
        <w:rPr>
          <w:rFonts w:hint="default" w:ascii="Times New Roman" w:hAnsi="Times New Roman" w:eastAsia="宋体" w:cs="Times New Roman"/>
          <w:i/>
          <w:iCs/>
          <w:color w:val="auto"/>
          <w:spacing w:val="-10"/>
          <w:sz w:val="24"/>
          <w:szCs w:val="24"/>
          <w:highlight w:val="none"/>
          <w:lang w:val="en-US" w:eastAsia="zh-CN"/>
        </w:rPr>
        <w:t xml:space="preserve"> </w:t>
      </w:r>
      <w:r>
        <w:rPr>
          <w:rFonts w:hint="default" w:ascii="Times New Roman" w:hAnsi="Times New Roman" w:eastAsia="宋体" w:cs="Times New Roman"/>
          <w:i/>
          <w:iCs/>
          <w:color w:val="auto"/>
          <w:sz w:val="24"/>
          <w:szCs w:val="24"/>
          <w:highlight w:val="none"/>
        </w:rPr>
        <w:t>o</w:t>
      </w:r>
      <w:r>
        <w:rPr>
          <w:rFonts w:hint="default" w:ascii="Times New Roman" w:hAnsi="Times New Roman" w:eastAsia="宋体" w:cs="Times New Roman"/>
          <w:b/>
          <w:bCs/>
          <w:i/>
          <w:iCs/>
          <w:color w:val="auto"/>
          <w:sz w:val="24"/>
          <w:szCs w:val="24"/>
          <w:highlight w:val="none"/>
        </w:rPr>
        <w:t>f</w:t>
      </w:r>
      <w:r>
        <w:rPr>
          <w:rFonts w:hint="default" w:ascii="Times New Roman" w:hAnsi="Times New Roman" w:eastAsia="宋体" w:cs="Times New Roman"/>
          <w:i/>
          <w:iCs/>
          <w:color w:val="auto"/>
          <w:sz w:val="24"/>
          <w:szCs w:val="24"/>
          <w:highlight w:val="none"/>
        </w:rPr>
        <w:t>icinalis</w:t>
      </w:r>
      <w:r>
        <w:rPr>
          <w:rFonts w:hint="default" w:ascii="Times New Roman" w:hAnsi="Times New Roman" w:eastAsia="宋体" w:cs="Times New Roman"/>
          <w:color w:val="auto"/>
          <w:spacing w:val="18"/>
          <w:sz w:val="24"/>
          <w:szCs w:val="24"/>
          <w:highlight w:val="none"/>
        </w:rPr>
        <w:t>）等。</w:t>
      </w:r>
    </w:p>
    <w:p w14:paraId="48A08FCD">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蒙古栎林为本地区的地带性植被类型的群系</w:t>
      </w:r>
      <w:r>
        <w:rPr>
          <w:rFonts w:hint="default" w:ascii="Times New Roman" w:hAnsi="Times New Roman" w:eastAsia="宋体" w:cs="Times New Roman"/>
          <w:color w:val="auto"/>
          <w:spacing w:val="-5"/>
          <w:sz w:val="24"/>
          <w:szCs w:val="24"/>
          <w:highlight w:val="none"/>
        </w:rPr>
        <w:t>之一，在保护区内十</w:t>
      </w:r>
      <w:r>
        <w:rPr>
          <w:rFonts w:hint="default" w:ascii="Times New Roman" w:hAnsi="Times New Roman" w:eastAsia="宋体" w:cs="Times New Roman"/>
          <w:color w:val="auto"/>
          <w:spacing w:val="-3"/>
          <w:sz w:val="24"/>
          <w:szCs w:val="24"/>
          <w:highlight w:val="none"/>
        </w:rPr>
        <w:t>分常见，主要分布在海拔相对较高的阳坡、半阳坡、阴坡、山脊上</w:t>
      </w:r>
      <w:r>
        <w:rPr>
          <w:rFonts w:hint="default" w:ascii="Times New Roman" w:hAnsi="Times New Roman" w:eastAsia="宋体" w:cs="Times New Roman"/>
          <w:color w:val="auto"/>
          <w:spacing w:val="-2"/>
          <w:sz w:val="24"/>
          <w:szCs w:val="24"/>
          <w:highlight w:val="none"/>
        </w:rPr>
        <w:t>。灌木层的高度为0.6-1.7m，常见的植物有</w:t>
      </w:r>
      <w:r>
        <w:rPr>
          <w:rFonts w:hint="default" w:ascii="Times New Roman" w:hAnsi="Times New Roman" w:eastAsia="宋体" w:cs="Times New Roman"/>
          <w:color w:val="auto"/>
          <w:spacing w:val="-3"/>
          <w:sz w:val="24"/>
          <w:szCs w:val="24"/>
          <w:highlight w:val="none"/>
        </w:rPr>
        <w:t>平榛、六</w:t>
      </w:r>
      <w:r>
        <w:rPr>
          <w:rFonts w:hint="default" w:ascii="Times New Roman" w:hAnsi="Times New Roman" w:eastAsia="宋体" w:cs="Times New Roman"/>
          <w:color w:val="auto"/>
          <w:sz w:val="24"/>
          <w:szCs w:val="24"/>
          <w:highlight w:val="none"/>
        </w:rPr>
        <w:t>道木、三裂绣线菊（</w:t>
      </w:r>
      <w:r>
        <w:rPr>
          <w:rFonts w:hint="default" w:ascii="Times New Roman" w:hAnsi="Times New Roman" w:eastAsia="宋体" w:cs="Times New Roman"/>
          <w:i/>
          <w:iCs/>
          <w:color w:val="auto"/>
          <w:sz w:val="24"/>
          <w:szCs w:val="24"/>
          <w:highlight w:val="none"/>
        </w:rPr>
        <w:t>Spiraea trilobata</w:t>
      </w:r>
      <w:r>
        <w:rPr>
          <w:rFonts w:hint="default" w:ascii="Times New Roman" w:hAnsi="Times New Roman" w:eastAsia="宋体" w:cs="Times New Roman"/>
          <w:color w:val="auto"/>
          <w:sz w:val="24"/>
          <w:szCs w:val="24"/>
          <w:highlight w:val="none"/>
        </w:rPr>
        <w:t>）、二色胡枝子等。草本层高</w:t>
      </w:r>
      <w:r>
        <w:rPr>
          <w:rFonts w:hint="default" w:ascii="Times New Roman" w:hAnsi="Times New Roman" w:eastAsia="宋体" w:cs="Times New Roman"/>
          <w:color w:val="auto"/>
          <w:spacing w:val="-1"/>
          <w:sz w:val="24"/>
          <w:szCs w:val="24"/>
          <w:highlight w:val="none"/>
        </w:rPr>
        <w:t>10-90cm，盖度为30%左右。常见的有地榆、大油芒（</w:t>
      </w:r>
      <w:r>
        <w:rPr>
          <w:rFonts w:hint="default" w:ascii="Times New Roman" w:hAnsi="Times New Roman" w:eastAsia="宋体" w:cs="Times New Roman"/>
          <w:i/>
          <w:iCs/>
          <w:color w:val="auto"/>
          <w:spacing w:val="-1"/>
          <w:sz w:val="24"/>
          <w:szCs w:val="24"/>
          <w:highlight w:val="none"/>
        </w:rPr>
        <w:t>Spod</w:t>
      </w:r>
      <w:r>
        <w:rPr>
          <w:rFonts w:hint="default" w:ascii="Times New Roman" w:hAnsi="Times New Roman" w:eastAsia="宋体" w:cs="Times New Roman"/>
          <w:i/>
          <w:iCs/>
          <w:color w:val="auto"/>
          <w:spacing w:val="-2"/>
          <w:sz w:val="24"/>
          <w:szCs w:val="24"/>
          <w:highlight w:val="none"/>
        </w:rPr>
        <w:t>iopogon</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6"/>
          <w:sz w:val="24"/>
          <w:szCs w:val="24"/>
          <w:highlight w:val="none"/>
        </w:rPr>
        <w:t>sibiricus</w:t>
      </w:r>
      <w:r>
        <w:rPr>
          <w:rFonts w:hint="default" w:ascii="Times New Roman" w:hAnsi="Times New Roman" w:eastAsia="宋体" w:cs="Times New Roman"/>
          <w:color w:val="auto"/>
          <w:spacing w:val="-6"/>
          <w:sz w:val="24"/>
          <w:szCs w:val="24"/>
          <w:highlight w:val="none"/>
        </w:rPr>
        <w:t>）、展枝唐松草（</w:t>
      </w:r>
      <w:r>
        <w:rPr>
          <w:rFonts w:hint="default" w:ascii="Times New Roman" w:hAnsi="Times New Roman" w:eastAsia="宋体" w:cs="Times New Roman"/>
          <w:i/>
          <w:iCs/>
          <w:color w:val="auto"/>
          <w:spacing w:val="-6"/>
          <w:sz w:val="24"/>
          <w:szCs w:val="24"/>
          <w:highlight w:val="none"/>
        </w:rPr>
        <w:t>Thalictrum squarrosum</w:t>
      </w:r>
      <w:r>
        <w:rPr>
          <w:rFonts w:hint="default" w:ascii="Times New Roman" w:hAnsi="Times New Roman" w:eastAsia="宋体" w:cs="Times New Roman"/>
          <w:color w:val="auto"/>
          <w:spacing w:val="-6"/>
          <w:sz w:val="24"/>
          <w:szCs w:val="24"/>
          <w:highlight w:val="none"/>
        </w:rPr>
        <w:t>）、白莲蒿（</w:t>
      </w:r>
      <w:r>
        <w:rPr>
          <w:rFonts w:hint="default" w:ascii="Times New Roman" w:hAnsi="Times New Roman" w:eastAsia="宋体" w:cs="Times New Roman"/>
          <w:i/>
          <w:iCs/>
          <w:color w:val="auto"/>
          <w:spacing w:val="-6"/>
          <w:sz w:val="24"/>
          <w:szCs w:val="24"/>
          <w:highlight w:val="none"/>
        </w:rPr>
        <w:t>Artemisia</w:t>
      </w:r>
      <w:r>
        <w:rPr>
          <w:rFonts w:hint="default" w:ascii="Times New Roman" w:hAnsi="Times New Roman" w:eastAsia="宋体" w:cs="Times New Roman"/>
          <w:i/>
          <w:iCs/>
          <w:color w:val="auto"/>
          <w:sz w:val="24"/>
          <w:szCs w:val="24"/>
          <w:highlight w:val="none"/>
        </w:rPr>
        <w:t xml:space="preserve"> stechmanniana</w:t>
      </w:r>
      <w:r>
        <w:rPr>
          <w:rFonts w:hint="default" w:ascii="Times New Roman" w:hAnsi="Times New Roman" w:eastAsia="宋体" w:cs="Times New Roman"/>
          <w:color w:val="auto"/>
          <w:spacing w:val="2"/>
          <w:sz w:val="24"/>
          <w:szCs w:val="24"/>
          <w:highlight w:val="none"/>
        </w:rPr>
        <w:t>）、野青茅（</w:t>
      </w:r>
      <w:r>
        <w:rPr>
          <w:rFonts w:hint="default" w:ascii="Times New Roman" w:hAnsi="Times New Roman" w:eastAsia="宋体" w:cs="Times New Roman"/>
          <w:i/>
          <w:iCs/>
          <w:color w:val="auto"/>
          <w:sz w:val="24"/>
          <w:szCs w:val="24"/>
          <w:highlight w:val="none"/>
        </w:rPr>
        <w:t>Deyeuxia</w:t>
      </w:r>
      <w:r>
        <w:rPr>
          <w:rFonts w:hint="default" w:ascii="Times New Roman" w:hAnsi="Times New Roman" w:eastAsia="宋体" w:cs="Times New Roman"/>
          <w:i/>
          <w:iCs/>
          <w:color w:val="auto"/>
          <w:spacing w:val="-24"/>
          <w:sz w:val="24"/>
          <w:szCs w:val="24"/>
          <w:highlight w:val="none"/>
        </w:rPr>
        <w:t xml:space="preserve"> </w:t>
      </w:r>
      <w:r>
        <w:rPr>
          <w:rFonts w:hint="default" w:ascii="Times New Roman" w:hAnsi="Times New Roman" w:eastAsia="宋体" w:cs="Times New Roman"/>
          <w:i/>
          <w:iCs/>
          <w:color w:val="auto"/>
          <w:sz w:val="24"/>
          <w:szCs w:val="24"/>
          <w:highlight w:val="none"/>
        </w:rPr>
        <w:t>pyramidalis</w:t>
      </w:r>
      <w:r>
        <w:rPr>
          <w:rFonts w:hint="default" w:ascii="Times New Roman" w:hAnsi="Times New Roman" w:eastAsia="宋体" w:cs="Times New Roman"/>
          <w:color w:val="auto"/>
          <w:spacing w:val="2"/>
          <w:sz w:val="24"/>
          <w:szCs w:val="24"/>
          <w:highlight w:val="none"/>
        </w:rPr>
        <w:t>）、银背风毛菊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iCs/>
          <w:color w:val="auto"/>
          <w:sz w:val="24"/>
          <w:szCs w:val="24"/>
          <w:highlight w:val="none"/>
        </w:rPr>
        <w:t>Saussurea nivea</w:t>
      </w:r>
      <w:r>
        <w:rPr>
          <w:rFonts w:hint="default" w:ascii="Times New Roman" w:hAnsi="Times New Roman" w:eastAsia="宋体" w:cs="Times New Roman"/>
          <w:color w:val="auto"/>
          <w:sz w:val="24"/>
          <w:szCs w:val="24"/>
          <w:highlight w:val="none"/>
        </w:rPr>
        <w:t>）、乌头、北柴胡（</w:t>
      </w:r>
      <w:r>
        <w:rPr>
          <w:rFonts w:hint="default" w:ascii="Times New Roman" w:hAnsi="Times New Roman" w:eastAsia="宋体" w:cs="Times New Roman"/>
          <w:i/>
          <w:iCs/>
          <w:color w:val="auto"/>
          <w:sz w:val="24"/>
          <w:szCs w:val="24"/>
          <w:highlight w:val="none"/>
        </w:rPr>
        <w:t>Bupleurum</w:t>
      </w:r>
      <w:r>
        <w:rPr>
          <w:rFonts w:hint="default" w:ascii="Times New Roman" w:hAnsi="Times New Roman" w:eastAsia="宋体" w:cs="Times New Roman"/>
          <w:i/>
          <w:iCs/>
          <w:color w:val="auto"/>
          <w:spacing w:val="-1"/>
          <w:sz w:val="24"/>
          <w:szCs w:val="24"/>
          <w:highlight w:val="none"/>
        </w:rPr>
        <w:t xml:space="preserve"> chinense</w:t>
      </w:r>
      <w:r>
        <w:rPr>
          <w:rFonts w:hint="default" w:ascii="Times New Roman" w:hAnsi="Times New Roman" w:eastAsia="宋体" w:cs="Times New Roman"/>
          <w:color w:val="auto"/>
          <w:spacing w:val="-1"/>
          <w:sz w:val="24"/>
          <w:szCs w:val="24"/>
          <w:highlight w:val="none"/>
        </w:rPr>
        <w:t>）、藜芦</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i/>
          <w:iCs/>
          <w:color w:val="auto"/>
          <w:spacing w:val="-2"/>
          <w:sz w:val="24"/>
          <w:szCs w:val="24"/>
          <w:highlight w:val="none"/>
        </w:rPr>
        <w:t>Veratrum nigrum</w:t>
      </w:r>
      <w:r>
        <w:rPr>
          <w:rFonts w:hint="default" w:ascii="Times New Roman" w:hAnsi="Times New Roman" w:eastAsia="宋体" w:cs="Times New Roman"/>
          <w:color w:val="auto"/>
          <w:spacing w:val="-2"/>
          <w:sz w:val="24"/>
          <w:szCs w:val="24"/>
          <w:highlight w:val="none"/>
        </w:rPr>
        <w:t>）等。</w:t>
      </w:r>
    </w:p>
    <w:p w14:paraId="7D9365EF">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华北落叶松林林龄大多在40年左右，郁闭度</w:t>
      </w:r>
      <w:r>
        <w:rPr>
          <w:rFonts w:hint="default" w:ascii="Times New Roman" w:hAnsi="Times New Roman" w:eastAsia="宋体" w:cs="Times New Roman"/>
          <w:color w:val="auto"/>
          <w:spacing w:val="-3"/>
          <w:sz w:val="24"/>
          <w:szCs w:val="24"/>
          <w:highlight w:val="none"/>
        </w:rPr>
        <w:t>0.5左右，高约10-18m，胸围多在45-90cm之间</w:t>
      </w:r>
      <w:r>
        <w:rPr>
          <w:rFonts w:hint="default" w:ascii="Times New Roman" w:hAnsi="Times New Roman" w:eastAsia="宋体" w:cs="Times New Roman"/>
          <w:color w:val="auto"/>
          <w:spacing w:val="-4"/>
          <w:sz w:val="24"/>
          <w:szCs w:val="24"/>
          <w:highlight w:val="none"/>
        </w:rPr>
        <w:t>，主要由华北落叶松</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i/>
          <w:iCs/>
          <w:color w:val="auto"/>
          <w:spacing w:val="-2"/>
          <w:sz w:val="24"/>
          <w:szCs w:val="24"/>
          <w:highlight w:val="none"/>
        </w:rPr>
        <w:t>Larix principis-rupprechtii Mayr</w:t>
      </w:r>
      <w:r>
        <w:rPr>
          <w:rFonts w:hint="default" w:ascii="Times New Roman" w:hAnsi="Times New Roman" w:eastAsia="宋体" w:cs="Times New Roman"/>
          <w:color w:val="auto"/>
          <w:spacing w:val="-2"/>
          <w:sz w:val="24"/>
          <w:szCs w:val="24"/>
          <w:highlight w:val="none"/>
        </w:rPr>
        <w:t>）组成。灌木层以平榛、三裂</w:t>
      </w:r>
      <w:r>
        <w:rPr>
          <w:rFonts w:hint="default" w:ascii="Times New Roman" w:hAnsi="Times New Roman" w:eastAsia="宋体" w:cs="Times New Roman"/>
          <w:color w:val="auto"/>
          <w:spacing w:val="-3"/>
          <w:sz w:val="24"/>
          <w:szCs w:val="24"/>
          <w:highlight w:val="none"/>
        </w:rPr>
        <w:t>绣线菊、六道木、二色胡枝子等为主。草本层一般发育不</w:t>
      </w:r>
      <w:r>
        <w:rPr>
          <w:rFonts w:hint="default" w:ascii="Times New Roman" w:hAnsi="Times New Roman" w:eastAsia="宋体" w:cs="Times New Roman"/>
          <w:color w:val="auto"/>
          <w:spacing w:val="-4"/>
          <w:sz w:val="24"/>
          <w:szCs w:val="24"/>
          <w:highlight w:val="none"/>
        </w:rPr>
        <w:t>良，总盖度</w:t>
      </w:r>
      <w:r>
        <w:rPr>
          <w:rFonts w:hint="default" w:ascii="Times New Roman" w:hAnsi="Times New Roman" w:eastAsia="宋体" w:cs="Times New Roman"/>
          <w:color w:val="auto"/>
          <w:spacing w:val="-14"/>
          <w:sz w:val="24"/>
          <w:szCs w:val="24"/>
          <w:highlight w:val="none"/>
        </w:rPr>
        <w:t>低于</w:t>
      </w:r>
      <w:r>
        <w:rPr>
          <w:rFonts w:hint="default" w:ascii="Times New Roman" w:hAnsi="Times New Roman" w:eastAsia="宋体" w:cs="Times New Roman"/>
          <w:color w:val="auto"/>
          <w:spacing w:val="-62"/>
          <w:sz w:val="24"/>
          <w:szCs w:val="24"/>
          <w:highlight w:val="none"/>
        </w:rPr>
        <w:t xml:space="preserve"> </w:t>
      </w:r>
      <w:r>
        <w:rPr>
          <w:rFonts w:hint="default" w:ascii="Times New Roman" w:hAnsi="Times New Roman" w:eastAsia="宋体" w:cs="Times New Roman"/>
          <w:color w:val="auto"/>
          <w:spacing w:val="-14"/>
          <w:sz w:val="24"/>
          <w:szCs w:val="24"/>
          <w:highlight w:val="none"/>
        </w:rPr>
        <w:t>30%。高度在20-90cm之间。主要以细叶苔草（</w:t>
      </w:r>
      <w:r>
        <w:rPr>
          <w:rFonts w:hint="default" w:ascii="Times New Roman" w:hAnsi="Times New Roman" w:eastAsia="宋体" w:cs="Times New Roman"/>
          <w:i/>
          <w:iCs/>
          <w:color w:val="auto"/>
          <w:spacing w:val="-14"/>
          <w:sz w:val="24"/>
          <w:szCs w:val="24"/>
          <w:highlight w:val="none"/>
        </w:rPr>
        <w:t>Carex duriuscula</w:t>
      </w:r>
      <w:r>
        <w:rPr>
          <w:rFonts w:hint="default" w:ascii="Times New Roman" w:hAnsi="Times New Roman" w:eastAsia="宋体" w:cs="Times New Roman"/>
          <w:color w:val="auto"/>
          <w:spacing w:val="-14"/>
          <w:sz w:val="24"/>
          <w:szCs w:val="24"/>
          <w:highlight w:val="none"/>
        </w:rPr>
        <w:t>）、</w:t>
      </w:r>
      <w:r>
        <w:rPr>
          <w:rFonts w:hint="default" w:ascii="Times New Roman" w:hAnsi="Times New Roman" w:eastAsia="宋体" w:cs="Times New Roman"/>
          <w:color w:val="auto"/>
          <w:spacing w:val="-3"/>
          <w:sz w:val="24"/>
          <w:szCs w:val="24"/>
          <w:highlight w:val="none"/>
        </w:rPr>
        <w:t>野青茅、龙牙草、歪头菜、舞鹤草（</w:t>
      </w:r>
      <w:r>
        <w:rPr>
          <w:rFonts w:hint="default" w:ascii="Times New Roman" w:hAnsi="Times New Roman" w:eastAsia="宋体" w:cs="Times New Roman"/>
          <w:i/>
          <w:iCs/>
          <w:color w:val="auto"/>
          <w:spacing w:val="-3"/>
          <w:sz w:val="24"/>
          <w:szCs w:val="24"/>
          <w:highlight w:val="none"/>
        </w:rPr>
        <w:t>Maianthemum bifolium</w:t>
      </w:r>
      <w:r>
        <w:rPr>
          <w:rFonts w:hint="default" w:ascii="Times New Roman" w:hAnsi="Times New Roman" w:eastAsia="宋体" w:cs="Times New Roman"/>
          <w:color w:val="auto"/>
          <w:spacing w:val="-3"/>
          <w:sz w:val="24"/>
          <w:szCs w:val="24"/>
          <w:highlight w:val="none"/>
        </w:rPr>
        <w:t>）、糙苏、</w:t>
      </w:r>
      <w:r>
        <w:rPr>
          <w:rFonts w:hint="default" w:ascii="Times New Roman" w:hAnsi="Times New Roman" w:eastAsia="宋体" w:cs="Times New Roman"/>
          <w:color w:val="auto"/>
          <w:sz w:val="24"/>
          <w:szCs w:val="24"/>
          <w:highlight w:val="none"/>
        </w:rPr>
        <w:t>珠芽蓼（</w:t>
      </w:r>
      <w:r>
        <w:rPr>
          <w:rFonts w:hint="default" w:ascii="Times New Roman" w:hAnsi="Times New Roman" w:eastAsia="宋体" w:cs="Times New Roman"/>
          <w:i/>
          <w:iCs/>
          <w:color w:val="auto"/>
          <w:sz w:val="24"/>
          <w:szCs w:val="24"/>
          <w:highlight w:val="none"/>
        </w:rPr>
        <w:t>Bistorta vivipara</w:t>
      </w:r>
      <w:r>
        <w:rPr>
          <w:rFonts w:hint="default" w:ascii="Times New Roman" w:hAnsi="Times New Roman" w:eastAsia="宋体" w:cs="Times New Roman"/>
          <w:color w:val="auto"/>
          <w:sz w:val="24"/>
          <w:szCs w:val="24"/>
          <w:highlight w:val="none"/>
        </w:rPr>
        <w:t>）等为</w:t>
      </w:r>
      <w:r>
        <w:rPr>
          <w:rFonts w:hint="default" w:ascii="Times New Roman" w:hAnsi="Times New Roman" w:eastAsia="宋体" w:cs="Times New Roman"/>
          <w:color w:val="auto"/>
          <w:spacing w:val="-1"/>
          <w:sz w:val="24"/>
          <w:szCs w:val="24"/>
          <w:highlight w:val="none"/>
        </w:rPr>
        <w:t>主。</w:t>
      </w:r>
    </w:p>
    <w:p w14:paraId="0601CA78">
      <w:pPr>
        <w:keepNext w:val="0"/>
        <w:keepLines w:val="0"/>
        <w:pageBreakBefore w:val="0"/>
        <w:widowControl w:val="0"/>
        <w:kinsoku/>
        <w:wordWrap/>
        <w:overflowPunct/>
        <w:topLinePunct w:val="0"/>
        <w:autoSpaceDE/>
        <w:autoSpaceDN/>
        <w:bidi w:val="0"/>
        <w:adjustRightInd/>
        <w:snapToGrid/>
        <w:spacing w:line="360" w:lineRule="auto"/>
        <w:ind w:left="0" w:right="0" w:firstLine="440" w:firstLineChars="200"/>
        <w:jc w:val="both"/>
        <w:textAlignment w:val="auto"/>
        <w:rPr>
          <w:rFonts w:hint="default" w:ascii="Times New Roman" w:hAnsi="Times New Roman" w:eastAsia="宋体" w:cs="Times New Roman"/>
          <w:color w:val="auto"/>
          <w:sz w:val="24"/>
          <w:szCs w:val="24"/>
          <w:highlight w:val="none"/>
        </w:rPr>
      </w:pPr>
      <w:r>
        <w:rPr>
          <w:rFonts w:hint="eastAsia"/>
          <w:color w:val="auto"/>
          <w:highlight w:val="none"/>
          <w:lang w:eastAsia="zh-CN"/>
        </w:rPr>
        <w:t>绣线菊、榛子、胡枝子灌丛</w:t>
      </w:r>
      <w:r>
        <w:rPr>
          <w:rFonts w:hint="default" w:ascii="Times New Roman" w:hAnsi="Times New Roman" w:eastAsia="宋体" w:cs="Times New Roman"/>
          <w:color w:val="auto"/>
          <w:spacing w:val="1"/>
          <w:sz w:val="24"/>
          <w:szCs w:val="24"/>
          <w:highlight w:val="none"/>
        </w:rPr>
        <w:t>在评价区盖度在35%左右，草本层发</w:t>
      </w:r>
      <w:r>
        <w:rPr>
          <w:rFonts w:hint="default" w:ascii="Times New Roman" w:hAnsi="Times New Roman" w:eastAsia="宋体" w:cs="Times New Roman"/>
          <w:color w:val="auto"/>
          <w:sz w:val="24"/>
          <w:szCs w:val="24"/>
          <w:highlight w:val="none"/>
        </w:rPr>
        <w:t>育不良，盖度很低，大多为耐荫的种类，如糙苏、宽叶苔</w:t>
      </w:r>
      <w:r>
        <w:rPr>
          <w:rFonts w:hint="default" w:ascii="Times New Roman" w:hAnsi="Times New Roman" w:eastAsia="宋体" w:cs="Times New Roman"/>
          <w:color w:val="auto"/>
          <w:spacing w:val="-1"/>
          <w:sz w:val="24"/>
          <w:szCs w:val="24"/>
          <w:highlight w:val="none"/>
        </w:rPr>
        <w:t>草（</w:t>
      </w:r>
      <w:r>
        <w:rPr>
          <w:rFonts w:hint="default" w:ascii="Times New Roman" w:hAnsi="Times New Roman" w:eastAsia="宋体" w:cs="Times New Roman"/>
          <w:i/>
          <w:iCs/>
          <w:color w:val="auto"/>
          <w:spacing w:val="-1"/>
          <w:sz w:val="24"/>
          <w:szCs w:val="24"/>
          <w:highlight w:val="none"/>
        </w:rPr>
        <w:t>Carex</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3"/>
          <w:sz w:val="24"/>
          <w:szCs w:val="24"/>
          <w:highlight w:val="none"/>
        </w:rPr>
        <w:t>siderosticta</w:t>
      </w:r>
      <w:r>
        <w:rPr>
          <w:rFonts w:hint="default" w:ascii="Times New Roman" w:hAnsi="Times New Roman" w:eastAsia="宋体" w:cs="Times New Roman"/>
          <w:color w:val="auto"/>
          <w:spacing w:val="-3"/>
          <w:sz w:val="24"/>
          <w:szCs w:val="24"/>
          <w:highlight w:val="none"/>
        </w:rPr>
        <w:t>）、茖葱（</w:t>
      </w:r>
      <w:r>
        <w:rPr>
          <w:rFonts w:hint="default" w:ascii="Times New Roman" w:hAnsi="Times New Roman" w:eastAsia="宋体" w:cs="Times New Roman"/>
          <w:i/>
          <w:iCs/>
          <w:color w:val="auto"/>
          <w:spacing w:val="-3"/>
          <w:sz w:val="24"/>
          <w:szCs w:val="24"/>
          <w:highlight w:val="none"/>
        </w:rPr>
        <w:t>All</w:t>
      </w:r>
      <w:r>
        <w:rPr>
          <w:rFonts w:hint="default" w:ascii="Times New Roman" w:hAnsi="Times New Roman" w:eastAsia="宋体" w:cs="Times New Roman"/>
          <w:i/>
          <w:iCs/>
          <w:color w:val="auto"/>
          <w:spacing w:val="-4"/>
          <w:sz w:val="24"/>
          <w:szCs w:val="24"/>
          <w:highlight w:val="none"/>
        </w:rPr>
        <w:t>ium ochotense</w:t>
      </w:r>
      <w:r>
        <w:rPr>
          <w:rFonts w:hint="default" w:ascii="Times New Roman" w:hAnsi="Times New Roman" w:eastAsia="宋体" w:cs="Times New Roman"/>
          <w:color w:val="auto"/>
          <w:spacing w:val="-4"/>
          <w:sz w:val="24"/>
          <w:szCs w:val="24"/>
          <w:highlight w:val="none"/>
        </w:rPr>
        <w:t>）、舞鹤草、水杨梅、龙牙草、</w:t>
      </w:r>
      <w:r>
        <w:rPr>
          <w:rFonts w:hint="default" w:ascii="Times New Roman" w:hAnsi="Times New Roman" w:eastAsia="宋体" w:cs="Times New Roman"/>
          <w:color w:val="auto"/>
          <w:sz w:val="24"/>
          <w:szCs w:val="24"/>
          <w:highlight w:val="none"/>
        </w:rPr>
        <w:t>歪头菜、地榆等。</w:t>
      </w:r>
    </w:p>
    <w:p w14:paraId="2313AB2C">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4"/>
          <w:sz w:val="24"/>
          <w:szCs w:val="24"/>
          <w:highlight w:val="none"/>
        </w:rPr>
        <w:t>杂灌丛中的优势种不明显，有较多不同属的共建种</w:t>
      </w:r>
      <w:r>
        <w:rPr>
          <w:rFonts w:hint="default" w:ascii="Times New Roman" w:hAnsi="Times New Roman" w:eastAsia="宋体" w:cs="Times New Roman"/>
          <w:color w:val="auto"/>
          <w:spacing w:val="-5"/>
          <w:sz w:val="24"/>
          <w:szCs w:val="24"/>
          <w:highlight w:val="none"/>
        </w:rPr>
        <w:t>。灌木层高度为50-100cm，总盖度为</w:t>
      </w:r>
      <w:r>
        <w:rPr>
          <w:rFonts w:hint="default" w:ascii="Times New Roman" w:hAnsi="Times New Roman" w:eastAsia="宋体" w:cs="Times New Roman"/>
          <w:color w:val="auto"/>
          <w:spacing w:val="-59"/>
          <w:sz w:val="24"/>
          <w:szCs w:val="24"/>
          <w:highlight w:val="none"/>
        </w:rPr>
        <w:t xml:space="preserve"> </w:t>
      </w:r>
      <w:r>
        <w:rPr>
          <w:rFonts w:hint="default" w:ascii="Times New Roman" w:hAnsi="Times New Roman" w:eastAsia="宋体" w:cs="Times New Roman"/>
          <w:color w:val="auto"/>
          <w:spacing w:val="-5"/>
          <w:sz w:val="24"/>
          <w:szCs w:val="24"/>
          <w:highlight w:val="none"/>
        </w:rPr>
        <w:t>30-40％左右。草</w:t>
      </w:r>
      <w:r>
        <w:rPr>
          <w:rFonts w:hint="default" w:ascii="Times New Roman" w:hAnsi="Times New Roman" w:eastAsia="宋体" w:cs="Times New Roman"/>
          <w:color w:val="auto"/>
          <w:spacing w:val="-4"/>
          <w:sz w:val="24"/>
          <w:szCs w:val="24"/>
          <w:highlight w:val="none"/>
        </w:rPr>
        <w:t>本层十分发达，主要组成植物包括细叶苔草、地榆、银背风毛菊、北</w:t>
      </w:r>
      <w:r>
        <w:rPr>
          <w:rFonts w:hint="default" w:ascii="Times New Roman" w:hAnsi="Times New Roman" w:eastAsia="宋体" w:cs="Times New Roman"/>
          <w:color w:val="auto"/>
          <w:spacing w:val="-3"/>
          <w:sz w:val="24"/>
          <w:szCs w:val="24"/>
          <w:highlight w:val="none"/>
        </w:rPr>
        <w:t>柴胡等。</w:t>
      </w:r>
      <w:bookmarkStart w:id="54" w:name="bookmark50"/>
      <w:bookmarkEnd w:id="54"/>
      <w:bookmarkStart w:id="55" w:name="bookmark49"/>
      <w:bookmarkEnd w:id="55"/>
    </w:p>
    <w:p w14:paraId="1E7838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color w:val="auto"/>
          <w:highlight w:val="none"/>
          <w:lang w:eastAsia="zh-CN"/>
        </w:rPr>
      </w:pPr>
      <w:r>
        <w:rPr>
          <w:rFonts w:hint="eastAsia"/>
          <w:color w:val="auto"/>
          <w:highlight w:val="none"/>
          <w:lang w:val="en-US" w:eastAsia="zh-CN"/>
        </w:rPr>
        <w:t>4.4</w:t>
      </w:r>
      <w:r>
        <w:rPr>
          <w:rFonts w:hint="default"/>
          <w:color w:val="auto"/>
          <w:highlight w:val="none"/>
        </w:rPr>
        <w:t>.</w:t>
      </w:r>
      <w:r>
        <w:rPr>
          <w:rFonts w:hint="eastAsia"/>
          <w:color w:val="auto"/>
          <w:highlight w:val="none"/>
          <w:lang w:val="en-US" w:eastAsia="zh-CN"/>
        </w:rPr>
        <w:t>4评价区</w:t>
      </w:r>
      <w:r>
        <w:rPr>
          <w:rFonts w:hint="default"/>
          <w:color w:val="auto"/>
          <w:highlight w:val="none"/>
        </w:rPr>
        <w:t>物种</w:t>
      </w:r>
      <w:r>
        <w:rPr>
          <w:rFonts w:hint="eastAsia"/>
          <w:color w:val="auto"/>
          <w:highlight w:val="none"/>
          <w:lang w:eastAsia="zh-CN"/>
        </w:rPr>
        <w:t>种类</w:t>
      </w:r>
    </w:p>
    <w:p w14:paraId="43589C7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rPr>
      </w:pPr>
      <w:r>
        <w:rPr>
          <w:rFonts w:hint="eastAsia"/>
          <w:color w:val="auto"/>
          <w:highlight w:val="none"/>
          <w:lang w:val="en-US" w:eastAsia="zh-CN"/>
        </w:rPr>
        <w:t>4.4.4</w:t>
      </w:r>
      <w:r>
        <w:rPr>
          <w:rFonts w:hint="default"/>
          <w:color w:val="auto"/>
          <w:highlight w:val="none"/>
        </w:rPr>
        <w:t>.1植物种类</w:t>
      </w:r>
    </w:p>
    <w:p w14:paraId="36F90409">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根据样方调查，结合《河北滦河上游国家级自然保护区科学考察</w:t>
      </w:r>
      <w:r>
        <w:rPr>
          <w:rFonts w:hint="default" w:ascii="Times New Roman" w:hAnsi="Times New Roman" w:eastAsia="宋体" w:cs="Times New Roman"/>
          <w:color w:val="auto"/>
          <w:spacing w:val="-1"/>
          <w:sz w:val="24"/>
          <w:szCs w:val="24"/>
          <w:highlight w:val="none"/>
        </w:rPr>
        <w:t>报告（2019年）》等资料，影响评价区共分布维管束植物</w:t>
      </w:r>
      <w:r>
        <w:rPr>
          <w:rFonts w:hint="eastAsia" w:ascii="Times New Roman" w:hAnsi="Times New Roman" w:eastAsia="宋体" w:cs="Times New Roman"/>
          <w:color w:val="auto"/>
          <w:spacing w:val="-1"/>
          <w:sz w:val="24"/>
          <w:szCs w:val="24"/>
          <w:highlight w:val="none"/>
          <w:lang w:val="en-US" w:eastAsia="zh-CN"/>
        </w:rPr>
        <w:t>48</w:t>
      </w:r>
      <w:r>
        <w:rPr>
          <w:rFonts w:hint="default" w:ascii="Times New Roman" w:hAnsi="Times New Roman" w:eastAsia="宋体" w:cs="Times New Roman"/>
          <w:color w:val="auto"/>
          <w:spacing w:val="-1"/>
          <w:sz w:val="24"/>
          <w:szCs w:val="24"/>
          <w:highlight w:val="none"/>
        </w:rPr>
        <w:t>科92</w:t>
      </w:r>
      <w:r>
        <w:rPr>
          <w:rFonts w:hint="default" w:ascii="Times New Roman" w:hAnsi="Times New Roman" w:eastAsia="宋体" w:cs="Times New Roman"/>
          <w:color w:val="auto"/>
          <w:spacing w:val="-3"/>
          <w:sz w:val="24"/>
          <w:szCs w:val="24"/>
          <w:highlight w:val="none"/>
        </w:rPr>
        <w:t>属114种，其中菊科的种类最多，有13种。植物种类乔木较多的为</w:t>
      </w:r>
      <w:r>
        <w:rPr>
          <w:rFonts w:hint="eastAsia" w:eastAsia="宋体" w:cs="Times New Roman"/>
          <w:color w:val="auto"/>
          <w:spacing w:val="-3"/>
          <w:sz w:val="24"/>
          <w:szCs w:val="24"/>
          <w:highlight w:val="none"/>
          <w:lang w:eastAsia="zh-CN"/>
        </w:rPr>
        <w:t>华北落叶松、</w:t>
      </w:r>
      <w:r>
        <w:rPr>
          <w:rFonts w:hint="default" w:ascii="Times New Roman" w:hAnsi="Times New Roman" w:eastAsia="宋体" w:cs="Times New Roman"/>
          <w:color w:val="auto"/>
          <w:spacing w:val="-4"/>
          <w:sz w:val="24"/>
          <w:szCs w:val="24"/>
          <w:highlight w:val="none"/>
        </w:rPr>
        <w:t>白桦和蒙古栎，灌木较多的有平榛、六道木、绣线菊，调查显示</w:t>
      </w:r>
      <w:r>
        <w:rPr>
          <w:rFonts w:hint="default" w:ascii="Times New Roman" w:hAnsi="Times New Roman" w:eastAsia="宋体" w:cs="Times New Roman"/>
          <w:color w:val="auto"/>
          <w:spacing w:val="-2"/>
          <w:sz w:val="24"/>
          <w:szCs w:val="24"/>
          <w:highlight w:val="none"/>
        </w:rPr>
        <w:t>影响评价区中实验区</w:t>
      </w:r>
      <w:r>
        <w:rPr>
          <w:rFonts w:hint="eastAsia"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缓冲区</w:t>
      </w:r>
      <w:r>
        <w:rPr>
          <w:rFonts w:hint="eastAsia" w:eastAsia="宋体" w:cs="Times New Roman"/>
          <w:color w:val="auto"/>
          <w:spacing w:val="-2"/>
          <w:sz w:val="24"/>
          <w:szCs w:val="24"/>
          <w:highlight w:val="none"/>
          <w:lang w:eastAsia="zh-CN"/>
        </w:rPr>
        <w:t>和保护区外</w:t>
      </w:r>
      <w:r>
        <w:rPr>
          <w:rFonts w:hint="default" w:ascii="Times New Roman" w:hAnsi="Times New Roman" w:eastAsia="宋体" w:cs="Times New Roman"/>
          <w:color w:val="auto"/>
          <w:spacing w:val="-2"/>
          <w:sz w:val="24"/>
          <w:szCs w:val="24"/>
          <w:highlight w:val="none"/>
        </w:rPr>
        <w:t>的植物种类基本一致</w:t>
      </w:r>
      <w:r>
        <w:rPr>
          <w:rFonts w:hint="default" w:ascii="Times New Roman" w:hAnsi="Times New Roman" w:eastAsia="宋体" w:cs="Times New Roman"/>
          <w:color w:val="auto"/>
          <w:spacing w:val="-3"/>
          <w:sz w:val="24"/>
          <w:szCs w:val="24"/>
          <w:highlight w:val="none"/>
        </w:rPr>
        <w:t>。具体详见附表</w:t>
      </w:r>
      <w:r>
        <w:rPr>
          <w:rFonts w:hint="eastAsia" w:eastAsia="宋体" w:cs="Times New Roman"/>
          <w:color w:val="auto"/>
          <w:spacing w:val="-3"/>
          <w:sz w:val="24"/>
          <w:szCs w:val="24"/>
          <w:highlight w:val="none"/>
          <w:lang w:val="en-US" w:eastAsia="zh-CN"/>
        </w:rPr>
        <w:t>1</w:t>
      </w:r>
      <w:r>
        <w:rPr>
          <w:rFonts w:hint="default" w:ascii="Times New Roman" w:hAnsi="Times New Roman" w:eastAsia="宋体" w:cs="Times New Roman"/>
          <w:color w:val="auto"/>
          <w:spacing w:val="-3"/>
          <w:sz w:val="24"/>
          <w:szCs w:val="24"/>
          <w:highlight w:val="none"/>
        </w:rPr>
        <w:t>。其中农田生态系统中的农作物未记录在名录中，主要</w:t>
      </w:r>
      <w:r>
        <w:rPr>
          <w:rFonts w:hint="eastAsia" w:eastAsia="宋体" w:cs="Times New Roman"/>
          <w:color w:val="auto"/>
          <w:spacing w:val="-3"/>
          <w:sz w:val="24"/>
          <w:szCs w:val="24"/>
          <w:highlight w:val="none"/>
          <w:lang w:eastAsia="zh-CN"/>
        </w:rPr>
        <w:t>为</w:t>
      </w:r>
      <w:r>
        <w:rPr>
          <w:rFonts w:hint="default" w:ascii="Times New Roman" w:hAnsi="Times New Roman" w:eastAsia="宋体" w:cs="Times New Roman"/>
          <w:color w:val="auto"/>
          <w:spacing w:val="-3"/>
          <w:sz w:val="24"/>
          <w:szCs w:val="24"/>
          <w:highlight w:val="none"/>
        </w:rPr>
        <w:t>玉米。</w:t>
      </w:r>
    </w:p>
    <w:p w14:paraId="24B299D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rPr>
      </w:pPr>
      <w:r>
        <w:rPr>
          <w:rFonts w:hint="eastAsia"/>
          <w:color w:val="auto"/>
          <w:highlight w:val="none"/>
          <w:lang w:val="en-US" w:eastAsia="zh-CN"/>
        </w:rPr>
        <w:t>4.4.4</w:t>
      </w:r>
      <w:r>
        <w:rPr>
          <w:rFonts w:hint="default"/>
          <w:color w:val="auto"/>
          <w:highlight w:val="none"/>
        </w:rPr>
        <w:t>.2动物种类</w:t>
      </w:r>
    </w:p>
    <w:p w14:paraId="783AC2D5">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根据动物样线调查，结合《河北滦河上游国家级自然保护区科学</w:t>
      </w:r>
      <w:r>
        <w:rPr>
          <w:rFonts w:hint="default" w:ascii="Times New Roman" w:hAnsi="Times New Roman" w:eastAsia="宋体" w:cs="Times New Roman"/>
          <w:color w:val="auto"/>
          <w:spacing w:val="-1"/>
          <w:sz w:val="24"/>
          <w:szCs w:val="24"/>
          <w:highlight w:val="none"/>
        </w:rPr>
        <w:t>考察报告（2019年）》等以往资料，影响评价区</w:t>
      </w:r>
      <w:r>
        <w:rPr>
          <w:rFonts w:hint="default" w:ascii="Times New Roman" w:hAnsi="Times New Roman" w:eastAsia="宋体" w:cs="Times New Roman"/>
          <w:color w:val="auto"/>
          <w:spacing w:val="-2"/>
          <w:sz w:val="24"/>
          <w:szCs w:val="24"/>
          <w:highlight w:val="none"/>
        </w:rPr>
        <w:t>内共有脊椎动物19</w:t>
      </w:r>
      <w:r>
        <w:rPr>
          <w:rFonts w:hint="default" w:ascii="Times New Roman" w:hAnsi="Times New Roman" w:eastAsia="宋体" w:cs="Times New Roman"/>
          <w:color w:val="auto"/>
          <w:spacing w:val="-8"/>
          <w:sz w:val="24"/>
          <w:szCs w:val="24"/>
          <w:highlight w:val="none"/>
        </w:rPr>
        <w:t>目36科76种，其中两栖动物2目2科2种，爬行类2目3科6种，</w:t>
      </w:r>
      <w:r>
        <w:rPr>
          <w:rFonts w:hint="default" w:ascii="Times New Roman" w:hAnsi="Times New Roman" w:eastAsia="宋体" w:cs="Times New Roman"/>
          <w:color w:val="auto"/>
          <w:spacing w:val="-10"/>
          <w:sz w:val="24"/>
          <w:szCs w:val="24"/>
          <w:highlight w:val="none"/>
        </w:rPr>
        <w:t>鸟类10目23科55种，哺乳类5目8科13种。</w:t>
      </w:r>
    </w:p>
    <w:p w14:paraId="76204748">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影响评价区共有两栖动物2目2科2种，分别中华蟾蜍（</w:t>
      </w:r>
      <w:r>
        <w:rPr>
          <w:rFonts w:hint="default" w:ascii="Times New Roman" w:hAnsi="Times New Roman" w:eastAsia="宋体" w:cs="Times New Roman"/>
          <w:i/>
          <w:iCs/>
          <w:color w:val="auto"/>
          <w:spacing w:val="-3"/>
          <w:sz w:val="24"/>
          <w:szCs w:val="24"/>
          <w:highlight w:val="none"/>
        </w:rPr>
        <w:t>Bufo</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1"/>
          <w:sz w:val="24"/>
          <w:szCs w:val="24"/>
          <w:highlight w:val="none"/>
        </w:rPr>
        <w:t>gargarizans</w:t>
      </w:r>
      <w:r>
        <w:rPr>
          <w:rFonts w:hint="default" w:ascii="Times New Roman" w:hAnsi="Times New Roman" w:eastAsia="宋体" w:cs="Times New Roman"/>
          <w:color w:val="auto"/>
          <w:spacing w:val="-1"/>
          <w:sz w:val="24"/>
          <w:szCs w:val="24"/>
          <w:highlight w:val="none"/>
        </w:rPr>
        <w:t>）和中国林蛙（</w:t>
      </w:r>
      <w:r>
        <w:rPr>
          <w:rFonts w:hint="default" w:ascii="Times New Roman" w:hAnsi="Times New Roman" w:eastAsia="宋体" w:cs="Times New Roman"/>
          <w:i/>
          <w:iCs/>
          <w:color w:val="auto"/>
          <w:spacing w:val="-1"/>
          <w:sz w:val="24"/>
          <w:szCs w:val="24"/>
          <w:highlight w:val="none"/>
        </w:rPr>
        <w:t>Rana chens</w:t>
      </w:r>
      <w:r>
        <w:rPr>
          <w:rFonts w:hint="default" w:ascii="Times New Roman" w:hAnsi="Times New Roman" w:eastAsia="宋体" w:cs="Times New Roman"/>
          <w:i/>
          <w:iCs/>
          <w:color w:val="auto"/>
          <w:spacing w:val="-2"/>
          <w:sz w:val="24"/>
          <w:szCs w:val="24"/>
          <w:highlight w:val="none"/>
        </w:rPr>
        <w:t>inensis</w:t>
      </w:r>
      <w:r>
        <w:rPr>
          <w:rFonts w:hint="default" w:ascii="Times New Roman" w:hAnsi="Times New Roman" w:eastAsia="宋体" w:cs="Times New Roman"/>
          <w:color w:val="auto"/>
          <w:spacing w:val="-2"/>
          <w:sz w:val="24"/>
          <w:szCs w:val="24"/>
          <w:highlight w:val="none"/>
        </w:rPr>
        <w:t>）。简要情况见附表</w:t>
      </w:r>
      <w:r>
        <w:rPr>
          <w:rFonts w:hint="eastAsia"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rPr>
        <w:t>。</w:t>
      </w:r>
    </w:p>
    <w:p w14:paraId="4A1A7282">
      <w:pPr>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影响评价区共有爬行类</w:t>
      </w:r>
      <w:r>
        <w:rPr>
          <w:rFonts w:hint="eastAsia" w:ascii="Times New Roman" w:hAnsi="Times New Roman" w:eastAsia="宋体" w:cs="Times New Roman"/>
          <w:color w:val="auto"/>
          <w:spacing w:val="-9"/>
          <w:sz w:val="24"/>
          <w:szCs w:val="24"/>
          <w:highlight w:val="none"/>
          <w:lang w:val="en-US" w:eastAsia="zh-CN"/>
        </w:rPr>
        <w:t>2</w:t>
      </w:r>
      <w:r>
        <w:rPr>
          <w:rFonts w:hint="default" w:ascii="Times New Roman" w:hAnsi="Times New Roman" w:eastAsia="宋体" w:cs="Times New Roman"/>
          <w:color w:val="auto"/>
          <w:spacing w:val="-9"/>
          <w:sz w:val="24"/>
          <w:szCs w:val="24"/>
          <w:highlight w:val="none"/>
        </w:rPr>
        <w:t>目3科6种。分别为丽斑麻蜥（</w:t>
      </w:r>
      <w:r>
        <w:rPr>
          <w:rFonts w:hint="default" w:ascii="Times New Roman" w:hAnsi="Times New Roman" w:eastAsia="宋体" w:cs="Times New Roman"/>
          <w:i/>
          <w:iCs/>
          <w:color w:val="auto"/>
          <w:spacing w:val="-9"/>
          <w:sz w:val="24"/>
          <w:szCs w:val="24"/>
          <w:highlight w:val="none"/>
        </w:rPr>
        <w:t>Eremias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1"/>
          <w:sz w:val="24"/>
          <w:szCs w:val="24"/>
          <w:highlight w:val="none"/>
        </w:rPr>
        <w:t>argus</w:t>
      </w:r>
      <w:r>
        <w:rPr>
          <w:rFonts w:hint="default" w:ascii="Times New Roman" w:hAnsi="Times New Roman" w:eastAsia="宋体" w:cs="Times New Roman"/>
          <w:color w:val="auto"/>
          <w:spacing w:val="-1"/>
          <w:sz w:val="24"/>
          <w:szCs w:val="24"/>
          <w:highlight w:val="none"/>
        </w:rPr>
        <w:t>）、山地麻蜥（</w:t>
      </w:r>
      <w:r>
        <w:rPr>
          <w:rFonts w:hint="default" w:ascii="Times New Roman" w:hAnsi="Times New Roman" w:eastAsia="宋体" w:cs="Times New Roman"/>
          <w:i/>
          <w:iCs/>
          <w:color w:val="auto"/>
          <w:spacing w:val="-1"/>
          <w:sz w:val="24"/>
          <w:szCs w:val="24"/>
          <w:highlight w:val="none"/>
        </w:rPr>
        <w:t>Eremias brenchleyi</w:t>
      </w:r>
      <w:r>
        <w:rPr>
          <w:rFonts w:hint="default" w:ascii="Times New Roman" w:hAnsi="Times New Roman" w:eastAsia="宋体" w:cs="Times New Roman"/>
          <w:color w:val="auto"/>
          <w:spacing w:val="-1"/>
          <w:sz w:val="24"/>
          <w:szCs w:val="24"/>
          <w:highlight w:val="none"/>
        </w:rPr>
        <w:t>）、虎斑颈槽蛇（</w:t>
      </w:r>
      <w:r>
        <w:rPr>
          <w:rFonts w:hint="default" w:ascii="Times New Roman" w:hAnsi="Times New Roman" w:eastAsia="宋体" w:cs="Times New Roman"/>
          <w:i/>
          <w:iCs/>
          <w:color w:val="auto"/>
          <w:spacing w:val="-1"/>
          <w:sz w:val="24"/>
          <w:szCs w:val="24"/>
          <w:highlight w:val="none"/>
        </w:rPr>
        <w:t>R</w:t>
      </w:r>
      <w:r>
        <w:rPr>
          <w:rFonts w:hint="default" w:ascii="Times New Roman" w:hAnsi="Times New Roman" w:eastAsia="宋体" w:cs="Times New Roman"/>
          <w:i/>
          <w:iCs/>
          <w:color w:val="auto"/>
          <w:spacing w:val="-2"/>
          <w:sz w:val="24"/>
          <w:szCs w:val="24"/>
          <w:highlight w:val="none"/>
        </w:rPr>
        <w:t>habdophis</w:t>
      </w:r>
      <w:r>
        <w:rPr>
          <w:rFonts w:hint="default" w:ascii="Times New Roman" w:hAnsi="Times New Roman" w:eastAsia="宋体" w:cs="Times New Roman"/>
          <w:i/>
          <w:iCs/>
          <w:color w:val="auto"/>
          <w:sz w:val="24"/>
          <w:szCs w:val="24"/>
          <w:highlight w:val="none"/>
        </w:rPr>
        <w:t xml:space="preserve"> tigrinus</w:t>
      </w:r>
      <w:r>
        <w:rPr>
          <w:rFonts w:hint="default" w:ascii="Times New Roman" w:hAnsi="Times New Roman" w:eastAsia="宋体" w:cs="Times New Roman"/>
          <w:color w:val="auto"/>
          <w:sz w:val="24"/>
          <w:szCs w:val="24"/>
          <w:highlight w:val="none"/>
        </w:rPr>
        <w:t>）、白条锦蛇（Elaphe dione）、赤峰锦蛇、蓝尾石</w:t>
      </w:r>
      <w:r>
        <w:rPr>
          <w:rFonts w:hint="default" w:ascii="Times New Roman" w:hAnsi="Times New Roman" w:eastAsia="宋体" w:cs="Times New Roman"/>
          <w:color w:val="auto"/>
          <w:spacing w:val="-1"/>
          <w:sz w:val="24"/>
          <w:szCs w:val="24"/>
          <w:highlight w:val="none"/>
        </w:rPr>
        <w:t>龙子。简</w:t>
      </w:r>
      <w:r>
        <w:rPr>
          <w:rFonts w:hint="default" w:ascii="Times New Roman" w:hAnsi="Times New Roman" w:eastAsia="宋体" w:cs="Times New Roman"/>
          <w:color w:val="auto"/>
          <w:spacing w:val="-2"/>
          <w:sz w:val="24"/>
          <w:szCs w:val="24"/>
          <w:highlight w:val="none"/>
        </w:rPr>
        <w:t>要情况见附表2。</w:t>
      </w:r>
    </w:p>
    <w:p w14:paraId="5AA98282">
      <w:pPr>
        <w:keepNext w:val="0"/>
        <w:keepLines w:val="0"/>
        <w:pageBreakBefore w:val="0"/>
        <w:widowControl w:val="0"/>
        <w:kinsoku/>
        <w:wordWrap/>
        <w:overflowPunct/>
        <w:topLinePunct w:val="0"/>
        <w:autoSpaceDE/>
        <w:autoSpaceDN/>
        <w:bidi w:val="0"/>
        <w:adjustRightInd/>
        <w:snapToGrid/>
        <w:spacing w:line="360" w:lineRule="auto"/>
        <w:ind w:left="0" w:right="0" w:firstLine="43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据实地调查和资料检索，结合环境、生境特点以及以往科考报告、</w:t>
      </w:r>
      <w:r>
        <w:rPr>
          <w:rFonts w:hint="default" w:ascii="Times New Roman" w:hAnsi="Times New Roman" w:eastAsia="宋体" w:cs="Times New Roman"/>
          <w:color w:val="auto"/>
          <w:spacing w:val="2"/>
          <w:sz w:val="24"/>
          <w:szCs w:val="24"/>
          <w:highlight w:val="none"/>
        </w:rPr>
        <w:t>动植物调查报告、社会走访等。影响评价区内共有鸟类55种，根据</w:t>
      </w:r>
      <w:r>
        <w:rPr>
          <w:rFonts w:hint="default" w:ascii="Times New Roman" w:hAnsi="Times New Roman" w:eastAsia="宋体" w:cs="Times New Roman"/>
          <w:color w:val="auto"/>
          <w:spacing w:val="-6"/>
          <w:sz w:val="24"/>
          <w:szCs w:val="24"/>
          <w:highlight w:val="none"/>
        </w:rPr>
        <w:t>《中国鸟类分类与分布名录》（第四版）隶属于10目23科，其</w:t>
      </w:r>
      <w:r>
        <w:rPr>
          <w:rFonts w:hint="default" w:ascii="Times New Roman" w:hAnsi="Times New Roman" w:eastAsia="宋体" w:cs="Times New Roman"/>
          <w:color w:val="auto"/>
          <w:spacing w:val="-7"/>
          <w:sz w:val="24"/>
          <w:szCs w:val="24"/>
          <w:highlight w:val="none"/>
        </w:rPr>
        <w:t>中雀</w:t>
      </w:r>
      <w:r>
        <w:rPr>
          <w:rFonts w:hint="default" w:ascii="Times New Roman" w:hAnsi="Times New Roman" w:eastAsia="宋体" w:cs="Times New Roman"/>
          <w:color w:val="auto"/>
          <w:spacing w:val="-17"/>
          <w:sz w:val="24"/>
          <w:szCs w:val="24"/>
          <w:highlight w:val="none"/>
        </w:rPr>
        <w:t>形目种类最多，有14科</w:t>
      </w:r>
      <w:r>
        <w:rPr>
          <w:rFonts w:hint="eastAsia" w:ascii="Times New Roman" w:hAnsi="Times New Roman" w:eastAsia="宋体" w:cs="Times New Roman"/>
          <w:color w:val="auto"/>
          <w:spacing w:val="-17"/>
          <w:sz w:val="24"/>
          <w:szCs w:val="24"/>
          <w:highlight w:val="none"/>
          <w:lang w:val="en-US" w:eastAsia="zh-CN"/>
        </w:rPr>
        <w:t>3</w:t>
      </w:r>
      <w:r>
        <w:rPr>
          <w:rFonts w:hint="default" w:ascii="Times New Roman" w:hAnsi="Times New Roman" w:eastAsia="宋体" w:cs="Times New Roman"/>
          <w:color w:val="auto"/>
          <w:spacing w:val="-17"/>
          <w:sz w:val="24"/>
          <w:szCs w:val="24"/>
          <w:highlight w:val="none"/>
        </w:rPr>
        <w:t>9种，鸡形目最少，只有1种环颈雉</w:t>
      </w:r>
      <w:r>
        <w:rPr>
          <w:rFonts w:hint="default" w:ascii="Times New Roman" w:hAnsi="Times New Roman" w:eastAsia="宋体" w:cs="Times New Roman"/>
          <w:color w:val="auto"/>
          <w:spacing w:val="-18"/>
          <w:sz w:val="24"/>
          <w:szCs w:val="24"/>
          <w:highlight w:val="none"/>
        </w:rPr>
        <w:t>（</w:t>
      </w:r>
      <w:r>
        <w:rPr>
          <w:rFonts w:hint="default" w:ascii="Times New Roman" w:hAnsi="Times New Roman" w:eastAsia="宋体" w:cs="Times New Roman"/>
          <w:i/>
          <w:iCs/>
          <w:color w:val="auto"/>
          <w:spacing w:val="-18"/>
          <w:sz w:val="24"/>
          <w:szCs w:val="24"/>
          <w:highlight w:val="none"/>
        </w:rPr>
        <w:t>Phasianus</w:t>
      </w:r>
      <w:r>
        <w:rPr>
          <w:rFonts w:hint="default" w:ascii="Times New Roman" w:hAnsi="Times New Roman" w:eastAsia="宋体" w:cs="Times New Roman"/>
          <w:i/>
          <w:iCs/>
          <w:color w:val="auto"/>
          <w:sz w:val="24"/>
          <w:szCs w:val="24"/>
          <w:highlight w:val="none"/>
        </w:rPr>
        <w:t xml:space="preserve"> </w:t>
      </w:r>
      <w:r>
        <w:rPr>
          <w:rFonts w:hint="default" w:ascii="Times New Roman" w:hAnsi="Times New Roman" w:eastAsia="宋体" w:cs="Times New Roman"/>
          <w:i/>
          <w:iCs/>
          <w:color w:val="auto"/>
          <w:spacing w:val="-3"/>
          <w:sz w:val="24"/>
          <w:szCs w:val="24"/>
          <w:highlight w:val="none"/>
        </w:rPr>
        <w:t>colchicus</w:t>
      </w:r>
      <w:r>
        <w:rPr>
          <w:rFonts w:hint="default" w:ascii="Times New Roman" w:hAnsi="Times New Roman" w:eastAsia="宋体" w:cs="Times New Roman"/>
          <w:color w:val="auto"/>
          <w:spacing w:val="-3"/>
          <w:sz w:val="24"/>
          <w:szCs w:val="24"/>
          <w:highlight w:val="none"/>
        </w:rPr>
        <w:t>）。按居留型分评价区有冬候鸟1种，留鸟19种，旅鸟14</w:t>
      </w:r>
      <w:r>
        <w:rPr>
          <w:rFonts w:hint="default" w:ascii="Times New Roman" w:hAnsi="Times New Roman" w:eastAsia="宋体" w:cs="Times New Roman"/>
          <w:color w:val="auto"/>
          <w:spacing w:val="-1"/>
          <w:sz w:val="24"/>
          <w:szCs w:val="24"/>
          <w:highlight w:val="none"/>
        </w:rPr>
        <w:t>种，夏候鸟21种。简要情况见附表</w:t>
      </w:r>
      <w:r>
        <w:rPr>
          <w:rFonts w:hint="eastAsia"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w:t>
      </w:r>
    </w:p>
    <w:p w14:paraId="040D308B">
      <w:pPr>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影响评价区共有哺乳类5目</w:t>
      </w:r>
      <w:r>
        <w:rPr>
          <w:rFonts w:hint="default" w:ascii="Times New Roman" w:hAnsi="Times New Roman" w:eastAsia="宋体" w:cs="Times New Roman"/>
          <w:color w:val="auto"/>
          <w:spacing w:val="-56"/>
          <w:sz w:val="24"/>
          <w:szCs w:val="24"/>
          <w:highlight w:val="none"/>
        </w:rPr>
        <w:t xml:space="preserve"> </w:t>
      </w:r>
      <w:r>
        <w:rPr>
          <w:rFonts w:hint="default" w:ascii="Times New Roman" w:hAnsi="Times New Roman" w:eastAsia="宋体" w:cs="Times New Roman"/>
          <w:color w:val="auto"/>
          <w:spacing w:val="-9"/>
          <w:sz w:val="24"/>
          <w:szCs w:val="24"/>
          <w:highlight w:val="none"/>
        </w:rPr>
        <w:t>8科13种，分别</w:t>
      </w:r>
      <w:r>
        <w:rPr>
          <w:rFonts w:hint="default" w:ascii="Times New Roman" w:hAnsi="Times New Roman" w:eastAsia="宋体" w:cs="Times New Roman"/>
          <w:color w:val="auto"/>
          <w:spacing w:val="-10"/>
          <w:sz w:val="24"/>
          <w:szCs w:val="24"/>
          <w:highlight w:val="none"/>
        </w:rPr>
        <w:t>为翼手目、偶蹄目、</w:t>
      </w:r>
      <w:r>
        <w:rPr>
          <w:rFonts w:hint="default" w:ascii="Times New Roman" w:hAnsi="Times New Roman" w:eastAsia="宋体" w:cs="Times New Roman"/>
          <w:color w:val="auto"/>
          <w:spacing w:val="-4"/>
          <w:sz w:val="24"/>
          <w:szCs w:val="24"/>
          <w:highlight w:val="none"/>
        </w:rPr>
        <w:t>啮齿目、兔形目、食肉目，其中啮齿目种类最多，有5种，兔形目最</w:t>
      </w:r>
      <w:r>
        <w:rPr>
          <w:rFonts w:hint="default" w:ascii="Times New Roman" w:hAnsi="Times New Roman" w:eastAsia="宋体" w:cs="Times New Roman"/>
          <w:color w:val="auto"/>
          <w:spacing w:val="-3"/>
          <w:sz w:val="24"/>
          <w:szCs w:val="24"/>
          <w:highlight w:val="none"/>
        </w:rPr>
        <w:t>少，只有1种草兔。简要情况见附表2。</w:t>
      </w:r>
    </w:p>
    <w:p w14:paraId="608FFFB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rPr>
      </w:pPr>
      <w:bookmarkStart w:id="56" w:name="bookmark52"/>
      <w:bookmarkEnd w:id="56"/>
      <w:bookmarkStart w:id="57" w:name="bookmark51"/>
      <w:bookmarkEnd w:id="57"/>
      <w:r>
        <w:rPr>
          <w:rFonts w:hint="eastAsia"/>
          <w:color w:val="auto"/>
          <w:highlight w:val="none"/>
          <w:lang w:val="en-US" w:eastAsia="zh-CN"/>
        </w:rPr>
        <w:t>4.4.5</w:t>
      </w:r>
      <w:r>
        <w:rPr>
          <w:rFonts w:hint="default"/>
          <w:color w:val="auto"/>
          <w:highlight w:val="none"/>
        </w:rPr>
        <w:t>主要保护对象</w:t>
      </w:r>
    </w:p>
    <w:p w14:paraId="2B5509C4">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4"/>
          <w:sz w:val="24"/>
          <w:szCs w:val="24"/>
          <w:highlight w:val="none"/>
        </w:rPr>
        <w:t>影响评价区涉及保护区，生态系统主要以</w:t>
      </w:r>
      <w:r>
        <w:rPr>
          <w:rFonts w:hint="default" w:ascii="Times New Roman" w:hAnsi="Times New Roman" w:eastAsia="宋体" w:cs="Times New Roman"/>
          <w:color w:val="auto"/>
          <w:spacing w:val="-5"/>
          <w:sz w:val="24"/>
          <w:szCs w:val="24"/>
          <w:highlight w:val="none"/>
        </w:rPr>
        <w:t>森林</w:t>
      </w:r>
      <w:r>
        <w:rPr>
          <w:rFonts w:hint="default" w:ascii="Times New Roman" w:hAnsi="Times New Roman" w:eastAsia="宋体" w:cs="Times New Roman"/>
          <w:color w:val="auto"/>
          <w:spacing w:val="-4"/>
          <w:sz w:val="24"/>
          <w:szCs w:val="24"/>
          <w:highlight w:val="none"/>
        </w:rPr>
        <w:t>和草原为主，根据对影响评价区的实地调查和资料检索，影响评价区</w:t>
      </w:r>
      <w:r>
        <w:rPr>
          <w:rFonts w:hint="default" w:ascii="Times New Roman" w:hAnsi="Times New Roman" w:eastAsia="宋体" w:cs="Times New Roman"/>
          <w:color w:val="auto"/>
          <w:spacing w:val="-1"/>
          <w:sz w:val="24"/>
          <w:szCs w:val="24"/>
          <w:highlight w:val="none"/>
        </w:rPr>
        <w:t>内没有国家级重点保护植物，河北省重点保护植</w:t>
      </w:r>
      <w:r>
        <w:rPr>
          <w:rFonts w:hint="default" w:ascii="Times New Roman" w:hAnsi="Times New Roman" w:eastAsia="宋体" w:cs="Times New Roman"/>
          <w:color w:val="auto"/>
          <w:spacing w:val="-2"/>
          <w:sz w:val="24"/>
          <w:szCs w:val="24"/>
          <w:highlight w:val="none"/>
        </w:rPr>
        <w:t>物有6种，分别为华</w:t>
      </w:r>
      <w:r>
        <w:rPr>
          <w:rFonts w:hint="default" w:ascii="Times New Roman" w:hAnsi="Times New Roman" w:eastAsia="宋体" w:cs="Times New Roman"/>
          <w:color w:val="auto"/>
          <w:spacing w:val="-1"/>
          <w:sz w:val="24"/>
          <w:szCs w:val="24"/>
          <w:highlight w:val="none"/>
        </w:rPr>
        <w:t>北蓝盆花、苍术、秦艽、油松、黄精、蒙椴</w:t>
      </w:r>
      <w:r>
        <w:rPr>
          <w:rFonts w:hint="eastAsia" w:eastAsia="宋体" w:cs="Times New Roman"/>
          <w:color w:val="auto"/>
          <w:spacing w:val="-1"/>
          <w:sz w:val="24"/>
          <w:szCs w:val="24"/>
          <w:highlight w:val="none"/>
          <w:lang w:eastAsia="zh-CN"/>
        </w:rPr>
        <w:t>，占地范围内未见河北省重点保护植物，影响评价区未见古树名木。</w:t>
      </w:r>
    </w:p>
    <w:p w14:paraId="048E6A32">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影响评价区内发现有国家二级重点保护野生鸟类动物10种，分</w:t>
      </w:r>
      <w:r>
        <w:rPr>
          <w:rFonts w:hint="default" w:ascii="Times New Roman" w:hAnsi="Times New Roman" w:eastAsia="宋体" w:cs="Times New Roman"/>
          <w:color w:val="auto"/>
          <w:spacing w:val="-1"/>
          <w:sz w:val="24"/>
          <w:szCs w:val="24"/>
          <w:highlight w:val="none"/>
        </w:rPr>
        <w:t>别为鸿雁、雀鹰、苍鹰、松雀鹰、长耳</w:t>
      </w:r>
      <w:r>
        <w:rPr>
          <w:rFonts w:hint="eastAsia" w:eastAsia="宋体" w:cs="Times New Roman"/>
          <w:color w:val="auto"/>
          <w:spacing w:val="-1"/>
          <w:sz w:val="24"/>
          <w:szCs w:val="24"/>
          <w:highlight w:val="none"/>
          <w:lang w:eastAsia="zh-CN"/>
        </w:rPr>
        <w:t>鸮</w:t>
      </w:r>
      <w:r>
        <w:rPr>
          <w:rFonts w:hint="default" w:ascii="Times New Roman" w:hAnsi="Times New Roman" w:eastAsia="宋体" w:cs="Times New Roman"/>
          <w:color w:val="auto"/>
          <w:spacing w:val="-1"/>
          <w:sz w:val="24"/>
          <w:szCs w:val="24"/>
          <w:highlight w:val="none"/>
        </w:rPr>
        <w:t>、短耳</w:t>
      </w:r>
      <w:r>
        <w:rPr>
          <w:rFonts w:hint="eastAsia" w:eastAsia="宋体" w:cs="Times New Roman"/>
          <w:color w:val="auto"/>
          <w:spacing w:val="-1"/>
          <w:sz w:val="24"/>
          <w:szCs w:val="24"/>
          <w:highlight w:val="none"/>
          <w:lang w:eastAsia="zh-CN"/>
        </w:rPr>
        <w:t>鸮</w:t>
      </w:r>
      <w:r>
        <w:rPr>
          <w:rFonts w:hint="default" w:ascii="Times New Roman" w:hAnsi="Times New Roman" w:eastAsia="宋体" w:cs="Times New Roman"/>
          <w:color w:val="auto"/>
          <w:spacing w:val="-1"/>
          <w:sz w:val="24"/>
          <w:szCs w:val="24"/>
          <w:highlight w:val="none"/>
        </w:rPr>
        <w:t>、红脚隼、燕隼、红隼、北朱雀；河北省重点保护野生鸟类动物15</w:t>
      </w:r>
      <w:r>
        <w:rPr>
          <w:rFonts w:hint="default" w:ascii="Times New Roman" w:hAnsi="Times New Roman" w:eastAsia="宋体" w:cs="Times New Roman"/>
          <w:color w:val="auto"/>
          <w:spacing w:val="-2"/>
          <w:sz w:val="24"/>
          <w:szCs w:val="24"/>
          <w:highlight w:val="none"/>
        </w:rPr>
        <w:t>种，分别为四声杜</w:t>
      </w:r>
      <w:r>
        <w:rPr>
          <w:rFonts w:hint="default" w:ascii="Times New Roman" w:hAnsi="Times New Roman" w:eastAsia="宋体" w:cs="Times New Roman"/>
          <w:color w:val="auto"/>
          <w:spacing w:val="-4"/>
          <w:sz w:val="24"/>
          <w:szCs w:val="24"/>
          <w:highlight w:val="none"/>
        </w:rPr>
        <w:t>鹃、灰头绿啄木鸟、大斑啄木鸟、棕腹啄木鸟、凤头百灵、黄雀、山</w:t>
      </w:r>
      <w:r>
        <w:rPr>
          <w:rFonts w:hint="default" w:ascii="Times New Roman" w:hAnsi="Times New Roman" w:eastAsia="宋体" w:cs="Times New Roman"/>
          <w:color w:val="auto"/>
          <w:spacing w:val="-10"/>
          <w:sz w:val="24"/>
          <w:szCs w:val="24"/>
          <w:highlight w:val="none"/>
        </w:rPr>
        <w:t>噪鹛、红尾伯劳、牛头伯劳、大山雀、褐头山雀、黄腹山雀、太平鸟、</w:t>
      </w:r>
      <w:r>
        <w:rPr>
          <w:rFonts w:hint="default" w:ascii="Times New Roman" w:hAnsi="Times New Roman" w:eastAsia="宋体" w:cs="Times New Roman"/>
          <w:color w:val="auto"/>
          <w:spacing w:val="-3"/>
          <w:sz w:val="24"/>
          <w:szCs w:val="24"/>
          <w:highlight w:val="none"/>
        </w:rPr>
        <w:t>小太平鸟、红嘴蓝鹊。其中，冬候鸟1种，夏候鸟8种，旅鸟8种，留鸟8种。繁殖鸟类（夏候鸟和留鸟）主要繁</w:t>
      </w:r>
      <w:r>
        <w:rPr>
          <w:rFonts w:hint="default" w:ascii="Times New Roman" w:hAnsi="Times New Roman" w:eastAsia="宋体" w:cs="Times New Roman"/>
          <w:color w:val="auto"/>
          <w:spacing w:val="-4"/>
          <w:sz w:val="24"/>
          <w:szCs w:val="24"/>
          <w:highlight w:val="none"/>
        </w:rPr>
        <w:t>殖期在3-7月，主要迁</w:t>
      </w:r>
      <w:r>
        <w:rPr>
          <w:rFonts w:hint="default" w:ascii="Times New Roman" w:hAnsi="Times New Roman" w:eastAsia="宋体" w:cs="Times New Roman"/>
          <w:color w:val="auto"/>
          <w:spacing w:val="-1"/>
          <w:sz w:val="24"/>
          <w:szCs w:val="24"/>
          <w:highlight w:val="none"/>
        </w:rPr>
        <w:t>徙期在春季和秋季。</w:t>
      </w:r>
    </w:p>
    <w:p w14:paraId="38861BDF">
      <w:pPr>
        <w:bidi w:val="0"/>
        <w:rPr>
          <w:color w:val="auto"/>
          <w:highlight w:val="none"/>
        </w:rPr>
      </w:pPr>
      <w:r>
        <w:rPr>
          <w:color w:val="auto"/>
          <w:highlight w:val="none"/>
        </w:rPr>
        <w:t>河北省重点保护野生哺乳类动物有4种，分别为狍、黄鼬、艾鼬、狗獾；狍性情胆小，日间多栖于密林中，早晚时分才会在空旷的草场或灌木丛活动；黄鼬、艾鼬具有夜行性；狗獾活动以春、秋两季最盛，一般以夜间8-9时后开始，至拂晓4时左右回洞。</w:t>
      </w:r>
    </w:p>
    <w:p w14:paraId="6CF5E67F">
      <w:pPr>
        <w:bidi w:val="0"/>
        <w:rPr>
          <w:color w:val="auto"/>
          <w:highlight w:val="none"/>
        </w:rPr>
      </w:pPr>
      <w:r>
        <w:rPr>
          <w:color w:val="auto"/>
          <w:highlight w:val="none"/>
        </w:rPr>
        <w:t>河北省重点保护爬行类动物有2种，分别为赤峰锦蛇、蓝尾石龙子。赤峰锦蛇栖息环境多样，长期栖息地多选择在山地阳坡，平原、丘陵、低山等环境均可见其身影，捕食小型啮齿动物、鸟类和鸟蛋等；蓝尾石龙子喜在干燥而温度较高的阳坡活动，3月下旬或4月初出蛰。</w:t>
      </w:r>
    </w:p>
    <w:p w14:paraId="1922FFF1">
      <w:pPr>
        <w:bidi w:val="0"/>
        <w:rPr>
          <w:rFonts w:hint="default" w:eastAsiaTheme="minorEastAsia"/>
          <w:color w:val="auto"/>
          <w:highlight w:val="none"/>
          <w:lang w:val="en-US" w:eastAsia="zh-CN"/>
        </w:rPr>
      </w:pPr>
      <w:r>
        <w:rPr>
          <w:color w:val="auto"/>
          <w:highlight w:val="none"/>
        </w:rPr>
        <w:t>特有种有油松（</w:t>
      </w:r>
      <w:r>
        <w:rPr>
          <w:i/>
          <w:iCs/>
          <w:color w:val="auto"/>
          <w:highlight w:val="none"/>
        </w:rPr>
        <w:t>Pinus tabuliformis</w:t>
      </w:r>
      <w:r>
        <w:rPr>
          <w:color w:val="auto"/>
          <w:highlight w:val="none"/>
        </w:rPr>
        <w:t>）和山噪鹛，影响评价区分布的油松为人工种植的树木，保护价值不高；山噪鹛主要栖息于山地灌丛和矮树林中，性机警，多隐蔽于灌丛下，送出线路为对其影响较小。</w:t>
      </w:r>
      <w:r>
        <w:rPr>
          <w:rFonts w:hint="eastAsia"/>
          <w:color w:val="auto"/>
          <w:highlight w:val="none"/>
          <w:lang w:eastAsia="zh-CN"/>
        </w:rPr>
        <w:t>重要野生动物调查结果统计表见表</w:t>
      </w:r>
      <w:r>
        <w:rPr>
          <w:rFonts w:hint="eastAsia"/>
          <w:color w:val="auto"/>
          <w:highlight w:val="none"/>
          <w:lang w:val="en-US" w:eastAsia="zh-CN"/>
        </w:rPr>
        <w:t>4.4-2。</w:t>
      </w:r>
    </w:p>
    <w:p w14:paraId="7B2EC70E">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sectPr>
          <w:footerReference r:id="rId24" w:type="default"/>
          <w:pgSz w:w="11906" w:h="16838"/>
          <w:pgMar w:top="1440" w:right="1689" w:bottom="1440" w:left="1689" w:header="851" w:footer="992" w:gutter="0"/>
          <w:pgNumType w:fmt="decimal"/>
          <w:cols w:space="425" w:num="1"/>
          <w:docGrid w:type="lines" w:linePitch="312" w:charSpace="0"/>
        </w:sectPr>
      </w:pPr>
    </w:p>
    <w:p w14:paraId="7E43D46C">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eastAsia="zh-CN"/>
        </w:rPr>
        <w:t>重要野生动物调查结果</w:t>
      </w:r>
      <w:r>
        <w:rPr>
          <w:rFonts w:hint="default" w:ascii="Times New Roman" w:hAnsi="Times New Roman" w:eastAsia="宋体" w:cs="Times New Roman"/>
          <w:b/>
          <w:bCs/>
          <w:color w:val="auto"/>
          <w:sz w:val="21"/>
          <w:szCs w:val="21"/>
          <w:highlight w:val="none"/>
        </w:rPr>
        <w:t>统计表</w:t>
      </w:r>
    </w:p>
    <w:tbl>
      <w:tblPr>
        <w:tblStyle w:val="22"/>
        <w:tblW w:w="504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7"/>
        <w:gridCol w:w="1787"/>
        <w:gridCol w:w="2381"/>
        <w:gridCol w:w="1375"/>
        <w:gridCol w:w="1248"/>
        <w:gridCol w:w="1248"/>
        <w:gridCol w:w="1248"/>
        <w:gridCol w:w="1248"/>
        <w:gridCol w:w="1249"/>
        <w:gridCol w:w="1255"/>
      </w:tblGrid>
      <w:tr w14:paraId="6080C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68" w:type="pct"/>
            <w:vAlign w:val="center"/>
          </w:tcPr>
          <w:p w14:paraId="743C58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序号</w:t>
            </w:r>
          </w:p>
        </w:tc>
        <w:tc>
          <w:tcPr>
            <w:tcW w:w="634" w:type="pct"/>
            <w:vAlign w:val="center"/>
          </w:tcPr>
          <w:p w14:paraId="72E57A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中文名</w:t>
            </w:r>
          </w:p>
        </w:tc>
        <w:tc>
          <w:tcPr>
            <w:tcW w:w="845" w:type="pct"/>
            <w:vAlign w:val="center"/>
          </w:tcPr>
          <w:p w14:paraId="4197CD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auto"/>
                <w:spacing w:val="-3"/>
                <w:sz w:val="21"/>
                <w:szCs w:val="21"/>
                <w:highlight w:val="none"/>
                <w:lang w:eastAsia="zh-CN"/>
              </w:rPr>
            </w:pPr>
            <w:r>
              <w:rPr>
                <w:rFonts w:hint="eastAsia" w:eastAsia="宋体" w:cs="Times New Roman"/>
                <w:b/>
                <w:bCs/>
                <w:color w:val="auto"/>
                <w:spacing w:val="-3"/>
                <w:sz w:val="21"/>
                <w:szCs w:val="21"/>
                <w:highlight w:val="none"/>
                <w:lang w:eastAsia="zh-CN"/>
              </w:rPr>
              <w:t>拉丁名</w:t>
            </w:r>
          </w:p>
        </w:tc>
        <w:tc>
          <w:tcPr>
            <w:tcW w:w="488" w:type="pct"/>
            <w:vAlign w:val="center"/>
          </w:tcPr>
          <w:p w14:paraId="0CCFB1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7"/>
                <w:sz w:val="21"/>
                <w:szCs w:val="21"/>
                <w:highlight w:val="none"/>
              </w:rPr>
              <w:t>保护</w:t>
            </w:r>
            <w:r>
              <w:rPr>
                <w:rFonts w:hint="eastAsia" w:eastAsia="宋体" w:cs="Times New Roman"/>
                <w:b/>
                <w:bCs/>
                <w:color w:val="auto"/>
                <w:spacing w:val="7"/>
                <w:sz w:val="21"/>
                <w:szCs w:val="21"/>
                <w:highlight w:val="none"/>
                <w:lang w:eastAsia="zh-CN"/>
              </w:rPr>
              <w:t>级别</w:t>
            </w:r>
          </w:p>
        </w:tc>
        <w:tc>
          <w:tcPr>
            <w:tcW w:w="443" w:type="pct"/>
            <w:vAlign w:val="center"/>
          </w:tcPr>
          <w:p w14:paraId="386677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auto"/>
                <w:spacing w:val="7"/>
                <w:sz w:val="21"/>
                <w:szCs w:val="21"/>
                <w:highlight w:val="none"/>
                <w:lang w:eastAsia="zh-CN"/>
              </w:rPr>
            </w:pPr>
            <w:r>
              <w:rPr>
                <w:rFonts w:hint="eastAsia" w:eastAsia="宋体" w:cs="Times New Roman"/>
                <w:b/>
                <w:bCs/>
                <w:color w:val="auto"/>
                <w:spacing w:val="7"/>
                <w:sz w:val="21"/>
                <w:szCs w:val="21"/>
                <w:highlight w:val="none"/>
                <w:lang w:eastAsia="zh-CN"/>
              </w:rPr>
              <w:t>濒危等级</w:t>
            </w:r>
          </w:p>
        </w:tc>
        <w:tc>
          <w:tcPr>
            <w:tcW w:w="443" w:type="pct"/>
            <w:vAlign w:val="center"/>
          </w:tcPr>
          <w:p w14:paraId="2FB4E6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b/>
                <w:bCs/>
                <w:color w:val="auto"/>
                <w:spacing w:val="7"/>
                <w:sz w:val="21"/>
                <w:szCs w:val="21"/>
                <w:highlight w:val="none"/>
                <w:lang w:eastAsia="zh-CN"/>
              </w:rPr>
            </w:pPr>
            <w:r>
              <w:rPr>
                <w:rFonts w:hint="eastAsia" w:eastAsia="宋体" w:cs="Times New Roman"/>
                <w:b/>
                <w:bCs/>
                <w:color w:val="auto"/>
                <w:spacing w:val="7"/>
                <w:sz w:val="21"/>
                <w:szCs w:val="21"/>
                <w:highlight w:val="none"/>
                <w:lang w:eastAsia="zh-CN"/>
              </w:rPr>
              <w:t>特有种（是</w:t>
            </w:r>
            <w:r>
              <w:rPr>
                <w:rFonts w:hint="eastAsia" w:eastAsia="宋体" w:cs="Times New Roman"/>
                <w:b/>
                <w:bCs/>
                <w:color w:val="auto"/>
                <w:spacing w:val="7"/>
                <w:sz w:val="21"/>
                <w:szCs w:val="21"/>
                <w:highlight w:val="none"/>
                <w:lang w:val="en-US" w:eastAsia="zh-CN"/>
              </w:rPr>
              <w:t>/否</w:t>
            </w:r>
            <w:r>
              <w:rPr>
                <w:rFonts w:hint="eastAsia" w:eastAsia="宋体" w:cs="Times New Roman"/>
                <w:b/>
                <w:bCs/>
                <w:color w:val="auto"/>
                <w:spacing w:val="7"/>
                <w:sz w:val="21"/>
                <w:szCs w:val="21"/>
                <w:highlight w:val="none"/>
                <w:lang w:eastAsia="zh-CN"/>
              </w:rPr>
              <w:t>）</w:t>
            </w:r>
          </w:p>
        </w:tc>
        <w:tc>
          <w:tcPr>
            <w:tcW w:w="443" w:type="pct"/>
            <w:vAlign w:val="center"/>
          </w:tcPr>
          <w:p w14:paraId="4D8809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b/>
                <w:bCs/>
                <w:color w:val="auto"/>
                <w:spacing w:val="7"/>
                <w:sz w:val="21"/>
                <w:szCs w:val="21"/>
                <w:highlight w:val="none"/>
                <w:lang w:eastAsia="zh-CN"/>
              </w:rPr>
            </w:pPr>
            <w:r>
              <w:rPr>
                <w:rFonts w:hint="eastAsia" w:eastAsia="宋体" w:cs="Times New Roman"/>
                <w:b/>
                <w:bCs/>
                <w:color w:val="auto"/>
                <w:spacing w:val="7"/>
                <w:sz w:val="21"/>
                <w:szCs w:val="21"/>
                <w:highlight w:val="none"/>
                <w:lang w:eastAsia="zh-CN"/>
              </w:rPr>
              <w:t>分布区域</w:t>
            </w:r>
          </w:p>
        </w:tc>
        <w:tc>
          <w:tcPr>
            <w:tcW w:w="443" w:type="pct"/>
            <w:vAlign w:val="center"/>
          </w:tcPr>
          <w:p w14:paraId="04E9E1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auto"/>
                <w:spacing w:val="7"/>
                <w:sz w:val="21"/>
                <w:szCs w:val="21"/>
                <w:highlight w:val="none"/>
                <w:lang w:eastAsia="zh-CN"/>
              </w:rPr>
            </w:pPr>
            <w:r>
              <w:rPr>
                <w:rFonts w:hint="eastAsia" w:eastAsia="宋体" w:cs="Times New Roman"/>
                <w:b/>
                <w:bCs/>
                <w:color w:val="auto"/>
                <w:spacing w:val="7"/>
                <w:sz w:val="21"/>
                <w:szCs w:val="21"/>
                <w:highlight w:val="none"/>
                <w:lang w:eastAsia="zh-CN"/>
              </w:rPr>
              <w:t>资料来源</w:t>
            </w:r>
          </w:p>
        </w:tc>
        <w:tc>
          <w:tcPr>
            <w:tcW w:w="443" w:type="pct"/>
            <w:vAlign w:val="center"/>
          </w:tcPr>
          <w:p w14:paraId="694A7C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b/>
                <w:bCs/>
                <w:color w:val="auto"/>
                <w:spacing w:val="7"/>
                <w:sz w:val="21"/>
                <w:szCs w:val="21"/>
                <w:highlight w:val="none"/>
                <w:lang w:eastAsia="zh-CN"/>
              </w:rPr>
            </w:pPr>
            <w:r>
              <w:rPr>
                <w:rFonts w:hint="eastAsia" w:eastAsia="宋体" w:cs="Times New Roman"/>
                <w:b/>
                <w:bCs/>
                <w:color w:val="auto"/>
                <w:spacing w:val="7"/>
                <w:sz w:val="21"/>
                <w:szCs w:val="21"/>
                <w:highlight w:val="none"/>
                <w:lang w:eastAsia="zh-CN"/>
              </w:rPr>
              <w:t>工程占用情况（是</w:t>
            </w:r>
            <w:r>
              <w:rPr>
                <w:rFonts w:hint="eastAsia" w:eastAsia="宋体" w:cs="Times New Roman"/>
                <w:b/>
                <w:bCs/>
                <w:color w:val="auto"/>
                <w:spacing w:val="7"/>
                <w:sz w:val="21"/>
                <w:szCs w:val="21"/>
                <w:highlight w:val="none"/>
                <w:lang w:val="en-US" w:eastAsia="zh-CN"/>
              </w:rPr>
              <w:t>/否</w:t>
            </w:r>
            <w:r>
              <w:rPr>
                <w:rFonts w:hint="eastAsia" w:eastAsia="宋体" w:cs="Times New Roman"/>
                <w:b/>
                <w:bCs/>
                <w:color w:val="auto"/>
                <w:spacing w:val="7"/>
                <w:sz w:val="21"/>
                <w:szCs w:val="21"/>
                <w:highlight w:val="none"/>
                <w:lang w:eastAsia="zh-CN"/>
              </w:rPr>
              <w:t>）</w:t>
            </w:r>
          </w:p>
        </w:tc>
        <w:tc>
          <w:tcPr>
            <w:tcW w:w="445" w:type="pct"/>
            <w:vAlign w:val="center"/>
          </w:tcPr>
          <w:p w14:paraId="0F8D77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7"/>
                <w:sz w:val="21"/>
                <w:szCs w:val="21"/>
                <w:highlight w:val="none"/>
              </w:rPr>
              <w:t>居留型</w:t>
            </w:r>
          </w:p>
        </w:tc>
      </w:tr>
      <w:tr w14:paraId="15722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68" w:type="pct"/>
            <w:vAlign w:val="center"/>
          </w:tcPr>
          <w:p w14:paraId="24C6BC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4" w:type="pct"/>
            <w:vAlign w:val="center"/>
          </w:tcPr>
          <w:p w14:paraId="64604F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鸿雁</w:t>
            </w:r>
          </w:p>
        </w:tc>
        <w:tc>
          <w:tcPr>
            <w:tcW w:w="845" w:type="pct"/>
            <w:vAlign w:val="center"/>
          </w:tcPr>
          <w:p w14:paraId="2D1790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5"/>
                <w:position w:val="4"/>
                <w:sz w:val="21"/>
                <w:szCs w:val="21"/>
                <w:highlight w:val="none"/>
              </w:rPr>
              <w:t>Anser cygnoide</w:t>
            </w:r>
          </w:p>
        </w:tc>
        <w:tc>
          <w:tcPr>
            <w:tcW w:w="488" w:type="pct"/>
            <w:vAlign w:val="center"/>
          </w:tcPr>
          <w:p w14:paraId="5B901F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1E7D91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易危</w:t>
            </w:r>
          </w:p>
        </w:tc>
        <w:tc>
          <w:tcPr>
            <w:tcW w:w="443" w:type="pct"/>
            <w:vAlign w:val="center"/>
          </w:tcPr>
          <w:p w14:paraId="192FF7E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5C3222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湿地</w:t>
            </w:r>
          </w:p>
        </w:tc>
        <w:tc>
          <w:tcPr>
            <w:tcW w:w="443" w:type="pct"/>
            <w:vAlign w:val="center"/>
          </w:tcPr>
          <w:p w14:paraId="6E904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访问、资料</w:t>
            </w:r>
          </w:p>
        </w:tc>
        <w:tc>
          <w:tcPr>
            <w:tcW w:w="443" w:type="pct"/>
            <w:vAlign w:val="center"/>
          </w:tcPr>
          <w:p w14:paraId="2E300A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1FA99E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2C7E7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68" w:type="pct"/>
            <w:vAlign w:val="center"/>
          </w:tcPr>
          <w:p w14:paraId="0629CB4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34" w:type="pct"/>
            <w:vAlign w:val="center"/>
          </w:tcPr>
          <w:p w14:paraId="79DD54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四声杜鹃</w:t>
            </w:r>
          </w:p>
        </w:tc>
        <w:tc>
          <w:tcPr>
            <w:tcW w:w="845" w:type="pct"/>
            <w:vAlign w:val="center"/>
          </w:tcPr>
          <w:p w14:paraId="0A7340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i/>
                <w:iCs/>
                <w:color w:val="auto"/>
                <w:spacing w:val="3"/>
                <w:position w:val="4"/>
                <w:sz w:val="21"/>
                <w:szCs w:val="21"/>
                <w:highlight w:val="none"/>
              </w:rPr>
              <w:t>Cuculus micropterus</w:t>
            </w:r>
          </w:p>
        </w:tc>
        <w:tc>
          <w:tcPr>
            <w:tcW w:w="488" w:type="pct"/>
            <w:vAlign w:val="center"/>
          </w:tcPr>
          <w:p w14:paraId="1EA69A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56D438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57BEE9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1F051A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森林</w:t>
            </w:r>
          </w:p>
        </w:tc>
        <w:tc>
          <w:tcPr>
            <w:tcW w:w="443" w:type="pct"/>
            <w:vAlign w:val="center"/>
          </w:tcPr>
          <w:p w14:paraId="61E96B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现场调查</w:t>
            </w:r>
          </w:p>
        </w:tc>
        <w:tc>
          <w:tcPr>
            <w:tcW w:w="443" w:type="pct"/>
            <w:vAlign w:val="center"/>
          </w:tcPr>
          <w:p w14:paraId="242F66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0EDA80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6EA28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8" w:type="pct"/>
            <w:vAlign w:val="center"/>
          </w:tcPr>
          <w:p w14:paraId="74911A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34" w:type="pct"/>
            <w:vAlign w:val="center"/>
          </w:tcPr>
          <w:p w14:paraId="721334E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雀鹰</w:t>
            </w:r>
          </w:p>
        </w:tc>
        <w:tc>
          <w:tcPr>
            <w:tcW w:w="845" w:type="pct"/>
            <w:vAlign w:val="center"/>
          </w:tcPr>
          <w:p w14:paraId="575549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i/>
                <w:iCs/>
                <w:color w:val="auto"/>
                <w:spacing w:val="4"/>
                <w:sz w:val="21"/>
                <w:szCs w:val="21"/>
                <w:highlight w:val="none"/>
              </w:rPr>
              <w:t>Accipiter nisus</w:t>
            </w:r>
          </w:p>
        </w:tc>
        <w:tc>
          <w:tcPr>
            <w:tcW w:w="488" w:type="pct"/>
            <w:vAlign w:val="center"/>
          </w:tcPr>
          <w:p w14:paraId="123213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55C48F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1BAD21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5A00FC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灌草丛</w:t>
            </w:r>
          </w:p>
        </w:tc>
        <w:tc>
          <w:tcPr>
            <w:tcW w:w="443" w:type="pct"/>
            <w:vAlign w:val="center"/>
          </w:tcPr>
          <w:p w14:paraId="33D9C6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18911B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12DB31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4FC3D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8" w:type="pct"/>
            <w:vAlign w:val="center"/>
          </w:tcPr>
          <w:p w14:paraId="4A6BA1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634" w:type="pct"/>
            <w:vAlign w:val="center"/>
          </w:tcPr>
          <w:p w14:paraId="2A4497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苍鹰</w:t>
            </w:r>
          </w:p>
        </w:tc>
        <w:tc>
          <w:tcPr>
            <w:tcW w:w="845" w:type="pct"/>
            <w:vAlign w:val="center"/>
          </w:tcPr>
          <w:p w14:paraId="043A22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iCs/>
                <w:color w:val="auto"/>
                <w:spacing w:val="4"/>
                <w:position w:val="4"/>
                <w:sz w:val="21"/>
                <w:szCs w:val="21"/>
                <w:highlight w:val="none"/>
              </w:rPr>
              <w:t>Accipiter gentiles</w:t>
            </w:r>
          </w:p>
        </w:tc>
        <w:tc>
          <w:tcPr>
            <w:tcW w:w="488" w:type="pct"/>
            <w:vAlign w:val="center"/>
          </w:tcPr>
          <w:p w14:paraId="43D777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3EFC45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4"/>
                <w:sz w:val="21"/>
                <w:szCs w:val="21"/>
                <w:highlight w:val="none"/>
                <w:lang w:eastAsia="zh-CN"/>
              </w:rPr>
              <w:t>近危</w:t>
            </w:r>
          </w:p>
        </w:tc>
        <w:tc>
          <w:tcPr>
            <w:tcW w:w="443" w:type="pct"/>
            <w:vAlign w:val="center"/>
          </w:tcPr>
          <w:p w14:paraId="7F3DBA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4CDF5D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灌草丛</w:t>
            </w:r>
          </w:p>
        </w:tc>
        <w:tc>
          <w:tcPr>
            <w:tcW w:w="443" w:type="pct"/>
            <w:vAlign w:val="center"/>
          </w:tcPr>
          <w:p w14:paraId="5EE71C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21F6D7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28F996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4AD6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8" w:type="pct"/>
            <w:vAlign w:val="center"/>
          </w:tcPr>
          <w:p w14:paraId="6651C0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34" w:type="pct"/>
            <w:vAlign w:val="center"/>
          </w:tcPr>
          <w:p w14:paraId="7331BD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松雀鹰</w:t>
            </w:r>
          </w:p>
        </w:tc>
        <w:tc>
          <w:tcPr>
            <w:tcW w:w="845" w:type="pct"/>
            <w:vAlign w:val="center"/>
          </w:tcPr>
          <w:p w14:paraId="012E39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iCs/>
                <w:color w:val="auto"/>
                <w:spacing w:val="4"/>
                <w:sz w:val="21"/>
                <w:szCs w:val="21"/>
                <w:highlight w:val="none"/>
              </w:rPr>
              <w:t>Accipiter virgatus</w:t>
            </w:r>
          </w:p>
        </w:tc>
        <w:tc>
          <w:tcPr>
            <w:tcW w:w="488" w:type="pct"/>
            <w:vAlign w:val="center"/>
          </w:tcPr>
          <w:p w14:paraId="682214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52F72F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1C2164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1DB63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灌草丛</w:t>
            </w:r>
          </w:p>
        </w:tc>
        <w:tc>
          <w:tcPr>
            <w:tcW w:w="443" w:type="pct"/>
            <w:vAlign w:val="center"/>
          </w:tcPr>
          <w:p w14:paraId="6E77E5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3F9A19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6564E6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169A6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68" w:type="pct"/>
            <w:vAlign w:val="center"/>
          </w:tcPr>
          <w:p w14:paraId="6B982D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634" w:type="pct"/>
            <w:vAlign w:val="center"/>
          </w:tcPr>
          <w:p w14:paraId="282A73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长耳</w:t>
            </w:r>
            <w:r>
              <w:rPr>
                <w:rFonts w:hint="eastAsia" w:eastAsia="宋体" w:cs="Times New Roman"/>
                <w:color w:val="auto"/>
                <w:spacing w:val="6"/>
                <w:sz w:val="21"/>
                <w:szCs w:val="21"/>
                <w:highlight w:val="none"/>
                <w:lang w:eastAsia="zh-CN"/>
              </w:rPr>
              <w:t>鸮</w:t>
            </w:r>
          </w:p>
        </w:tc>
        <w:tc>
          <w:tcPr>
            <w:tcW w:w="845" w:type="pct"/>
            <w:vAlign w:val="center"/>
          </w:tcPr>
          <w:p w14:paraId="3F88C8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sz w:val="21"/>
                <w:szCs w:val="21"/>
                <w:highlight w:val="none"/>
              </w:rPr>
              <w:t>Asio</w:t>
            </w:r>
            <w:r>
              <w:rPr>
                <w:rFonts w:hint="default" w:ascii="Times New Roman" w:hAnsi="Times New Roman" w:eastAsia="宋体" w:cs="Times New Roman"/>
                <w:i/>
                <w:iCs/>
                <w:color w:val="auto"/>
                <w:spacing w:val="12"/>
                <w:w w:val="101"/>
                <w:sz w:val="21"/>
                <w:szCs w:val="21"/>
                <w:highlight w:val="none"/>
              </w:rPr>
              <w:t xml:space="preserve"> </w:t>
            </w:r>
            <w:r>
              <w:rPr>
                <w:rFonts w:hint="default" w:ascii="Times New Roman" w:hAnsi="Times New Roman" w:eastAsia="宋体" w:cs="Times New Roman"/>
                <w:i/>
                <w:iCs/>
                <w:color w:val="auto"/>
                <w:spacing w:val="4"/>
                <w:sz w:val="21"/>
                <w:szCs w:val="21"/>
                <w:highlight w:val="none"/>
              </w:rPr>
              <w:t>otus</w:t>
            </w:r>
          </w:p>
        </w:tc>
        <w:tc>
          <w:tcPr>
            <w:tcW w:w="488" w:type="pct"/>
            <w:vAlign w:val="center"/>
          </w:tcPr>
          <w:p w14:paraId="6829D6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20993B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238AA3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2E7799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森林</w:t>
            </w:r>
          </w:p>
        </w:tc>
        <w:tc>
          <w:tcPr>
            <w:tcW w:w="443" w:type="pct"/>
            <w:vAlign w:val="center"/>
          </w:tcPr>
          <w:p w14:paraId="1981E0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7015EB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181498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775AA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3495C7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634" w:type="pct"/>
            <w:vAlign w:val="center"/>
          </w:tcPr>
          <w:p w14:paraId="34DA21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3"/>
                <w:sz w:val="21"/>
                <w:szCs w:val="21"/>
                <w:highlight w:val="none"/>
              </w:rPr>
              <w:t>短耳</w:t>
            </w:r>
            <w:r>
              <w:rPr>
                <w:rFonts w:hint="eastAsia" w:eastAsia="宋体" w:cs="Times New Roman"/>
                <w:color w:val="auto"/>
                <w:spacing w:val="3"/>
                <w:sz w:val="21"/>
                <w:szCs w:val="21"/>
                <w:highlight w:val="none"/>
                <w:lang w:eastAsia="zh-CN"/>
              </w:rPr>
              <w:t>鸮</w:t>
            </w:r>
          </w:p>
        </w:tc>
        <w:tc>
          <w:tcPr>
            <w:tcW w:w="845" w:type="pct"/>
            <w:vAlign w:val="center"/>
          </w:tcPr>
          <w:p w14:paraId="75E4E3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9"/>
                <w:position w:val="4"/>
                <w:sz w:val="21"/>
                <w:szCs w:val="21"/>
                <w:highlight w:val="none"/>
              </w:rPr>
              <w:t>Asioflammeus</w:t>
            </w:r>
          </w:p>
        </w:tc>
        <w:tc>
          <w:tcPr>
            <w:tcW w:w="488" w:type="pct"/>
            <w:vAlign w:val="center"/>
          </w:tcPr>
          <w:p w14:paraId="7B8925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2FEFFE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近危</w:t>
            </w:r>
          </w:p>
        </w:tc>
        <w:tc>
          <w:tcPr>
            <w:tcW w:w="443" w:type="pct"/>
            <w:vAlign w:val="center"/>
          </w:tcPr>
          <w:p w14:paraId="4771A4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42A045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灌草丛</w:t>
            </w:r>
          </w:p>
        </w:tc>
        <w:tc>
          <w:tcPr>
            <w:tcW w:w="443" w:type="pct"/>
            <w:vAlign w:val="center"/>
          </w:tcPr>
          <w:p w14:paraId="1C6B67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7F4291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50EF58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39A8D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68" w:type="pct"/>
            <w:vAlign w:val="center"/>
          </w:tcPr>
          <w:p w14:paraId="2151B9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634" w:type="pct"/>
            <w:vAlign w:val="center"/>
          </w:tcPr>
          <w:p w14:paraId="3C5CAD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灰头绿啄木鸟</w:t>
            </w:r>
          </w:p>
        </w:tc>
        <w:tc>
          <w:tcPr>
            <w:tcW w:w="845" w:type="pct"/>
            <w:vAlign w:val="center"/>
          </w:tcPr>
          <w:p w14:paraId="5DFBF2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i/>
                <w:iCs/>
                <w:color w:val="auto"/>
                <w:spacing w:val="4"/>
                <w:sz w:val="21"/>
                <w:szCs w:val="21"/>
                <w:highlight w:val="none"/>
              </w:rPr>
              <w:t>Picus</w:t>
            </w:r>
            <w:r>
              <w:rPr>
                <w:rFonts w:hint="default" w:ascii="Times New Roman" w:hAnsi="Times New Roman" w:eastAsia="宋体" w:cs="Times New Roman"/>
                <w:i/>
                <w:iCs/>
                <w:color w:val="auto"/>
                <w:spacing w:val="12"/>
                <w:w w:val="101"/>
                <w:sz w:val="21"/>
                <w:szCs w:val="21"/>
                <w:highlight w:val="none"/>
              </w:rPr>
              <w:t xml:space="preserve"> </w:t>
            </w:r>
            <w:r>
              <w:rPr>
                <w:rFonts w:hint="default" w:ascii="Times New Roman" w:hAnsi="Times New Roman" w:eastAsia="宋体" w:cs="Times New Roman"/>
                <w:i/>
                <w:iCs/>
                <w:color w:val="auto"/>
                <w:spacing w:val="4"/>
                <w:sz w:val="21"/>
                <w:szCs w:val="21"/>
                <w:highlight w:val="none"/>
              </w:rPr>
              <w:t>canus</w:t>
            </w:r>
          </w:p>
        </w:tc>
        <w:tc>
          <w:tcPr>
            <w:tcW w:w="488" w:type="pct"/>
            <w:vAlign w:val="center"/>
          </w:tcPr>
          <w:p w14:paraId="730D94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7E363B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3C70A5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0E74F5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森林</w:t>
            </w:r>
          </w:p>
        </w:tc>
        <w:tc>
          <w:tcPr>
            <w:tcW w:w="443" w:type="pct"/>
            <w:vAlign w:val="center"/>
          </w:tcPr>
          <w:p w14:paraId="52E4D7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现场调查</w:t>
            </w:r>
          </w:p>
        </w:tc>
        <w:tc>
          <w:tcPr>
            <w:tcW w:w="443" w:type="pct"/>
            <w:vAlign w:val="center"/>
          </w:tcPr>
          <w:p w14:paraId="70FE89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40DC92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25B48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114478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634" w:type="pct"/>
            <w:vAlign w:val="center"/>
          </w:tcPr>
          <w:p w14:paraId="6165FC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大斑啄木鸟</w:t>
            </w:r>
          </w:p>
        </w:tc>
        <w:tc>
          <w:tcPr>
            <w:tcW w:w="845" w:type="pct"/>
            <w:vAlign w:val="center"/>
          </w:tcPr>
          <w:p w14:paraId="7975FD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5"/>
                <w:position w:val="4"/>
                <w:sz w:val="21"/>
                <w:szCs w:val="21"/>
                <w:highlight w:val="none"/>
              </w:rPr>
              <w:t>Dendrocopos major</w:t>
            </w:r>
          </w:p>
        </w:tc>
        <w:tc>
          <w:tcPr>
            <w:tcW w:w="488" w:type="pct"/>
            <w:vAlign w:val="center"/>
          </w:tcPr>
          <w:p w14:paraId="27875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39A4E7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5FE1ED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4B4824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森林</w:t>
            </w:r>
          </w:p>
        </w:tc>
        <w:tc>
          <w:tcPr>
            <w:tcW w:w="443" w:type="pct"/>
            <w:vAlign w:val="center"/>
          </w:tcPr>
          <w:p w14:paraId="6F0CA3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现场调查</w:t>
            </w:r>
          </w:p>
        </w:tc>
        <w:tc>
          <w:tcPr>
            <w:tcW w:w="443" w:type="pct"/>
            <w:vAlign w:val="center"/>
          </w:tcPr>
          <w:p w14:paraId="5FE0B6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4A29A4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297B9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60028A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10</w:t>
            </w:r>
          </w:p>
        </w:tc>
        <w:tc>
          <w:tcPr>
            <w:tcW w:w="634" w:type="pct"/>
            <w:vAlign w:val="center"/>
          </w:tcPr>
          <w:p w14:paraId="77FDE1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棕腹啄木鸟</w:t>
            </w:r>
          </w:p>
        </w:tc>
        <w:tc>
          <w:tcPr>
            <w:tcW w:w="845" w:type="pct"/>
            <w:vAlign w:val="center"/>
          </w:tcPr>
          <w:p w14:paraId="0919EC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Dendrocopos hyperythrus</w:t>
            </w:r>
          </w:p>
        </w:tc>
        <w:tc>
          <w:tcPr>
            <w:tcW w:w="488" w:type="pct"/>
            <w:vAlign w:val="center"/>
          </w:tcPr>
          <w:p w14:paraId="314F73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391A8C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1FD7E8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0BAD60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森林</w:t>
            </w:r>
          </w:p>
        </w:tc>
        <w:tc>
          <w:tcPr>
            <w:tcW w:w="443" w:type="pct"/>
            <w:vAlign w:val="center"/>
          </w:tcPr>
          <w:p w14:paraId="0F3212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51446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47A28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3D786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554C9B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11</w:t>
            </w:r>
          </w:p>
        </w:tc>
        <w:tc>
          <w:tcPr>
            <w:tcW w:w="634" w:type="pct"/>
            <w:vAlign w:val="center"/>
          </w:tcPr>
          <w:p w14:paraId="5BE124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红脚隼</w:t>
            </w:r>
          </w:p>
        </w:tc>
        <w:tc>
          <w:tcPr>
            <w:tcW w:w="845" w:type="pct"/>
            <w:vAlign w:val="center"/>
          </w:tcPr>
          <w:p w14:paraId="09A1E2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2"/>
                <w:sz w:val="21"/>
                <w:szCs w:val="21"/>
                <w:highlight w:val="none"/>
              </w:rPr>
              <w:t>Falco amurensis</w:t>
            </w:r>
          </w:p>
        </w:tc>
        <w:tc>
          <w:tcPr>
            <w:tcW w:w="488" w:type="pct"/>
            <w:vAlign w:val="center"/>
          </w:tcPr>
          <w:p w14:paraId="52DE86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10C943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近危</w:t>
            </w:r>
          </w:p>
        </w:tc>
        <w:tc>
          <w:tcPr>
            <w:tcW w:w="443" w:type="pct"/>
            <w:vAlign w:val="center"/>
          </w:tcPr>
          <w:p w14:paraId="157D75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27D7D7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灌草丛</w:t>
            </w:r>
          </w:p>
        </w:tc>
        <w:tc>
          <w:tcPr>
            <w:tcW w:w="443" w:type="pct"/>
            <w:vAlign w:val="center"/>
          </w:tcPr>
          <w:p w14:paraId="19713C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0FF5C9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442AE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48F95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426A9E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12</w:t>
            </w:r>
          </w:p>
        </w:tc>
        <w:tc>
          <w:tcPr>
            <w:tcW w:w="634" w:type="pct"/>
            <w:vAlign w:val="center"/>
          </w:tcPr>
          <w:p w14:paraId="4404EE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燕隼</w:t>
            </w:r>
          </w:p>
        </w:tc>
        <w:tc>
          <w:tcPr>
            <w:tcW w:w="845" w:type="pct"/>
            <w:vAlign w:val="center"/>
          </w:tcPr>
          <w:p w14:paraId="370D18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2"/>
                <w:sz w:val="21"/>
                <w:szCs w:val="21"/>
                <w:highlight w:val="none"/>
              </w:rPr>
              <w:t>Falco subbuteo</w:t>
            </w:r>
          </w:p>
        </w:tc>
        <w:tc>
          <w:tcPr>
            <w:tcW w:w="488" w:type="pct"/>
            <w:vAlign w:val="center"/>
          </w:tcPr>
          <w:p w14:paraId="52D92AD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52875D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无危</w:t>
            </w:r>
          </w:p>
        </w:tc>
        <w:tc>
          <w:tcPr>
            <w:tcW w:w="443" w:type="pct"/>
            <w:vAlign w:val="center"/>
          </w:tcPr>
          <w:p w14:paraId="2ACD69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7EA1A6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灌草丛</w:t>
            </w:r>
          </w:p>
        </w:tc>
        <w:tc>
          <w:tcPr>
            <w:tcW w:w="443" w:type="pct"/>
            <w:vAlign w:val="center"/>
          </w:tcPr>
          <w:p w14:paraId="3EC0F6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现场调查</w:t>
            </w:r>
          </w:p>
        </w:tc>
        <w:tc>
          <w:tcPr>
            <w:tcW w:w="443" w:type="pct"/>
            <w:vAlign w:val="center"/>
          </w:tcPr>
          <w:p w14:paraId="382079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28152F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54E7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5C815C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13</w:t>
            </w:r>
          </w:p>
        </w:tc>
        <w:tc>
          <w:tcPr>
            <w:tcW w:w="634" w:type="pct"/>
            <w:vAlign w:val="center"/>
          </w:tcPr>
          <w:p w14:paraId="0347A8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红隼</w:t>
            </w:r>
          </w:p>
        </w:tc>
        <w:tc>
          <w:tcPr>
            <w:tcW w:w="845" w:type="pct"/>
            <w:vAlign w:val="center"/>
          </w:tcPr>
          <w:p w14:paraId="7000C9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2"/>
                <w:sz w:val="21"/>
                <w:szCs w:val="21"/>
                <w:highlight w:val="none"/>
              </w:rPr>
              <w:t>Falco tinnunculus</w:t>
            </w:r>
          </w:p>
        </w:tc>
        <w:tc>
          <w:tcPr>
            <w:tcW w:w="488" w:type="pct"/>
            <w:vAlign w:val="center"/>
          </w:tcPr>
          <w:p w14:paraId="53B3EA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1BB3F6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无危</w:t>
            </w:r>
          </w:p>
        </w:tc>
        <w:tc>
          <w:tcPr>
            <w:tcW w:w="443" w:type="pct"/>
            <w:vAlign w:val="center"/>
          </w:tcPr>
          <w:p w14:paraId="3A7CD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2C4506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灌草丛</w:t>
            </w:r>
          </w:p>
        </w:tc>
        <w:tc>
          <w:tcPr>
            <w:tcW w:w="443" w:type="pct"/>
            <w:vAlign w:val="center"/>
          </w:tcPr>
          <w:p w14:paraId="353423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现场调查</w:t>
            </w:r>
          </w:p>
        </w:tc>
        <w:tc>
          <w:tcPr>
            <w:tcW w:w="443" w:type="pct"/>
            <w:vAlign w:val="center"/>
          </w:tcPr>
          <w:p w14:paraId="3AD0C4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5A05D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2859C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3F8B2F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14</w:t>
            </w:r>
          </w:p>
        </w:tc>
        <w:tc>
          <w:tcPr>
            <w:tcW w:w="634" w:type="pct"/>
            <w:vAlign w:val="center"/>
          </w:tcPr>
          <w:p w14:paraId="41A0EC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凤头百灵</w:t>
            </w:r>
          </w:p>
        </w:tc>
        <w:tc>
          <w:tcPr>
            <w:tcW w:w="845" w:type="pct"/>
            <w:vAlign w:val="center"/>
          </w:tcPr>
          <w:p w14:paraId="6364F9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i/>
                <w:iCs/>
                <w:color w:val="auto"/>
                <w:spacing w:val="3"/>
                <w:position w:val="2"/>
                <w:sz w:val="21"/>
                <w:szCs w:val="21"/>
                <w:highlight w:val="none"/>
              </w:rPr>
              <w:t>Galerida cristata</w:t>
            </w:r>
          </w:p>
        </w:tc>
        <w:tc>
          <w:tcPr>
            <w:tcW w:w="488" w:type="pct"/>
            <w:vAlign w:val="center"/>
          </w:tcPr>
          <w:p w14:paraId="3C1F74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33FA05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097598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77219A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灌草丛</w:t>
            </w:r>
          </w:p>
        </w:tc>
        <w:tc>
          <w:tcPr>
            <w:tcW w:w="443" w:type="pct"/>
            <w:vAlign w:val="center"/>
          </w:tcPr>
          <w:p w14:paraId="4B70753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现场调查</w:t>
            </w:r>
          </w:p>
        </w:tc>
        <w:tc>
          <w:tcPr>
            <w:tcW w:w="443" w:type="pct"/>
            <w:vAlign w:val="center"/>
          </w:tcPr>
          <w:p w14:paraId="4DB1B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8888E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360C9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7FA19E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15</w:t>
            </w:r>
          </w:p>
        </w:tc>
        <w:tc>
          <w:tcPr>
            <w:tcW w:w="634" w:type="pct"/>
            <w:vAlign w:val="center"/>
          </w:tcPr>
          <w:p w14:paraId="2C4EF7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北朱雀</w:t>
            </w:r>
          </w:p>
        </w:tc>
        <w:tc>
          <w:tcPr>
            <w:tcW w:w="845" w:type="pct"/>
            <w:vAlign w:val="center"/>
          </w:tcPr>
          <w:p w14:paraId="025337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i/>
                <w:iCs/>
                <w:color w:val="auto"/>
                <w:spacing w:val="3"/>
                <w:position w:val="4"/>
                <w:sz w:val="21"/>
                <w:szCs w:val="21"/>
                <w:highlight w:val="none"/>
              </w:rPr>
              <w:t>Carpodacus roseus</w:t>
            </w:r>
          </w:p>
        </w:tc>
        <w:tc>
          <w:tcPr>
            <w:tcW w:w="488" w:type="pct"/>
            <w:vAlign w:val="center"/>
          </w:tcPr>
          <w:p w14:paraId="219603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二级</w:t>
            </w:r>
          </w:p>
        </w:tc>
        <w:tc>
          <w:tcPr>
            <w:tcW w:w="443" w:type="pct"/>
            <w:vAlign w:val="center"/>
          </w:tcPr>
          <w:p w14:paraId="14CA7B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3939F4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5183F3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森林</w:t>
            </w:r>
          </w:p>
        </w:tc>
        <w:tc>
          <w:tcPr>
            <w:tcW w:w="443" w:type="pct"/>
            <w:vAlign w:val="center"/>
          </w:tcPr>
          <w:p w14:paraId="281F67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109FEA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A5AB9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冬候鸟</w:t>
            </w:r>
          </w:p>
        </w:tc>
      </w:tr>
      <w:tr w14:paraId="284C9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0E1580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16</w:t>
            </w:r>
          </w:p>
        </w:tc>
        <w:tc>
          <w:tcPr>
            <w:tcW w:w="634" w:type="pct"/>
            <w:vAlign w:val="center"/>
          </w:tcPr>
          <w:p w14:paraId="4D99F1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黄雀</w:t>
            </w:r>
          </w:p>
        </w:tc>
        <w:tc>
          <w:tcPr>
            <w:tcW w:w="845" w:type="pct"/>
            <w:vAlign w:val="center"/>
          </w:tcPr>
          <w:p w14:paraId="0661ED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iCs/>
                <w:color w:val="auto"/>
                <w:spacing w:val="4"/>
                <w:sz w:val="21"/>
                <w:szCs w:val="21"/>
                <w:highlight w:val="none"/>
              </w:rPr>
              <w:t>Spinus spinus</w:t>
            </w:r>
          </w:p>
        </w:tc>
        <w:tc>
          <w:tcPr>
            <w:tcW w:w="488" w:type="pct"/>
            <w:vAlign w:val="center"/>
          </w:tcPr>
          <w:p w14:paraId="64A57E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42D95E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4"/>
                <w:sz w:val="21"/>
                <w:szCs w:val="21"/>
                <w:highlight w:val="none"/>
                <w:lang w:eastAsia="zh-CN"/>
              </w:rPr>
              <w:t>无危</w:t>
            </w:r>
          </w:p>
        </w:tc>
        <w:tc>
          <w:tcPr>
            <w:tcW w:w="443" w:type="pct"/>
            <w:vAlign w:val="center"/>
          </w:tcPr>
          <w:p w14:paraId="5E20D8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2D5B4F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森林</w:t>
            </w:r>
          </w:p>
        </w:tc>
        <w:tc>
          <w:tcPr>
            <w:tcW w:w="443" w:type="pct"/>
            <w:vAlign w:val="center"/>
          </w:tcPr>
          <w:p w14:paraId="54A389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3CD4A7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02C947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0E20A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24D3E6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17</w:t>
            </w:r>
          </w:p>
        </w:tc>
        <w:tc>
          <w:tcPr>
            <w:tcW w:w="634" w:type="pct"/>
            <w:vAlign w:val="center"/>
          </w:tcPr>
          <w:p w14:paraId="301BEF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山噪鹛</w:t>
            </w:r>
          </w:p>
        </w:tc>
        <w:tc>
          <w:tcPr>
            <w:tcW w:w="845" w:type="pct"/>
            <w:vAlign w:val="center"/>
          </w:tcPr>
          <w:p w14:paraId="251D1D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iCs/>
                <w:color w:val="auto"/>
                <w:spacing w:val="4"/>
                <w:position w:val="2"/>
                <w:sz w:val="21"/>
                <w:szCs w:val="21"/>
                <w:highlight w:val="none"/>
              </w:rPr>
              <w:t>Pterorhinus davidi</w:t>
            </w:r>
          </w:p>
        </w:tc>
        <w:tc>
          <w:tcPr>
            <w:tcW w:w="488" w:type="pct"/>
            <w:vAlign w:val="center"/>
          </w:tcPr>
          <w:p w14:paraId="6CB1AA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5DCA68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2"/>
                <w:sz w:val="21"/>
                <w:szCs w:val="21"/>
                <w:highlight w:val="none"/>
                <w:lang w:eastAsia="zh-CN"/>
              </w:rPr>
              <w:t>无危</w:t>
            </w:r>
          </w:p>
        </w:tc>
        <w:tc>
          <w:tcPr>
            <w:tcW w:w="443" w:type="pct"/>
            <w:vAlign w:val="center"/>
          </w:tcPr>
          <w:p w14:paraId="4BBB28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是</w:t>
            </w:r>
          </w:p>
        </w:tc>
        <w:tc>
          <w:tcPr>
            <w:tcW w:w="443" w:type="pct"/>
            <w:vAlign w:val="center"/>
          </w:tcPr>
          <w:p w14:paraId="707614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森林、灌草丛</w:t>
            </w:r>
          </w:p>
        </w:tc>
        <w:tc>
          <w:tcPr>
            <w:tcW w:w="443" w:type="pct"/>
            <w:vAlign w:val="center"/>
          </w:tcPr>
          <w:p w14:paraId="1E4C69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现场调查</w:t>
            </w:r>
          </w:p>
        </w:tc>
        <w:tc>
          <w:tcPr>
            <w:tcW w:w="443" w:type="pct"/>
            <w:vAlign w:val="center"/>
          </w:tcPr>
          <w:p w14:paraId="7129BD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150F20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0B392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0EED51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18</w:t>
            </w:r>
          </w:p>
        </w:tc>
        <w:tc>
          <w:tcPr>
            <w:tcW w:w="634" w:type="pct"/>
            <w:vAlign w:val="center"/>
          </w:tcPr>
          <w:p w14:paraId="1EED81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红尾伯劳</w:t>
            </w:r>
          </w:p>
        </w:tc>
        <w:tc>
          <w:tcPr>
            <w:tcW w:w="845" w:type="pct"/>
            <w:vAlign w:val="center"/>
          </w:tcPr>
          <w:p w14:paraId="3C218B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sz w:val="21"/>
                <w:szCs w:val="21"/>
                <w:highlight w:val="none"/>
              </w:rPr>
              <w:t>Lanius cristatus</w:t>
            </w:r>
          </w:p>
        </w:tc>
        <w:tc>
          <w:tcPr>
            <w:tcW w:w="488" w:type="pct"/>
            <w:vAlign w:val="center"/>
          </w:tcPr>
          <w:p w14:paraId="06938F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4E7A55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2"/>
                <w:sz w:val="21"/>
                <w:szCs w:val="21"/>
                <w:highlight w:val="none"/>
                <w:lang w:eastAsia="zh-CN"/>
              </w:rPr>
              <w:t>无危</w:t>
            </w:r>
          </w:p>
        </w:tc>
        <w:tc>
          <w:tcPr>
            <w:tcW w:w="443" w:type="pct"/>
            <w:vAlign w:val="center"/>
          </w:tcPr>
          <w:p w14:paraId="2F790A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6BE603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森林、灌草丛</w:t>
            </w:r>
          </w:p>
        </w:tc>
        <w:tc>
          <w:tcPr>
            <w:tcW w:w="443" w:type="pct"/>
            <w:vAlign w:val="center"/>
          </w:tcPr>
          <w:p w14:paraId="517522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现场调查</w:t>
            </w:r>
          </w:p>
        </w:tc>
        <w:tc>
          <w:tcPr>
            <w:tcW w:w="443" w:type="pct"/>
            <w:vAlign w:val="center"/>
          </w:tcPr>
          <w:p w14:paraId="7A7FF4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6EA6D9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42997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403732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19</w:t>
            </w:r>
          </w:p>
        </w:tc>
        <w:tc>
          <w:tcPr>
            <w:tcW w:w="634" w:type="pct"/>
            <w:vAlign w:val="center"/>
          </w:tcPr>
          <w:p w14:paraId="5C118E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牛头伯劳</w:t>
            </w:r>
          </w:p>
        </w:tc>
        <w:tc>
          <w:tcPr>
            <w:tcW w:w="845" w:type="pct"/>
            <w:vAlign w:val="center"/>
          </w:tcPr>
          <w:p w14:paraId="235C3A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Lanius bucephalus</w:t>
            </w:r>
          </w:p>
        </w:tc>
        <w:tc>
          <w:tcPr>
            <w:tcW w:w="488" w:type="pct"/>
            <w:vAlign w:val="center"/>
          </w:tcPr>
          <w:p w14:paraId="54AFDD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5E00D0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2"/>
                <w:sz w:val="21"/>
                <w:szCs w:val="21"/>
                <w:highlight w:val="none"/>
                <w:lang w:eastAsia="zh-CN"/>
              </w:rPr>
              <w:t>无危</w:t>
            </w:r>
          </w:p>
        </w:tc>
        <w:tc>
          <w:tcPr>
            <w:tcW w:w="443" w:type="pct"/>
            <w:vAlign w:val="center"/>
          </w:tcPr>
          <w:p w14:paraId="5D99BB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4DF72F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森林、灌草丛</w:t>
            </w:r>
          </w:p>
        </w:tc>
        <w:tc>
          <w:tcPr>
            <w:tcW w:w="443" w:type="pct"/>
            <w:vAlign w:val="center"/>
          </w:tcPr>
          <w:p w14:paraId="7FCEC7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037728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63D7E4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夏候鸟</w:t>
            </w:r>
          </w:p>
        </w:tc>
      </w:tr>
      <w:tr w14:paraId="6D268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38110F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20</w:t>
            </w:r>
          </w:p>
        </w:tc>
        <w:tc>
          <w:tcPr>
            <w:tcW w:w="634" w:type="pct"/>
            <w:vAlign w:val="center"/>
          </w:tcPr>
          <w:p w14:paraId="49E6F9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大山雀</w:t>
            </w:r>
          </w:p>
        </w:tc>
        <w:tc>
          <w:tcPr>
            <w:tcW w:w="845" w:type="pct"/>
            <w:vAlign w:val="center"/>
          </w:tcPr>
          <w:p w14:paraId="7FD5C4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5"/>
                <w:sz w:val="21"/>
                <w:szCs w:val="21"/>
                <w:highlight w:val="none"/>
              </w:rPr>
              <w:t>Parus minor</w:t>
            </w:r>
          </w:p>
        </w:tc>
        <w:tc>
          <w:tcPr>
            <w:tcW w:w="488" w:type="pct"/>
            <w:vAlign w:val="center"/>
          </w:tcPr>
          <w:p w14:paraId="3A26DB0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597051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05926E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0F3B05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灌草丛</w:t>
            </w:r>
          </w:p>
        </w:tc>
        <w:tc>
          <w:tcPr>
            <w:tcW w:w="443" w:type="pct"/>
            <w:vAlign w:val="center"/>
          </w:tcPr>
          <w:p w14:paraId="3427DB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现场调查</w:t>
            </w:r>
          </w:p>
        </w:tc>
        <w:tc>
          <w:tcPr>
            <w:tcW w:w="443" w:type="pct"/>
            <w:vAlign w:val="center"/>
          </w:tcPr>
          <w:p w14:paraId="16E065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1CC440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41B8A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65E0AE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21</w:t>
            </w:r>
          </w:p>
        </w:tc>
        <w:tc>
          <w:tcPr>
            <w:tcW w:w="634" w:type="pct"/>
            <w:vAlign w:val="center"/>
          </w:tcPr>
          <w:p w14:paraId="28ABEC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褐头山雀</w:t>
            </w:r>
          </w:p>
        </w:tc>
        <w:tc>
          <w:tcPr>
            <w:tcW w:w="845" w:type="pct"/>
            <w:vAlign w:val="center"/>
          </w:tcPr>
          <w:p w14:paraId="698912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2"/>
                <w:sz w:val="21"/>
                <w:szCs w:val="21"/>
                <w:highlight w:val="none"/>
              </w:rPr>
              <w:t>Poecile montanus</w:t>
            </w:r>
          </w:p>
        </w:tc>
        <w:tc>
          <w:tcPr>
            <w:tcW w:w="488" w:type="pct"/>
            <w:vAlign w:val="center"/>
          </w:tcPr>
          <w:p w14:paraId="16D7DF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6A3749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6DC40F4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539C09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灌草丛</w:t>
            </w:r>
          </w:p>
        </w:tc>
        <w:tc>
          <w:tcPr>
            <w:tcW w:w="443" w:type="pct"/>
            <w:vAlign w:val="center"/>
          </w:tcPr>
          <w:p w14:paraId="530912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现场调查</w:t>
            </w:r>
          </w:p>
        </w:tc>
        <w:tc>
          <w:tcPr>
            <w:tcW w:w="443" w:type="pct"/>
            <w:vAlign w:val="center"/>
          </w:tcPr>
          <w:p w14:paraId="38F0A5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58CCE3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2263B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68B954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22</w:t>
            </w:r>
          </w:p>
        </w:tc>
        <w:tc>
          <w:tcPr>
            <w:tcW w:w="634" w:type="pct"/>
            <w:vAlign w:val="center"/>
          </w:tcPr>
          <w:p w14:paraId="1534F7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黄腹山雀</w:t>
            </w:r>
          </w:p>
        </w:tc>
        <w:tc>
          <w:tcPr>
            <w:tcW w:w="845" w:type="pct"/>
            <w:vAlign w:val="center"/>
          </w:tcPr>
          <w:p w14:paraId="2DEF86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Pardaliparus venustulus</w:t>
            </w:r>
          </w:p>
        </w:tc>
        <w:tc>
          <w:tcPr>
            <w:tcW w:w="488" w:type="pct"/>
            <w:vAlign w:val="center"/>
          </w:tcPr>
          <w:p w14:paraId="1FF4CB0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1CF4C1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338684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是</w:t>
            </w:r>
          </w:p>
        </w:tc>
        <w:tc>
          <w:tcPr>
            <w:tcW w:w="443" w:type="pct"/>
            <w:vAlign w:val="center"/>
          </w:tcPr>
          <w:p w14:paraId="29163A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灌草丛</w:t>
            </w:r>
          </w:p>
        </w:tc>
        <w:tc>
          <w:tcPr>
            <w:tcW w:w="443" w:type="pct"/>
            <w:vAlign w:val="center"/>
          </w:tcPr>
          <w:p w14:paraId="2A3593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360705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4633A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16C6B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3425B4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23</w:t>
            </w:r>
          </w:p>
        </w:tc>
        <w:tc>
          <w:tcPr>
            <w:tcW w:w="634" w:type="pct"/>
            <w:vAlign w:val="center"/>
          </w:tcPr>
          <w:p w14:paraId="79B464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太平鸟</w:t>
            </w:r>
          </w:p>
        </w:tc>
        <w:tc>
          <w:tcPr>
            <w:tcW w:w="845" w:type="pct"/>
            <w:vAlign w:val="center"/>
          </w:tcPr>
          <w:p w14:paraId="233D79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Bombycilla garrulus</w:t>
            </w:r>
          </w:p>
        </w:tc>
        <w:tc>
          <w:tcPr>
            <w:tcW w:w="488" w:type="pct"/>
            <w:vAlign w:val="center"/>
          </w:tcPr>
          <w:p w14:paraId="73BF28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05174C7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6FC866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220FDC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森林</w:t>
            </w:r>
          </w:p>
        </w:tc>
        <w:tc>
          <w:tcPr>
            <w:tcW w:w="443" w:type="pct"/>
            <w:vAlign w:val="center"/>
          </w:tcPr>
          <w:p w14:paraId="318D48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13DAB7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67CE3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3D109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68" w:type="pct"/>
            <w:vAlign w:val="center"/>
          </w:tcPr>
          <w:p w14:paraId="6386A5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24</w:t>
            </w:r>
          </w:p>
        </w:tc>
        <w:tc>
          <w:tcPr>
            <w:tcW w:w="634" w:type="pct"/>
            <w:vAlign w:val="center"/>
          </w:tcPr>
          <w:p w14:paraId="11B4F1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小太平鸟</w:t>
            </w:r>
          </w:p>
        </w:tc>
        <w:tc>
          <w:tcPr>
            <w:tcW w:w="845" w:type="pct"/>
            <w:vAlign w:val="center"/>
          </w:tcPr>
          <w:p w14:paraId="50038D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6"/>
                <w:position w:val="4"/>
                <w:sz w:val="21"/>
                <w:szCs w:val="21"/>
                <w:highlight w:val="none"/>
              </w:rPr>
              <w:t>Bombycilla</w:t>
            </w:r>
            <w:r>
              <w:rPr>
                <w:rFonts w:hint="default" w:ascii="Times New Roman" w:hAnsi="Times New Roman" w:eastAsia="宋体" w:cs="Times New Roman"/>
                <w:i/>
                <w:iCs/>
                <w:color w:val="auto"/>
                <w:spacing w:val="-22"/>
                <w:position w:val="4"/>
                <w:sz w:val="21"/>
                <w:szCs w:val="21"/>
                <w:highlight w:val="none"/>
              </w:rPr>
              <w:t xml:space="preserve"> </w:t>
            </w:r>
            <w:r>
              <w:rPr>
                <w:rFonts w:hint="default" w:ascii="Times New Roman" w:hAnsi="Times New Roman" w:eastAsia="宋体" w:cs="Times New Roman"/>
                <w:i/>
                <w:iCs/>
                <w:color w:val="auto"/>
                <w:spacing w:val="6"/>
                <w:position w:val="4"/>
                <w:sz w:val="21"/>
                <w:szCs w:val="21"/>
                <w:highlight w:val="none"/>
              </w:rPr>
              <w:t>japonica</w:t>
            </w:r>
          </w:p>
        </w:tc>
        <w:tc>
          <w:tcPr>
            <w:tcW w:w="488" w:type="pct"/>
            <w:vAlign w:val="center"/>
          </w:tcPr>
          <w:p w14:paraId="4D955DB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1C1E56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3A3CA2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4A6FEE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森林</w:t>
            </w:r>
          </w:p>
        </w:tc>
        <w:tc>
          <w:tcPr>
            <w:tcW w:w="443" w:type="pct"/>
            <w:vAlign w:val="center"/>
          </w:tcPr>
          <w:p w14:paraId="189775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7F694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508B2D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旅鸟</w:t>
            </w:r>
          </w:p>
        </w:tc>
      </w:tr>
      <w:tr w14:paraId="17725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42423A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25</w:t>
            </w:r>
          </w:p>
        </w:tc>
        <w:tc>
          <w:tcPr>
            <w:tcW w:w="634" w:type="pct"/>
            <w:vAlign w:val="center"/>
          </w:tcPr>
          <w:p w14:paraId="509377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红嘴蓝鹊</w:t>
            </w:r>
          </w:p>
        </w:tc>
        <w:tc>
          <w:tcPr>
            <w:tcW w:w="845" w:type="pct"/>
            <w:vAlign w:val="center"/>
          </w:tcPr>
          <w:p w14:paraId="3DAFDE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i/>
                <w:iCs/>
                <w:color w:val="auto"/>
                <w:spacing w:val="3"/>
                <w:position w:val="4"/>
                <w:sz w:val="21"/>
                <w:szCs w:val="21"/>
                <w:highlight w:val="none"/>
              </w:rPr>
              <w:t>Urocissa eythrorhyncha</w:t>
            </w:r>
          </w:p>
        </w:tc>
        <w:tc>
          <w:tcPr>
            <w:tcW w:w="488" w:type="pct"/>
            <w:vAlign w:val="center"/>
          </w:tcPr>
          <w:p w14:paraId="5BDBC4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6F70C1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01ADE4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eastAsia" w:eastAsia="宋体" w:cs="Times New Roman"/>
                <w:color w:val="auto"/>
                <w:spacing w:val="3"/>
                <w:sz w:val="21"/>
                <w:szCs w:val="21"/>
                <w:highlight w:val="none"/>
                <w:lang w:eastAsia="zh-CN"/>
              </w:rPr>
              <w:t>否</w:t>
            </w:r>
          </w:p>
        </w:tc>
        <w:tc>
          <w:tcPr>
            <w:tcW w:w="443" w:type="pct"/>
            <w:vAlign w:val="center"/>
          </w:tcPr>
          <w:p w14:paraId="38A336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森林</w:t>
            </w:r>
          </w:p>
        </w:tc>
        <w:tc>
          <w:tcPr>
            <w:tcW w:w="443" w:type="pct"/>
            <w:vAlign w:val="center"/>
          </w:tcPr>
          <w:p w14:paraId="0CB55E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09DF10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否</w:t>
            </w:r>
          </w:p>
        </w:tc>
        <w:tc>
          <w:tcPr>
            <w:tcW w:w="445" w:type="pct"/>
            <w:vAlign w:val="center"/>
          </w:tcPr>
          <w:p w14:paraId="628423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留鸟</w:t>
            </w:r>
          </w:p>
        </w:tc>
      </w:tr>
      <w:tr w14:paraId="5E1F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3E4B5D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26</w:t>
            </w:r>
          </w:p>
        </w:tc>
        <w:tc>
          <w:tcPr>
            <w:tcW w:w="634" w:type="pct"/>
            <w:vAlign w:val="center"/>
          </w:tcPr>
          <w:p w14:paraId="785818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color w:val="auto"/>
                <w:highlight w:val="none"/>
              </w:rPr>
              <w:t>狍</w:t>
            </w:r>
          </w:p>
        </w:tc>
        <w:tc>
          <w:tcPr>
            <w:tcW w:w="845" w:type="pct"/>
            <w:vAlign w:val="center"/>
          </w:tcPr>
          <w:p w14:paraId="382D35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i/>
                <w:iCs/>
                <w:color w:val="auto"/>
                <w:spacing w:val="3"/>
                <w:position w:val="4"/>
                <w:sz w:val="21"/>
                <w:szCs w:val="21"/>
                <w:highlight w:val="none"/>
              </w:rPr>
            </w:pPr>
            <w:r>
              <w:rPr>
                <w:rFonts w:hint="default" w:ascii="Times New Roman" w:hAnsi="Times New Roman" w:eastAsia="宋体" w:cs="Times New Roman"/>
                <w:i/>
                <w:iCs/>
                <w:color w:val="auto"/>
                <w:spacing w:val="3"/>
                <w:position w:val="4"/>
                <w:sz w:val="21"/>
                <w:szCs w:val="21"/>
                <w:highlight w:val="none"/>
              </w:rPr>
              <w:t>Capreolus capreolus</w:t>
            </w:r>
          </w:p>
        </w:tc>
        <w:tc>
          <w:tcPr>
            <w:tcW w:w="488" w:type="pct"/>
            <w:vAlign w:val="center"/>
          </w:tcPr>
          <w:p w14:paraId="5E8776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省重点</w:t>
            </w:r>
          </w:p>
        </w:tc>
        <w:tc>
          <w:tcPr>
            <w:tcW w:w="443" w:type="pct"/>
            <w:vAlign w:val="center"/>
          </w:tcPr>
          <w:p w14:paraId="15F56C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近危</w:t>
            </w:r>
          </w:p>
        </w:tc>
        <w:tc>
          <w:tcPr>
            <w:tcW w:w="443" w:type="pct"/>
            <w:vAlign w:val="center"/>
          </w:tcPr>
          <w:p w14:paraId="168BE6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37AC35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1FFDD2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5A6F72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1CC59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9"/>
                <w:sz w:val="21"/>
                <w:szCs w:val="21"/>
                <w:highlight w:val="none"/>
                <w:lang w:val="en-US" w:eastAsia="zh-CN"/>
              </w:rPr>
            </w:pPr>
            <w:r>
              <w:rPr>
                <w:rFonts w:hint="eastAsia" w:eastAsia="宋体" w:cs="Times New Roman"/>
                <w:color w:val="auto"/>
                <w:spacing w:val="-9"/>
                <w:sz w:val="21"/>
                <w:szCs w:val="21"/>
                <w:highlight w:val="none"/>
                <w:lang w:val="en-US" w:eastAsia="zh-CN"/>
              </w:rPr>
              <w:t>/</w:t>
            </w:r>
          </w:p>
        </w:tc>
      </w:tr>
      <w:tr w14:paraId="5D3CC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5E7C2D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27</w:t>
            </w:r>
          </w:p>
        </w:tc>
        <w:tc>
          <w:tcPr>
            <w:tcW w:w="634" w:type="pct"/>
            <w:vAlign w:val="center"/>
          </w:tcPr>
          <w:p w14:paraId="6F2FB91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color w:val="auto"/>
                <w:highlight w:val="none"/>
              </w:rPr>
              <w:t>黄鼬</w:t>
            </w:r>
          </w:p>
        </w:tc>
        <w:tc>
          <w:tcPr>
            <w:tcW w:w="845" w:type="pct"/>
            <w:vAlign w:val="center"/>
          </w:tcPr>
          <w:p w14:paraId="0EA7DD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4"/>
                <w:kern w:val="2"/>
                <w:position w:val="4"/>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Mustela sibirica</w:t>
            </w:r>
          </w:p>
        </w:tc>
        <w:tc>
          <w:tcPr>
            <w:tcW w:w="488" w:type="pct"/>
            <w:vAlign w:val="center"/>
          </w:tcPr>
          <w:p w14:paraId="704477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省重点</w:t>
            </w:r>
          </w:p>
        </w:tc>
        <w:tc>
          <w:tcPr>
            <w:tcW w:w="443" w:type="pct"/>
            <w:vAlign w:val="center"/>
          </w:tcPr>
          <w:p w14:paraId="3E7B9E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2235E4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11AC70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252F02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4C79C5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3199B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eastAsia" w:eastAsia="宋体" w:cs="Times New Roman"/>
                <w:color w:val="auto"/>
                <w:spacing w:val="-9"/>
                <w:sz w:val="21"/>
                <w:szCs w:val="21"/>
                <w:highlight w:val="none"/>
                <w:lang w:val="en-US" w:eastAsia="zh-CN"/>
              </w:rPr>
              <w:t>/</w:t>
            </w:r>
          </w:p>
        </w:tc>
      </w:tr>
      <w:tr w14:paraId="210D2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787611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28</w:t>
            </w:r>
          </w:p>
        </w:tc>
        <w:tc>
          <w:tcPr>
            <w:tcW w:w="634" w:type="pct"/>
            <w:vAlign w:val="center"/>
          </w:tcPr>
          <w:p w14:paraId="260D93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color w:val="auto"/>
                <w:highlight w:val="none"/>
              </w:rPr>
              <w:t>艾鼬</w:t>
            </w:r>
          </w:p>
        </w:tc>
        <w:tc>
          <w:tcPr>
            <w:tcW w:w="845" w:type="pct"/>
            <w:vAlign w:val="center"/>
          </w:tcPr>
          <w:p w14:paraId="1FF483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4"/>
                <w:kern w:val="2"/>
                <w:position w:val="4"/>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Mustela eversmannii</w:t>
            </w:r>
          </w:p>
        </w:tc>
        <w:tc>
          <w:tcPr>
            <w:tcW w:w="488" w:type="pct"/>
            <w:vAlign w:val="center"/>
          </w:tcPr>
          <w:p w14:paraId="0D21AA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省重点</w:t>
            </w:r>
          </w:p>
        </w:tc>
        <w:tc>
          <w:tcPr>
            <w:tcW w:w="443" w:type="pct"/>
            <w:vAlign w:val="center"/>
          </w:tcPr>
          <w:p w14:paraId="663F38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易危</w:t>
            </w:r>
          </w:p>
        </w:tc>
        <w:tc>
          <w:tcPr>
            <w:tcW w:w="443" w:type="pct"/>
            <w:vAlign w:val="center"/>
          </w:tcPr>
          <w:p w14:paraId="060456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763ADD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0E5648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6869CA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5FD41D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eastAsia" w:eastAsia="宋体" w:cs="Times New Roman"/>
                <w:color w:val="auto"/>
                <w:spacing w:val="-9"/>
                <w:sz w:val="21"/>
                <w:szCs w:val="21"/>
                <w:highlight w:val="none"/>
                <w:lang w:val="en-US" w:eastAsia="zh-CN"/>
              </w:rPr>
              <w:t>/</w:t>
            </w:r>
          </w:p>
        </w:tc>
      </w:tr>
      <w:tr w14:paraId="5B115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7DDD58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29</w:t>
            </w:r>
          </w:p>
        </w:tc>
        <w:tc>
          <w:tcPr>
            <w:tcW w:w="634" w:type="pct"/>
            <w:vAlign w:val="center"/>
          </w:tcPr>
          <w:p w14:paraId="3EB721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highlight w:val="none"/>
              </w:rPr>
            </w:pPr>
            <w:r>
              <w:rPr>
                <w:color w:val="auto"/>
                <w:highlight w:val="none"/>
              </w:rPr>
              <w:t>狗獾</w:t>
            </w:r>
          </w:p>
        </w:tc>
        <w:tc>
          <w:tcPr>
            <w:tcW w:w="845" w:type="pct"/>
            <w:vAlign w:val="center"/>
          </w:tcPr>
          <w:p w14:paraId="67CE8D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i/>
                <w:iCs/>
                <w:color w:val="auto"/>
                <w:spacing w:val="4"/>
                <w:kern w:val="2"/>
                <w:position w:val="4"/>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Me1es me1es</w:t>
            </w:r>
          </w:p>
        </w:tc>
        <w:tc>
          <w:tcPr>
            <w:tcW w:w="488" w:type="pct"/>
            <w:vAlign w:val="center"/>
          </w:tcPr>
          <w:p w14:paraId="3FF825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省重点</w:t>
            </w:r>
          </w:p>
        </w:tc>
        <w:tc>
          <w:tcPr>
            <w:tcW w:w="443" w:type="pct"/>
            <w:vAlign w:val="center"/>
          </w:tcPr>
          <w:p w14:paraId="2F23093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近危</w:t>
            </w:r>
          </w:p>
        </w:tc>
        <w:tc>
          <w:tcPr>
            <w:tcW w:w="443" w:type="pct"/>
            <w:vAlign w:val="center"/>
          </w:tcPr>
          <w:p w14:paraId="128C0D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5F42B8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16EB4F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2ED3F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B6923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eastAsia" w:eastAsia="宋体" w:cs="Times New Roman"/>
                <w:color w:val="auto"/>
                <w:spacing w:val="-9"/>
                <w:sz w:val="21"/>
                <w:szCs w:val="21"/>
                <w:highlight w:val="none"/>
                <w:lang w:val="en-US" w:eastAsia="zh-CN"/>
              </w:rPr>
              <w:t>/</w:t>
            </w:r>
          </w:p>
        </w:tc>
      </w:tr>
      <w:tr w14:paraId="0A60A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1B2CA1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30</w:t>
            </w:r>
          </w:p>
        </w:tc>
        <w:tc>
          <w:tcPr>
            <w:tcW w:w="634" w:type="pct"/>
            <w:vAlign w:val="center"/>
          </w:tcPr>
          <w:p w14:paraId="4EC4F2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赤峰锦蛇</w:t>
            </w:r>
          </w:p>
        </w:tc>
        <w:tc>
          <w:tcPr>
            <w:tcW w:w="845" w:type="pct"/>
            <w:vAlign w:val="center"/>
          </w:tcPr>
          <w:p w14:paraId="7C4A4F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5"/>
                <w:position w:val="4"/>
                <w:sz w:val="21"/>
                <w:szCs w:val="21"/>
                <w:highlight w:val="none"/>
              </w:rPr>
              <w:t>Elaphe anomala</w:t>
            </w:r>
          </w:p>
        </w:tc>
        <w:tc>
          <w:tcPr>
            <w:tcW w:w="488" w:type="pct"/>
            <w:vAlign w:val="center"/>
          </w:tcPr>
          <w:p w14:paraId="0CB200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5D4DF2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易危</w:t>
            </w:r>
          </w:p>
        </w:tc>
        <w:tc>
          <w:tcPr>
            <w:tcW w:w="443" w:type="pct"/>
            <w:vAlign w:val="center"/>
          </w:tcPr>
          <w:p w14:paraId="71C8AA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38B365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6397D4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0A5EEB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6EECE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pacing w:val="-9"/>
                <w:sz w:val="21"/>
                <w:szCs w:val="21"/>
                <w:highlight w:val="none"/>
                <w:lang w:val="en-US" w:eastAsia="zh-CN"/>
              </w:rPr>
            </w:pPr>
            <w:r>
              <w:rPr>
                <w:rFonts w:hint="eastAsia" w:eastAsia="宋体" w:cs="Times New Roman"/>
                <w:color w:val="auto"/>
                <w:spacing w:val="-9"/>
                <w:sz w:val="21"/>
                <w:szCs w:val="21"/>
                <w:highlight w:val="none"/>
                <w:lang w:val="en-US" w:eastAsia="zh-CN"/>
              </w:rPr>
              <w:t>/</w:t>
            </w:r>
          </w:p>
        </w:tc>
      </w:tr>
      <w:tr w14:paraId="6897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68" w:type="pct"/>
            <w:vAlign w:val="center"/>
          </w:tcPr>
          <w:p w14:paraId="526407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pacing w:val="2"/>
                <w:sz w:val="21"/>
                <w:szCs w:val="21"/>
                <w:highlight w:val="none"/>
                <w:lang w:val="en-US" w:eastAsia="zh-CN"/>
              </w:rPr>
            </w:pPr>
            <w:r>
              <w:rPr>
                <w:rFonts w:hint="eastAsia" w:eastAsia="宋体" w:cs="Times New Roman"/>
                <w:color w:val="auto"/>
                <w:spacing w:val="2"/>
                <w:sz w:val="21"/>
                <w:szCs w:val="21"/>
                <w:highlight w:val="none"/>
                <w:lang w:val="en-US" w:eastAsia="zh-CN"/>
              </w:rPr>
              <w:t>31</w:t>
            </w:r>
          </w:p>
        </w:tc>
        <w:tc>
          <w:tcPr>
            <w:tcW w:w="634" w:type="pct"/>
            <w:vAlign w:val="center"/>
          </w:tcPr>
          <w:p w14:paraId="240119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蓝尾石龙子</w:t>
            </w:r>
          </w:p>
        </w:tc>
        <w:tc>
          <w:tcPr>
            <w:tcW w:w="845" w:type="pct"/>
            <w:vAlign w:val="center"/>
          </w:tcPr>
          <w:p w14:paraId="064B54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iCs/>
                <w:color w:val="auto"/>
                <w:spacing w:val="4"/>
                <w:position w:val="4"/>
                <w:sz w:val="21"/>
                <w:szCs w:val="21"/>
                <w:highlight w:val="none"/>
              </w:rPr>
              <w:t>Eumeces elegans</w:t>
            </w:r>
          </w:p>
        </w:tc>
        <w:tc>
          <w:tcPr>
            <w:tcW w:w="488" w:type="pct"/>
            <w:vAlign w:val="center"/>
          </w:tcPr>
          <w:p w14:paraId="7909C4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省重点</w:t>
            </w:r>
          </w:p>
        </w:tc>
        <w:tc>
          <w:tcPr>
            <w:tcW w:w="443" w:type="pct"/>
            <w:vAlign w:val="center"/>
          </w:tcPr>
          <w:p w14:paraId="1C07EE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4"/>
                <w:sz w:val="21"/>
                <w:szCs w:val="21"/>
                <w:highlight w:val="none"/>
                <w:lang w:eastAsia="zh-CN"/>
              </w:rPr>
            </w:pPr>
            <w:r>
              <w:rPr>
                <w:rFonts w:hint="eastAsia" w:eastAsia="宋体" w:cs="Times New Roman"/>
                <w:color w:val="auto"/>
                <w:spacing w:val="4"/>
                <w:sz w:val="21"/>
                <w:szCs w:val="21"/>
                <w:highlight w:val="none"/>
                <w:lang w:eastAsia="zh-CN"/>
              </w:rPr>
              <w:t>无危</w:t>
            </w:r>
          </w:p>
        </w:tc>
        <w:tc>
          <w:tcPr>
            <w:tcW w:w="443" w:type="pct"/>
            <w:vAlign w:val="center"/>
          </w:tcPr>
          <w:p w14:paraId="6F0AF0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3"/>
                <w:sz w:val="21"/>
                <w:szCs w:val="21"/>
                <w:highlight w:val="none"/>
                <w:lang w:eastAsia="zh-CN"/>
              </w:rPr>
            </w:pPr>
            <w:r>
              <w:rPr>
                <w:rFonts w:hint="eastAsia" w:eastAsia="宋体" w:cs="Times New Roman"/>
                <w:color w:val="auto"/>
                <w:spacing w:val="3"/>
                <w:sz w:val="21"/>
                <w:szCs w:val="21"/>
                <w:highlight w:val="none"/>
                <w:lang w:eastAsia="zh-CN"/>
              </w:rPr>
              <w:t>否</w:t>
            </w:r>
          </w:p>
        </w:tc>
        <w:tc>
          <w:tcPr>
            <w:tcW w:w="443" w:type="pct"/>
            <w:vAlign w:val="center"/>
          </w:tcPr>
          <w:p w14:paraId="5A16A8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4"/>
                <w:sz w:val="21"/>
                <w:szCs w:val="21"/>
                <w:highlight w:val="none"/>
                <w:lang w:eastAsia="zh-CN"/>
              </w:rPr>
              <w:t>灌草丛</w:t>
            </w:r>
          </w:p>
        </w:tc>
        <w:tc>
          <w:tcPr>
            <w:tcW w:w="443" w:type="pct"/>
            <w:vAlign w:val="center"/>
          </w:tcPr>
          <w:p w14:paraId="7646A8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访问、资料</w:t>
            </w:r>
          </w:p>
        </w:tc>
        <w:tc>
          <w:tcPr>
            <w:tcW w:w="443" w:type="pct"/>
            <w:vAlign w:val="center"/>
          </w:tcPr>
          <w:p w14:paraId="05678D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4"/>
                <w:kern w:val="2"/>
                <w:sz w:val="21"/>
                <w:szCs w:val="21"/>
                <w:highlight w:val="none"/>
                <w:lang w:val="en-US" w:eastAsia="zh-CN" w:bidi="ar-SA"/>
              </w:rPr>
            </w:pPr>
            <w:r>
              <w:rPr>
                <w:rFonts w:hint="eastAsia" w:eastAsia="宋体" w:cs="Times New Roman"/>
                <w:color w:val="auto"/>
                <w:spacing w:val="3"/>
                <w:sz w:val="21"/>
                <w:szCs w:val="21"/>
                <w:highlight w:val="none"/>
                <w:lang w:eastAsia="zh-CN"/>
              </w:rPr>
              <w:t>否</w:t>
            </w:r>
          </w:p>
        </w:tc>
        <w:tc>
          <w:tcPr>
            <w:tcW w:w="445" w:type="pct"/>
            <w:vAlign w:val="center"/>
          </w:tcPr>
          <w:p w14:paraId="79D478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pacing w:val="-9"/>
                <w:sz w:val="21"/>
                <w:szCs w:val="21"/>
                <w:highlight w:val="none"/>
                <w:lang w:val="en-US" w:eastAsia="zh-CN"/>
              </w:rPr>
            </w:pPr>
            <w:r>
              <w:rPr>
                <w:rFonts w:hint="eastAsia" w:eastAsia="宋体" w:cs="Times New Roman"/>
                <w:color w:val="auto"/>
                <w:spacing w:val="-9"/>
                <w:sz w:val="21"/>
                <w:szCs w:val="21"/>
                <w:highlight w:val="none"/>
                <w:lang w:val="en-US" w:eastAsia="zh-CN"/>
              </w:rPr>
              <w:t>/</w:t>
            </w:r>
          </w:p>
        </w:tc>
      </w:tr>
    </w:tbl>
    <w:p w14:paraId="36D96B4C">
      <w:pPr>
        <w:bidi w:val="0"/>
        <w:rPr>
          <w:rFonts w:hint="eastAsia"/>
          <w:color w:val="auto"/>
          <w:highlight w:val="none"/>
          <w:lang w:val="en-US" w:eastAsia="zh-CN"/>
        </w:rPr>
      </w:pPr>
    </w:p>
    <w:p w14:paraId="05763CB0">
      <w:pPr>
        <w:bidi w:val="0"/>
        <w:rPr>
          <w:rFonts w:hint="eastAsia"/>
          <w:color w:val="auto"/>
          <w:highlight w:val="none"/>
          <w:lang w:val="en-US" w:eastAsia="zh-CN"/>
        </w:rPr>
        <w:sectPr>
          <w:pgSz w:w="16838" w:h="11906" w:orient="landscape"/>
          <w:pgMar w:top="1689" w:right="1440" w:bottom="1689" w:left="1440" w:header="851" w:footer="992" w:gutter="0"/>
          <w:pgNumType w:fmt="decimal"/>
          <w:cols w:space="425" w:num="1"/>
          <w:docGrid w:type="lines" w:linePitch="312" w:charSpace="0"/>
        </w:sectPr>
      </w:pPr>
    </w:p>
    <w:p w14:paraId="4E9787C4">
      <w:pPr>
        <w:bidi w:val="0"/>
        <w:rPr>
          <w:rFonts w:hint="eastAsia" w:eastAsiaTheme="minorEastAsia"/>
          <w:color w:val="auto"/>
          <w:highlight w:val="none"/>
          <w:lang w:eastAsia="zh-CN"/>
        </w:rPr>
      </w:pPr>
      <w:r>
        <w:rPr>
          <w:rFonts w:hint="eastAsia"/>
          <w:color w:val="auto"/>
          <w:highlight w:val="none"/>
          <w:lang w:val="en-US" w:eastAsia="zh-CN"/>
        </w:rPr>
        <w:t>4.4.6</w:t>
      </w:r>
      <w:r>
        <w:rPr>
          <w:rFonts w:hint="eastAsia" w:ascii="Times New Roman" w:hAnsi="Times New Roman" w:eastAsia="宋体" w:cs="Times New Roman"/>
          <w:color w:val="auto"/>
          <w:sz w:val="24"/>
          <w:szCs w:val="24"/>
          <w:highlight w:val="none"/>
          <w:lang w:val="en-US" w:eastAsia="zh-CN"/>
        </w:rPr>
        <w:t>全线两侧1km范围内</w:t>
      </w:r>
      <w:r>
        <w:rPr>
          <w:rFonts w:hint="eastAsia"/>
          <w:color w:val="auto"/>
          <w:highlight w:val="none"/>
          <w:lang w:val="en-US" w:eastAsia="zh-CN"/>
        </w:rPr>
        <w:t>土地利用</w:t>
      </w:r>
      <w:r>
        <w:rPr>
          <w:rFonts w:hint="eastAsia"/>
          <w:color w:val="auto"/>
          <w:highlight w:val="none"/>
          <w:lang w:eastAsia="zh-CN"/>
        </w:rPr>
        <w:t>类型</w:t>
      </w:r>
    </w:p>
    <w:p w14:paraId="6DEB2A2F">
      <w:pPr>
        <w:bidi w:val="0"/>
        <w:rPr>
          <w:color w:val="auto"/>
          <w:highlight w:val="none"/>
        </w:rPr>
      </w:pPr>
      <w:r>
        <w:rPr>
          <w:rFonts w:hint="eastAsia"/>
          <w:color w:val="auto"/>
          <w:highlight w:val="none"/>
        </w:rPr>
        <w:t>根据遥感调查结果，采用图形叠加法对评价范围内的</w:t>
      </w:r>
      <w:r>
        <w:rPr>
          <w:rFonts w:hint="eastAsia"/>
          <w:color w:val="auto"/>
          <w:highlight w:val="none"/>
          <w:lang w:eastAsia="zh-CN"/>
        </w:rPr>
        <w:t>土地利用</w:t>
      </w:r>
      <w:r>
        <w:rPr>
          <w:rFonts w:hint="eastAsia"/>
          <w:color w:val="auto"/>
          <w:highlight w:val="none"/>
        </w:rPr>
        <w:t>现状进行分析，即将遥感影像与相同比例尺的地形图进行叠加，并参照《土地利用现状分类》（GBT21010-2007）中一类、二类指标，以确定沿线两侧1km评价范围内的土地利用类型，并统计各类土地利用类型的面积，将成果绘制成土地利用现状图。评价区土地利用现状图见</w:t>
      </w:r>
      <w:r>
        <w:rPr>
          <w:rFonts w:hint="eastAsia"/>
          <w:color w:val="auto"/>
          <w:highlight w:val="none"/>
          <w:lang w:eastAsia="zh-CN"/>
        </w:rPr>
        <w:t>附图</w:t>
      </w:r>
      <w:r>
        <w:rPr>
          <w:rFonts w:hint="eastAsia"/>
          <w:color w:val="auto"/>
          <w:highlight w:val="none"/>
          <w:lang w:val="en-US" w:eastAsia="zh-CN"/>
        </w:rPr>
        <w:t>15</w:t>
      </w:r>
      <w:r>
        <w:rPr>
          <w:rFonts w:hint="eastAsia"/>
          <w:color w:val="auto"/>
          <w:highlight w:val="none"/>
        </w:rPr>
        <w:t>，土地利用现状统计数据见表</w:t>
      </w:r>
      <w:r>
        <w:rPr>
          <w:rFonts w:hint="eastAsia"/>
          <w:color w:val="auto"/>
          <w:highlight w:val="none"/>
          <w:lang w:val="en-US" w:eastAsia="zh-CN"/>
        </w:rPr>
        <w:t>4.4-3</w:t>
      </w:r>
      <w:r>
        <w:rPr>
          <w:rFonts w:hint="eastAsia"/>
          <w:color w:val="auto"/>
          <w:highlight w:val="none"/>
        </w:rPr>
        <w:t>。</w:t>
      </w:r>
    </w:p>
    <w:p w14:paraId="08BDB8D1">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eastAsia"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rPr>
        <w:t xml:space="preserve">  全线两侧1km区域</w:t>
      </w:r>
      <w:r>
        <w:rPr>
          <w:rFonts w:hint="eastAsia" w:ascii="Times New Roman" w:hAnsi="Times New Roman" w:eastAsia="宋体" w:cs="Times New Roman"/>
          <w:b/>
          <w:bCs/>
          <w:color w:val="auto"/>
          <w:sz w:val="21"/>
          <w:szCs w:val="21"/>
          <w:highlight w:val="none"/>
          <w:lang w:eastAsia="zh-CN"/>
        </w:rPr>
        <w:t>土地利用</w:t>
      </w:r>
      <w:r>
        <w:rPr>
          <w:rFonts w:hint="eastAsia" w:ascii="Times New Roman" w:hAnsi="Times New Roman" w:eastAsia="宋体" w:cs="Times New Roman"/>
          <w:b/>
          <w:bCs/>
          <w:color w:val="auto"/>
          <w:sz w:val="21"/>
          <w:szCs w:val="21"/>
          <w:highlight w:val="none"/>
        </w:rPr>
        <w:t>类型</w:t>
      </w:r>
      <w:r>
        <w:rPr>
          <w:rFonts w:hint="eastAsia" w:ascii="Times New Roman" w:hAnsi="Times New Roman" w:eastAsia="宋体" w:cs="Times New Roman"/>
          <w:b/>
          <w:bCs/>
          <w:color w:val="auto"/>
          <w:sz w:val="21"/>
          <w:szCs w:val="21"/>
          <w:highlight w:val="none"/>
          <w:lang w:eastAsia="zh-CN"/>
        </w:rPr>
        <w:t>一览</w:t>
      </w:r>
      <w:r>
        <w:rPr>
          <w:rFonts w:hint="eastAsia" w:ascii="Times New Roman" w:hAnsi="Times New Roman" w:eastAsia="宋体" w:cs="Times New Roman"/>
          <w:b/>
          <w:bCs/>
          <w:color w:val="auto"/>
          <w:sz w:val="21"/>
          <w:szCs w:val="21"/>
          <w:highlight w:val="none"/>
        </w:rPr>
        <w:t>表</w:t>
      </w:r>
    </w:p>
    <w:tbl>
      <w:tblPr>
        <w:tblStyle w:val="22"/>
        <w:tblW w:w="5004"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3580"/>
        <w:gridCol w:w="2411"/>
        <w:gridCol w:w="2554"/>
      </w:tblGrid>
      <w:tr w14:paraId="7CE178E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4DE83B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pacing w:val="5"/>
                <w:sz w:val="21"/>
                <w:szCs w:val="21"/>
                <w:highlight w:val="none"/>
                <w:lang w:val="en-US" w:eastAsia="zh-CN"/>
              </w:rPr>
              <w:t>土地利用</w:t>
            </w:r>
            <w:r>
              <w:rPr>
                <w:rFonts w:hint="default" w:ascii="Times New Roman" w:hAnsi="Times New Roman" w:eastAsia="宋体" w:cs="Times New Roman"/>
                <w:color w:val="auto"/>
                <w:spacing w:val="5"/>
                <w:sz w:val="21"/>
                <w:szCs w:val="21"/>
                <w:highlight w:val="none"/>
              </w:rPr>
              <w:t>类型</w:t>
            </w:r>
          </w:p>
        </w:tc>
        <w:tc>
          <w:tcPr>
            <w:tcW w:w="1410" w:type="pct"/>
            <w:vAlign w:val="center"/>
          </w:tcPr>
          <w:p w14:paraId="551951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6"/>
                <w:sz w:val="21"/>
                <w:szCs w:val="21"/>
                <w:highlight w:val="none"/>
              </w:rPr>
              <w:t>面积（公顷）</w:t>
            </w:r>
          </w:p>
        </w:tc>
        <w:tc>
          <w:tcPr>
            <w:tcW w:w="1494" w:type="pct"/>
            <w:vAlign w:val="center"/>
          </w:tcPr>
          <w:p w14:paraId="2BF231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z w:val="21"/>
                <w:szCs w:val="21"/>
                <w:highlight w:val="none"/>
              </w:rPr>
              <w:t>比例（%）</w:t>
            </w:r>
          </w:p>
        </w:tc>
      </w:tr>
      <w:tr w14:paraId="2D2A5AB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348D5E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pacing w:val="7"/>
                <w:sz w:val="21"/>
                <w:szCs w:val="21"/>
                <w:highlight w:val="none"/>
                <w:lang w:eastAsia="zh-CN"/>
              </w:rPr>
              <w:t>有林地</w:t>
            </w:r>
          </w:p>
        </w:tc>
        <w:tc>
          <w:tcPr>
            <w:tcW w:w="1410" w:type="pct"/>
            <w:vAlign w:val="center"/>
          </w:tcPr>
          <w:p w14:paraId="0A3608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2502.35</w:t>
            </w:r>
          </w:p>
        </w:tc>
        <w:tc>
          <w:tcPr>
            <w:tcW w:w="1494" w:type="pct"/>
            <w:vAlign w:val="center"/>
          </w:tcPr>
          <w:p w14:paraId="386FB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52.15</w:t>
            </w:r>
          </w:p>
        </w:tc>
      </w:tr>
      <w:tr w14:paraId="6B5731E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4AE929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灌木林地</w:t>
            </w:r>
          </w:p>
        </w:tc>
        <w:tc>
          <w:tcPr>
            <w:tcW w:w="1410" w:type="pct"/>
            <w:vAlign w:val="center"/>
          </w:tcPr>
          <w:p w14:paraId="1E214F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605.59</w:t>
            </w:r>
          </w:p>
        </w:tc>
        <w:tc>
          <w:tcPr>
            <w:tcW w:w="1494" w:type="pct"/>
            <w:vAlign w:val="center"/>
          </w:tcPr>
          <w:p w14:paraId="55BC7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12.62</w:t>
            </w:r>
          </w:p>
        </w:tc>
      </w:tr>
      <w:tr w14:paraId="7DE606D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3B3EF3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6"/>
                <w:sz w:val="21"/>
                <w:szCs w:val="21"/>
                <w:highlight w:val="none"/>
                <w:lang w:eastAsia="zh-CN"/>
              </w:rPr>
              <w:t>旱地</w:t>
            </w:r>
          </w:p>
        </w:tc>
        <w:tc>
          <w:tcPr>
            <w:tcW w:w="1410" w:type="pct"/>
            <w:vAlign w:val="center"/>
          </w:tcPr>
          <w:p w14:paraId="5F3DBE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4"/>
                <w:sz w:val="21"/>
                <w:szCs w:val="21"/>
                <w:highlight w:val="none"/>
                <w:lang w:val="en-US" w:eastAsia="zh-CN"/>
              </w:rPr>
              <w:t>975.20</w:t>
            </w:r>
          </w:p>
        </w:tc>
        <w:tc>
          <w:tcPr>
            <w:tcW w:w="1494" w:type="pct"/>
            <w:vAlign w:val="center"/>
          </w:tcPr>
          <w:p w14:paraId="22259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20.32</w:t>
            </w:r>
          </w:p>
        </w:tc>
      </w:tr>
      <w:tr w14:paraId="01685C2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12A6EF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6"/>
                <w:sz w:val="21"/>
                <w:szCs w:val="21"/>
                <w:highlight w:val="none"/>
                <w:lang w:eastAsia="zh-CN"/>
              </w:rPr>
              <w:t>其他草地</w:t>
            </w:r>
          </w:p>
        </w:tc>
        <w:tc>
          <w:tcPr>
            <w:tcW w:w="1410" w:type="pct"/>
            <w:vAlign w:val="center"/>
          </w:tcPr>
          <w:p w14:paraId="17095D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3"/>
                <w:sz w:val="21"/>
                <w:szCs w:val="21"/>
                <w:highlight w:val="none"/>
                <w:lang w:val="en-US" w:eastAsia="zh-CN"/>
              </w:rPr>
              <w:t>679.75</w:t>
            </w:r>
          </w:p>
        </w:tc>
        <w:tc>
          <w:tcPr>
            <w:tcW w:w="1494" w:type="pct"/>
            <w:vAlign w:val="center"/>
          </w:tcPr>
          <w:p w14:paraId="2B450C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14.17</w:t>
            </w:r>
          </w:p>
        </w:tc>
      </w:tr>
      <w:tr w14:paraId="2D7C477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33967D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6"/>
                <w:sz w:val="21"/>
                <w:szCs w:val="21"/>
                <w:highlight w:val="none"/>
                <w:lang w:eastAsia="zh-CN"/>
              </w:rPr>
            </w:pPr>
            <w:r>
              <w:rPr>
                <w:rFonts w:hint="eastAsia" w:eastAsia="宋体" w:cs="Times New Roman"/>
                <w:color w:val="auto"/>
                <w:spacing w:val="6"/>
                <w:sz w:val="21"/>
                <w:szCs w:val="21"/>
                <w:highlight w:val="none"/>
                <w:lang w:eastAsia="zh-CN"/>
              </w:rPr>
              <w:t>农村宅基地</w:t>
            </w:r>
          </w:p>
        </w:tc>
        <w:tc>
          <w:tcPr>
            <w:tcW w:w="1410" w:type="pct"/>
            <w:vAlign w:val="center"/>
          </w:tcPr>
          <w:p w14:paraId="704EB2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2"/>
                <w:sz w:val="21"/>
                <w:szCs w:val="21"/>
                <w:highlight w:val="none"/>
                <w:lang w:val="en-US" w:eastAsia="zh-CN"/>
              </w:rPr>
              <w:t>25.73</w:t>
            </w:r>
          </w:p>
        </w:tc>
        <w:tc>
          <w:tcPr>
            <w:tcW w:w="1494" w:type="pct"/>
            <w:vAlign w:val="center"/>
          </w:tcPr>
          <w:p w14:paraId="55F4DD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r>
      <w:tr w14:paraId="541BBA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337759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6"/>
                <w:sz w:val="21"/>
                <w:szCs w:val="21"/>
                <w:highlight w:val="none"/>
                <w:lang w:eastAsia="zh-CN"/>
              </w:rPr>
            </w:pPr>
            <w:r>
              <w:rPr>
                <w:rFonts w:hint="eastAsia" w:eastAsia="宋体" w:cs="Times New Roman"/>
                <w:color w:val="auto"/>
                <w:spacing w:val="6"/>
                <w:sz w:val="21"/>
                <w:szCs w:val="21"/>
                <w:highlight w:val="none"/>
                <w:lang w:eastAsia="zh-CN"/>
              </w:rPr>
              <w:t>沟渠</w:t>
            </w:r>
          </w:p>
        </w:tc>
        <w:tc>
          <w:tcPr>
            <w:tcW w:w="1410" w:type="pct"/>
            <w:vAlign w:val="center"/>
          </w:tcPr>
          <w:p w14:paraId="22818A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pacing w:val="-4"/>
                <w:sz w:val="21"/>
                <w:szCs w:val="21"/>
                <w:highlight w:val="none"/>
                <w:lang w:val="en-US" w:eastAsia="zh-CN"/>
              </w:rPr>
            </w:pPr>
            <w:r>
              <w:rPr>
                <w:rFonts w:hint="eastAsia" w:eastAsia="宋体" w:cs="Times New Roman"/>
                <w:color w:val="auto"/>
                <w:spacing w:val="-4"/>
                <w:sz w:val="21"/>
                <w:szCs w:val="21"/>
                <w:highlight w:val="none"/>
                <w:lang w:val="en-US" w:eastAsia="zh-CN"/>
              </w:rPr>
              <w:t>4.63</w:t>
            </w:r>
          </w:p>
        </w:tc>
        <w:tc>
          <w:tcPr>
            <w:tcW w:w="1494" w:type="pct"/>
            <w:vAlign w:val="center"/>
          </w:tcPr>
          <w:p w14:paraId="1C11F7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14:paraId="7DF97C2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11904A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pacing w:val="7"/>
                <w:sz w:val="21"/>
                <w:szCs w:val="21"/>
                <w:highlight w:val="none"/>
                <w:lang w:eastAsia="zh-CN"/>
              </w:rPr>
              <w:t>农村道路</w:t>
            </w:r>
          </w:p>
        </w:tc>
        <w:tc>
          <w:tcPr>
            <w:tcW w:w="1410" w:type="pct"/>
            <w:vAlign w:val="center"/>
          </w:tcPr>
          <w:p w14:paraId="78AAF9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5.40</w:t>
            </w:r>
          </w:p>
        </w:tc>
        <w:tc>
          <w:tcPr>
            <w:tcW w:w="1494" w:type="pct"/>
            <w:vAlign w:val="center"/>
          </w:tcPr>
          <w:p w14:paraId="3065D2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14:paraId="7D0EF7E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094" w:type="pct"/>
            <w:vAlign w:val="center"/>
          </w:tcPr>
          <w:p w14:paraId="606BDB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pacing w:val="-4"/>
                <w:sz w:val="21"/>
                <w:szCs w:val="21"/>
                <w:highlight w:val="none"/>
                <w:lang w:eastAsia="zh-CN"/>
              </w:rPr>
              <w:t>合计</w:t>
            </w:r>
          </w:p>
        </w:tc>
        <w:tc>
          <w:tcPr>
            <w:tcW w:w="1410" w:type="pct"/>
            <w:vAlign w:val="center"/>
          </w:tcPr>
          <w:p w14:paraId="2372F8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4798.65</w:t>
            </w:r>
          </w:p>
        </w:tc>
        <w:tc>
          <w:tcPr>
            <w:tcW w:w="1494" w:type="pct"/>
            <w:vAlign w:val="center"/>
          </w:tcPr>
          <w:p w14:paraId="52AED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eastAsia="宋体" w:cs="Times New Roman"/>
                <w:i w:val="0"/>
                <w:iCs w:val="0"/>
                <w:color w:val="auto"/>
                <w:kern w:val="0"/>
                <w:sz w:val="21"/>
                <w:szCs w:val="21"/>
                <w:highlight w:val="none"/>
                <w:u w:val="none"/>
                <w:lang w:val="en-US" w:eastAsia="zh-CN" w:bidi="ar"/>
              </w:rPr>
              <w:t>100.00</w:t>
            </w:r>
          </w:p>
        </w:tc>
      </w:tr>
    </w:tbl>
    <w:p w14:paraId="56651777">
      <w:pPr>
        <w:pStyle w:val="2"/>
        <w:spacing w:line="480" w:lineRule="exact"/>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评价区范围内的土地利用类型主要以林地（包括有林地和灌木林地）、耕地、草地为主，分别占评价区总面积的64.77%、20.32％、14.17％，共计占评价区总面积的99.26％。除此而外，其他类型的土地主要包括农村宅基地、农村道路和沟渠等，共占评价区总面积的0.74％。</w:t>
      </w:r>
    </w:p>
    <w:p w14:paraId="381AEBB0">
      <w:pPr>
        <w:pStyle w:val="2"/>
        <w:spacing w:line="48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4.4.7全线两侧1km范围内植被类型</w:t>
      </w:r>
    </w:p>
    <w:p w14:paraId="60CD17E3">
      <w:pPr>
        <w:bidi w:val="0"/>
        <w:rPr>
          <w:rFonts w:hint="eastAsia" w:eastAsiaTheme="minor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）植被类型解译成果</w:t>
      </w:r>
    </w:p>
    <w:p w14:paraId="5EEDE4C0">
      <w:pPr>
        <w:bidi w:val="0"/>
        <w:rPr>
          <w:color w:val="auto"/>
          <w:highlight w:val="none"/>
        </w:rPr>
      </w:pPr>
      <w:r>
        <w:rPr>
          <w:rFonts w:hint="eastAsia"/>
          <w:color w:val="auto"/>
          <w:highlight w:val="none"/>
        </w:rPr>
        <w:t>根据遥感调查结果，采用图形叠加法对评价范围内的</w:t>
      </w:r>
      <w:r>
        <w:rPr>
          <w:rFonts w:hint="eastAsia"/>
          <w:color w:val="auto"/>
          <w:highlight w:val="none"/>
          <w:lang w:eastAsia="zh-CN"/>
        </w:rPr>
        <w:t>植被类型</w:t>
      </w:r>
      <w:r>
        <w:rPr>
          <w:rFonts w:hint="eastAsia"/>
          <w:color w:val="auto"/>
          <w:highlight w:val="none"/>
        </w:rPr>
        <w:t>现状进行分析，即将遥感影像与相同比例尺的地形图进行叠加，以确定沿线两侧1km评价范围内的</w:t>
      </w:r>
      <w:r>
        <w:rPr>
          <w:rFonts w:hint="eastAsia"/>
          <w:color w:val="auto"/>
          <w:highlight w:val="none"/>
          <w:lang w:eastAsia="zh-CN"/>
        </w:rPr>
        <w:t>植被</w:t>
      </w:r>
      <w:r>
        <w:rPr>
          <w:rFonts w:hint="eastAsia"/>
          <w:color w:val="auto"/>
          <w:highlight w:val="none"/>
        </w:rPr>
        <w:t>类型，并统计各类</w:t>
      </w:r>
      <w:r>
        <w:rPr>
          <w:rFonts w:hint="eastAsia"/>
          <w:color w:val="auto"/>
          <w:highlight w:val="none"/>
          <w:lang w:eastAsia="zh-CN"/>
        </w:rPr>
        <w:t>植被</w:t>
      </w:r>
      <w:r>
        <w:rPr>
          <w:rFonts w:hint="eastAsia"/>
          <w:color w:val="auto"/>
          <w:highlight w:val="none"/>
        </w:rPr>
        <w:t>类型的面积，将成果绘制成</w:t>
      </w:r>
      <w:r>
        <w:rPr>
          <w:rFonts w:hint="eastAsia"/>
          <w:color w:val="auto"/>
          <w:highlight w:val="none"/>
          <w:lang w:eastAsia="zh-CN"/>
        </w:rPr>
        <w:t>植被类型</w:t>
      </w:r>
      <w:r>
        <w:rPr>
          <w:rFonts w:hint="eastAsia"/>
          <w:color w:val="auto"/>
          <w:highlight w:val="none"/>
        </w:rPr>
        <w:t>图。评价区</w:t>
      </w:r>
      <w:r>
        <w:rPr>
          <w:rFonts w:hint="eastAsia"/>
          <w:color w:val="auto"/>
          <w:highlight w:val="none"/>
          <w:lang w:eastAsia="zh-CN"/>
        </w:rPr>
        <w:t>植被类型图</w:t>
      </w:r>
      <w:r>
        <w:rPr>
          <w:rFonts w:hint="eastAsia"/>
          <w:color w:val="auto"/>
          <w:highlight w:val="none"/>
        </w:rPr>
        <w:t>见</w:t>
      </w:r>
      <w:r>
        <w:rPr>
          <w:rFonts w:hint="eastAsia"/>
          <w:color w:val="auto"/>
          <w:highlight w:val="none"/>
          <w:lang w:eastAsia="zh-CN"/>
        </w:rPr>
        <w:t>附图</w:t>
      </w:r>
      <w:r>
        <w:rPr>
          <w:rFonts w:hint="eastAsia"/>
          <w:color w:val="auto"/>
          <w:highlight w:val="none"/>
          <w:lang w:val="en-US" w:eastAsia="zh-CN"/>
        </w:rPr>
        <w:t>19</w:t>
      </w:r>
      <w:r>
        <w:rPr>
          <w:rFonts w:hint="eastAsia"/>
          <w:color w:val="auto"/>
          <w:highlight w:val="none"/>
        </w:rPr>
        <w:t>，</w:t>
      </w:r>
      <w:r>
        <w:rPr>
          <w:rFonts w:hint="eastAsia"/>
          <w:color w:val="auto"/>
          <w:highlight w:val="none"/>
          <w:lang w:eastAsia="zh-CN"/>
        </w:rPr>
        <w:t>植被类型</w:t>
      </w:r>
      <w:r>
        <w:rPr>
          <w:rFonts w:hint="eastAsia"/>
          <w:color w:val="auto"/>
          <w:highlight w:val="none"/>
        </w:rPr>
        <w:t>统计数据见表</w:t>
      </w:r>
      <w:r>
        <w:rPr>
          <w:rFonts w:hint="eastAsia"/>
          <w:color w:val="auto"/>
          <w:highlight w:val="none"/>
          <w:lang w:val="en-US" w:eastAsia="zh-CN"/>
        </w:rPr>
        <w:t>4.4-4</w:t>
      </w:r>
      <w:r>
        <w:rPr>
          <w:rFonts w:hint="eastAsia"/>
          <w:color w:val="auto"/>
          <w:highlight w:val="none"/>
        </w:rPr>
        <w:t>。</w:t>
      </w:r>
    </w:p>
    <w:p w14:paraId="131D20A6">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eastAsia"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rPr>
        <w:t xml:space="preserve">  全线两侧1km区域</w:t>
      </w:r>
      <w:r>
        <w:rPr>
          <w:rFonts w:hint="eastAsia" w:ascii="Times New Roman" w:hAnsi="Times New Roman" w:eastAsia="宋体" w:cs="Times New Roman"/>
          <w:b/>
          <w:bCs/>
          <w:color w:val="auto"/>
          <w:sz w:val="21"/>
          <w:szCs w:val="21"/>
          <w:highlight w:val="none"/>
          <w:lang w:eastAsia="zh-CN"/>
        </w:rPr>
        <w:t>植被</w:t>
      </w:r>
      <w:r>
        <w:rPr>
          <w:rFonts w:hint="eastAsia" w:ascii="Times New Roman" w:hAnsi="Times New Roman" w:eastAsia="宋体" w:cs="Times New Roman"/>
          <w:b/>
          <w:bCs/>
          <w:color w:val="auto"/>
          <w:sz w:val="21"/>
          <w:szCs w:val="21"/>
          <w:highlight w:val="none"/>
        </w:rPr>
        <w:t>类型</w:t>
      </w:r>
      <w:r>
        <w:rPr>
          <w:rFonts w:hint="eastAsia" w:ascii="Times New Roman" w:hAnsi="Times New Roman" w:eastAsia="宋体" w:cs="Times New Roman"/>
          <w:b/>
          <w:bCs/>
          <w:color w:val="auto"/>
          <w:sz w:val="21"/>
          <w:szCs w:val="21"/>
          <w:highlight w:val="none"/>
          <w:lang w:eastAsia="zh-CN"/>
        </w:rPr>
        <w:t>一览</w:t>
      </w:r>
      <w:r>
        <w:rPr>
          <w:rFonts w:hint="eastAsia" w:ascii="Times New Roman" w:hAnsi="Times New Roman" w:eastAsia="宋体" w:cs="Times New Roman"/>
          <w:b/>
          <w:bCs/>
          <w:color w:val="auto"/>
          <w:sz w:val="21"/>
          <w:szCs w:val="21"/>
          <w:highlight w:val="none"/>
        </w:rPr>
        <w:t>表</w:t>
      </w:r>
    </w:p>
    <w:tbl>
      <w:tblPr>
        <w:tblStyle w:val="22"/>
        <w:tblW w:w="5041"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1533"/>
        <w:gridCol w:w="3176"/>
        <w:gridCol w:w="1894"/>
        <w:gridCol w:w="2005"/>
      </w:tblGrid>
      <w:tr w14:paraId="68463AC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Align w:val="center"/>
          </w:tcPr>
          <w:p w14:paraId="0B18F7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pacing w:val="5"/>
                <w:sz w:val="21"/>
                <w:szCs w:val="21"/>
                <w:highlight w:val="none"/>
                <w:lang w:val="en-US" w:eastAsia="zh-CN"/>
              </w:rPr>
              <w:t>植被</w:t>
            </w:r>
            <w:r>
              <w:rPr>
                <w:rFonts w:hint="default" w:ascii="Times New Roman" w:hAnsi="Times New Roman" w:eastAsia="宋体" w:cs="Times New Roman"/>
                <w:color w:val="auto"/>
                <w:spacing w:val="5"/>
                <w:sz w:val="21"/>
                <w:szCs w:val="21"/>
                <w:highlight w:val="none"/>
              </w:rPr>
              <w:t>型</w:t>
            </w:r>
            <w:r>
              <w:rPr>
                <w:rFonts w:hint="eastAsia" w:eastAsia="宋体" w:cs="Times New Roman"/>
                <w:color w:val="auto"/>
                <w:spacing w:val="5"/>
                <w:sz w:val="21"/>
                <w:szCs w:val="21"/>
                <w:highlight w:val="none"/>
                <w:lang w:eastAsia="zh-CN"/>
              </w:rPr>
              <w:t>组</w:t>
            </w:r>
          </w:p>
        </w:tc>
        <w:tc>
          <w:tcPr>
            <w:tcW w:w="1844" w:type="pct"/>
            <w:vAlign w:val="center"/>
          </w:tcPr>
          <w:p w14:paraId="77BB3F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5"/>
                <w:sz w:val="21"/>
                <w:szCs w:val="21"/>
                <w:highlight w:val="none"/>
                <w:lang w:val="en-US" w:eastAsia="zh-CN"/>
              </w:rPr>
            </w:pPr>
            <w:r>
              <w:rPr>
                <w:rFonts w:hint="eastAsia" w:eastAsia="宋体" w:cs="Times New Roman"/>
                <w:color w:val="auto"/>
                <w:spacing w:val="5"/>
                <w:sz w:val="21"/>
                <w:szCs w:val="21"/>
                <w:highlight w:val="none"/>
                <w:lang w:val="en-US" w:eastAsia="zh-CN"/>
              </w:rPr>
              <w:t>植被群系</w:t>
            </w:r>
          </w:p>
        </w:tc>
        <w:tc>
          <w:tcPr>
            <w:tcW w:w="1100" w:type="pct"/>
            <w:vAlign w:val="center"/>
          </w:tcPr>
          <w:p w14:paraId="2C37EA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6"/>
                <w:sz w:val="21"/>
                <w:szCs w:val="21"/>
                <w:highlight w:val="none"/>
              </w:rPr>
              <w:t>面积（公顷）</w:t>
            </w:r>
          </w:p>
        </w:tc>
        <w:tc>
          <w:tcPr>
            <w:tcW w:w="1164" w:type="pct"/>
            <w:vAlign w:val="center"/>
          </w:tcPr>
          <w:p w14:paraId="049142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z w:val="21"/>
                <w:szCs w:val="21"/>
                <w:highlight w:val="none"/>
              </w:rPr>
              <w:t>比例（%）</w:t>
            </w:r>
          </w:p>
        </w:tc>
      </w:tr>
      <w:tr w14:paraId="687BEB8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Align w:val="center"/>
          </w:tcPr>
          <w:p w14:paraId="0FFDBD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pacing w:val="7"/>
                <w:sz w:val="21"/>
                <w:szCs w:val="21"/>
                <w:highlight w:val="none"/>
                <w:lang w:eastAsia="zh-CN"/>
              </w:rPr>
              <w:t>针叶林</w:t>
            </w:r>
          </w:p>
        </w:tc>
        <w:tc>
          <w:tcPr>
            <w:tcW w:w="1844" w:type="pct"/>
            <w:vAlign w:val="center"/>
          </w:tcPr>
          <w:p w14:paraId="1E0F82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落叶松、樟子松、油松群系</w:t>
            </w:r>
          </w:p>
        </w:tc>
        <w:tc>
          <w:tcPr>
            <w:tcW w:w="1100" w:type="pct"/>
            <w:vAlign w:val="center"/>
          </w:tcPr>
          <w:p w14:paraId="223B9D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626.01</w:t>
            </w:r>
          </w:p>
        </w:tc>
        <w:tc>
          <w:tcPr>
            <w:tcW w:w="1164" w:type="pct"/>
            <w:vAlign w:val="center"/>
          </w:tcPr>
          <w:p w14:paraId="65CEE6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eastAsia="宋体" w:cs="Times New Roman"/>
                <w:i w:val="0"/>
                <w:iCs w:val="0"/>
                <w:color w:val="auto"/>
                <w:kern w:val="0"/>
                <w:sz w:val="21"/>
                <w:szCs w:val="21"/>
                <w:highlight w:val="none"/>
                <w:u w:val="none"/>
                <w:lang w:val="en-US" w:eastAsia="zh-CN" w:bidi="ar"/>
              </w:rPr>
              <w:t>13.05</w:t>
            </w:r>
          </w:p>
        </w:tc>
      </w:tr>
      <w:tr w14:paraId="5C84787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Align w:val="center"/>
          </w:tcPr>
          <w:p w14:paraId="3166275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阔叶林</w:t>
            </w:r>
          </w:p>
        </w:tc>
        <w:tc>
          <w:tcPr>
            <w:tcW w:w="1844" w:type="pct"/>
            <w:vAlign w:val="center"/>
          </w:tcPr>
          <w:p w14:paraId="299B79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蒙古栎、白桦、山杨群系</w:t>
            </w:r>
          </w:p>
        </w:tc>
        <w:tc>
          <w:tcPr>
            <w:tcW w:w="1100" w:type="pct"/>
            <w:vAlign w:val="center"/>
          </w:tcPr>
          <w:p w14:paraId="35ABF7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1876.34</w:t>
            </w:r>
          </w:p>
        </w:tc>
        <w:tc>
          <w:tcPr>
            <w:tcW w:w="1164" w:type="pct"/>
            <w:vAlign w:val="center"/>
          </w:tcPr>
          <w:p w14:paraId="20D13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39.10</w:t>
            </w:r>
          </w:p>
        </w:tc>
      </w:tr>
      <w:tr w14:paraId="7D938A6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Merge w:val="restart"/>
            <w:vAlign w:val="center"/>
          </w:tcPr>
          <w:p w14:paraId="4A2859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灌丛和灌草丛</w:t>
            </w:r>
          </w:p>
        </w:tc>
        <w:tc>
          <w:tcPr>
            <w:tcW w:w="1844" w:type="pct"/>
            <w:vAlign w:val="center"/>
          </w:tcPr>
          <w:p w14:paraId="7C7732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7"/>
                <w:sz w:val="21"/>
                <w:szCs w:val="21"/>
                <w:highlight w:val="none"/>
                <w:lang w:eastAsia="zh-CN"/>
              </w:rPr>
            </w:pPr>
            <w:r>
              <w:rPr>
                <w:rFonts w:hint="eastAsia" w:eastAsia="宋体" w:cs="Times New Roman"/>
                <w:color w:val="auto"/>
                <w:spacing w:val="7"/>
                <w:sz w:val="21"/>
                <w:szCs w:val="21"/>
                <w:highlight w:val="none"/>
                <w:lang w:eastAsia="zh-CN"/>
              </w:rPr>
              <w:t>绣线菊、榛子、胡枝子群系</w:t>
            </w:r>
          </w:p>
        </w:tc>
        <w:tc>
          <w:tcPr>
            <w:tcW w:w="1100" w:type="pct"/>
            <w:vAlign w:val="center"/>
          </w:tcPr>
          <w:p w14:paraId="3562DF5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605.59</w:t>
            </w:r>
          </w:p>
        </w:tc>
        <w:tc>
          <w:tcPr>
            <w:tcW w:w="1164" w:type="pct"/>
            <w:vAlign w:val="center"/>
          </w:tcPr>
          <w:p w14:paraId="1291F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12.62</w:t>
            </w:r>
          </w:p>
        </w:tc>
      </w:tr>
      <w:tr w14:paraId="53644B0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Merge w:val="continue"/>
            <w:vAlign w:val="center"/>
          </w:tcPr>
          <w:p w14:paraId="13BC70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844" w:type="pct"/>
            <w:vAlign w:val="center"/>
          </w:tcPr>
          <w:p w14:paraId="4F4F4D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eastAsia="宋体" w:cs="Times New Roman"/>
                <w:color w:val="auto"/>
                <w:spacing w:val="6"/>
                <w:sz w:val="21"/>
                <w:szCs w:val="21"/>
                <w:highlight w:val="none"/>
                <w:lang w:eastAsia="zh-CN"/>
              </w:rPr>
              <w:t>杂草草甸</w:t>
            </w:r>
          </w:p>
        </w:tc>
        <w:tc>
          <w:tcPr>
            <w:tcW w:w="1100" w:type="pct"/>
            <w:vAlign w:val="center"/>
          </w:tcPr>
          <w:p w14:paraId="28C11D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3"/>
                <w:sz w:val="21"/>
                <w:szCs w:val="21"/>
                <w:highlight w:val="none"/>
                <w:lang w:val="en-US" w:eastAsia="zh-CN"/>
              </w:rPr>
              <w:t>679.75</w:t>
            </w:r>
          </w:p>
        </w:tc>
        <w:tc>
          <w:tcPr>
            <w:tcW w:w="1164" w:type="pct"/>
            <w:vAlign w:val="center"/>
          </w:tcPr>
          <w:p w14:paraId="4D0B7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14.17</w:t>
            </w:r>
          </w:p>
        </w:tc>
      </w:tr>
      <w:tr w14:paraId="6E947B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Align w:val="center"/>
          </w:tcPr>
          <w:p w14:paraId="688C0B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6"/>
                <w:sz w:val="21"/>
                <w:szCs w:val="21"/>
                <w:highlight w:val="none"/>
                <w:lang w:eastAsia="zh-CN"/>
              </w:rPr>
              <w:t>人工植被</w:t>
            </w:r>
          </w:p>
        </w:tc>
        <w:tc>
          <w:tcPr>
            <w:tcW w:w="1844" w:type="pct"/>
            <w:vAlign w:val="center"/>
          </w:tcPr>
          <w:p w14:paraId="1AF3A4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eastAsia="宋体" w:cs="Times New Roman"/>
                <w:color w:val="auto"/>
                <w:spacing w:val="6"/>
                <w:sz w:val="21"/>
                <w:szCs w:val="21"/>
                <w:highlight w:val="none"/>
                <w:lang w:eastAsia="zh-CN"/>
              </w:rPr>
              <w:t>农田栽植植被</w:t>
            </w:r>
          </w:p>
        </w:tc>
        <w:tc>
          <w:tcPr>
            <w:tcW w:w="1100" w:type="pct"/>
            <w:vAlign w:val="center"/>
          </w:tcPr>
          <w:p w14:paraId="1F93FB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4"/>
                <w:sz w:val="21"/>
                <w:szCs w:val="21"/>
                <w:highlight w:val="none"/>
                <w:lang w:val="en-US" w:eastAsia="zh-CN"/>
              </w:rPr>
              <w:t>975.20</w:t>
            </w:r>
          </w:p>
        </w:tc>
        <w:tc>
          <w:tcPr>
            <w:tcW w:w="1164" w:type="pct"/>
            <w:vAlign w:val="center"/>
          </w:tcPr>
          <w:p w14:paraId="6B9CF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20.32</w:t>
            </w:r>
          </w:p>
        </w:tc>
      </w:tr>
      <w:tr w14:paraId="5EA1F93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890" w:type="pct"/>
            <w:vAlign w:val="center"/>
          </w:tcPr>
          <w:p w14:paraId="7D0B5E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6"/>
                <w:sz w:val="21"/>
                <w:szCs w:val="21"/>
                <w:highlight w:val="none"/>
                <w:lang w:val="en-US" w:eastAsia="zh-CN"/>
              </w:rPr>
              <w:t>/</w:t>
            </w:r>
          </w:p>
        </w:tc>
        <w:tc>
          <w:tcPr>
            <w:tcW w:w="1844" w:type="pct"/>
            <w:vAlign w:val="center"/>
          </w:tcPr>
          <w:p w14:paraId="37FC5C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pacing w:val="6"/>
                <w:sz w:val="21"/>
                <w:szCs w:val="21"/>
                <w:highlight w:val="none"/>
                <w:lang w:eastAsia="zh-CN"/>
              </w:rPr>
            </w:pPr>
            <w:r>
              <w:rPr>
                <w:rFonts w:hint="eastAsia" w:eastAsia="宋体" w:cs="Times New Roman"/>
                <w:color w:val="auto"/>
                <w:spacing w:val="6"/>
                <w:sz w:val="21"/>
                <w:szCs w:val="21"/>
                <w:highlight w:val="none"/>
                <w:lang w:eastAsia="zh-CN"/>
              </w:rPr>
              <w:t>非植被区</w:t>
            </w:r>
          </w:p>
        </w:tc>
        <w:tc>
          <w:tcPr>
            <w:tcW w:w="1100" w:type="pct"/>
            <w:vAlign w:val="center"/>
          </w:tcPr>
          <w:p w14:paraId="5A3A41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2"/>
                <w:sz w:val="21"/>
                <w:szCs w:val="21"/>
                <w:highlight w:val="none"/>
                <w:lang w:val="en-US" w:eastAsia="zh-CN"/>
              </w:rPr>
              <w:t>35.76</w:t>
            </w:r>
          </w:p>
        </w:tc>
        <w:tc>
          <w:tcPr>
            <w:tcW w:w="1164" w:type="pct"/>
            <w:vAlign w:val="center"/>
          </w:tcPr>
          <w:p w14:paraId="5E6F1D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eastAsia="宋体" w:cs="Times New Roman"/>
                <w:i w:val="0"/>
                <w:iCs w:val="0"/>
                <w:color w:val="auto"/>
                <w:kern w:val="0"/>
                <w:sz w:val="21"/>
                <w:szCs w:val="21"/>
                <w:highlight w:val="none"/>
                <w:u w:val="none"/>
                <w:lang w:val="en-US" w:eastAsia="zh-CN" w:bidi="ar"/>
              </w:rPr>
              <w:t>0.74</w:t>
            </w:r>
          </w:p>
        </w:tc>
      </w:tr>
      <w:tr w14:paraId="29939B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2734" w:type="pct"/>
            <w:gridSpan w:val="2"/>
            <w:vAlign w:val="center"/>
          </w:tcPr>
          <w:p w14:paraId="794A87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pacing w:val="-4"/>
                <w:sz w:val="21"/>
                <w:szCs w:val="21"/>
                <w:highlight w:val="none"/>
                <w:lang w:val="en-US" w:eastAsia="zh-CN"/>
              </w:rPr>
            </w:pPr>
            <w:r>
              <w:rPr>
                <w:rFonts w:hint="eastAsia" w:eastAsia="宋体" w:cs="Times New Roman"/>
                <w:color w:val="auto"/>
                <w:spacing w:val="-4"/>
                <w:sz w:val="21"/>
                <w:szCs w:val="21"/>
                <w:highlight w:val="none"/>
                <w:lang w:eastAsia="zh-CN"/>
              </w:rPr>
              <w:t>合计</w:t>
            </w:r>
          </w:p>
        </w:tc>
        <w:tc>
          <w:tcPr>
            <w:tcW w:w="1100" w:type="pct"/>
            <w:vAlign w:val="center"/>
          </w:tcPr>
          <w:p w14:paraId="6FD71E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4798.65</w:t>
            </w:r>
          </w:p>
        </w:tc>
        <w:tc>
          <w:tcPr>
            <w:tcW w:w="1164" w:type="pct"/>
            <w:vAlign w:val="center"/>
          </w:tcPr>
          <w:p w14:paraId="2FF70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eastAsia="宋体" w:cs="Times New Roman"/>
                <w:i w:val="0"/>
                <w:iCs w:val="0"/>
                <w:color w:val="auto"/>
                <w:kern w:val="0"/>
                <w:sz w:val="21"/>
                <w:szCs w:val="21"/>
                <w:highlight w:val="none"/>
                <w:u w:val="none"/>
                <w:lang w:val="en-US" w:eastAsia="zh-CN" w:bidi="ar"/>
              </w:rPr>
              <w:t>100.00</w:t>
            </w:r>
          </w:p>
        </w:tc>
      </w:tr>
    </w:tbl>
    <w:p w14:paraId="6A87BD3F">
      <w:pPr>
        <w:bidi w:val="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由上表可知，评价区范围内的</w:t>
      </w:r>
      <w:r>
        <w:rPr>
          <w:rFonts w:hint="eastAsia" w:eastAsia="宋体" w:cs="Times New Roman"/>
          <w:color w:val="auto"/>
          <w:sz w:val="24"/>
          <w:szCs w:val="24"/>
          <w:highlight w:val="none"/>
          <w:lang w:val="en-US" w:eastAsia="zh-CN"/>
        </w:rPr>
        <w:t>植被</w:t>
      </w:r>
      <w:r>
        <w:rPr>
          <w:rFonts w:hint="eastAsia" w:ascii="Times New Roman" w:hAnsi="Times New Roman" w:eastAsia="宋体" w:cs="Times New Roman"/>
          <w:color w:val="auto"/>
          <w:sz w:val="24"/>
          <w:szCs w:val="24"/>
          <w:highlight w:val="none"/>
          <w:lang w:val="en-US" w:eastAsia="zh-CN"/>
        </w:rPr>
        <w:t>类型主要以</w:t>
      </w:r>
      <w:r>
        <w:rPr>
          <w:rFonts w:hint="eastAsia" w:eastAsia="宋体" w:cs="Times New Roman"/>
          <w:color w:val="auto"/>
          <w:sz w:val="24"/>
          <w:szCs w:val="24"/>
          <w:highlight w:val="none"/>
          <w:lang w:val="en-US" w:eastAsia="zh-CN"/>
        </w:rPr>
        <w:t>阔叶林、灌丛和灌草丛、人工植被、针叶林</w:t>
      </w:r>
      <w:r>
        <w:rPr>
          <w:rFonts w:hint="eastAsia" w:ascii="Times New Roman" w:hAnsi="Times New Roman" w:eastAsia="宋体" w:cs="Times New Roman"/>
          <w:color w:val="auto"/>
          <w:sz w:val="24"/>
          <w:szCs w:val="24"/>
          <w:highlight w:val="none"/>
          <w:lang w:val="en-US" w:eastAsia="zh-CN"/>
        </w:rPr>
        <w:t>为主，分别占评价区总面积的</w:t>
      </w:r>
      <w:r>
        <w:rPr>
          <w:rFonts w:hint="eastAsia" w:eastAsia="宋体" w:cs="Times New Roman"/>
          <w:color w:val="auto"/>
          <w:sz w:val="24"/>
          <w:szCs w:val="24"/>
          <w:highlight w:val="none"/>
          <w:lang w:val="en-US" w:eastAsia="zh-CN"/>
        </w:rPr>
        <w:t>39.10</w:t>
      </w:r>
      <w:r>
        <w:rPr>
          <w:rFonts w:hint="eastAsia" w:ascii="Times New Roman" w:hAnsi="Times New Roman" w:eastAsia="宋体" w:cs="Times New Roman"/>
          <w:color w:val="auto"/>
          <w:sz w:val="24"/>
          <w:szCs w:val="24"/>
          <w:highlight w:val="none"/>
          <w:lang w:val="en-US" w:eastAsia="zh-CN"/>
        </w:rPr>
        <w:t>%、2</w:t>
      </w:r>
      <w:r>
        <w:rPr>
          <w:rFonts w:hint="eastAsia" w:eastAsia="宋体" w:cs="Times New Roman"/>
          <w:color w:val="auto"/>
          <w:sz w:val="24"/>
          <w:szCs w:val="24"/>
          <w:highlight w:val="none"/>
          <w:lang w:val="en-US" w:eastAsia="zh-CN"/>
        </w:rPr>
        <w:t>6.79</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20.32</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和13.05%</w:t>
      </w:r>
      <w:r>
        <w:rPr>
          <w:rFonts w:hint="eastAsia" w:ascii="Times New Roman" w:hAnsi="Times New Roman" w:eastAsia="宋体" w:cs="Times New Roman"/>
          <w:color w:val="auto"/>
          <w:sz w:val="24"/>
          <w:szCs w:val="24"/>
          <w:highlight w:val="none"/>
          <w:lang w:val="en-US" w:eastAsia="zh-CN"/>
        </w:rPr>
        <w:t>，共计占评价区总面积的99.26％。除此而外，其他类型的主要包括农村宅基地、农村道路和沟渠等，共占评价区总面积的0.74％。</w:t>
      </w:r>
    </w:p>
    <w:p w14:paraId="348482F6">
      <w:pPr>
        <w:bidi w:val="0"/>
        <w:rPr>
          <w:rFonts w:hint="eastAsia" w:eastAsiaTheme="minorEastAsia"/>
          <w:color w:val="auto"/>
          <w:highlight w:val="none"/>
          <w:lang w:val="en-US" w:eastAsia="zh-CN"/>
        </w:rPr>
      </w:pPr>
      <w:r>
        <w:rPr>
          <w:rFonts w:hint="eastAsia"/>
          <w:color w:val="auto"/>
          <w:highlight w:val="none"/>
        </w:rPr>
        <w:t>（</w:t>
      </w:r>
      <w:r>
        <w:rPr>
          <w:rFonts w:hint="eastAsia"/>
          <w:color w:val="auto"/>
          <w:highlight w:val="none"/>
          <w:lang w:val="en-US" w:eastAsia="zh-CN"/>
        </w:rPr>
        <w:t>2</w:t>
      </w:r>
      <w:r>
        <w:rPr>
          <w:rFonts w:hint="eastAsia"/>
          <w:color w:val="auto"/>
          <w:highlight w:val="none"/>
        </w:rPr>
        <w:t>）</w:t>
      </w:r>
      <w:r>
        <w:rPr>
          <w:rFonts w:hint="eastAsia"/>
          <w:color w:val="auto"/>
          <w:highlight w:val="none"/>
          <w:lang w:eastAsia="zh-CN"/>
        </w:rPr>
        <w:t>植被</w:t>
      </w:r>
      <w:r>
        <w:rPr>
          <w:rFonts w:hint="eastAsia"/>
          <w:color w:val="auto"/>
          <w:highlight w:val="none"/>
          <w:lang w:val="en-US" w:eastAsia="zh-CN"/>
        </w:rPr>
        <w:t>生物量调查</w:t>
      </w:r>
    </w:p>
    <w:p w14:paraId="605B5473">
      <w:pPr>
        <w:bidi w:val="0"/>
        <w:rPr>
          <w:rFonts w:hint="eastAsia"/>
          <w:color w:val="auto"/>
          <w:highlight w:val="none"/>
        </w:rPr>
      </w:pPr>
      <w:r>
        <w:rPr>
          <w:rFonts w:hint="eastAsia"/>
          <w:color w:val="auto"/>
          <w:highlight w:val="none"/>
        </w:rPr>
        <w:t>根据以往资料，各植被类型小斑数据调查结果以及所在区域有关文献报道，调查结果，估算工程沿线涉及的各种植被类型的生物量见表</w:t>
      </w:r>
      <w:r>
        <w:rPr>
          <w:rFonts w:hint="eastAsia"/>
          <w:color w:val="auto"/>
          <w:highlight w:val="none"/>
          <w:lang w:val="en-US" w:eastAsia="zh-CN"/>
        </w:rPr>
        <w:t>4.4-5</w:t>
      </w:r>
      <w:r>
        <w:rPr>
          <w:rFonts w:hint="eastAsia"/>
          <w:color w:val="auto"/>
          <w:highlight w:val="none"/>
        </w:rPr>
        <w:t>。</w:t>
      </w:r>
    </w:p>
    <w:p w14:paraId="33CD0874">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eastAsia="宋体"/>
          <w:color w:val="auto"/>
          <w:highlight w:val="none"/>
          <w:lang w:eastAsia="zh-CN"/>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eastAsia"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eastAsia="zh-CN"/>
        </w:rPr>
        <w:t>典型植被类型平均生物量</w:t>
      </w:r>
    </w:p>
    <w:tbl>
      <w:tblPr>
        <w:tblStyle w:val="22"/>
        <w:tblW w:w="5014"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1178"/>
        <w:gridCol w:w="2337"/>
        <w:gridCol w:w="1688"/>
        <w:gridCol w:w="1678"/>
        <w:gridCol w:w="1681"/>
      </w:tblGrid>
      <w:tr w14:paraId="186A578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88" w:type="pct"/>
            <w:vAlign w:val="center"/>
          </w:tcPr>
          <w:p w14:paraId="3636F7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编号</w:t>
            </w:r>
          </w:p>
        </w:tc>
        <w:tc>
          <w:tcPr>
            <w:tcW w:w="1365" w:type="pct"/>
            <w:vAlign w:val="center"/>
          </w:tcPr>
          <w:p w14:paraId="7E315F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5"/>
                <w:sz w:val="21"/>
                <w:szCs w:val="21"/>
                <w:highlight w:val="none"/>
                <w:lang w:eastAsia="zh-CN"/>
              </w:rPr>
              <w:t>植被</w:t>
            </w:r>
            <w:r>
              <w:rPr>
                <w:rFonts w:hint="default" w:ascii="Times New Roman" w:hAnsi="Times New Roman" w:eastAsia="宋体" w:cs="Times New Roman"/>
                <w:color w:val="auto"/>
                <w:spacing w:val="5"/>
                <w:sz w:val="21"/>
                <w:szCs w:val="21"/>
                <w:highlight w:val="none"/>
              </w:rPr>
              <w:t>类型</w:t>
            </w:r>
          </w:p>
        </w:tc>
        <w:tc>
          <w:tcPr>
            <w:tcW w:w="985" w:type="pct"/>
            <w:vAlign w:val="center"/>
          </w:tcPr>
          <w:p w14:paraId="0A79C5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eastAsia" w:eastAsia="宋体" w:cs="Times New Roman"/>
                <w:color w:val="auto"/>
                <w:sz w:val="21"/>
                <w:szCs w:val="21"/>
                <w:highlight w:val="none"/>
                <w:lang w:eastAsia="zh-CN"/>
              </w:rPr>
              <w:t>生物量</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t/hm</w:t>
            </w:r>
            <w:r>
              <w:rPr>
                <w:rFonts w:hint="eastAsia"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w:t>
            </w:r>
          </w:p>
        </w:tc>
        <w:tc>
          <w:tcPr>
            <w:tcW w:w="980" w:type="pct"/>
            <w:vAlign w:val="center"/>
          </w:tcPr>
          <w:p w14:paraId="04CF52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占地面积（</w:t>
            </w:r>
            <w:r>
              <w:rPr>
                <w:rFonts w:hint="eastAsia" w:eastAsia="宋体" w:cs="Times New Roman"/>
                <w:color w:val="auto"/>
                <w:sz w:val="21"/>
                <w:szCs w:val="21"/>
                <w:highlight w:val="none"/>
                <w:lang w:val="en-US" w:eastAsia="zh-CN"/>
              </w:rPr>
              <w:t>hm</w:t>
            </w:r>
            <w:r>
              <w:rPr>
                <w:rFonts w:hint="eastAsia" w:eastAsia="宋体" w:cs="Times New Roman"/>
                <w:color w:val="auto"/>
                <w:sz w:val="21"/>
                <w:szCs w:val="21"/>
                <w:highlight w:val="none"/>
                <w:vertAlign w:val="superscript"/>
                <w:lang w:val="en-US" w:eastAsia="zh-CN"/>
              </w:rPr>
              <w:t>2</w:t>
            </w:r>
            <w:r>
              <w:rPr>
                <w:rFonts w:hint="eastAsia" w:eastAsia="宋体" w:cs="Times New Roman"/>
                <w:color w:val="auto"/>
                <w:sz w:val="21"/>
                <w:szCs w:val="21"/>
                <w:highlight w:val="none"/>
                <w:lang w:eastAsia="zh-CN"/>
              </w:rPr>
              <w:t>）</w:t>
            </w:r>
          </w:p>
        </w:tc>
        <w:tc>
          <w:tcPr>
            <w:tcW w:w="980" w:type="pct"/>
            <w:vAlign w:val="center"/>
          </w:tcPr>
          <w:p w14:paraId="5A83F6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生物量（</w:t>
            </w:r>
            <w:r>
              <w:rPr>
                <w:rFonts w:hint="eastAsia" w:eastAsia="宋体" w:cs="Times New Roman"/>
                <w:color w:val="auto"/>
                <w:sz w:val="21"/>
                <w:szCs w:val="21"/>
                <w:highlight w:val="none"/>
                <w:lang w:val="en-US" w:eastAsia="zh-CN"/>
              </w:rPr>
              <w:t>t</w:t>
            </w:r>
            <w:r>
              <w:rPr>
                <w:rFonts w:hint="eastAsia" w:eastAsia="宋体" w:cs="Times New Roman"/>
                <w:color w:val="auto"/>
                <w:sz w:val="21"/>
                <w:szCs w:val="21"/>
                <w:highlight w:val="none"/>
                <w:lang w:eastAsia="zh-CN"/>
              </w:rPr>
              <w:t>）</w:t>
            </w:r>
          </w:p>
        </w:tc>
      </w:tr>
      <w:tr w14:paraId="2628E0F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88" w:type="pct"/>
            <w:vAlign w:val="center"/>
          </w:tcPr>
          <w:p w14:paraId="14039D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w:t>
            </w:r>
          </w:p>
        </w:tc>
        <w:tc>
          <w:tcPr>
            <w:tcW w:w="1365" w:type="pct"/>
            <w:vAlign w:val="center"/>
          </w:tcPr>
          <w:p w14:paraId="1017CA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7"/>
                <w:sz w:val="21"/>
                <w:szCs w:val="21"/>
                <w:highlight w:val="none"/>
                <w:lang w:eastAsia="zh-CN"/>
              </w:rPr>
              <w:t>落叶松、樟子松、油松</w:t>
            </w:r>
          </w:p>
        </w:tc>
        <w:tc>
          <w:tcPr>
            <w:tcW w:w="985" w:type="pct"/>
            <w:vAlign w:val="center"/>
          </w:tcPr>
          <w:p w14:paraId="05724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115</w:t>
            </w:r>
          </w:p>
        </w:tc>
        <w:tc>
          <w:tcPr>
            <w:tcW w:w="980" w:type="pct"/>
            <w:vAlign w:val="center"/>
          </w:tcPr>
          <w:p w14:paraId="5E6CB2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626.01</w:t>
            </w:r>
          </w:p>
        </w:tc>
        <w:tc>
          <w:tcPr>
            <w:tcW w:w="980" w:type="pct"/>
            <w:vAlign w:val="center"/>
          </w:tcPr>
          <w:p w14:paraId="7536C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71991.15</w:t>
            </w:r>
          </w:p>
        </w:tc>
      </w:tr>
      <w:tr w14:paraId="6C4F1E8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88" w:type="pct"/>
            <w:vAlign w:val="center"/>
          </w:tcPr>
          <w:p w14:paraId="629F90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w:t>
            </w:r>
          </w:p>
        </w:tc>
        <w:tc>
          <w:tcPr>
            <w:tcW w:w="1365" w:type="pct"/>
            <w:vAlign w:val="center"/>
          </w:tcPr>
          <w:p w14:paraId="215420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7"/>
                <w:sz w:val="21"/>
                <w:szCs w:val="21"/>
                <w:highlight w:val="none"/>
                <w:lang w:eastAsia="zh-CN"/>
              </w:rPr>
              <w:t>蒙古栎、白桦、山杨</w:t>
            </w:r>
          </w:p>
        </w:tc>
        <w:tc>
          <w:tcPr>
            <w:tcW w:w="985" w:type="pct"/>
            <w:vAlign w:val="center"/>
          </w:tcPr>
          <w:p w14:paraId="3AE1C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176</w:t>
            </w:r>
          </w:p>
        </w:tc>
        <w:tc>
          <w:tcPr>
            <w:tcW w:w="980" w:type="pct"/>
            <w:vAlign w:val="center"/>
          </w:tcPr>
          <w:p w14:paraId="68073A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1876.34</w:t>
            </w:r>
          </w:p>
        </w:tc>
        <w:tc>
          <w:tcPr>
            <w:tcW w:w="980" w:type="pct"/>
            <w:vAlign w:val="center"/>
          </w:tcPr>
          <w:p w14:paraId="5248E8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330235.84</w:t>
            </w:r>
          </w:p>
        </w:tc>
      </w:tr>
      <w:tr w14:paraId="721EC5E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88" w:type="pct"/>
            <w:vAlign w:val="center"/>
          </w:tcPr>
          <w:p w14:paraId="2C8AF9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w:t>
            </w:r>
          </w:p>
        </w:tc>
        <w:tc>
          <w:tcPr>
            <w:tcW w:w="1365" w:type="pct"/>
            <w:vAlign w:val="center"/>
          </w:tcPr>
          <w:p w14:paraId="0CD7A6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7"/>
                <w:sz w:val="21"/>
                <w:szCs w:val="21"/>
                <w:highlight w:val="none"/>
                <w:lang w:eastAsia="zh-CN"/>
              </w:rPr>
              <w:t>绣线菊、榛子、胡枝子</w:t>
            </w:r>
          </w:p>
        </w:tc>
        <w:tc>
          <w:tcPr>
            <w:tcW w:w="985" w:type="pct"/>
            <w:vAlign w:val="center"/>
          </w:tcPr>
          <w:p w14:paraId="5BFC1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64</w:t>
            </w:r>
          </w:p>
        </w:tc>
        <w:tc>
          <w:tcPr>
            <w:tcW w:w="980" w:type="pct"/>
            <w:vAlign w:val="center"/>
          </w:tcPr>
          <w:p w14:paraId="145EBF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605.59</w:t>
            </w:r>
          </w:p>
        </w:tc>
        <w:tc>
          <w:tcPr>
            <w:tcW w:w="980" w:type="pct"/>
            <w:vAlign w:val="center"/>
          </w:tcPr>
          <w:p w14:paraId="3E318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38757.76</w:t>
            </w:r>
          </w:p>
        </w:tc>
      </w:tr>
      <w:tr w14:paraId="68944DB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88" w:type="pct"/>
            <w:vAlign w:val="center"/>
          </w:tcPr>
          <w:p w14:paraId="7DC47F0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w:t>
            </w:r>
          </w:p>
        </w:tc>
        <w:tc>
          <w:tcPr>
            <w:tcW w:w="1365" w:type="pct"/>
            <w:vAlign w:val="center"/>
          </w:tcPr>
          <w:p w14:paraId="5ADB5E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6"/>
                <w:sz w:val="21"/>
                <w:szCs w:val="21"/>
                <w:highlight w:val="none"/>
                <w:lang w:eastAsia="zh-CN"/>
              </w:rPr>
              <w:t>杂草草甸</w:t>
            </w:r>
          </w:p>
        </w:tc>
        <w:tc>
          <w:tcPr>
            <w:tcW w:w="985" w:type="pct"/>
            <w:vAlign w:val="center"/>
          </w:tcPr>
          <w:p w14:paraId="3B12C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0.4</w:t>
            </w:r>
          </w:p>
        </w:tc>
        <w:tc>
          <w:tcPr>
            <w:tcW w:w="980" w:type="pct"/>
            <w:vAlign w:val="center"/>
          </w:tcPr>
          <w:p w14:paraId="5D9D59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pacing w:val="3"/>
                <w:sz w:val="21"/>
                <w:szCs w:val="21"/>
                <w:highlight w:val="none"/>
                <w:lang w:val="en-US" w:eastAsia="zh-CN"/>
              </w:rPr>
              <w:t>679.75</w:t>
            </w:r>
          </w:p>
        </w:tc>
        <w:tc>
          <w:tcPr>
            <w:tcW w:w="980" w:type="pct"/>
            <w:vAlign w:val="center"/>
          </w:tcPr>
          <w:p w14:paraId="107ED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271.9</w:t>
            </w:r>
            <w:r>
              <w:rPr>
                <w:rFonts w:hint="eastAsia" w:ascii="Times New Roman" w:hAnsi="Times New Roman" w:eastAsia="宋体" w:cs="Times New Roman"/>
                <w:i w:val="0"/>
                <w:iCs w:val="0"/>
                <w:color w:val="auto"/>
                <w:kern w:val="0"/>
                <w:sz w:val="22"/>
                <w:szCs w:val="22"/>
                <w:highlight w:val="none"/>
                <w:u w:val="none"/>
                <w:lang w:val="en-US" w:eastAsia="zh-CN" w:bidi="ar"/>
              </w:rPr>
              <w:t>0</w:t>
            </w:r>
          </w:p>
        </w:tc>
      </w:tr>
      <w:tr w14:paraId="2D62967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3039" w:type="pct"/>
            <w:gridSpan w:val="3"/>
            <w:vAlign w:val="center"/>
          </w:tcPr>
          <w:p w14:paraId="017A3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合计</w:t>
            </w:r>
          </w:p>
        </w:tc>
        <w:tc>
          <w:tcPr>
            <w:tcW w:w="980" w:type="pct"/>
            <w:vAlign w:val="center"/>
          </w:tcPr>
          <w:p w14:paraId="48A04E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s="Times New Roman"/>
                <w:color w:val="auto"/>
                <w:spacing w:val="3"/>
                <w:sz w:val="21"/>
                <w:szCs w:val="21"/>
                <w:highlight w:val="none"/>
                <w:lang w:val="en-US" w:eastAsia="zh-CN"/>
              </w:rPr>
            </w:pPr>
            <w:r>
              <w:rPr>
                <w:rFonts w:hint="eastAsia" w:eastAsia="宋体" w:cs="Times New Roman"/>
                <w:color w:val="auto"/>
                <w:spacing w:val="3"/>
                <w:sz w:val="21"/>
                <w:szCs w:val="21"/>
                <w:highlight w:val="none"/>
                <w:lang w:val="en-US" w:eastAsia="zh-CN"/>
              </w:rPr>
              <w:t>3787.69</w:t>
            </w:r>
          </w:p>
        </w:tc>
        <w:tc>
          <w:tcPr>
            <w:tcW w:w="980" w:type="pct"/>
            <w:vAlign w:val="center"/>
          </w:tcPr>
          <w:p w14:paraId="23EEE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441256.65</w:t>
            </w:r>
          </w:p>
        </w:tc>
      </w:tr>
      <w:tr w14:paraId="5EEA5F6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33" w:hRule="atLeast"/>
        </w:trPr>
        <w:tc>
          <w:tcPr>
            <w:tcW w:w="5000" w:type="pct"/>
            <w:gridSpan w:val="5"/>
            <w:vAlign w:val="center"/>
          </w:tcPr>
          <w:p w14:paraId="6D77A4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olor w:val="auto"/>
                <w:sz w:val="18"/>
                <w:szCs w:val="24"/>
                <w:highlight w:val="none"/>
              </w:rPr>
            </w:pPr>
            <w:r>
              <w:rPr>
                <w:rFonts w:hint="eastAsia" w:ascii="宋体" w:hAnsi="宋体" w:eastAsia="宋体"/>
                <w:color w:val="auto"/>
                <w:sz w:val="18"/>
                <w:szCs w:val="24"/>
                <w:highlight w:val="none"/>
              </w:rPr>
              <w:t>注：参考《我国森林植被的生物量和净生产量》，方精云，刘国华，徐嵩龄，《生态学报》第</w:t>
            </w:r>
            <w:r>
              <w:rPr>
                <w:rFonts w:hint="eastAsia" w:ascii="Times New Roman" w:hAnsi="Times New Roman" w:eastAsia="Times New Roman"/>
                <w:color w:val="auto"/>
                <w:sz w:val="18"/>
                <w:szCs w:val="24"/>
                <w:highlight w:val="none"/>
              </w:rPr>
              <w:t>16</w:t>
            </w:r>
            <w:r>
              <w:rPr>
                <w:rFonts w:hint="eastAsia" w:ascii="宋体" w:hAnsi="宋体" w:eastAsia="宋体"/>
                <w:color w:val="auto"/>
                <w:sz w:val="18"/>
                <w:szCs w:val="24"/>
                <w:highlight w:val="none"/>
              </w:rPr>
              <w:t>卷第</w:t>
            </w:r>
            <w:r>
              <w:rPr>
                <w:rFonts w:hint="eastAsia" w:ascii="Times New Roman" w:hAnsi="Times New Roman" w:eastAsia="Times New Roman"/>
                <w:color w:val="auto"/>
                <w:sz w:val="18"/>
                <w:szCs w:val="24"/>
                <w:highlight w:val="none"/>
              </w:rPr>
              <w:t>5</w:t>
            </w:r>
            <w:r>
              <w:rPr>
                <w:rFonts w:hint="eastAsia" w:ascii="宋体" w:hAnsi="宋体" w:eastAsia="宋体"/>
                <w:color w:val="auto"/>
                <w:sz w:val="18"/>
                <w:szCs w:val="24"/>
                <w:highlight w:val="none"/>
              </w:rPr>
              <w:t>期，</w:t>
            </w:r>
            <w:r>
              <w:rPr>
                <w:rFonts w:hint="eastAsia" w:ascii="Times New Roman" w:hAnsi="Times New Roman" w:eastAsia="Times New Roman"/>
                <w:color w:val="auto"/>
                <w:sz w:val="18"/>
                <w:szCs w:val="24"/>
                <w:highlight w:val="none"/>
              </w:rPr>
              <w:t>1996.10</w:t>
            </w:r>
            <w:r>
              <w:rPr>
                <w:rFonts w:hint="eastAsia" w:ascii="宋体" w:hAnsi="宋体" w:eastAsia="宋体"/>
                <w:color w:val="auto"/>
                <w:sz w:val="18"/>
                <w:szCs w:val="24"/>
                <w:highlight w:val="none"/>
              </w:rPr>
              <w:t>；以及王志杰等《塞罕坝地区典型人工林生物碳贮量的比较》和冯宗伟《中国森林生态系统的生物量与生产力》等文献估算</w:t>
            </w:r>
            <w:r>
              <w:rPr>
                <w:rFonts w:hint="eastAsia" w:ascii="宋体" w:hAnsi="宋体" w:eastAsia="宋体"/>
                <w:color w:val="auto"/>
                <w:sz w:val="18"/>
                <w:szCs w:val="24"/>
                <w:highlight w:val="none"/>
                <w:lang w:eastAsia="zh-CN"/>
              </w:rPr>
              <w:t>，农田植被不计算在内。</w:t>
            </w:r>
          </w:p>
        </w:tc>
      </w:tr>
    </w:tbl>
    <w:p w14:paraId="25EF33F7">
      <w:pPr>
        <w:pStyle w:val="2"/>
        <w:tabs>
          <w:tab w:val="left" w:pos="2520"/>
        </w:tabs>
        <w:spacing w:line="360" w:lineRule="auto"/>
        <w:ind w:firstLine="480" w:firstLineChars="200"/>
        <w:rPr>
          <w:rFonts w:ascii="Times New Roman" w:hAnsi="Times New Roman" w:eastAsia="宋体" w:cs="Times New Roman"/>
          <w:color w:val="auto"/>
          <w:sz w:val="24"/>
          <w:szCs w:val="24"/>
          <w:highlight w:val="none"/>
        </w:rPr>
      </w:pPr>
    </w:p>
    <w:p w14:paraId="2980C4C6">
      <w:pPr>
        <w:widowControl/>
        <w:spacing w:line="460" w:lineRule="exact"/>
        <w:ind w:firstLine="480"/>
        <w:rPr>
          <w:rFonts w:cs="Times New Roman"/>
          <w:color w:val="auto"/>
          <w:highlight w:val="none"/>
        </w:rPr>
        <w:sectPr>
          <w:pgSz w:w="11906" w:h="16838"/>
          <w:pgMar w:top="1440" w:right="1689" w:bottom="1440" w:left="1689" w:header="851" w:footer="992" w:gutter="0"/>
          <w:pgNumType w:fmt="decimal"/>
          <w:cols w:space="425" w:num="1"/>
          <w:docGrid w:type="lines" w:linePitch="312" w:charSpace="0"/>
        </w:sectPr>
      </w:pPr>
    </w:p>
    <w:p w14:paraId="6128C815">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kern w:val="0"/>
          <w:highlight w:val="none"/>
        </w:rPr>
      </w:pPr>
      <w:bookmarkStart w:id="58" w:name="_Toc26419"/>
      <w:r>
        <w:rPr>
          <w:rFonts w:cs="Times New Roman"/>
          <w:color w:val="auto"/>
          <w:kern w:val="0"/>
          <w:highlight w:val="none"/>
        </w:rPr>
        <w:t>5</w:t>
      </w:r>
      <w:r>
        <w:rPr>
          <w:rFonts w:hint="eastAsia" w:cs="Times New Roman"/>
          <w:color w:val="auto"/>
          <w:kern w:val="0"/>
          <w:highlight w:val="none"/>
          <w:lang w:eastAsia="zh-CN"/>
        </w:rPr>
        <w:t>生态</w:t>
      </w:r>
      <w:r>
        <w:rPr>
          <w:rFonts w:cs="Times New Roman"/>
          <w:color w:val="auto"/>
          <w:kern w:val="0"/>
          <w:highlight w:val="none"/>
        </w:rPr>
        <w:t>环境影响评价</w:t>
      </w:r>
      <w:bookmarkEnd w:id="58"/>
    </w:p>
    <w:p w14:paraId="297B1BA6">
      <w:pPr>
        <w:bidi w:val="0"/>
        <w:rPr>
          <w:rFonts w:hint="eastAsia"/>
          <w:color w:val="auto"/>
          <w:highlight w:val="none"/>
          <w:lang w:val="en-US" w:eastAsia="zh-CN"/>
        </w:rPr>
      </w:pPr>
      <w:r>
        <w:rPr>
          <w:color w:val="auto"/>
          <w:highlight w:val="none"/>
        </w:rPr>
        <w:t>根据《自然保护区类型与级别划分原则》（GB/T14529-93），河北滦河上游国家级自然保护区属于自然生态系统类别的森林生态系统类型的自然保护区。</w:t>
      </w:r>
      <w:r>
        <w:rPr>
          <w:rFonts w:hint="eastAsia"/>
          <w:color w:val="auto"/>
          <w:highlight w:val="none"/>
          <w:lang w:val="en-US" w:eastAsia="zh-CN"/>
        </w:rPr>
        <w:t>由于项目穿越</w:t>
      </w:r>
      <w:r>
        <w:rPr>
          <w:color w:val="auto"/>
          <w:highlight w:val="none"/>
        </w:rPr>
        <w:t>河北滦河上游国家级自然保护区</w:t>
      </w:r>
      <w:r>
        <w:rPr>
          <w:rFonts w:hint="eastAsia"/>
          <w:color w:val="auto"/>
          <w:highlight w:val="none"/>
          <w:lang w:eastAsia="zh-CN"/>
        </w:rPr>
        <w:t>，</w:t>
      </w:r>
      <w:r>
        <w:rPr>
          <w:rFonts w:hint="eastAsia"/>
          <w:color w:val="auto"/>
          <w:highlight w:val="none"/>
          <w:lang w:val="en-US" w:eastAsia="zh-CN"/>
        </w:rPr>
        <w:t>因此生态影响评价采用</w:t>
      </w:r>
      <w:r>
        <w:rPr>
          <w:color w:val="auto"/>
          <w:highlight w:val="none"/>
        </w:rPr>
        <w:t>根据《自然保护区建设项目生物多样性影响评价技术规范》（LY-T2242-2014）</w:t>
      </w:r>
      <w:r>
        <w:rPr>
          <w:rFonts w:hint="eastAsia"/>
          <w:color w:val="auto"/>
          <w:highlight w:val="none"/>
          <w:lang w:val="en-US" w:eastAsia="zh-CN"/>
        </w:rPr>
        <w:t>中推荐的建设项目对自然保护区生物多样性评价指标由一级指标和二级指标构成，其中一级指标6个、二级指标26个，具体见表5-1。</w:t>
      </w:r>
    </w:p>
    <w:p w14:paraId="3EB143CA">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highlight w:val="none"/>
          <w:lang w:val="en-US" w:eastAsia="zh-CN"/>
        </w:rPr>
        <w:t>表5-1  建设项目对自然保护区生物多样性评价指标体系</w:t>
      </w:r>
    </w:p>
    <w:p w14:paraId="36AA3D70">
      <w:pPr>
        <w:pStyle w:val="2"/>
        <w:keepNext w:val="0"/>
        <w:keepLines w:val="0"/>
        <w:pageBreakBefore w:val="0"/>
        <w:widowControl w:val="0"/>
        <w:kinsoku/>
        <w:wordWrap/>
        <w:overflowPunct/>
        <w:topLinePunct w:val="0"/>
        <w:autoSpaceDE/>
        <w:autoSpaceDN/>
        <w:bidi w:val="0"/>
        <w:adjustRightInd/>
        <w:snapToGrid/>
        <w:ind w:firstLine="0"/>
        <w:textAlignment w:val="auto"/>
        <w:rPr>
          <w:rFonts w:hint="default"/>
          <w:color w:val="auto"/>
          <w:lang w:val="en-US" w:eastAsia="zh-CN"/>
        </w:rPr>
      </w:pPr>
      <w:r>
        <w:rPr>
          <w:color w:val="auto"/>
        </w:rPr>
        <w:drawing>
          <wp:inline distT="0" distB="0" distL="114300" distR="114300">
            <wp:extent cx="5272405" cy="5572125"/>
            <wp:effectExtent l="0" t="0" r="4445" b="952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95"/>
                    <a:stretch>
                      <a:fillRect/>
                    </a:stretch>
                  </pic:blipFill>
                  <pic:spPr>
                    <a:xfrm>
                      <a:off x="0" y="0"/>
                      <a:ext cx="5272405" cy="5572125"/>
                    </a:xfrm>
                    <a:prstGeom prst="rect">
                      <a:avLst/>
                    </a:prstGeom>
                    <a:noFill/>
                    <a:ln>
                      <a:noFill/>
                    </a:ln>
                  </pic:spPr>
                </pic:pic>
              </a:graphicData>
            </a:graphic>
          </wp:inline>
        </w:drawing>
      </w:r>
    </w:p>
    <w:p w14:paraId="3E9543C1">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59" w:name="bookmark55"/>
      <w:bookmarkEnd w:id="59"/>
      <w:r>
        <w:rPr>
          <w:rFonts w:hint="eastAsia" w:cs="Times New Roman"/>
          <w:color w:val="auto"/>
          <w:kern w:val="0"/>
          <w:szCs w:val="30"/>
          <w:highlight w:val="none"/>
          <w:lang w:val="en-US" w:eastAsia="zh-CN"/>
        </w:rPr>
        <w:t>5.1对景观/生态系统的影响</w:t>
      </w:r>
    </w:p>
    <w:p w14:paraId="6A3FAC8E">
      <w:pPr>
        <w:bidi w:val="0"/>
        <w:rPr>
          <w:color w:val="auto"/>
          <w:highlight w:val="none"/>
        </w:rPr>
      </w:pPr>
      <w:r>
        <w:rPr>
          <w:rFonts w:hint="eastAsia"/>
          <w:color w:val="auto"/>
          <w:highlight w:val="none"/>
          <w:lang w:val="en-US" w:eastAsia="zh-CN"/>
        </w:rPr>
        <w:t>5</w:t>
      </w:r>
      <w:r>
        <w:rPr>
          <w:color w:val="auto"/>
          <w:highlight w:val="none"/>
        </w:rPr>
        <w:t>.1.1对景观/生态系统类型及其特有程度的影响（A1）</w:t>
      </w:r>
    </w:p>
    <w:p w14:paraId="714A0A57">
      <w:pPr>
        <w:bidi w:val="0"/>
        <w:rPr>
          <w:color w:val="auto"/>
          <w:highlight w:val="none"/>
        </w:rPr>
      </w:pPr>
      <w:r>
        <w:rPr>
          <w:color w:val="auto"/>
          <w:highlight w:val="none"/>
        </w:rPr>
        <w:t>项目影响评价区内的生态系统多为保护区及周边地区常见的森林生态系统，面积占整个评价区的</w:t>
      </w:r>
      <w:r>
        <w:rPr>
          <w:rFonts w:hint="eastAsia"/>
          <w:color w:val="auto"/>
          <w:highlight w:val="none"/>
          <w:lang w:val="en-US" w:eastAsia="zh-CN"/>
        </w:rPr>
        <w:t>52.36</w:t>
      </w:r>
      <w:r>
        <w:rPr>
          <w:color w:val="auto"/>
          <w:highlight w:val="none"/>
        </w:rPr>
        <w:t>%，并非特有生态系统类型，输电线路</w:t>
      </w:r>
      <w:r>
        <w:rPr>
          <w:rFonts w:hint="eastAsia"/>
          <w:color w:val="auto"/>
          <w:highlight w:val="none"/>
          <w:lang w:eastAsia="zh-CN"/>
        </w:rPr>
        <w:t>架空</w:t>
      </w:r>
      <w:r>
        <w:rPr>
          <w:color w:val="auto"/>
          <w:highlight w:val="none"/>
        </w:rPr>
        <w:t>穿越保护区不破坏植被，</w:t>
      </w:r>
      <w:r>
        <w:rPr>
          <w:rFonts w:hint="eastAsia"/>
          <w:color w:val="auto"/>
          <w:highlight w:val="none"/>
          <w:lang w:val="en-US" w:eastAsia="zh-CN"/>
        </w:rPr>
        <w:t>57</w:t>
      </w:r>
      <w:r>
        <w:rPr>
          <w:color w:val="auto"/>
          <w:highlight w:val="none"/>
        </w:rPr>
        <w:t>座塔基占</w:t>
      </w:r>
      <w:r>
        <w:rPr>
          <w:rFonts w:hint="eastAsia"/>
          <w:color w:val="auto"/>
          <w:highlight w:val="none"/>
          <w:lang w:eastAsia="zh-CN"/>
        </w:rPr>
        <w:t>地面积</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，占评价区总面积的0.0</w:t>
      </w:r>
      <w:r>
        <w:rPr>
          <w:rFonts w:hint="eastAsia"/>
          <w:color w:val="auto"/>
          <w:highlight w:val="none"/>
          <w:lang w:val="en-US" w:eastAsia="zh-CN"/>
        </w:rPr>
        <w:t>1</w:t>
      </w:r>
      <w:r>
        <w:rPr>
          <w:color w:val="auto"/>
          <w:highlight w:val="none"/>
        </w:rPr>
        <w:t>%，占地类型为乔木林地、特殊灌木林地和疏林地，项目建设前后森林生态系统的面积变化不大。项目建设对影响评价区的景观/生态系统类型及其特有程度的影响非常小。</w:t>
      </w:r>
    </w:p>
    <w:p w14:paraId="47D877E1">
      <w:pPr>
        <w:bidi w:val="0"/>
        <w:rPr>
          <w:color w:val="auto"/>
          <w:highlight w:val="none"/>
        </w:rPr>
      </w:pPr>
      <w:r>
        <w:rPr>
          <w:color w:val="auto"/>
          <w:highlight w:val="none"/>
        </w:rPr>
        <w:t>影响程度定级为中低度影响，分值50分，根据二级指标权重0.27，该指标得分为13.5分。</w:t>
      </w:r>
    </w:p>
    <w:p w14:paraId="6DA6F4D7">
      <w:pPr>
        <w:bidi w:val="0"/>
        <w:rPr>
          <w:color w:val="auto"/>
          <w:highlight w:val="none"/>
        </w:rPr>
      </w:pPr>
      <w:r>
        <w:rPr>
          <w:rFonts w:hint="eastAsia"/>
          <w:color w:val="auto"/>
          <w:highlight w:val="none"/>
          <w:lang w:val="en-US" w:eastAsia="zh-CN"/>
        </w:rPr>
        <w:t>5</w:t>
      </w:r>
      <w:r>
        <w:rPr>
          <w:color w:val="auto"/>
          <w:highlight w:val="none"/>
        </w:rPr>
        <w:t>.1.2对景观类型面积变化的影响（A2）</w:t>
      </w:r>
    </w:p>
    <w:p w14:paraId="76964C27">
      <w:pPr>
        <w:bidi w:val="0"/>
        <w:rPr>
          <w:color w:val="auto"/>
          <w:highlight w:val="none"/>
        </w:rPr>
      </w:pPr>
      <w:r>
        <w:rPr>
          <w:color w:val="auto"/>
          <w:highlight w:val="none"/>
        </w:rPr>
        <w:t>本项目属于线性工程，输电线路不占用土地，只有</w:t>
      </w:r>
      <w:r>
        <w:rPr>
          <w:rFonts w:hint="eastAsia"/>
          <w:color w:val="auto"/>
          <w:highlight w:val="none"/>
          <w:lang w:val="en-US" w:eastAsia="zh-CN"/>
        </w:rPr>
        <w:t>57</w:t>
      </w:r>
      <w:r>
        <w:rPr>
          <w:color w:val="auto"/>
          <w:highlight w:val="none"/>
        </w:rPr>
        <w:t>座塔基占</w:t>
      </w:r>
      <w:r>
        <w:rPr>
          <w:rFonts w:hint="eastAsia"/>
          <w:color w:val="auto"/>
          <w:highlight w:val="none"/>
          <w:lang w:eastAsia="zh-CN"/>
        </w:rPr>
        <w:t>地</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，占评价区总面积的0.0</w:t>
      </w:r>
      <w:r>
        <w:rPr>
          <w:rFonts w:hint="eastAsia"/>
          <w:color w:val="auto"/>
          <w:highlight w:val="none"/>
          <w:lang w:val="en-US" w:eastAsia="zh-CN"/>
        </w:rPr>
        <w:t>1</w:t>
      </w:r>
      <w:r>
        <w:rPr>
          <w:color w:val="auto"/>
          <w:highlight w:val="none"/>
        </w:rPr>
        <w:t>%，占用的景观类型</w:t>
      </w:r>
      <w:r>
        <w:rPr>
          <w:rFonts w:hint="eastAsia"/>
          <w:color w:val="auto"/>
          <w:highlight w:val="none"/>
          <w:lang w:eastAsia="zh-CN"/>
        </w:rPr>
        <w:t>主要为</w:t>
      </w:r>
      <w:r>
        <w:rPr>
          <w:color w:val="auto"/>
          <w:highlight w:val="none"/>
        </w:rPr>
        <w:t>森林景观</w:t>
      </w:r>
      <w:r>
        <w:rPr>
          <w:rFonts w:hint="eastAsia"/>
          <w:color w:val="auto"/>
          <w:highlight w:val="none"/>
          <w:lang w:eastAsia="zh-CN"/>
        </w:rPr>
        <w:t>，其次为草地景观</w:t>
      </w:r>
      <w:r>
        <w:rPr>
          <w:color w:val="auto"/>
          <w:highlight w:val="none"/>
        </w:rPr>
        <w:t>，评价区中森林景观面积占整个评价区的</w:t>
      </w:r>
      <w:r>
        <w:rPr>
          <w:rFonts w:hint="eastAsia"/>
          <w:color w:val="auto"/>
          <w:highlight w:val="none"/>
          <w:lang w:val="en-US" w:eastAsia="zh-CN"/>
        </w:rPr>
        <w:t>52.36</w:t>
      </w:r>
      <w:r>
        <w:rPr>
          <w:color w:val="auto"/>
          <w:highlight w:val="none"/>
        </w:rPr>
        <w:t>%，项目建设后森林景观占评价区面积的</w:t>
      </w:r>
      <w:r>
        <w:rPr>
          <w:rFonts w:hint="eastAsia"/>
          <w:color w:val="auto"/>
          <w:highlight w:val="none"/>
          <w:lang w:val="en-US" w:eastAsia="zh-CN"/>
        </w:rPr>
        <w:t>52.35</w:t>
      </w:r>
      <w:r>
        <w:rPr>
          <w:color w:val="auto"/>
          <w:highlight w:val="none"/>
        </w:rPr>
        <w:t>%，</w:t>
      </w:r>
      <w:r>
        <w:rPr>
          <w:rFonts w:hint="eastAsia"/>
          <w:color w:val="auto"/>
          <w:highlight w:val="none"/>
          <w:lang w:eastAsia="zh-CN"/>
        </w:rPr>
        <w:t>草地景观占比无变化，</w:t>
      </w:r>
      <w:r>
        <w:rPr>
          <w:color w:val="auto"/>
          <w:highlight w:val="none"/>
        </w:rPr>
        <w:t>景观类型面积变化非常小。相对于整体而言，景观面积的变化和变幅较小；且占用景观类型主要为保护区及周边常见的森林景观，施工完成后会对保护区进行植被恢复，所以对保护区</w:t>
      </w:r>
      <w:r>
        <w:rPr>
          <w:rFonts w:hint="eastAsia"/>
          <w:color w:val="auto"/>
          <w:highlight w:val="none"/>
          <w:lang w:eastAsia="zh-CN"/>
        </w:rPr>
        <w:t>及评价范围内</w:t>
      </w:r>
      <w:r>
        <w:rPr>
          <w:color w:val="auto"/>
          <w:highlight w:val="none"/>
        </w:rPr>
        <w:t>的影响较小。影响程度定级为中低度影响，分值50分，根据二级指标权重0.1，该指标得分为5.0分。</w:t>
      </w:r>
    </w:p>
    <w:p w14:paraId="77CB9DF0">
      <w:pPr>
        <w:bidi w:val="0"/>
        <w:rPr>
          <w:color w:val="auto"/>
          <w:highlight w:val="none"/>
        </w:rPr>
      </w:pPr>
      <w:r>
        <w:rPr>
          <w:rFonts w:hint="eastAsia"/>
          <w:color w:val="auto"/>
          <w:highlight w:val="none"/>
          <w:lang w:val="en-US" w:eastAsia="zh-CN"/>
        </w:rPr>
        <w:t>5</w:t>
      </w:r>
      <w:r>
        <w:rPr>
          <w:color w:val="auto"/>
          <w:highlight w:val="none"/>
        </w:rPr>
        <w:t>.1.3对景观类型斑块数量的影响（A3）</w:t>
      </w:r>
    </w:p>
    <w:p w14:paraId="16592C2C">
      <w:pPr>
        <w:bidi w:val="0"/>
        <w:rPr>
          <w:color w:val="auto"/>
          <w:highlight w:val="none"/>
        </w:rPr>
      </w:pPr>
      <w:r>
        <w:rPr>
          <w:color w:val="auto"/>
          <w:highlight w:val="none"/>
        </w:rPr>
        <w:t>由于建设项目属于线性项目，施工期对原有景观类型斑块分割及各类景观斑块数量的变化有一定影响。施工结束后，保护区实验区安装了23座塔基</w:t>
      </w:r>
      <w:r>
        <w:rPr>
          <w:rFonts w:hint="eastAsia"/>
          <w:color w:val="auto"/>
          <w:highlight w:val="none"/>
          <w:lang w:eastAsia="zh-CN"/>
        </w:rPr>
        <w:t>、保护区外安装了</w:t>
      </w:r>
      <w:r>
        <w:rPr>
          <w:rFonts w:hint="eastAsia"/>
          <w:color w:val="auto"/>
          <w:highlight w:val="none"/>
          <w:lang w:val="en-US" w:eastAsia="zh-CN"/>
        </w:rPr>
        <w:t>34座塔基</w:t>
      </w:r>
      <w:r>
        <w:rPr>
          <w:color w:val="auto"/>
          <w:highlight w:val="none"/>
        </w:rPr>
        <w:t>，由施工前的森林景观</w:t>
      </w:r>
      <w:r>
        <w:rPr>
          <w:rFonts w:hint="eastAsia"/>
          <w:color w:val="auto"/>
          <w:highlight w:val="none"/>
          <w:lang w:eastAsia="zh-CN"/>
        </w:rPr>
        <w:t>、草地景观</w:t>
      </w:r>
      <w:r>
        <w:rPr>
          <w:color w:val="auto"/>
          <w:highlight w:val="none"/>
        </w:rPr>
        <w:t>变为</w:t>
      </w:r>
      <w:r>
        <w:rPr>
          <w:rFonts w:hint="eastAsia"/>
          <w:color w:val="auto"/>
          <w:highlight w:val="none"/>
          <w:lang w:val="en-US" w:eastAsia="zh-CN"/>
        </w:rPr>
        <w:t>57</w:t>
      </w:r>
      <w:r>
        <w:rPr>
          <w:color w:val="auto"/>
          <w:highlight w:val="none"/>
        </w:rPr>
        <w:t>座建筑景观，虽然占地面积较小，但影响了景观类型的斑块数量。</w:t>
      </w:r>
    </w:p>
    <w:p w14:paraId="54A7B459">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5.1</w:t>
      </w:r>
      <w:r>
        <w:rPr>
          <w:rFonts w:hint="default" w:ascii="Times New Roman" w:hAnsi="Times New Roman" w:eastAsia="宋体" w:cs="Times New Roman"/>
          <w:b/>
          <w:bCs/>
          <w:color w:val="auto"/>
          <w:sz w:val="21"/>
          <w:szCs w:val="21"/>
          <w:highlight w:val="none"/>
        </w:rPr>
        <w:t>-1  景观类型斑块数量变化表</w:t>
      </w:r>
    </w:p>
    <w:tbl>
      <w:tblPr>
        <w:tblStyle w:val="22"/>
        <w:tblW w:w="8433" w:type="dxa"/>
        <w:tblInd w:w="1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05"/>
        <w:gridCol w:w="898"/>
        <w:gridCol w:w="854"/>
        <w:gridCol w:w="1215"/>
        <w:gridCol w:w="1181"/>
        <w:gridCol w:w="1288"/>
        <w:gridCol w:w="1192"/>
      </w:tblGrid>
      <w:tr w14:paraId="2343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1805" w:type="dxa"/>
            <w:vMerge w:val="restart"/>
            <w:tcBorders>
              <w:bottom w:val="nil"/>
            </w:tcBorders>
            <w:vAlign w:val="center"/>
          </w:tcPr>
          <w:p w14:paraId="1B0622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景观类型</w:t>
            </w:r>
          </w:p>
        </w:tc>
        <w:tc>
          <w:tcPr>
            <w:tcW w:w="1752" w:type="dxa"/>
            <w:gridSpan w:val="2"/>
            <w:vAlign w:val="center"/>
          </w:tcPr>
          <w:p w14:paraId="551A8F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景观斑块数量</w:t>
            </w:r>
          </w:p>
        </w:tc>
        <w:tc>
          <w:tcPr>
            <w:tcW w:w="2396" w:type="dxa"/>
            <w:gridSpan w:val="2"/>
            <w:vAlign w:val="center"/>
          </w:tcPr>
          <w:p w14:paraId="31FC0E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面积（公顷）</w:t>
            </w:r>
          </w:p>
        </w:tc>
        <w:tc>
          <w:tcPr>
            <w:tcW w:w="2480" w:type="dxa"/>
            <w:gridSpan w:val="2"/>
            <w:vAlign w:val="center"/>
          </w:tcPr>
          <w:p w14:paraId="4AFB0F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比例（%）</w:t>
            </w:r>
          </w:p>
        </w:tc>
      </w:tr>
      <w:tr w14:paraId="66F9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805" w:type="dxa"/>
            <w:vMerge w:val="continue"/>
            <w:tcBorders>
              <w:top w:val="nil"/>
            </w:tcBorders>
            <w:vAlign w:val="center"/>
          </w:tcPr>
          <w:p w14:paraId="21A01A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898" w:type="dxa"/>
            <w:vAlign w:val="center"/>
          </w:tcPr>
          <w:p w14:paraId="11D690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建设前</w:t>
            </w:r>
          </w:p>
        </w:tc>
        <w:tc>
          <w:tcPr>
            <w:tcW w:w="854" w:type="dxa"/>
            <w:vAlign w:val="center"/>
          </w:tcPr>
          <w:p w14:paraId="435557E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建设后</w:t>
            </w:r>
          </w:p>
        </w:tc>
        <w:tc>
          <w:tcPr>
            <w:tcW w:w="1215" w:type="dxa"/>
            <w:vAlign w:val="center"/>
          </w:tcPr>
          <w:p w14:paraId="42C4A4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建设前</w:t>
            </w:r>
          </w:p>
        </w:tc>
        <w:tc>
          <w:tcPr>
            <w:tcW w:w="1181" w:type="dxa"/>
            <w:vAlign w:val="center"/>
          </w:tcPr>
          <w:p w14:paraId="005610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建设后</w:t>
            </w:r>
          </w:p>
        </w:tc>
        <w:tc>
          <w:tcPr>
            <w:tcW w:w="1288" w:type="dxa"/>
            <w:vAlign w:val="center"/>
          </w:tcPr>
          <w:p w14:paraId="20F34B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建设前</w:t>
            </w:r>
          </w:p>
        </w:tc>
        <w:tc>
          <w:tcPr>
            <w:tcW w:w="1192" w:type="dxa"/>
            <w:vAlign w:val="center"/>
          </w:tcPr>
          <w:p w14:paraId="1E9E5EA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建设后</w:t>
            </w:r>
          </w:p>
        </w:tc>
      </w:tr>
      <w:tr w14:paraId="0DD79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805" w:type="dxa"/>
            <w:vAlign w:val="center"/>
          </w:tcPr>
          <w:p w14:paraId="613563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森林景观</w:t>
            </w:r>
          </w:p>
        </w:tc>
        <w:tc>
          <w:tcPr>
            <w:tcW w:w="898" w:type="dxa"/>
            <w:vAlign w:val="center"/>
          </w:tcPr>
          <w:p w14:paraId="11DE38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293</w:t>
            </w:r>
          </w:p>
        </w:tc>
        <w:tc>
          <w:tcPr>
            <w:tcW w:w="854" w:type="dxa"/>
            <w:vAlign w:val="center"/>
          </w:tcPr>
          <w:p w14:paraId="2AA4BC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293</w:t>
            </w:r>
          </w:p>
        </w:tc>
        <w:tc>
          <w:tcPr>
            <w:tcW w:w="1215" w:type="dxa"/>
            <w:vAlign w:val="center"/>
          </w:tcPr>
          <w:p w14:paraId="12B1A1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2512.38</w:t>
            </w:r>
          </w:p>
        </w:tc>
        <w:tc>
          <w:tcPr>
            <w:tcW w:w="1181" w:type="dxa"/>
            <w:vAlign w:val="center"/>
          </w:tcPr>
          <w:p w14:paraId="175DA3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3"/>
                <w:sz w:val="21"/>
                <w:szCs w:val="21"/>
                <w:highlight w:val="none"/>
                <w:lang w:val="en-US" w:eastAsia="zh-CN"/>
              </w:rPr>
              <w:t>2511.9959</w:t>
            </w:r>
          </w:p>
        </w:tc>
        <w:tc>
          <w:tcPr>
            <w:tcW w:w="1288" w:type="dxa"/>
            <w:vAlign w:val="center"/>
          </w:tcPr>
          <w:p w14:paraId="44876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52.36</w:t>
            </w:r>
          </w:p>
        </w:tc>
        <w:tc>
          <w:tcPr>
            <w:tcW w:w="1192" w:type="dxa"/>
            <w:vAlign w:val="center"/>
          </w:tcPr>
          <w:p w14:paraId="3A2519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52.35</w:t>
            </w:r>
          </w:p>
        </w:tc>
      </w:tr>
      <w:tr w14:paraId="3889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805" w:type="dxa"/>
            <w:vAlign w:val="center"/>
          </w:tcPr>
          <w:p w14:paraId="3B4F1F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草地景观</w:t>
            </w:r>
          </w:p>
        </w:tc>
        <w:tc>
          <w:tcPr>
            <w:tcW w:w="898" w:type="dxa"/>
            <w:vAlign w:val="center"/>
          </w:tcPr>
          <w:p w14:paraId="7DFB45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1</w:t>
            </w:r>
            <w:r>
              <w:rPr>
                <w:rFonts w:hint="eastAsia" w:eastAsia="宋体" w:cs="Times New Roman"/>
                <w:color w:val="auto"/>
                <w:spacing w:val="-8"/>
                <w:sz w:val="21"/>
                <w:szCs w:val="21"/>
                <w:highlight w:val="none"/>
                <w:lang w:val="en-US" w:eastAsia="zh-CN"/>
              </w:rPr>
              <w:t>45</w:t>
            </w:r>
          </w:p>
        </w:tc>
        <w:tc>
          <w:tcPr>
            <w:tcW w:w="854" w:type="dxa"/>
            <w:vAlign w:val="center"/>
          </w:tcPr>
          <w:p w14:paraId="4368AF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8"/>
                <w:sz w:val="21"/>
                <w:szCs w:val="21"/>
                <w:highlight w:val="none"/>
                <w:lang w:val="en-US" w:eastAsia="zh-CN"/>
              </w:rPr>
              <w:t>145</w:t>
            </w:r>
          </w:p>
        </w:tc>
        <w:tc>
          <w:tcPr>
            <w:tcW w:w="1215" w:type="dxa"/>
            <w:vAlign w:val="center"/>
          </w:tcPr>
          <w:p w14:paraId="317B7E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3"/>
                <w:sz w:val="21"/>
                <w:szCs w:val="21"/>
                <w:highlight w:val="none"/>
                <w:lang w:val="en-US" w:eastAsia="zh-CN"/>
              </w:rPr>
              <w:t>1285.34</w:t>
            </w:r>
          </w:p>
        </w:tc>
        <w:tc>
          <w:tcPr>
            <w:tcW w:w="1181" w:type="dxa"/>
            <w:vAlign w:val="center"/>
          </w:tcPr>
          <w:p w14:paraId="06ECD1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3"/>
                <w:sz w:val="21"/>
                <w:szCs w:val="21"/>
                <w:highlight w:val="none"/>
                <w:lang w:val="en-US" w:eastAsia="zh-CN"/>
              </w:rPr>
              <w:t>1285.2039</w:t>
            </w:r>
          </w:p>
        </w:tc>
        <w:tc>
          <w:tcPr>
            <w:tcW w:w="1288" w:type="dxa"/>
            <w:vAlign w:val="center"/>
          </w:tcPr>
          <w:p w14:paraId="5DC904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26.78</w:t>
            </w:r>
          </w:p>
        </w:tc>
        <w:tc>
          <w:tcPr>
            <w:tcW w:w="1192" w:type="dxa"/>
            <w:vAlign w:val="center"/>
          </w:tcPr>
          <w:p w14:paraId="642D5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26.78</w:t>
            </w:r>
          </w:p>
        </w:tc>
      </w:tr>
      <w:tr w14:paraId="5FFC1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805" w:type="dxa"/>
            <w:vAlign w:val="center"/>
          </w:tcPr>
          <w:p w14:paraId="57CE0F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农田景观</w:t>
            </w:r>
          </w:p>
        </w:tc>
        <w:tc>
          <w:tcPr>
            <w:tcW w:w="898" w:type="dxa"/>
            <w:vAlign w:val="center"/>
          </w:tcPr>
          <w:p w14:paraId="5C313A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
                <w:sz w:val="21"/>
                <w:szCs w:val="21"/>
                <w:highlight w:val="none"/>
                <w:lang w:val="en-US" w:eastAsia="zh-CN"/>
              </w:rPr>
              <w:t>10</w:t>
            </w:r>
          </w:p>
        </w:tc>
        <w:tc>
          <w:tcPr>
            <w:tcW w:w="854" w:type="dxa"/>
            <w:vAlign w:val="center"/>
          </w:tcPr>
          <w:p w14:paraId="19909C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
                <w:sz w:val="21"/>
                <w:szCs w:val="21"/>
                <w:highlight w:val="none"/>
                <w:lang w:val="en-US" w:eastAsia="zh-CN"/>
              </w:rPr>
              <w:t>10</w:t>
            </w:r>
          </w:p>
        </w:tc>
        <w:tc>
          <w:tcPr>
            <w:tcW w:w="1215" w:type="dxa"/>
            <w:vAlign w:val="center"/>
          </w:tcPr>
          <w:p w14:paraId="3082F0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4"/>
                <w:sz w:val="21"/>
                <w:szCs w:val="21"/>
                <w:highlight w:val="none"/>
                <w:lang w:val="en-US" w:eastAsia="zh-CN"/>
              </w:rPr>
              <w:t>975.20</w:t>
            </w:r>
          </w:p>
        </w:tc>
        <w:tc>
          <w:tcPr>
            <w:tcW w:w="1181" w:type="dxa"/>
            <w:vAlign w:val="center"/>
          </w:tcPr>
          <w:p w14:paraId="6757E5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4"/>
                <w:sz w:val="21"/>
                <w:szCs w:val="21"/>
                <w:highlight w:val="none"/>
                <w:lang w:val="en-US" w:eastAsia="zh-CN"/>
              </w:rPr>
              <w:t>975.25</w:t>
            </w:r>
          </w:p>
        </w:tc>
        <w:tc>
          <w:tcPr>
            <w:tcW w:w="1288" w:type="dxa"/>
            <w:vAlign w:val="center"/>
          </w:tcPr>
          <w:p w14:paraId="270F0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20.32</w:t>
            </w:r>
          </w:p>
        </w:tc>
        <w:tc>
          <w:tcPr>
            <w:tcW w:w="1192" w:type="dxa"/>
            <w:vAlign w:val="center"/>
          </w:tcPr>
          <w:p w14:paraId="1897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20.32</w:t>
            </w:r>
          </w:p>
        </w:tc>
      </w:tr>
      <w:tr w14:paraId="7040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805" w:type="dxa"/>
            <w:vAlign w:val="center"/>
          </w:tcPr>
          <w:p w14:paraId="7280EE0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城镇景观</w:t>
            </w:r>
          </w:p>
        </w:tc>
        <w:tc>
          <w:tcPr>
            <w:tcW w:w="898" w:type="dxa"/>
            <w:vAlign w:val="center"/>
          </w:tcPr>
          <w:p w14:paraId="0FA41E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
                <w:sz w:val="21"/>
                <w:szCs w:val="21"/>
                <w:highlight w:val="none"/>
                <w:lang w:val="en-US" w:eastAsia="zh-CN"/>
              </w:rPr>
              <w:t>19</w:t>
            </w:r>
          </w:p>
        </w:tc>
        <w:tc>
          <w:tcPr>
            <w:tcW w:w="854" w:type="dxa"/>
            <w:vAlign w:val="center"/>
          </w:tcPr>
          <w:p w14:paraId="5BD8A1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1"/>
                <w:sz w:val="21"/>
                <w:szCs w:val="21"/>
                <w:highlight w:val="none"/>
                <w:lang w:val="en-US" w:eastAsia="zh-CN"/>
              </w:rPr>
              <w:t>19</w:t>
            </w:r>
          </w:p>
        </w:tc>
        <w:tc>
          <w:tcPr>
            <w:tcW w:w="1215" w:type="dxa"/>
            <w:vAlign w:val="center"/>
          </w:tcPr>
          <w:p w14:paraId="3E42AD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2"/>
                <w:sz w:val="21"/>
                <w:szCs w:val="21"/>
                <w:highlight w:val="none"/>
                <w:lang w:val="en-US" w:eastAsia="zh-CN"/>
              </w:rPr>
              <w:t>25.73</w:t>
            </w:r>
          </w:p>
        </w:tc>
        <w:tc>
          <w:tcPr>
            <w:tcW w:w="1181" w:type="dxa"/>
            <w:vAlign w:val="center"/>
          </w:tcPr>
          <w:p w14:paraId="4975AA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pacing w:val="2"/>
                <w:sz w:val="21"/>
                <w:szCs w:val="21"/>
                <w:highlight w:val="none"/>
                <w:lang w:val="en-US" w:eastAsia="zh-CN"/>
              </w:rPr>
              <w:t>25.7802</w:t>
            </w:r>
          </w:p>
        </w:tc>
        <w:tc>
          <w:tcPr>
            <w:tcW w:w="1288" w:type="dxa"/>
            <w:vAlign w:val="center"/>
          </w:tcPr>
          <w:p w14:paraId="521D8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1192" w:type="dxa"/>
            <w:vAlign w:val="center"/>
          </w:tcPr>
          <w:p w14:paraId="18128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r>
      <w:tr w14:paraId="4E03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atLeast"/>
        </w:trPr>
        <w:tc>
          <w:tcPr>
            <w:tcW w:w="1805" w:type="dxa"/>
            <w:vAlign w:val="center"/>
          </w:tcPr>
          <w:p w14:paraId="65E763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建筑（塔基）景观</w:t>
            </w:r>
          </w:p>
        </w:tc>
        <w:tc>
          <w:tcPr>
            <w:tcW w:w="898" w:type="dxa"/>
            <w:vAlign w:val="center"/>
          </w:tcPr>
          <w:p w14:paraId="7DB610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854" w:type="dxa"/>
            <w:vAlign w:val="center"/>
          </w:tcPr>
          <w:p w14:paraId="6358E4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57</w:t>
            </w:r>
          </w:p>
        </w:tc>
        <w:tc>
          <w:tcPr>
            <w:tcW w:w="1215" w:type="dxa"/>
            <w:vAlign w:val="center"/>
          </w:tcPr>
          <w:p w14:paraId="3094DA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181" w:type="dxa"/>
            <w:vAlign w:val="center"/>
          </w:tcPr>
          <w:p w14:paraId="70B6B4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w:t>
            </w:r>
            <w:r>
              <w:rPr>
                <w:rFonts w:hint="eastAsia" w:eastAsia="宋体" w:cs="Times New Roman"/>
                <w:color w:val="auto"/>
                <w:spacing w:val="2"/>
                <w:sz w:val="21"/>
                <w:szCs w:val="21"/>
                <w:highlight w:val="none"/>
                <w:lang w:val="en-US" w:eastAsia="zh-CN"/>
              </w:rPr>
              <w:t>4000</w:t>
            </w:r>
          </w:p>
        </w:tc>
        <w:tc>
          <w:tcPr>
            <w:tcW w:w="1288" w:type="dxa"/>
            <w:vAlign w:val="center"/>
          </w:tcPr>
          <w:p w14:paraId="3AEE09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192" w:type="dxa"/>
            <w:vAlign w:val="center"/>
          </w:tcPr>
          <w:p w14:paraId="7808D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bl>
    <w:p w14:paraId="41790649">
      <w:pPr>
        <w:bidi w:val="0"/>
        <w:rPr>
          <w:color w:val="auto"/>
          <w:highlight w:val="none"/>
        </w:rPr>
      </w:pPr>
      <w:r>
        <w:rPr>
          <w:color w:val="auto"/>
          <w:highlight w:val="none"/>
        </w:rPr>
        <w:t>综上，影响程度定级为中高度影响，分值70分，根据二级指标权重0.2，该指标得分为14分。</w:t>
      </w:r>
    </w:p>
    <w:p w14:paraId="5ED44044">
      <w:pPr>
        <w:bidi w:val="0"/>
        <w:rPr>
          <w:color w:val="auto"/>
          <w:highlight w:val="none"/>
        </w:rPr>
      </w:pPr>
      <w:r>
        <w:rPr>
          <w:rFonts w:hint="eastAsia"/>
          <w:color w:val="auto"/>
          <w:highlight w:val="none"/>
          <w:lang w:val="en-US" w:eastAsia="zh-CN"/>
        </w:rPr>
        <w:t>5</w:t>
      </w:r>
      <w:r>
        <w:rPr>
          <w:color w:val="auto"/>
          <w:highlight w:val="none"/>
        </w:rPr>
        <w:t>.1.4对景观美学价值的影响（A4）</w:t>
      </w:r>
    </w:p>
    <w:p w14:paraId="24F3BF29">
      <w:pPr>
        <w:bidi w:val="0"/>
        <w:rPr>
          <w:color w:val="auto"/>
          <w:highlight w:val="none"/>
        </w:rPr>
      </w:pPr>
      <w:r>
        <w:rPr>
          <w:color w:val="auto"/>
          <w:highlight w:val="none"/>
        </w:rPr>
        <w:t>项目施工期在一定程度会影响景观的连续性和自然特征，降低了局部地带的观赏性，对影响评价区的部分区域产生影响，未形成较大规模的人工设施。施工完成后，保护区实验区安装了23座塔基</w:t>
      </w:r>
      <w:r>
        <w:rPr>
          <w:rFonts w:hint="eastAsia"/>
          <w:color w:val="auto"/>
          <w:highlight w:val="none"/>
          <w:lang w:eastAsia="zh-CN"/>
        </w:rPr>
        <w:t>、保护区外安装了</w:t>
      </w:r>
      <w:r>
        <w:rPr>
          <w:rFonts w:hint="eastAsia"/>
          <w:color w:val="auto"/>
          <w:highlight w:val="none"/>
          <w:lang w:val="en-US" w:eastAsia="zh-CN"/>
        </w:rPr>
        <w:t>34座塔基</w:t>
      </w:r>
      <w:r>
        <w:rPr>
          <w:color w:val="auto"/>
          <w:highlight w:val="none"/>
        </w:rPr>
        <w:t>，改变了原有的森林景观</w:t>
      </w:r>
      <w:r>
        <w:rPr>
          <w:rFonts w:hint="eastAsia"/>
          <w:color w:val="auto"/>
          <w:highlight w:val="none"/>
          <w:lang w:eastAsia="zh-CN"/>
        </w:rPr>
        <w:t>和草地景观</w:t>
      </w:r>
      <w:r>
        <w:rPr>
          <w:color w:val="auto"/>
          <w:highlight w:val="none"/>
        </w:rPr>
        <w:t>，对景观美学价值造成了一定的影响，降低整体和局部地带的观赏性。影响程度定级为中高度影响，分值70分，根据二级指标权重0.15，该指标得分为10.5分。</w:t>
      </w:r>
    </w:p>
    <w:p w14:paraId="4CE37C88">
      <w:pPr>
        <w:bidi w:val="0"/>
        <w:rPr>
          <w:color w:val="auto"/>
          <w:highlight w:val="none"/>
        </w:rPr>
      </w:pPr>
      <w:r>
        <w:rPr>
          <w:rFonts w:hint="eastAsia"/>
          <w:color w:val="auto"/>
          <w:highlight w:val="none"/>
          <w:lang w:val="en-US" w:eastAsia="zh-CN"/>
        </w:rPr>
        <w:t>5</w:t>
      </w:r>
      <w:r>
        <w:rPr>
          <w:color w:val="auto"/>
          <w:highlight w:val="none"/>
        </w:rPr>
        <w:t>.1.5对土壤侵蚀及地质灾害的影响（A5）</w:t>
      </w:r>
    </w:p>
    <w:p w14:paraId="54CF28B0">
      <w:pPr>
        <w:bidi w:val="0"/>
        <w:rPr>
          <w:color w:val="auto"/>
          <w:highlight w:val="none"/>
        </w:rPr>
      </w:pPr>
      <w:r>
        <w:rPr>
          <w:color w:val="auto"/>
          <w:highlight w:val="none"/>
        </w:rPr>
        <w:t>项目区在施工过程中，表土剥离、土石方开挖容易造成土壤侵蚀，开挖后由水泥浇筑，开挖土方在塔基占地范围填埋，在风力、水力等外力的作用下可能会造成土壤侵蚀。影响程度定级为中高度影响，分值70分，根据二级指标权重0.23，该指标得分为16.1分。</w:t>
      </w:r>
    </w:p>
    <w:p w14:paraId="44B31B5A">
      <w:pPr>
        <w:bidi w:val="0"/>
        <w:rPr>
          <w:color w:val="auto"/>
          <w:highlight w:val="none"/>
        </w:rPr>
      </w:pPr>
      <w:r>
        <w:rPr>
          <w:rFonts w:hint="eastAsia"/>
          <w:color w:val="auto"/>
          <w:highlight w:val="none"/>
          <w:lang w:val="en-US" w:eastAsia="zh-CN"/>
        </w:rPr>
        <w:t>5</w:t>
      </w:r>
      <w:r>
        <w:rPr>
          <w:color w:val="auto"/>
          <w:highlight w:val="none"/>
        </w:rPr>
        <w:t>.1.6对自然植被覆盖的影响（A6）</w:t>
      </w:r>
    </w:p>
    <w:p w14:paraId="4B9D52D7">
      <w:pPr>
        <w:bidi w:val="0"/>
        <w:rPr>
          <w:color w:val="auto"/>
          <w:highlight w:val="none"/>
        </w:rPr>
      </w:pPr>
      <w:r>
        <w:rPr>
          <w:color w:val="auto"/>
          <w:highlight w:val="none"/>
        </w:rPr>
        <w:t>本项目为线性工程，项目评价区主要为森林和草地生态系统，项目</w:t>
      </w:r>
      <w:r>
        <w:rPr>
          <w:rFonts w:hint="eastAsia"/>
          <w:color w:val="auto"/>
          <w:highlight w:val="none"/>
          <w:lang w:eastAsia="zh-CN"/>
        </w:rPr>
        <w:t>共设置</w:t>
      </w:r>
      <w:r>
        <w:rPr>
          <w:rFonts w:hint="eastAsia"/>
          <w:color w:val="auto"/>
          <w:highlight w:val="none"/>
          <w:lang w:val="en-US" w:eastAsia="zh-CN"/>
        </w:rPr>
        <w:t>57座塔基，</w:t>
      </w:r>
      <w:r>
        <w:rPr>
          <w:color w:val="auto"/>
          <w:highlight w:val="none"/>
        </w:rPr>
        <w:t>占地面积</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，塔基占地范围的植被多为白桦、蒙古栎和小灌木等自然植被，项目实施减少了自然植被覆盖度。故影响程度定级为中高度影响，分值70分，根据二级指标权重0.05，该指标得分为3.5分。</w:t>
      </w:r>
    </w:p>
    <w:p w14:paraId="7D83AB94">
      <w:pPr>
        <w:bidi w:val="0"/>
        <w:rPr>
          <w:color w:val="auto"/>
          <w:highlight w:val="none"/>
        </w:rPr>
      </w:pPr>
      <w:r>
        <w:rPr>
          <w:rFonts w:hint="eastAsia"/>
          <w:color w:val="auto"/>
          <w:highlight w:val="none"/>
          <w:lang w:val="en-US" w:eastAsia="zh-CN"/>
        </w:rPr>
        <w:t>5</w:t>
      </w:r>
      <w:r>
        <w:rPr>
          <w:color w:val="auto"/>
          <w:highlight w:val="none"/>
        </w:rPr>
        <w:t>.1.7景观/生态系统（A）各项评价指标权重和综合评分</w:t>
      </w:r>
    </w:p>
    <w:p w14:paraId="0920796C">
      <w:pPr>
        <w:bidi w:val="0"/>
        <w:rPr>
          <w:color w:val="auto"/>
          <w:highlight w:val="none"/>
        </w:rPr>
      </w:pPr>
      <w:r>
        <w:rPr>
          <w:color w:val="auto"/>
          <w:highlight w:val="none"/>
        </w:rPr>
        <w:t>通过以上影响程度评分，并对指标权重等综合计算，本项目对影响评价区景观/生态系统的影响评价综合评分为62.6分。影响程度为中低度影响。</w:t>
      </w:r>
    </w:p>
    <w:p w14:paraId="5A24BCB3">
      <w:pPr>
        <w:spacing w:before="1" w:line="213" w:lineRule="auto"/>
        <w:ind w:left="179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eastAsia" w:eastAsia="宋体" w:cs="Times New Roman"/>
          <w:b/>
          <w:bCs/>
          <w:color w:val="auto"/>
          <w:spacing w:val="-2"/>
          <w:sz w:val="21"/>
          <w:szCs w:val="21"/>
          <w:highlight w:val="none"/>
          <w:lang w:val="en-US" w:eastAsia="zh-CN"/>
        </w:rPr>
        <w:t>5.1-2</w:t>
      </w:r>
      <w:r>
        <w:rPr>
          <w:rFonts w:hint="default" w:ascii="Times New Roman" w:hAnsi="Times New Roman" w:eastAsia="宋体" w:cs="Times New Roman"/>
          <w:b/>
          <w:bCs/>
          <w:color w:val="auto"/>
          <w:spacing w:val="-2"/>
          <w:sz w:val="21"/>
          <w:szCs w:val="21"/>
          <w:highlight w:val="none"/>
        </w:rPr>
        <w:t xml:space="preserve">  景观/生态系统各项评价指标综合评分表</w:t>
      </w:r>
    </w:p>
    <w:tbl>
      <w:tblPr>
        <w:tblStyle w:val="22"/>
        <w:tblpPr w:leftFromText="180" w:rightFromText="180" w:vertAnchor="text" w:horzAnchor="page" w:tblpX="1602" w:tblpY="38"/>
        <w:tblOverlap w:val="never"/>
        <w:tblW w:w="86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1913"/>
        <w:gridCol w:w="844"/>
        <w:gridCol w:w="3056"/>
        <w:gridCol w:w="931"/>
        <w:gridCol w:w="664"/>
      </w:tblGrid>
      <w:tr w14:paraId="78C47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Align w:val="center"/>
          </w:tcPr>
          <w:p w14:paraId="1B47CAF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3"/>
                <w:sz w:val="21"/>
                <w:szCs w:val="21"/>
                <w:highlight w:val="none"/>
              </w:rPr>
              <w:t>二级指标</w:t>
            </w:r>
          </w:p>
        </w:tc>
        <w:tc>
          <w:tcPr>
            <w:tcW w:w="1913" w:type="dxa"/>
            <w:vAlign w:val="center"/>
          </w:tcPr>
          <w:p w14:paraId="175BC6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4"/>
                <w:sz w:val="21"/>
                <w:szCs w:val="21"/>
                <w:highlight w:val="none"/>
              </w:rPr>
              <w:t>影响程度</w:t>
            </w:r>
          </w:p>
        </w:tc>
        <w:tc>
          <w:tcPr>
            <w:tcW w:w="844" w:type="dxa"/>
            <w:vAlign w:val="center"/>
          </w:tcPr>
          <w:p w14:paraId="6914562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3"/>
                <w:sz w:val="21"/>
                <w:szCs w:val="21"/>
                <w:highlight w:val="none"/>
              </w:rPr>
              <w:t>分值</w:t>
            </w:r>
          </w:p>
        </w:tc>
        <w:tc>
          <w:tcPr>
            <w:tcW w:w="3056" w:type="dxa"/>
            <w:vAlign w:val="center"/>
          </w:tcPr>
          <w:p w14:paraId="61E71AA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4"/>
                <w:sz w:val="21"/>
                <w:szCs w:val="21"/>
                <w:highlight w:val="none"/>
              </w:rPr>
              <w:t>简要说明</w:t>
            </w:r>
          </w:p>
        </w:tc>
        <w:tc>
          <w:tcPr>
            <w:tcW w:w="931" w:type="dxa"/>
            <w:vAlign w:val="center"/>
          </w:tcPr>
          <w:p w14:paraId="51FDF8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1"/>
                <w:sz w:val="21"/>
                <w:szCs w:val="21"/>
                <w:highlight w:val="none"/>
              </w:rPr>
              <w:t>权重</w:t>
            </w:r>
          </w:p>
        </w:tc>
        <w:tc>
          <w:tcPr>
            <w:tcW w:w="664" w:type="dxa"/>
            <w:vAlign w:val="center"/>
          </w:tcPr>
          <w:p w14:paraId="496BAC6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2"/>
                <w:sz w:val="21"/>
                <w:szCs w:val="21"/>
                <w:highlight w:val="none"/>
              </w:rPr>
              <w:t>得分</w:t>
            </w:r>
          </w:p>
        </w:tc>
      </w:tr>
      <w:tr w14:paraId="57F3F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vAlign w:val="center"/>
          </w:tcPr>
          <w:p w14:paraId="713A11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景观/生态</w:t>
            </w:r>
            <w:r>
              <w:rPr>
                <w:rFonts w:hint="default" w:ascii="Times New Roman" w:hAnsi="Times New Roman" w:eastAsia="宋体" w:cs="Times New Roman"/>
                <w:color w:val="auto"/>
                <w:spacing w:val="8"/>
                <w:sz w:val="21"/>
                <w:szCs w:val="21"/>
                <w:highlight w:val="none"/>
              </w:rPr>
              <w:t>系统类型及其特有</w:t>
            </w:r>
            <w:r>
              <w:rPr>
                <w:rFonts w:hint="default" w:ascii="Times New Roman" w:hAnsi="Times New Roman" w:eastAsia="宋体" w:cs="Times New Roman"/>
                <w:color w:val="auto"/>
                <w:spacing w:val="5"/>
                <w:sz w:val="21"/>
                <w:szCs w:val="21"/>
                <w:highlight w:val="none"/>
              </w:rPr>
              <w:t>程度（A1）</w:t>
            </w:r>
          </w:p>
        </w:tc>
        <w:tc>
          <w:tcPr>
            <w:tcW w:w="1913" w:type="dxa"/>
            <w:vAlign w:val="center"/>
          </w:tcPr>
          <w:p w14:paraId="78BAEB69">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vAlign w:val="center"/>
          </w:tcPr>
          <w:p w14:paraId="0995D1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w:t>
            </w:r>
          </w:p>
        </w:tc>
        <w:tc>
          <w:tcPr>
            <w:tcW w:w="3056" w:type="dxa"/>
            <w:vMerge w:val="restart"/>
            <w:vAlign w:val="center"/>
          </w:tcPr>
          <w:p w14:paraId="5AB47C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项目影响评价区内的生态系统多为保护区及周边地区常见的</w:t>
            </w:r>
            <w:r>
              <w:rPr>
                <w:rFonts w:hint="default" w:ascii="Times New Roman" w:hAnsi="Times New Roman" w:eastAsia="宋体" w:cs="Times New Roman"/>
                <w:color w:val="auto"/>
                <w:spacing w:val="2"/>
                <w:sz w:val="21"/>
                <w:szCs w:val="21"/>
                <w:highlight w:val="none"/>
              </w:rPr>
              <w:t>森林生态系统，</w:t>
            </w:r>
            <w:r>
              <w:rPr>
                <w:rFonts w:hint="eastAsia" w:eastAsia="宋体" w:cs="Times New Roman"/>
                <w:color w:val="auto"/>
                <w:spacing w:val="2"/>
                <w:sz w:val="21"/>
                <w:szCs w:val="21"/>
                <w:highlight w:val="none"/>
                <w:lang w:val="en-US" w:eastAsia="zh-CN"/>
              </w:rPr>
              <w:t>57</w:t>
            </w:r>
            <w:r>
              <w:rPr>
                <w:rFonts w:hint="default" w:ascii="Times New Roman" w:hAnsi="Times New Roman" w:eastAsia="宋体" w:cs="Times New Roman"/>
                <w:color w:val="auto"/>
                <w:spacing w:val="2"/>
                <w:sz w:val="21"/>
                <w:szCs w:val="21"/>
                <w:highlight w:val="none"/>
              </w:rPr>
              <w:t>座塔基占保护</w:t>
            </w:r>
            <w:r>
              <w:rPr>
                <w:rFonts w:hint="default" w:ascii="Times New Roman" w:hAnsi="Times New Roman" w:eastAsia="宋体" w:cs="Times New Roman"/>
                <w:color w:val="auto"/>
                <w:sz w:val="21"/>
                <w:szCs w:val="21"/>
                <w:highlight w:val="none"/>
              </w:rPr>
              <w:t>区实验区</w:t>
            </w:r>
            <w:r>
              <w:rPr>
                <w:rFonts w:hint="eastAsia" w:eastAsia="宋体" w:cs="Times New Roman"/>
                <w:color w:val="auto"/>
                <w:sz w:val="21"/>
                <w:szCs w:val="21"/>
                <w:highlight w:val="none"/>
                <w:lang w:val="en-US" w:eastAsia="zh-CN"/>
              </w:rPr>
              <w:t>4000</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w:t>
            </w:r>
            <w:r>
              <w:rPr>
                <w:rFonts w:hint="eastAsia"/>
                <w:color w:val="auto"/>
                <w:sz w:val="21"/>
                <w:szCs w:val="21"/>
                <w:highlight w:val="none"/>
                <w:lang w:eastAsia="zh-CN"/>
              </w:rPr>
              <w:t>主要为</w:t>
            </w:r>
            <w:r>
              <w:rPr>
                <w:color w:val="auto"/>
                <w:sz w:val="21"/>
                <w:szCs w:val="21"/>
                <w:highlight w:val="none"/>
              </w:rPr>
              <w:t>森林景观</w:t>
            </w:r>
            <w:r>
              <w:rPr>
                <w:rFonts w:hint="eastAsia"/>
                <w:color w:val="auto"/>
                <w:sz w:val="21"/>
                <w:szCs w:val="21"/>
                <w:highlight w:val="none"/>
                <w:lang w:eastAsia="zh-CN"/>
              </w:rPr>
              <w:t>，其次为草地景观</w:t>
            </w:r>
            <w:r>
              <w:rPr>
                <w:rFonts w:hint="default" w:ascii="Times New Roman" w:hAnsi="Times New Roman" w:eastAsia="宋体" w:cs="Times New Roman"/>
                <w:color w:val="auto"/>
                <w:spacing w:val="5"/>
                <w:sz w:val="21"/>
                <w:szCs w:val="21"/>
                <w:highlight w:val="none"/>
              </w:rPr>
              <w:t>，项目建设前后森林生态</w:t>
            </w:r>
            <w:r>
              <w:rPr>
                <w:rFonts w:hint="default" w:ascii="Times New Roman" w:hAnsi="Times New Roman" w:eastAsia="宋体" w:cs="Times New Roman"/>
                <w:color w:val="auto"/>
                <w:spacing w:val="7"/>
                <w:sz w:val="21"/>
                <w:szCs w:val="21"/>
                <w:highlight w:val="none"/>
              </w:rPr>
              <w:t>系统</w:t>
            </w:r>
            <w:r>
              <w:rPr>
                <w:rFonts w:hint="eastAsia" w:eastAsia="宋体" w:cs="Times New Roman"/>
                <w:color w:val="auto"/>
                <w:spacing w:val="7"/>
                <w:sz w:val="21"/>
                <w:szCs w:val="21"/>
                <w:highlight w:val="none"/>
                <w:lang w:eastAsia="zh-CN"/>
              </w:rPr>
              <w:t>、草地生态系统</w:t>
            </w:r>
            <w:r>
              <w:rPr>
                <w:rFonts w:hint="default" w:ascii="Times New Roman" w:hAnsi="Times New Roman" w:eastAsia="宋体" w:cs="Times New Roman"/>
                <w:color w:val="auto"/>
                <w:spacing w:val="7"/>
                <w:sz w:val="21"/>
                <w:szCs w:val="21"/>
                <w:highlight w:val="none"/>
              </w:rPr>
              <w:t>的面积变化不大。</w:t>
            </w:r>
          </w:p>
        </w:tc>
        <w:tc>
          <w:tcPr>
            <w:tcW w:w="931" w:type="dxa"/>
            <w:vMerge w:val="restart"/>
            <w:vAlign w:val="center"/>
          </w:tcPr>
          <w:p w14:paraId="75F642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0.27</w:t>
            </w:r>
          </w:p>
        </w:tc>
        <w:tc>
          <w:tcPr>
            <w:tcW w:w="664" w:type="dxa"/>
            <w:vMerge w:val="restart"/>
            <w:vAlign w:val="center"/>
          </w:tcPr>
          <w:p w14:paraId="2C756C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13.5</w:t>
            </w:r>
          </w:p>
        </w:tc>
      </w:tr>
      <w:tr w14:paraId="0B62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vAlign w:val="center"/>
          </w:tcPr>
          <w:p w14:paraId="13F454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3B0A75E9">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vAlign w:val="center"/>
          </w:tcPr>
          <w:p w14:paraId="1B4C74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vAlign w:val="center"/>
          </w:tcPr>
          <w:p w14:paraId="7C142C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vAlign w:val="center"/>
          </w:tcPr>
          <w:p w14:paraId="0E1E5E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vAlign w:val="center"/>
          </w:tcPr>
          <w:p w14:paraId="14C0D8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29E6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vAlign w:val="center"/>
          </w:tcPr>
          <w:p w14:paraId="72E6023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913" w:type="dxa"/>
            <w:vAlign w:val="center"/>
          </w:tcPr>
          <w:p w14:paraId="2D797FB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vAlign w:val="center"/>
          </w:tcPr>
          <w:p w14:paraId="43CBB1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56" w:type="dxa"/>
            <w:vMerge w:val="continue"/>
            <w:vAlign w:val="center"/>
          </w:tcPr>
          <w:p w14:paraId="1D9AB4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vMerge w:val="continue"/>
            <w:vAlign w:val="center"/>
          </w:tcPr>
          <w:p w14:paraId="1BEEE8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vAlign w:val="center"/>
          </w:tcPr>
          <w:p w14:paraId="303E6A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9E8D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tcBorders>
              <w:bottom w:val="nil"/>
            </w:tcBorders>
            <w:vAlign w:val="center"/>
          </w:tcPr>
          <w:p w14:paraId="480DB0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景观类型面积变化</w:t>
            </w:r>
            <w:r>
              <w:rPr>
                <w:rFonts w:hint="default" w:ascii="Times New Roman" w:hAnsi="Times New Roman" w:eastAsia="宋体" w:cs="Times New Roman"/>
                <w:color w:val="auto"/>
                <w:sz w:val="21"/>
                <w:szCs w:val="21"/>
                <w:highlight w:val="none"/>
              </w:rPr>
              <w:t>的影响</w:t>
            </w:r>
            <w:r>
              <w:rPr>
                <w:rFonts w:hint="default" w:ascii="Times New Roman" w:hAnsi="Times New Roman" w:eastAsia="宋体" w:cs="Times New Roman"/>
                <w:color w:val="auto"/>
                <w:spacing w:val="5"/>
                <w:sz w:val="21"/>
                <w:szCs w:val="21"/>
                <w:highlight w:val="none"/>
              </w:rPr>
              <w:t>（A2）</w:t>
            </w:r>
          </w:p>
        </w:tc>
        <w:tc>
          <w:tcPr>
            <w:tcW w:w="1913" w:type="dxa"/>
            <w:vAlign w:val="center"/>
          </w:tcPr>
          <w:p w14:paraId="467704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tcBorders>
              <w:bottom w:val="nil"/>
            </w:tcBorders>
            <w:vAlign w:val="center"/>
          </w:tcPr>
          <w:p w14:paraId="4133A4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056" w:type="dxa"/>
            <w:vMerge w:val="restart"/>
            <w:tcBorders>
              <w:bottom w:val="nil"/>
            </w:tcBorders>
            <w:vAlign w:val="center"/>
          </w:tcPr>
          <w:p w14:paraId="6C3048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塔基占</w:t>
            </w:r>
            <w:r>
              <w:rPr>
                <w:rFonts w:hint="eastAsia" w:eastAsia="宋体" w:cs="Times New Roman"/>
                <w:color w:val="auto"/>
                <w:spacing w:val="2"/>
                <w:sz w:val="21"/>
                <w:szCs w:val="21"/>
                <w:highlight w:val="none"/>
                <w:lang w:eastAsia="zh-CN"/>
              </w:rPr>
              <w:t>地</w:t>
            </w:r>
            <w:r>
              <w:rPr>
                <w:rFonts w:hint="eastAsia" w:eastAsia="宋体" w:cs="Times New Roman"/>
                <w:color w:val="auto"/>
                <w:spacing w:val="2"/>
                <w:sz w:val="21"/>
                <w:szCs w:val="21"/>
                <w:highlight w:val="none"/>
                <w:lang w:val="en-US" w:eastAsia="zh-CN"/>
              </w:rPr>
              <w:t>4000</w:t>
            </w:r>
            <w:r>
              <w:rPr>
                <w:rFonts w:hint="default" w:ascii="Times New Roman" w:hAnsi="Times New Roman" w:eastAsia="宋体" w:cs="Times New Roman"/>
                <w:color w:val="auto"/>
                <w:spacing w:val="2"/>
                <w:sz w:val="21"/>
                <w:szCs w:val="21"/>
                <w:highlight w:val="none"/>
              </w:rPr>
              <w:t>m</w:t>
            </w:r>
            <w:r>
              <w:rPr>
                <w:rFonts w:hint="eastAsia"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rPr>
              <w:t>，占用</w:t>
            </w:r>
            <w:r>
              <w:rPr>
                <w:rFonts w:hint="default" w:ascii="Times New Roman" w:hAnsi="Times New Roman" w:eastAsia="宋体" w:cs="Times New Roman"/>
                <w:color w:val="auto"/>
                <w:spacing w:val="5"/>
                <w:sz w:val="21"/>
                <w:szCs w:val="21"/>
                <w:highlight w:val="none"/>
              </w:rPr>
              <w:t>的景观类型主要为森林景观，其次为草地景观，评价</w:t>
            </w:r>
            <w:r>
              <w:rPr>
                <w:rFonts w:hint="default" w:ascii="Times New Roman" w:hAnsi="Times New Roman" w:eastAsia="宋体" w:cs="Times New Roman"/>
                <w:color w:val="auto"/>
                <w:spacing w:val="8"/>
                <w:sz w:val="21"/>
                <w:szCs w:val="21"/>
                <w:highlight w:val="none"/>
              </w:rPr>
              <w:t>区中森林景观面积占整个评价</w:t>
            </w:r>
            <w:r>
              <w:rPr>
                <w:rFonts w:hint="default" w:ascii="Times New Roman" w:hAnsi="Times New Roman" w:eastAsia="宋体" w:cs="Times New Roman"/>
                <w:color w:val="auto"/>
                <w:spacing w:val="4"/>
                <w:sz w:val="21"/>
                <w:szCs w:val="21"/>
                <w:highlight w:val="none"/>
              </w:rPr>
              <w:t>区的</w:t>
            </w:r>
            <w:r>
              <w:rPr>
                <w:rFonts w:hint="eastAsia" w:eastAsia="宋体" w:cs="Times New Roman"/>
                <w:color w:val="auto"/>
                <w:spacing w:val="4"/>
                <w:sz w:val="21"/>
                <w:szCs w:val="21"/>
                <w:highlight w:val="none"/>
                <w:lang w:val="en-US" w:eastAsia="zh-CN"/>
              </w:rPr>
              <w:t>52.36</w:t>
            </w:r>
            <w:r>
              <w:rPr>
                <w:rFonts w:hint="default" w:ascii="Times New Roman" w:hAnsi="Times New Roman" w:eastAsia="宋体" w:cs="Times New Roman"/>
                <w:color w:val="auto"/>
                <w:spacing w:val="4"/>
                <w:sz w:val="21"/>
                <w:szCs w:val="21"/>
                <w:highlight w:val="none"/>
              </w:rPr>
              <w:t>%，项目建设后森林</w:t>
            </w:r>
            <w:r>
              <w:rPr>
                <w:rFonts w:hint="default" w:ascii="Times New Roman" w:hAnsi="Times New Roman" w:eastAsia="宋体" w:cs="Times New Roman"/>
                <w:color w:val="auto"/>
                <w:spacing w:val="5"/>
                <w:sz w:val="21"/>
                <w:szCs w:val="21"/>
                <w:highlight w:val="none"/>
              </w:rPr>
              <w:t>景观占评价区面积的</w:t>
            </w:r>
            <w:r>
              <w:rPr>
                <w:rFonts w:hint="eastAsia" w:eastAsia="宋体" w:cs="Times New Roman"/>
                <w:color w:val="auto"/>
                <w:spacing w:val="5"/>
                <w:sz w:val="21"/>
                <w:szCs w:val="21"/>
                <w:highlight w:val="none"/>
                <w:lang w:val="en-US" w:eastAsia="zh-CN"/>
              </w:rPr>
              <w:t>52.35</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7"/>
                <w:sz w:val="21"/>
                <w:szCs w:val="21"/>
                <w:highlight w:val="none"/>
              </w:rPr>
              <w:t>景观类型面积变化非常小。</w:t>
            </w:r>
          </w:p>
        </w:tc>
        <w:tc>
          <w:tcPr>
            <w:tcW w:w="931" w:type="dxa"/>
            <w:vMerge w:val="restart"/>
            <w:tcBorders>
              <w:bottom w:val="nil"/>
            </w:tcBorders>
            <w:vAlign w:val="center"/>
          </w:tcPr>
          <w:p w14:paraId="6F773F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664" w:type="dxa"/>
            <w:vMerge w:val="restart"/>
            <w:tcBorders>
              <w:bottom w:val="nil"/>
            </w:tcBorders>
            <w:vAlign w:val="center"/>
          </w:tcPr>
          <w:p w14:paraId="62DD62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14:paraId="246C4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bottom w:val="nil"/>
            </w:tcBorders>
            <w:vAlign w:val="center"/>
          </w:tcPr>
          <w:p w14:paraId="222E6F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049357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tcBorders>
              <w:top w:val="nil"/>
              <w:bottom w:val="nil"/>
            </w:tcBorders>
            <w:vAlign w:val="center"/>
          </w:tcPr>
          <w:p w14:paraId="22DF8F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bottom w:val="nil"/>
            </w:tcBorders>
            <w:vAlign w:val="center"/>
          </w:tcPr>
          <w:p w14:paraId="7C28B5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bottom w:val="nil"/>
            </w:tcBorders>
            <w:vAlign w:val="center"/>
          </w:tcPr>
          <w:p w14:paraId="4B0704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bottom w:val="nil"/>
            </w:tcBorders>
            <w:vAlign w:val="center"/>
          </w:tcPr>
          <w:p w14:paraId="043CD0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22F6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tcBorders>
            <w:vAlign w:val="center"/>
          </w:tcPr>
          <w:p w14:paraId="5194F5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1B24EF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tcBorders>
              <w:top w:val="nil"/>
            </w:tcBorders>
            <w:vAlign w:val="center"/>
          </w:tcPr>
          <w:p w14:paraId="776B1F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tcBorders>
            <w:vAlign w:val="center"/>
          </w:tcPr>
          <w:p w14:paraId="58EBE3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tcBorders>
            <w:vAlign w:val="center"/>
          </w:tcPr>
          <w:p w14:paraId="71C5C3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tcBorders>
            <w:vAlign w:val="center"/>
          </w:tcPr>
          <w:p w14:paraId="7C6BA6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E5B8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tcBorders>
              <w:bottom w:val="nil"/>
            </w:tcBorders>
            <w:vAlign w:val="center"/>
          </w:tcPr>
          <w:p w14:paraId="651686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景观类型</w:t>
            </w:r>
            <w:r>
              <w:rPr>
                <w:rFonts w:hint="default" w:ascii="Times New Roman" w:hAnsi="Times New Roman" w:eastAsia="宋体" w:cs="Times New Roman"/>
                <w:color w:val="auto"/>
                <w:spacing w:val="6"/>
                <w:sz w:val="21"/>
                <w:szCs w:val="21"/>
                <w:highlight w:val="none"/>
              </w:rPr>
              <w:t>斑块数量</w:t>
            </w:r>
            <w:r>
              <w:rPr>
                <w:rFonts w:hint="default" w:ascii="Times New Roman" w:hAnsi="Times New Roman" w:eastAsia="宋体" w:cs="Times New Roman"/>
                <w:color w:val="auto"/>
                <w:sz w:val="21"/>
                <w:szCs w:val="21"/>
                <w:highlight w:val="none"/>
              </w:rPr>
              <w:t>的影响</w:t>
            </w:r>
            <w:r>
              <w:rPr>
                <w:rFonts w:hint="default" w:ascii="Times New Roman" w:hAnsi="Times New Roman" w:eastAsia="宋体" w:cs="Times New Roman"/>
                <w:color w:val="auto"/>
                <w:spacing w:val="5"/>
                <w:sz w:val="21"/>
                <w:szCs w:val="21"/>
                <w:highlight w:val="none"/>
              </w:rPr>
              <w:t>（A3）</w:t>
            </w:r>
          </w:p>
        </w:tc>
        <w:tc>
          <w:tcPr>
            <w:tcW w:w="1913" w:type="dxa"/>
            <w:vAlign w:val="center"/>
          </w:tcPr>
          <w:p w14:paraId="5B8B8D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tcBorders>
              <w:bottom w:val="nil"/>
            </w:tcBorders>
            <w:vAlign w:val="center"/>
          </w:tcPr>
          <w:p w14:paraId="463D6A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056" w:type="dxa"/>
            <w:vMerge w:val="restart"/>
            <w:tcBorders>
              <w:bottom w:val="nil"/>
            </w:tcBorders>
            <w:vAlign w:val="center"/>
          </w:tcPr>
          <w:p w14:paraId="499A44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施工结束后，保护区实验区安装了23座塔基、保护区外安装了34座塔基，由施工前的森林景观、草地景观变为57座建筑景观</w:t>
            </w:r>
            <w:r>
              <w:rPr>
                <w:rFonts w:hint="default" w:ascii="Times New Roman" w:hAnsi="Times New Roman" w:eastAsia="宋体" w:cs="Times New Roman"/>
                <w:color w:val="auto"/>
                <w:spacing w:val="11"/>
                <w:sz w:val="21"/>
                <w:szCs w:val="21"/>
                <w:highlight w:val="none"/>
              </w:rPr>
              <w:t>，虽然</w:t>
            </w:r>
            <w:r>
              <w:rPr>
                <w:rFonts w:hint="default" w:ascii="Times New Roman" w:hAnsi="Times New Roman" w:eastAsia="宋体" w:cs="Times New Roman"/>
                <w:color w:val="auto"/>
                <w:spacing w:val="5"/>
                <w:sz w:val="21"/>
                <w:szCs w:val="21"/>
                <w:highlight w:val="none"/>
              </w:rPr>
              <w:t>占地面积较小，但影响了景观类</w:t>
            </w:r>
            <w:r>
              <w:rPr>
                <w:rFonts w:hint="default" w:ascii="Times New Roman" w:hAnsi="Times New Roman" w:eastAsia="宋体" w:cs="Times New Roman"/>
                <w:color w:val="auto"/>
                <w:spacing w:val="6"/>
                <w:sz w:val="21"/>
                <w:szCs w:val="21"/>
                <w:highlight w:val="none"/>
              </w:rPr>
              <w:t>型的斑块数量。</w:t>
            </w:r>
          </w:p>
        </w:tc>
        <w:tc>
          <w:tcPr>
            <w:tcW w:w="931" w:type="dxa"/>
            <w:vMerge w:val="restart"/>
            <w:tcBorders>
              <w:bottom w:val="nil"/>
            </w:tcBorders>
            <w:vAlign w:val="center"/>
          </w:tcPr>
          <w:p w14:paraId="63E872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0.2</w:t>
            </w:r>
          </w:p>
        </w:tc>
        <w:tc>
          <w:tcPr>
            <w:tcW w:w="664" w:type="dxa"/>
            <w:vMerge w:val="restart"/>
            <w:tcBorders>
              <w:bottom w:val="nil"/>
            </w:tcBorders>
            <w:vAlign w:val="center"/>
          </w:tcPr>
          <w:p w14:paraId="09D4FE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14</w:t>
            </w:r>
          </w:p>
        </w:tc>
      </w:tr>
      <w:tr w14:paraId="6409A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bottom w:val="nil"/>
            </w:tcBorders>
            <w:vAlign w:val="center"/>
          </w:tcPr>
          <w:p w14:paraId="4BE10D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6B5312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tcBorders>
              <w:top w:val="nil"/>
              <w:bottom w:val="nil"/>
            </w:tcBorders>
            <w:vAlign w:val="center"/>
          </w:tcPr>
          <w:p w14:paraId="0F2CC4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bottom w:val="nil"/>
            </w:tcBorders>
            <w:vAlign w:val="center"/>
          </w:tcPr>
          <w:p w14:paraId="0AAFD8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bottom w:val="nil"/>
            </w:tcBorders>
            <w:vAlign w:val="center"/>
          </w:tcPr>
          <w:p w14:paraId="2FA9B4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bottom w:val="nil"/>
            </w:tcBorders>
            <w:vAlign w:val="center"/>
          </w:tcPr>
          <w:p w14:paraId="5F3F7C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FE9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tcBorders>
            <w:vAlign w:val="center"/>
          </w:tcPr>
          <w:p w14:paraId="2C1999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58CF78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tcBorders>
              <w:top w:val="nil"/>
            </w:tcBorders>
            <w:vAlign w:val="center"/>
          </w:tcPr>
          <w:p w14:paraId="44A15F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tcBorders>
            <w:vAlign w:val="center"/>
          </w:tcPr>
          <w:p w14:paraId="27F143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tcBorders>
            <w:vAlign w:val="center"/>
          </w:tcPr>
          <w:p w14:paraId="6DC5A8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tcBorders>
            <w:vAlign w:val="center"/>
          </w:tcPr>
          <w:p w14:paraId="3F0714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D283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tcBorders>
              <w:bottom w:val="nil"/>
            </w:tcBorders>
            <w:vAlign w:val="center"/>
          </w:tcPr>
          <w:p w14:paraId="170842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景观美学</w:t>
            </w:r>
            <w:r>
              <w:rPr>
                <w:rFonts w:hint="default" w:ascii="Times New Roman" w:hAnsi="Times New Roman" w:eastAsia="宋体" w:cs="Times New Roman"/>
                <w:color w:val="auto"/>
                <w:spacing w:val="11"/>
                <w:sz w:val="21"/>
                <w:szCs w:val="21"/>
                <w:highlight w:val="none"/>
              </w:rPr>
              <w:t>价值的影</w:t>
            </w:r>
            <w:r>
              <w:rPr>
                <w:rFonts w:hint="default" w:ascii="Times New Roman" w:hAnsi="Times New Roman" w:eastAsia="宋体" w:cs="Times New Roman"/>
                <w:color w:val="auto"/>
                <w:spacing w:val="4"/>
                <w:sz w:val="21"/>
                <w:szCs w:val="21"/>
                <w:highlight w:val="none"/>
              </w:rPr>
              <w:t>响（A4）</w:t>
            </w:r>
          </w:p>
        </w:tc>
        <w:tc>
          <w:tcPr>
            <w:tcW w:w="1913" w:type="dxa"/>
            <w:vAlign w:val="center"/>
          </w:tcPr>
          <w:p w14:paraId="491079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tcBorders>
              <w:bottom w:val="nil"/>
            </w:tcBorders>
            <w:vAlign w:val="center"/>
          </w:tcPr>
          <w:p w14:paraId="3678CA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056" w:type="dxa"/>
            <w:vMerge w:val="restart"/>
            <w:tcBorders>
              <w:bottom w:val="nil"/>
            </w:tcBorders>
            <w:vAlign w:val="center"/>
          </w:tcPr>
          <w:p w14:paraId="75DF5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施工完成后，保护区实验区安装了23座塔基、保护区外安装了34座塔基，由施工前的森林景观、草地景观变为57座建筑景观</w:t>
            </w:r>
            <w:r>
              <w:rPr>
                <w:rFonts w:hint="default" w:ascii="Times New Roman" w:hAnsi="Times New Roman" w:eastAsia="宋体" w:cs="Times New Roman"/>
                <w:color w:val="auto"/>
                <w:spacing w:val="7"/>
                <w:sz w:val="21"/>
                <w:szCs w:val="21"/>
                <w:highlight w:val="none"/>
              </w:rPr>
              <w:t>，改变了原有的森</w:t>
            </w:r>
            <w:r>
              <w:rPr>
                <w:rFonts w:hint="default" w:ascii="Times New Roman" w:hAnsi="Times New Roman" w:eastAsia="宋体" w:cs="Times New Roman"/>
                <w:color w:val="auto"/>
                <w:spacing w:val="6"/>
                <w:sz w:val="21"/>
                <w:szCs w:val="21"/>
                <w:highlight w:val="none"/>
              </w:rPr>
              <w:t>林景观，对景观美学价值造成了一定的影响，降低整体和局部地</w:t>
            </w:r>
            <w:r>
              <w:rPr>
                <w:rFonts w:hint="default" w:ascii="Times New Roman" w:hAnsi="Times New Roman" w:eastAsia="宋体" w:cs="Times New Roman"/>
                <w:color w:val="auto"/>
                <w:spacing w:val="7"/>
                <w:sz w:val="21"/>
                <w:szCs w:val="21"/>
                <w:highlight w:val="none"/>
              </w:rPr>
              <w:t>带的观赏性。</w:t>
            </w:r>
          </w:p>
        </w:tc>
        <w:tc>
          <w:tcPr>
            <w:tcW w:w="931" w:type="dxa"/>
            <w:vMerge w:val="restart"/>
            <w:tcBorders>
              <w:bottom w:val="nil"/>
            </w:tcBorders>
            <w:vAlign w:val="center"/>
          </w:tcPr>
          <w:p w14:paraId="4B64FC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664" w:type="dxa"/>
            <w:vMerge w:val="restart"/>
            <w:tcBorders>
              <w:bottom w:val="nil"/>
            </w:tcBorders>
            <w:vAlign w:val="center"/>
          </w:tcPr>
          <w:p w14:paraId="03F9B8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10.5</w:t>
            </w:r>
          </w:p>
        </w:tc>
      </w:tr>
      <w:tr w14:paraId="583F0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bottom w:val="nil"/>
            </w:tcBorders>
            <w:vAlign w:val="center"/>
          </w:tcPr>
          <w:p w14:paraId="27D818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7543FA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tcBorders>
              <w:top w:val="nil"/>
              <w:bottom w:val="nil"/>
            </w:tcBorders>
            <w:vAlign w:val="center"/>
          </w:tcPr>
          <w:p w14:paraId="44DC2D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bottom w:val="nil"/>
            </w:tcBorders>
            <w:vAlign w:val="center"/>
          </w:tcPr>
          <w:p w14:paraId="75A1AF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bottom w:val="nil"/>
            </w:tcBorders>
            <w:vAlign w:val="center"/>
          </w:tcPr>
          <w:p w14:paraId="658D78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bottom w:val="nil"/>
            </w:tcBorders>
            <w:vAlign w:val="center"/>
          </w:tcPr>
          <w:p w14:paraId="00C06B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861B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tcBorders>
            <w:vAlign w:val="center"/>
          </w:tcPr>
          <w:p w14:paraId="69B414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57167A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tcBorders>
              <w:top w:val="nil"/>
            </w:tcBorders>
            <w:vAlign w:val="center"/>
          </w:tcPr>
          <w:p w14:paraId="5B5787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tcBorders>
            <w:vAlign w:val="center"/>
          </w:tcPr>
          <w:p w14:paraId="6F5331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tcBorders>
            <w:vAlign w:val="center"/>
          </w:tcPr>
          <w:p w14:paraId="2A2388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tcBorders>
            <w:vAlign w:val="center"/>
          </w:tcPr>
          <w:p w14:paraId="097C4C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9D09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tcBorders>
              <w:bottom w:val="nil"/>
            </w:tcBorders>
            <w:vAlign w:val="center"/>
          </w:tcPr>
          <w:p w14:paraId="49E1B3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土壤侵蚀</w:t>
            </w:r>
            <w:r>
              <w:rPr>
                <w:rFonts w:hint="default" w:ascii="Times New Roman" w:hAnsi="Times New Roman" w:eastAsia="宋体" w:cs="Times New Roman"/>
                <w:color w:val="auto"/>
                <w:spacing w:val="8"/>
                <w:sz w:val="21"/>
                <w:szCs w:val="21"/>
                <w:highlight w:val="none"/>
              </w:rPr>
              <w:t>及地质灾</w:t>
            </w:r>
            <w:r>
              <w:rPr>
                <w:rFonts w:hint="default" w:ascii="Times New Roman" w:hAnsi="Times New Roman" w:eastAsia="宋体" w:cs="Times New Roman"/>
                <w:color w:val="auto"/>
                <w:spacing w:val="5"/>
                <w:sz w:val="21"/>
                <w:szCs w:val="21"/>
                <w:highlight w:val="none"/>
              </w:rPr>
              <w:t>害影响（A5）</w:t>
            </w:r>
          </w:p>
        </w:tc>
        <w:tc>
          <w:tcPr>
            <w:tcW w:w="1913" w:type="dxa"/>
            <w:vAlign w:val="center"/>
          </w:tcPr>
          <w:p w14:paraId="548B4F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tcBorders>
              <w:bottom w:val="nil"/>
            </w:tcBorders>
            <w:vAlign w:val="center"/>
          </w:tcPr>
          <w:p w14:paraId="46FBDB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056" w:type="dxa"/>
            <w:vMerge w:val="restart"/>
            <w:tcBorders>
              <w:bottom w:val="nil"/>
            </w:tcBorders>
            <w:vAlign w:val="center"/>
          </w:tcPr>
          <w:p w14:paraId="7A5A86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表土剥离、土石方开挖容易造成土壤侵蚀，</w:t>
            </w:r>
            <w:r>
              <w:rPr>
                <w:rFonts w:hint="default" w:ascii="Times New Roman" w:hAnsi="Times New Roman" w:eastAsia="宋体" w:cs="Times New Roman"/>
                <w:color w:val="auto"/>
                <w:spacing w:val="5"/>
                <w:sz w:val="21"/>
                <w:szCs w:val="21"/>
                <w:highlight w:val="none"/>
              </w:rPr>
              <w:t>开挖后由水泥浇筑，</w:t>
            </w:r>
            <w:r>
              <w:rPr>
                <w:rFonts w:hint="default" w:ascii="Times New Roman" w:hAnsi="Times New Roman" w:eastAsia="宋体" w:cs="Times New Roman"/>
                <w:color w:val="auto"/>
                <w:spacing w:val="6"/>
                <w:sz w:val="21"/>
                <w:szCs w:val="21"/>
                <w:highlight w:val="none"/>
              </w:rPr>
              <w:t>开挖土方在占地范围内填埋，可能会造成土壤侵蚀及地质灾害。</w:t>
            </w:r>
          </w:p>
        </w:tc>
        <w:tc>
          <w:tcPr>
            <w:tcW w:w="931" w:type="dxa"/>
            <w:vMerge w:val="restart"/>
            <w:tcBorders>
              <w:bottom w:val="nil"/>
            </w:tcBorders>
            <w:vAlign w:val="center"/>
          </w:tcPr>
          <w:p w14:paraId="6FB301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0.23</w:t>
            </w:r>
          </w:p>
        </w:tc>
        <w:tc>
          <w:tcPr>
            <w:tcW w:w="664" w:type="dxa"/>
            <w:vMerge w:val="restart"/>
            <w:tcBorders>
              <w:bottom w:val="nil"/>
            </w:tcBorders>
            <w:vAlign w:val="center"/>
          </w:tcPr>
          <w:p w14:paraId="613003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16.1</w:t>
            </w:r>
          </w:p>
        </w:tc>
      </w:tr>
      <w:tr w14:paraId="4DFB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bottom w:val="nil"/>
            </w:tcBorders>
            <w:vAlign w:val="center"/>
          </w:tcPr>
          <w:p w14:paraId="1B3A3D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1FAB8F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tcBorders>
              <w:top w:val="nil"/>
              <w:bottom w:val="nil"/>
            </w:tcBorders>
            <w:vAlign w:val="center"/>
          </w:tcPr>
          <w:p w14:paraId="61C4D9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bottom w:val="nil"/>
            </w:tcBorders>
            <w:vAlign w:val="center"/>
          </w:tcPr>
          <w:p w14:paraId="0DBC1F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bottom w:val="nil"/>
            </w:tcBorders>
            <w:vAlign w:val="center"/>
          </w:tcPr>
          <w:p w14:paraId="5E01FD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bottom w:val="nil"/>
            </w:tcBorders>
            <w:vAlign w:val="center"/>
          </w:tcPr>
          <w:p w14:paraId="0CF1D1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6B27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tcBorders>
            <w:vAlign w:val="center"/>
          </w:tcPr>
          <w:p w14:paraId="4E8F01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328582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tcBorders>
              <w:top w:val="nil"/>
            </w:tcBorders>
            <w:vAlign w:val="center"/>
          </w:tcPr>
          <w:p w14:paraId="3AE591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tcBorders>
            <w:vAlign w:val="center"/>
          </w:tcPr>
          <w:p w14:paraId="2EF22E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tcBorders>
            <w:vAlign w:val="center"/>
          </w:tcPr>
          <w:p w14:paraId="4A639F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tcBorders>
            <w:vAlign w:val="center"/>
          </w:tcPr>
          <w:p w14:paraId="461651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DB45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restart"/>
            <w:tcBorders>
              <w:bottom w:val="nil"/>
            </w:tcBorders>
            <w:vAlign w:val="center"/>
          </w:tcPr>
          <w:p w14:paraId="3B1E9B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自然植被</w:t>
            </w:r>
            <w:r>
              <w:rPr>
                <w:rFonts w:hint="default" w:ascii="Times New Roman" w:hAnsi="Times New Roman" w:eastAsia="宋体" w:cs="Times New Roman"/>
                <w:color w:val="auto"/>
                <w:spacing w:val="11"/>
                <w:sz w:val="21"/>
                <w:szCs w:val="21"/>
                <w:highlight w:val="none"/>
              </w:rPr>
              <w:t>覆盖的影</w:t>
            </w:r>
            <w:r>
              <w:rPr>
                <w:rFonts w:hint="default" w:ascii="Times New Roman" w:hAnsi="Times New Roman" w:eastAsia="宋体" w:cs="Times New Roman"/>
                <w:color w:val="auto"/>
                <w:spacing w:val="4"/>
                <w:sz w:val="21"/>
                <w:szCs w:val="21"/>
                <w:highlight w:val="none"/>
              </w:rPr>
              <w:t>响（A6）</w:t>
            </w:r>
          </w:p>
        </w:tc>
        <w:tc>
          <w:tcPr>
            <w:tcW w:w="1913" w:type="dxa"/>
            <w:vAlign w:val="center"/>
          </w:tcPr>
          <w:p w14:paraId="045CB5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5"/>
                <w:sz w:val="21"/>
                <w:szCs w:val="21"/>
                <w:highlight w:val="none"/>
                <w:lang w:val="en-US" w:eastAsia="zh-CN"/>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844" w:type="dxa"/>
            <w:vMerge w:val="restart"/>
            <w:tcBorders>
              <w:bottom w:val="nil"/>
            </w:tcBorders>
            <w:vAlign w:val="center"/>
          </w:tcPr>
          <w:p w14:paraId="03A2C2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056" w:type="dxa"/>
            <w:vMerge w:val="restart"/>
            <w:tcBorders>
              <w:bottom w:val="nil"/>
            </w:tcBorders>
            <w:vAlign w:val="center"/>
          </w:tcPr>
          <w:p w14:paraId="31C9B4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项目</w:t>
            </w:r>
            <w:r>
              <w:rPr>
                <w:rFonts w:hint="eastAsia" w:eastAsia="宋体" w:cs="Times New Roman"/>
                <w:color w:val="auto"/>
                <w:spacing w:val="7"/>
                <w:sz w:val="21"/>
                <w:szCs w:val="21"/>
                <w:highlight w:val="none"/>
                <w:lang w:eastAsia="zh-CN"/>
              </w:rPr>
              <w:t>共</w:t>
            </w:r>
            <w:r>
              <w:rPr>
                <w:rFonts w:hint="default" w:ascii="Times New Roman" w:hAnsi="Times New Roman" w:eastAsia="宋体" w:cs="Times New Roman"/>
                <w:color w:val="auto"/>
                <w:spacing w:val="7"/>
                <w:sz w:val="21"/>
                <w:szCs w:val="21"/>
                <w:highlight w:val="none"/>
              </w:rPr>
              <w:t>设置</w:t>
            </w:r>
            <w:r>
              <w:rPr>
                <w:rFonts w:hint="eastAsia" w:eastAsia="宋体" w:cs="Times New Roman"/>
                <w:color w:val="auto"/>
                <w:spacing w:val="7"/>
                <w:sz w:val="21"/>
                <w:szCs w:val="21"/>
                <w:highlight w:val="none"/>
                <w:lang w:val="en-US" w:eastAsia="zh-CN"/>
              </w:rPr>
              <w:t>57</w:t>
            </w:r>
            <w:r>
              <w:rPr>
                <w:rFonts w:hint="default" w:ascii="Times New Roman" w:hAnsi="Times New Roman" w:eastAsia="宋体" w:cs="Times New Roman"/>
                <w:color w:val="auto"/>
                <w:spacing w:val="7"/>
                <w:sz w:val="21"/>
                <w:szCs w:val="21"/>
                <w:highlight w:val="none"/>
              </w:rPr>
              <w:t>座</w:t>
            </w:r>
            <w:r>
              <w:rPr>
                <w:rFonts w:hint="default" w:ascii="Times New Roman" w:hAnsi="Times New Roman" w:eastAsia="宋体" w:cs="Times New Roman"/>
                <w:color w:val="auto"/>
                <w:spacing w:val="6"/>
                <w:sz w:val="21"/>
                <w:szCs w:val="21"/>
                <w:highlight w:val="none"/>
              </w:rPr>
              <w:t>塔基，塔基占地范围的植被多为白桦、蒙古栎和小灌木等自然植被，项目实施减少了减少自然植被覆盖度。</w:t>
            </w:r>
          </w:p>
        </w:tc>
        <w:tc>
          <w:tcPr>
            <w:tcW w:w="931" w:type="dxa"/>
            <w:vMerge w:val="restart"/>
            <w:tcBorders>
              <w:bottom w:val="nil"/>
            </w:tcBorders>
            <w:vAlign w:val="center"/>
          </w:tcPr>
          <w:p w14:paraId="20FD44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0.05</w:t>
            </w:r>
          </w:p>
        </w:tc>
        <w:tc>
          <w:tcPr>
            <w:tcW w:w="664" w:type="dxa"/>
            <w:vMerge w:val="restart"/>
            <w:tcBorders>
              <w:bottom w:val="nil"/>
            </w:tcBorders>
            <w:vAlign w:val="center"/>
          </w:tcPr>
          <w:p w14:paraId="427B93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3.5</w:t>
            </w:r>
          </w:p>
        </w:tc>
      </w:tr>
      <w:tr w14:paraId="46CE6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bottom w:val="nil"/>
            </w:tcBorders>
            <w:vAlign w:val="center"/>
          </w:tcPr>
          <w:p w14:paraId="18C67A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61E02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844" w:type="dxa"/>
            <w:vMerge w:val="continue"/>
            <w:tcBorders>
              <w:top w:val="nil"/>
              <w:bottom w:val="nil"/>
            </w:tcBorders>
            <w:vAlign w:val="center"/>
          </w:tcPr>
          <w:p w14:paraId="26D632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bottom w:val="nil"/>
            </w:tcBorders>
            <w:vAlign w:val="center"/>
          </w:tcPr>
          <w:p w14:paraId="33B551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bottom w:val="nil"/>
            </w:tcBorders>
            <w:vAlign w:val="center"/>
          </w:tcPr>
          <w:p w14:paraId="7A5373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bottom w:val="nil"/>
            </w:tcBorders>
            <w:vAlign w:val="center"/>
          </w:tcPr>
          <w:p w14:paraId="1B2AEC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27DA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67" w:type="dxa"/>
            <w:vMerge w:val="continue"/>
            <w:tcBorders>
              <w:top w:val="nil"/>
            </w:tcBorders>
            <w:vAlign w:val="center"/>
          </w:tcPr>
          <w:p w14:paraId="4A96AA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3" w:type="dxa"/>
            <w:vAlign w:val="center"/>
          </w:tcPr>
          <w:p w14:paraId="6739C8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844" w:type="dxa"/>
            <w:vMerge w:val="continue"/>
            <w:tcBorders>
              <w:top w:val="nil"/>
            </w:tcBorders>
            <w:vAlign w:val="center"/>
          </w:tcPr>
          <w:p w14:paraId="680581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56" w:type="dxa"/>
            <w:vMerge w:val="continue"/>
            <w:tcBorders>
              <w:top w:val="nil"/>
            </w:tcBorders>
            <w:vAlign w:val="center"/>
          </w:tcPr>
          <w:p w14:paraId="1F0CAB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31" w:type="dxa"/>
            <w:vMerge w:val="continue"/>
            <w:tcBorders>
              <w:top w:val="nil"/>
            </w:tcBorders>
            <w:vAlign w:val="center"/>
          </w:tcPr>
          <w:p w14:paraId="02A378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4" w:type="dxa"/>
            <w:vMerge w:val="continue"/>
            <w:tcBorders>
              <w:top w:val="nil"/>
            </w:tcBorders>
            <w:vAlign w:val="center"/>
          </w:tcPr>
          <w:p w14:paraId="1FDEDC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52E0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080" w:type="dxa"/>
            <w:gridSpan w:val="4"/>
            <w:vAlign w:val="center"/>
          </w:tcPr>
          <w:p w14:paraId="22CEDF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合计</w:t>
            </w:r>
          </w:p>
        </w:tc>
        <w:tc>
          <w:tcPr>
            <w:tcW w:w="931" w:type="dxa"/>
            <w:vAlign w:val="center"/>
          </w:tcPr>
          <w:p w14:paraId="3BC04A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64" w:type="dxa"/>
            <w:vAlign w:val="center"/>
          </w:tcPr>
          <w:p w14:paraId="0DA41E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62.6</w:t>
            </w:r>
          </w:p>
        </w:tc>
      </w:tr>
    </w:tbl>
    <w:p w14:paraId="73F2972F">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60" w:name="bookmark58"/>
      <w:bookmarkEnd w:id="60"/>
      <w:bookmarkStart w:id="61" w:name="bookmark57"/>
      <w:bookmarkEnd w:id="61"/>
      <w:r>
        <w:rPr>
          <w:rFonts w:hint="eastAsia" w:cs="Times New Roman"/>
          <w:color w:val="auto"/>
          <w:kern w:val="0"/>
          <w:szCs w:val="30"/>
          <w:highlight w:val="none"/>
          <w:lang w:val="en-US" w:eastAsia="zh-CN"/>
        </w:rPr>
        <w:t>5.2对生物群落的影响</w:t>
      </w:r>
    </w:p>
    <w:p w14:paraId="34B77BCE">
      <w:pPr>
        <w:bidi w:val="0"/>
        <w:rPr>
          <w:color w:val="auto"/>
          <w:highlight w:val="none"/>
        </w:rPr>
      </w:pPr>
      <w:r>
        <w:rPr>
          <w:rFonts w:hint="eastAsia"/>
          <w:color w:val="auto"/>
          <w:highlight w:val="none"/>
          <w:lang w:val="en-US" w:eastAsia="zh-CN"/>
        </w:rPr>
        <w:t>5</w:t>
      </w:r>
      <w:r>
        <w:rPr>
          <w:color w:val="auto"/>
          <w:highlight w:val="none"/>
        </w:rPr>
        <w:t>.2.1对生物群落类型及其特有性的影响（B1）</w:t>
      </w:r>
    </w:p>
    <w:p w14:paraId="51DB030A">
      <w:pPr>
        <w:bidi w:val="0"/>
        <w:rPr>
          <w:color w:val="auto"/>
          <w:highlight w:val="none"/>
        </w:rPr>
      </w:pPr>
      <w:r>
        <w:rPr>
          <w:color w:val="auto"/>
          <w:highlight w:val="none"/>
        </w:rPr>
        <w:t>评价区植物群落类型按群系分，包括白桦林、蒙古栎林、华北落叶松林、平榛灌丛、杂灌类灌丛、地榆-细叶苔草草甸、杂类草草甸。这些植被类型均为保护区及周边地区常见的群落类型，并非特有的群落类型且在评价区分布广泛。经实际调查和资料检索，项目区域内无动物特有型；同时，项目区人员活动频繁，野生动物活动少，项目施工范围不是动物固定栖息地，且不属于动物主要觅食地，因此对影响评价区动物群落影响较小。综上所述，项目建设对影响评价区生物群落特征及特有性的影响程度为中低度，分值50分，根据二级指标权重为0.35，该指标得分为17.5分。</w:t>
      </w:r>
    </w:p>
    <w:p w14:paraId="5ED56BE2">
      <w:pPr>
        <w:bidi w:val="0"/>
        <w:rPr>
          <w:color w:val="auto"/>
          <w:highlight w:val="none"/>
        </w:rPr>
      </w:pPr>
      <w:r>
        <w:rPr>
          <w:rFonts w:hint="eastAsia"/>
          <w:color w:val="auto"/>
          <w:highlight w:val="none"/>
          <w:lang w:val="en-US" w:eastAsia="zh-CN"/>
        </w:rPr>
        <w:t>5</w:t>
      </w:r>
      <w:r>
        <w:rPr>
          <w:color w:val="auto"/>
          <w:highlight w:val="none"/>
        </w:rPr>
        <w:t>.2.2对生物群落面积的影响（B2）</w:t>
      </w:r>
    </w:p>
    <w:p w14:paraId="02BA90AE">
      <w:pPr>
        <w:bidi w:val="0"/>
        <w:rPr>
          <w:color w:val="auto"/>
          <w:highlight w:val="none"/>
        </w:rPr>
      </w:pPr>
      <w:r>
        <w:rPr>
          <w:rFonts w:hint="eastAsia"/>
          <w:color w:val="auto"/>
          <w:highlight w:val="none"/>
        </w:rPr>
        <w:t>保护区实验区安装了23座塔基、保护区外安装了34座塔基</w:t>
      </w:r>
      <w:r>
        <w:rPr>
          <w:color w:val="auto"/>
          <w:highlight w:val="none"/>
        </w:rPr>
        <w:t>，输电线路不占用土地，只有</w:t>
      </w:r>
      <w:r>
        <w:rPr>
          <w:rFonts w:hint="eastAsia"/>
          <w:color w:val="auto"/>
          <w:highlight w:val="none"/>
          <w:lang w:val="en-US" w:eastAsia="zh-CN"/>
        </w:rPr>
        <w:t>57</w:t>
      </w:r>
      <w:r>
        <w:rPr>
          <w:color w:val="auto"/>
          <w:highlight w:val="none"/>
        </w:rPr>
        <w:t>座塔基占用</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，占评价区总面积的0.0</w:t>
      </w:r>
      <w:r>
        <w:rPr>
          <w:rFonts w:hint="eastAsia"/>
          <w:color w:val="auto"/>
          <w:highlight w:val="none"/>
          <w:lang w:val="en-US" w:eastAsia="zh-CN"/>
        </w:rPr>
        <w:t>1</w:t>
      </w:r>
      <w:r>
        <w:rPr>
          <w:color w:val="auto"/>
          <w:highlight w:val="none"/>
        </w:rPr>
        <w:t>%，且占地范围的树种均为评价区常见的白桦和蒙古栎等，因此项目建设对自然植物群落面积影响较小。对于动物而言，项目建设区在保护区的实验区，现场调查未发现明显动物群落，且项目占地范围不是动物群落主要的栖息地，因此，项目建设对影响评价区动物群落面积的影响程度为中低度，分值50分，根据二级指标权重为0.05，该指标得分为2.5分。</w:t>
      </w:r>
    </w:p>
    <w:p w14:paraId="1C025EB8">
      <w:pPr>
        <w:bidi w:val="0"/>
        <w:rPr>
          <w:color w:val="auto"/>
          <w:highlight w:val="none"/>
        </w:rPr>
      </w:pPr>
      <w:r>
        <w:rPr>
          <w:rFonts w:hint="eastAsia"/>
          <w:color w:val="auto"/>
          <w:highlight w:val="none"/>
          <w:lang w:val="en-US" w:eastAsia="zh-CN"/>
        </w:rPr>
        <w:t>5</w:t>
      </w:r>
      <w:r>
        <w:rPr>
          <w:color w:val="auto"/>
          <w:highlight w:val="none"/>
        </w:rPr>
        <w:t>.2.3对栖息地连通性的影响（B3）</w:t>
      </w:r>
    </w:p>
    <w:p w14:paraId="25301C36">
      <w:pPr>
        <w:bidi w:val="0"/>
        <w:rPr>
          <w:color w:val="auto"/>
          <w:highlight w:val="none"/>
        </w:rPr>
      </w:pPr>
      <w:r>
        <w:rPr>
          <w:color w:val="auto"/>
          <w:highlight w:val="none"/>
        </w:rPr>
        <w:t>本项目为送出线路工程，</w:t>
      </w:r>
      <w:r>
        <w:rPr>
          <w:rFonts w:hint="eastAsia"/>
          <w:color w:val="auto"/>
          <w:highlight w:val="none"/>
        </w:rPr>
        <w:t>保护区实验区安装了23座塔基、保护区外安装了34座塔基</w:t>
      </w:r>
      <w:r>
        <w:rPr>
          <w:color w:val="auto"/>
          <w:highlight w:val="none"/>
        </w:rPr>
        <w:t>，架线</w:t>
      </w:r>
      <w:r>
        <w:rPr>
          <w:rFonts w:hint="eastAsia"/>
          <w:color w:val="auto"/>
          <w:highlight w:val="none"/>
          <w:lang w:val="en-US" w:eastAsia="zh-CN"/>
        </w:rPr>
        <w:t>22.99km（其中保护区实验区内</w:t>
      </w:r>
      <w:r>
        <w:rPr>
          <w:color w:val="auto"/>
          <w:highlight w:val="none"/>
        </w:rPr>
        <w:t>9094.58m</w:t>
      </w:r>
      <w:r>
        <w:rPr>
          <w:rFonts w:hint="eastAsia"/>
          <w:color w:val="auto"/>
          <w:highlight w:val="none"/>
          <w:lang w:val="en-US" w:eastAsia="zh-CN"/>
        </w:rPr>
        <w:t>）</w:t>
      </w:r>
      <w:r>
        <w:rPr>
          <w:color w:val="auto"/>
          <w:highlight w:val="none"/>
        </w:rPr>
        <w:t>，施工过程中，人员和建筑材料进入保护区，会影响野生动物的活动，施工完成后保护区仍存在塔基和送出线路，这些建筑设施影响了栖息地的连通性，影响了在此栖息的鸟类、哺乳动物等，对动物栖息地连通性的存在影响。影响程度定级为中高度影响，分值70分，根据二级指标权重为0.1，该指标得分为7.0分。</w:t>
      </w:r>
    </w:p>
    <w:p w14:paraId="4443D376">
      <w:pPr>
        <w:bidi w:val="0"/>
        <w:rPr>
          <w:color w:val="auto"/>
          <w:highlight w:val="none"/>
        </w:rPr>
      </w:pPr>
      <w:r>
        <w:rPr>
          <w:rFonts w:hint="eastAsia"/>
          <w:color w:val="auto"/>
          <w:highlight w:val="none"/>
          <w:lang w:val="en-US" w:eastAsia="zh-CN"/>
        </w:rPr>
        <w:t>5</w:t>
      </w:r>
      <w:r>
        <w:rPr>
          <w:color w:val="auto"/>
          <w:highlight w:val="none"/>
        </w:rPr>
        <w:t>.2.4对生物群落重要种类受影响程度的影响（B4）</w:t>
      </w:r>
    </w:p>
    <w:p w14:paraId="45328CD1">
      <w:pPr>
        <w:bidi w:val="0"/>
        <w:rPr>
          <w:color w:val="auto"/>
          <w:highlight w:val="none"/>
        </w:rPr>
      </w:pPr>
      <w:r>
        <w:rPr>
          <w:color w:val="auto"/>
          <w:highlight w:val="none"/>
        </w:rPr>
        <w:t>项目为线性项目，</w:t>
      </w:r>
      <w:r>
        <w:rPr>
          <w:rFonts w:hint="eastAsia"/>
          <w:color w:val="auto"/>
          <w:highlight w:val="none"/>
        </w:rPr>
        <w:t>保护区实验区安装了23座塔基、保护区外安装了34座塔基</w:t>
      </w:r>
      <w:r>
        <w:rPr>
          <w:rFonts w:hint="eastAsia"/>
          <w:color w:val="auto"/>
          <w:highlight w:val="none"/>
          <w:lang w:eastAsia="zh-CN"/>
        </w:rPr>
        <w:t>，保护区内</w:t>
      </w:r>
      <w:r>
        <w:rPr>
          <w:color w:val="auto"/>
          <w:highlight w:val="none"/>
        </w:rPr>
        <w:t>塔基均位于保护区实验区，人员活动频繁，野生动物活动少。塔基占地范围没有发现重点保护的植物，项目建成前后，影响评价区内生物群落的重要种类及丰富度不会发生较大变化，且影响评价区内的生物群落类型和重要种类在保护区范围内和周边区域均较常见。影响程度定级为中低度影响，分值50分，根据二级指标权重0.30，该指标得分为15.0分。</w:t>
      </w:r>
    </w:p>
    <w:p w14:paraId="38FF3869">
      <w:pPr>
        <w:bidi w:val="0"/>
        <w:rPr>
          <w:color w:val="auto"/>
          <w:highlight w:val="none"/>
        </w:rPr>
      </w:pPr>
      <w:r>
        <w:rPr>
          <w:rFonts w:hint="eastAsia"/>
          <w:color w:val="auto"/>
          <w:highlight w:val="none"/>
          <w:lang w:val="en-US" w:eastAsia="zh-CN"/>
        </w:rPr>
        <w:t>5</w:t>
      </w:r>
      <w:r>
        <w:rPr>
          <w:color w:val="auto"/>
          <w:highlight w:val="none"/>
        </w:rPr>
        <w:t>.2.5对生物群落结构的影响（B5）</w:t>
      </w:r>
    </w:p>
    <w:p w14:paraId="566E03A8">
      <w:pPr>
        <w:bidi w:val="0"/>
        <w:rPr>
          <w:color w:val="auto"/>
          <w:highlight w:val="none"/>
        </w:rPr>
      </w:pPr>
      <w:r>
        <w:rPr>
          <w:color w:val="auto"/>
          <w:highlight w:val="none"/>
        </w:rPr>
        <w:t>项目为线性项目，受影响的面积较小，结构简单。拟建项目占用植物群落</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，占评价区总面积的0.0</w:t>
      </w:r>
      <w:r>
        <w:rPr>
          <w:rFonts w:hint="eastAsia"/>
          <w:color w:val="auto"/>
          <w:highlight w:val="none"/>
          <w:lang w:val="en-US" w:eastAsia="zh-CN"/>
        </w:rPr>
        <w:t>1</w:t>
      </w:r>
      <w:r>
        <w:rPr>
          <w:color w:val="auto"/>
          <w:highlight w:val="none"/>
        </w:rPr>
        <w:t>%，占用面积极为有限，没有改变原有植物群落的结构，不会大面积破坏地表植被，仍保留评价区内植物群落结构的生态功能，不会因项目建设造成该群落结构的简化，且占地范围内的树种均为评价区常见的白桦和蒙古栎等，项目建设后保护区内仍有大面积的该类型生物群落，从受影响的植被类型和受影响的面积来看，项目建设对保护区生态结构完整性的影响较小。影响程度定级为中低度影响，分值50分，根据二级指标权重0.20，该指标得分为10.0分。</w:t>
      </w:r>
    </w:p>
    <w:p w14:paraId="38BBE99C">
      <w:pPr>
        <w:bidi w:val="0"/>
        <w:rPr>
          <w:color w:val="auto"/>
          <w:highlight w:val="none"/>
        </w:rPr>
      </w:pPr>
      <w:r>
        <w:rPr>
          <w:rFonts w:hint="eastAsia"/>
          <w:color w:val="auto"/>
          <w:highlight w:val="none"/>
          <w:lang w:val="en-US" w:eastAsia="zh-CN"/>
        </w:rPr>
        <w:t>5</w:t>
      </w:r>
      <w:r>
        <w:rPr>
          <w:color w:val="auto"/>
          <w:highlight w:val="none"/>
        </w:rPr>
        <w:t>.2.6生物群落（B）各项评级指标权重和综合评分</w:t>
      </w:r>
    </w:p>
    <w:p w14:paraId="43EFBB5E">
      <w:pPr>
        <w:bidi w:val="0"/>
        <w:rPr>
          <w:color w:val="auto"/>
          <w:highlight w:val="none"/>
        </w:rPr>
      </w:pPr>
      <w:r>
        <w:rPr>
          <w:color w:val="auto"/>
          <w:highlight w:val="none"/>
        </w:rPr>
        <w:t>通过以上影响程度评分，并对指标权重等综合计算，本工程对影响评价区生物群落的影响评价综合评分为52.0分，为中低度影响。</w:t>
      </w:r>
    </w:p>
    <w:p w14:paraId="716D8618">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auto"/>
          <w:spacing w:val="-2"/>
          <w:sz w:val="21"/>
          <w:szCs w:val="21"/>
          <w:highlight w:val="none"/>
        </w:rPr>
      </w:pPr>
    </w:p>
    <w:p w14:paraId="1BA78A8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default" w:ascii="Times New Roman" w:hAnsi="Times New Roman" w:eastAsia="宋体" w:cs="Times New Roman"/>
          <w:b/>
          <w:bCs/>
          <w:color w:val="auto"/>
          <w:spacing w:val="-2"/>
          <w:sz w:val="21"/>
          <w:szCs w:val="21"/>
          <w:highlight w:val="none"/>
        </w:rPr>
        <w:t>表</w:t>
      </w:r>
      <w:r>
        <w:rPr>
          <w:rFonts w:hint="eastAsia" w:eastAsia="宋体" w:cs="Times New Roman"/>
          <w:b/>
          <w:bCs/>
          <w:color w:val="auto"/>
          <w:spacing w:val="-2"/>
          <w:sz w:val="21"/>
          <w:szCs w:val="21"/>
          <w:highlight w:val="none"/>
          <w:lang w:val="en-US" w:eastAsia="zh-CN"/>
        </w:rPr>
        <w:t>5.2-1</w:t>
      </w:r>
      <w:r>
        <w:rPr>
          <w:rFonts w:hint="default" w:ascii="Times New Roman" w:hAnsi="Times New Roman" w:eastAsia="宋体" w:cs="Times New Roman"/>
          <w:b/>
          <w:bCs/>
          <w:color w:val="auto"/>
          <w:spacing w:val="-2"/>
          <w:sz w:val="21"/>
          <w:szCs w:val="21"/>
          <w:highlight w:val="none"/>
        </w:rPr>
        <w:t xml:space="preserve">  生物群落各项评价指标综合评分表</w:t>
      </w:r>
    </w:p>
    <w:tbl>
      <w:tblPr>
        <w:tblStyle w:val="22"/>
        <w:tblW w:w="85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1917"/>
        <w:gridCol w:w="769"/>
        <w:gridCol w:w="3293"/>
        <w:gridCol w:w="645"/>
        <w:gridCol w:w="632"/>
      </w:tblGrid>
      <w:tr w14:paraId="2676F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Align w:val="center"/>
          </w:tcPr>
          <w:p w14:paraId="25B712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二级指标</w:t>
            </w:r>
          </w:p>
        </w:tc>
        <w:tc>
          <w:tcPr>
            <w:tcW w:w="1917" w:type="dxa"/>
            <w:vAlign w:val="center"/>
          </w:tcPr>
          <w:p w14:paraId="111592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影响程度</w:t>
            </w:r>
          </w:p>
        </w:tc>
        <w:tc>
          <w:tcPr>
            <w:tcW w:w="769" w:type="dxa"/>
            <w:vAlign w:val="center"/>
          </w:tcPr>
          <w:p w14:paraId="2F5F1F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分值</w:t>
            </w:r>
          </w:p>
        </w:tc>
        <w:tc>
          <w:tcPr>
            <w:tcW w:w="3293" w:type="dxa"/>
            <w:vAlign w:val="center"/>
          </w:tcPr>
          <w:p w14:paraId="75C49C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简要说明</w:t>
            </w:r>
          </w:p>
        </w:tc>
        <w:tc>
          <w:tcPr>
            <w:tcW w:w="645" w:type="dxa"/>
            <w:vAlign w:val="center"/>
          </w:tcPr>
          <w:p w14:paraId="110B5B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权重</w:t>
            </w:r>
          </w:p>
        </w:tc>
        <w:tc>
          <w:tcPr>
            <w:tcW w:w="632" w:type="dxa"/>
            <w:textDirection w:val="tbRlV"/>
            <w:vAlign w:val="center"/>
          </w:tcPr>
          <w:p w14:paraId="6F16DB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得分</w:t>
            </w:r>
          </w:p>
        </w:tc>
      </w:tr>
      <w:tr w14:paraId="20F4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restart"/>
            <w:tcBorders>
              <w:bottom w:val="nil"/>
            </w:tcBorders>
            <w:vAlign w:val="center"/>
          </w:tcPr>
          <w:p w14:paraId="3A3A72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生物群落类型及其</w:t>
            </w:r>
            <w:r>
              <w:rPr>
                <w:rFonts w:hint="default" w:ascii="Times New Roman" w:hAnsi="Times New Roman" w:eastAsia="宋体" w:cs="Times New Roman"/>
                <w:color w:val="auto"/>
                <w:spacing w:val="38"/>
                <w:sz w:val="21"/>
                <w:szCs w:val="21"/>
                <w:highlight w:val="none"/>
              </w:rPr>
              <w:t>特有性</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pacing w:val="-39"/>
                <w:sz w:val="21"/>
                <w:szCs w:val="21"/>
                <w:highlight w:val="none"/>
              </w:rPr>
              <w:t xml:space="preserve"> </w:t>
            </w:r>
            <w:r>
              <w:rPr>
                <w:rFonts w:hint="default" w:ascii="Times New Roman" w:hAnsi="Times New Roman" w:eastAsia="宋体" w:cs="Times New Roman"/>
                <w:color w:val="auto"/>
                <w:spacing w:val="8"/>
                <w:sz w:val="21"/>
                <w:szCs w:val="21"/>
                <w:highlight w:val="none"/>
              </w:rPr>
              <w:t>B1）</w:t>
            </w:r>
          </w:p>
        </w:tc>
        <w:tc>
          <w:tcPr>
            <w:tcW w:w="1917" w:type="dxa"/>
            <w:vAlign w:val="center"/>
          </w:tcPr>
          <w:p w14:paraId="50B306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69" w:type="dxa"/>
            <w:vMerge w:val="restart"/>
            <w:tcBorders>
              <w:bottom w:val="nil"/>
            </w:tcBorders>
            <w:vAlign w:val="center"/>
          </w:tcPr>
          <w:p w14:paraId="1CCE30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293" w:type="dxa"/>
            <w:vMerge w:val="restart"/>
            <w:tcBorders>
              <w:bottom w:val="nil"/>
            </w:tcBorders>
            <w:vAlign w:val="center"/>
          </w:tcPr>
          <w:p w14:paraId="6474E5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评价区植被类型均为保护区及周边地区常见的群落类型，并非特有的群落类型且在评价区分布广泛。项目施工范围不是</w:t>
            </w:r>
            <w:r>
              <w:rPr>
                <w:rFonts w:hint="default" w:ascii="Times New Roman" w:hAnsi="Times New Roman" w:eastAsia="宋体" w:cs="Times New Roman"/>
                <w:color w:val="auto"/>
                <w:spacing w:val="6"/>
                <w:sz w:val="21"/>
                <w:szCs w:val="21"/>
                <w:highlight w:val="none"/>
              </w:rPr>
              <w:t>动物固定栖息地，</w:t>
            </w:r>
            <w:r>
              <w:rPr>
                <w:rFonts w:hint="default" w:ascii="Times New Roman" w:hAnsi="Times New Roman" w:eastAsia="宋体" w:cs="Times New Roman"/>
                <w:color w:val="auto"/>
                <w:spacing w:val="-58"/>
                <w:sz w:val="21"/>
                <w:szCs w:val="21"/>
                <w:highlight w:val="none"/>
              </w:rPr>
              <w:t xml:space="preserve"> </w:t>
            </w:r>
            <w:r>
              <w:rPr>
                <w:rFonts w:hint="default" w:ascii="Times New Roman" w:hAnsi="Times New Roman" w:eastAsia="宋体" w:cs="Times New Roman"/>
                <w:color w:val="auto"/>
                <w:spacing w:val="6"/>
                <w:sz w:val="21"/>
                <w:szCs w:val="21"/>
                <w:highlight w:val="none"/>
              </w:rPr>
              <w:t>因此对影响</w:t>
            </w:r>
            <w:r>
              <w:rPr>
                <w:rFonts w:hint="default" w:ascii="Times New Roman" w:hAnsi="Times New Roman" w:eastAsia="宋体" w:cs="Times New Roman"/>
                <w:color w:val="auto"/>
                <w:spacing w:val="8"/>
                <w:sz w:val="21"/>
                <w:szCs w:val="21"/>
                <w:highlight w:val="none"/>
              </w:rPr>
              <w:t>评价区动物群落影响较小。</w:t>
            </w:r>
          </w:p>
        </w:tc>
        <w:tc>
          <w:tcPr>
            <w:tcW w:w="645" w:type="dxa"/>
            <w:vMerge w:val="restart"/>
            <w:tcBorders>
              <w:bottom w:val="nil"/>
            </w:tcBorders>
            <w:vAlign w:val="center"/>
          </w:tcPr>
          <w:p w14:paraId="135BA4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0.35</w:t>
            </w:r>
          </w:p>
        </w:tc>
        <w:tc>
          <w:tcPr>
            <w:tcW w:w="632" w:type="dxa"/>
            <w:vMerge w:val="restart"/>
            <w:tcBorders>
              <w:bottom w:val="nil"/>
            </w:tcBorders>
            <w:vAlign w:val="center"/>
          </w:tcPr>
          <w:p w14:paraId="7BC741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17.5</w:t>
            </w:r>
          </w:p>
        </w:tc>
      </w:tr>
      <w:tr w14:paraId="2E92C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bottom w:val="nil"/>
            </w:tcBorders>
            <w:vAlign w:val="center"/>
          </w:tcPr>
          <w:p w14:paraId="1D4384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7E8FD0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69" w:type="dxa"/>
            <w:vMerge w:val="continue"/>
            <w:tcBorders>
              <w:top w:val="nil"/>
              <w:bottom w:val="nil"/>
            </w:tcBorders>
            <w:vAlign w:val="center"/>
          </w:tcPr>
          <w:p w14:paraId="355779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bottom w:val="nil"/>
            </w:tcBorders>
            <w:vAlign w:val="center"/>
          </w:tcPr>
          <w:p w14:paraId="367CD1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09B7B6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bottom w:val="nil"/>
            </w:tcBorders>
            <w:vAlign w:val="center"/>
          </w:tcPr>
          <w:p w14:paraId="45879D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B685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tcBorders>
            <w:vAlign w:val="center"/>
          </w:tcPr>
          <w:p w14:paraId="521544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67E873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  严重影响（90）</w:t>
            </w:r>
          </w:p>
        </w:tc>
        <w:tc>
          <w:tcPr>
            <w:tcW w:w="769" w:type="dxa"/>
            <w:vMerge w:val="continue"/>
            <w:tcBorders>
              <w:top w:val="nil"/>
            </w:tcBorders>
            <w:vAlign w:val="center"/>
          </w:tcPr>
          <w:p w14:paraId="111ADB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tcBorders>
            <w:vAlign w:val="center"/>
          </w:tcPr>
          <w:p w14:paraId="743413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319B47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tcBorders>
            <w:vAlign w:val="center"/>
          </w:tcPr>
          <w:p w14:paraId="3687AE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EB5E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restart"/>
            <w:tcBorders>
              <w:bottom w:val="nil"/>
            </w:tcBorders>
            <w:vAlign w:val="center"/>
          </w:tcPr>
          <w:p w14:paraId="1B8994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生物群落</w:t>
            </w:r>
            <w:r>
              <w:rPr>
                <w:rFonts w:hint="default" w:ascii="Times New Roman" w:hAnsi="Times New Roman" w:eastAsia="宋体" w:cs="Times New Roman"/>
                <w:color w:val="auto"/>
                <w:spacing w:val="5"/>
                <w:sz w:val="21"/>
                <w:szCs w:val="21"/>
                <w:highlight w:val="none"/>
              </w:rPr>
              <w:t>面积影响</w:t>
            </w:r>
            <w:r>
              <w:rPr>
                <w:rFonts w:hint="default" w:ascii="Times New Roman" w:hAnsi="Times New Roman" w:eastAsia="宋体" w:cs="Times New Roman"/>
                <w:color w:val="auto"/>
                <w:spacing w:val="24"/>
                <w:sz w:val="21"/>
                <w:szCs w:val="21"/>
                <w:highlight w:val="none"/>
              </w:rPr>
              <w:t>（B2）</w:t>
            </w:r>
          </w:p>
        </w:tc>
        <w:tc>
          <w:tcPr>
            <w:tcW w:w="1917" w:type="dxa"/>
            <w:vAlign w:val="center"/>
          </w:tcPr>
          <w:p w14:paraId="28E121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69" w:type="dxa"/>
            <w:vMerge w:val="restart"/>
            <w:tcBorders>
              <w:bottom w:val="nil"/>
            </w:tcBorders>
            <w:vAlign w:val="center"/>
          </w:tcPr>
          <w:p w14:paraId="3146D3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293" w:type="dxa"/>
            <w:vMerge w:val="restart"/>
            <w:tcBorders>
              <w:bottom w:val="nil"/>
            </w:tcBorders>
            <w:vAlign w:val="center"/>
          </w:tcPr>
          <w:p w14:paraId="664CA3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输电线路不占用土地，只有</w:t>
            </w:r>
            <w:r>
              <w:rPr>
                <w:rFonts w:hint="eastAsia" w:ascii="Times New Roman" w:hAnsi="Times New Roman" w:eastAsia="宋体" w:cs="Times New Roman"/>
                <w:color w:val="auto"/>
                <w:spacing w:val="-43"/>
                <w:sz w:val="21"/>
                <w:szCs w:val="21"/>
                <w:highlight w:val="none"/>
                <w:lang w:val="en-US" w:eastAsia="zh-CN"/>
              </w:rPr>
              <w:t>57</w:t>
            </w:r>
            <w:r>
              <w:rPr>
                <w:rFonts w:hint="default" w:ascii="Times New Roman" w:hAnsi="Times New Roman" w:eastAsia="宋体" w:cs="Times New Roman"/>
                <w:color w:val="auto"/>
                <w:spacing w:val="4"/>
                <w:sz w:val="21"/>
                <w:szCs w:val="21"/>
                <w:highlight w:val="none"/>
              </w:rPr>
              <w:t>座塔基占用</w:t>
            </w:r>
            <w:r>
              <w:rPr>
                <w:rFonts w:hint="eastAsia" w:eastAsia="宋体" w:cs="Times New Roman"/>
                <w:color w:val="auto"/>
                <w:spacing w:val="4"/>
                <w:sz w:val="21"/>
                <w:szCs w:val="21"/>
                <w:highlight w:val="none"/>
                <w:lang w:val="en-US" w:eastAsia="zh-CN"/>
              </w:rPr>
              <w:t>4000</w:t>
            </w:r>
            <w:r>
              <w:rPr>
                <w:rFonts w:hint="default" w:ascii="Times New Roman" w:hAnsi="Times New Roman" w:eastAsia="宋体" w:cs="Times New Roman"/>
                <w:color w:val="auto"/>
                <w:spacing w:val="4"/>
                <w:sz w:val="21"/>
                <w:szCs w:val="21"/>
                <w:highlight w:val="none"/>
              </w:rPr>
              <w:t>m</w:t>
            </w:r>
            <w:r>
              <w:rPr>
                <w:rFonts w:hint="eastAsia" w:ascii="Times New Roman" w:hAnsi="Times New Roman" w:eastAsia="宋体" w:cs="Times New Roman"/>
                <w:color w:val="auto"/>
                <w:spacing w:val="4"/>
                <w:sz w:val="21"/>
                <w:szCs w:val="21"/>
                <w:highlight w:val="none"/>
                <w:vertAlign w:val="superscript"/>
                <w:lang w:val="en-US" w:eastAsia="zh-CN"/>
              </w:rPr>
              <w:t>2</w:t>
            </w:r>
            <w:r>
              <w:rPr>
                <w:rFonts w:hint="default" w:ascii="Times New Roman" w:hAnsi="Times New Roman" w:eastAsia="宋体" w:cs="Times New Roman"/>
                <w:color w:val="auto"/>
                <w:spacing w:val="4"/>
                <w:sz w:val="21"/>
                <w:szCs w:val="21"/>
                <w:highlight w:val="none"/>
              </w:rPr>
              <w:t>，占</w:t>
            </w:r>
            <w:r>
              <w:rPr>
                <w:rFonts w:hint="default" w:ascii="Times New Roman" w:hAnsi="Times New Roman" w:eastAsia="宋体" w:cs="Times New Roman"/>
                <w:color w:val="auto"/>
                <w:spacing w:val="9"/>
                <w:sz w:val="21"/>
                <w:szCs w:val="21"/>
                <w:highlight w:val="none"/>
              </w:rPr>
              <w:t>用面积非常小，现场调查未发</w:t>
            </w:r>
            <w:r>
              <w:rPr>
                <w:rFonts w:hint="default" w:ascii="Times New Roman" w:hAnsi="Times New Roman" w:eastAsia="宋体" w:cs="Times New Roman"/>
                <w:color w:val="auto"/>
                <w:spacing w:val="6"/>
                <w:sz w:val="21"/>
                <w:szCs w:val="21"/>
                <w:highlight w:val="none"/>
              </w:rPr>
              <w:t>现明显动物群落，且项目</w:t>
            </w:r>
            <w:r>
              <w:rPr>
                <w:rFonts w:hint="default" w:ascii="Times New Roman" w:hAnsi="Times New Roman" w:eastAsia="宋体" w:cs="Times New Roman"/>
                <w:color w:val="auto"/>
                <w:spacing w:val="-55"/>
                <w:sz w:val="21"/>
                <w:szCs w:val="21"/>
                <w:highlight w:val="none"/>
              </w:rPr>
              <w:t xml:space="preserve"> </w:t>
            </w:r>
            <w:r>
              <w:rPr>
                <w:rFonts w:hint="default" w:ascii="Times New Roman" w:hAnsi="Times New Roman" w:eastAsia="宋体" w:cs="Times New Roman"/>
                <w:color w:val="auto"/>
                <w:spacing w:val="6"/>
                <w:sz w:val="21"/>
                <w:szCs w:val="21"/>
                <w:highlight w:val="none"/>
              </w:rPr>
              <w:t>占地</w:t>
            </w:r>
            <w:r>
              <w:rPr>
                <w:rFonts w:hint="default" w:ascii="Times New Roman" w:hAnsi="Times New Roman" w:eastAsia="宋体" w:cs="Times New Roman"/>
                <w:color w:val="auto"/>
                <w:spacing w:val="9"/>
                <w:sz w:val="21"/>
                <w:szCs w:val="21"/>
                <w:highlight w:val="none"/>
              </w:rPr>
              <w:t>范围不是动物群落主要的栖息</w:t>
            </w:r>
            <w:r>
              <w:rPr>
                <w:rFonts w:hint="default" w:ascii="Times New Roman" w:hAnsi="Times New Roman" w:eastAsia="宋体" w:cs="Times New Roman"/>
                <w:color w:val="auto"/>
                <w:spacing w:val="2"/>
                <w:sz w:val="21"/>
                <w:szCs w:val="21"/>
                <w:highlight w:val="none"/>
              </w:rPr>
              <w:t>地。</w:t>
            </w:r>
          </w:p>
        </w:tc>
        <w:tc>
          <w:tcPr>
            <w:tcW w:w="645" w:type="dxa"/>
            <w:vMerge w:val="restart"/>
            <w:tcBorders>
              <w:bottom w:val="nil"/>
            </w:tcBorders>
            <w:vAlign w:val="center"/>
          </w:tcPr>
          <w:p w14:paraId="10160E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0.05</w:t>
            </w:r>
          </w:p>
        </w:tc>
        <w:tc>
          <w:tcPr>
            <w:tcW w:w="632" w:type="dxa"/>
            <w:vMerge w:val="restart"/>
            <w:tcBorders>
              <w:bottom w:val="nil"/>
            </w:tcBorders>
            <w:vAlign w:val="center"/>
          </w:tcPr>
          <w:p w14:paraId="67C478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2.5</w:t>
            </w:r>
          </w:p>
        </w:tc>
      </w:tr>
      <w:tr w14:paraId="4AB98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bottom w:val="nil"/>
            </w:tcBorders>
            <w:vAlign w:val="center"/>
          </w:tcPr>
          <w:p w14:paraId="670D87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148EC4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69" w:type="dxa"/>
            <w:vMerge w:val="continue"/>
            <w:tcBorders>
              <w:top w:val="nil"/>
              <w:bottom w:val="nil"/>
            </w:tcBorders>
            <w:vAlign w:val="center"/>
          </w:tcPr>
          <w:p w14:paraId="60E156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bottom w:val="nil"/>
            </w:tcBorders>
            <w:vAlign w:val="center"/>
          </w:tcPr>
          <w:p w14:paraId="5C30F0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63C23A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bottom w:val="nil"/>
            </w:tcBorders>
            <w:vAlign w:val="center"/>
          </w:tcPr>
          <w:p w14:paraId="162B46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2BE6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tcBorders>
            <w:vAlign w:val="center"/>
          </w:tcPr>
          <w:p w14:paraId="292DE9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685378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69" w:type="dxa"/>
            <w:vMerge w:val="continue"/>
            <w:tcBorders>
              <w:top w:val="nil"/>
            </w:tcBorders>
            <w:vAlign w:val="center"/>
          </w:tcPr>
          <w:p w14:paraId="2A5AB0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tcBorders>
            <w:vAlign w:val="center"/>
          </w:tcPr>
          <w:p w14:paraId="5A0A52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785EC7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tcBorders>
            <w:vAlign w:val="center"/>
          </w:tcPr>
          <w:p w14:paraId="2FEC48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BE7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restart"/>
            <w:tcBorders>
              <w:bottom w:val="nil"/>
            </w:tcBorders>
            <w:vAlign w:val="center"/>
          </w:tcPr>
          <w:p w14:paraId="16C35A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栖息地连通性影响</w:t>
            </w:r>
            <w:r>
              <w:rPr>
                <w:rFonts w:hint="default" w:ascii="Times New Roman" w:hAnsi="Times New Roman" w:eastAsia="宋体" w:cs="Times New Roman"/>
                <w:color w:val="auto"/>
                <w:spacing w:val="9"/>
                <w:sz w:val="21"/>
                <w:szCs w:val="21"/>
                <w:highlight w:val="none"/>
              </w:rPr>
              <w:t>（B3）</w:t>
            </w:r>
          </w:p>
        </w:tc>
        <w:tc>
          <w:tcPr>
            <w:tcW w:w="1917" w:type="dxa"/>
            <w:vAlign w:val="center"/>
          </w:tcPr>
          <w:p w14:paraId="106252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69" w:type="dxa"/>
            <w:vMerge w:val="restart"/>
            <w:tcBorders>
              <w:bottom w:val="nil"/>
            </w:tcBorders>
            <w:vAlign w:val="center"/>
          </w:tcPr>
          <w:p w14:paraId="25CD49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293" w:type="dxa"/>
            <w:vMerge w:val="restart"/>
            <w:tcBorders>
              <w:bottom w:val="nil"/>
            </w:tcBorders>
            <w:vAlign w:val="center"/>
          </w:tcPr>
          <w:p w14:paraId="6BFAA3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施工完成后保护区仍存在塔基和送出线路，这些建筑设施影响了栖息地的连通性，影响了</w:t>
            </w:r>
            <w:r>
              <w:rPr>
                <w:rFonts w:hint="default" w:ascii="Times New Roman" w:hAnsi="Times New Roman" w:eastAsia="宋体" w:cs="Times New Roman"/>
                <w:color w:val="auto"/>
                <w:spacing w:val="1"/>
                <w:sz w:val="21"/>
                <w:szCs w:val="21"/>
                <w:highlight w:val="none"/>
              </w:rPr>
              <w:t>在此栖息的鸟类、哺乳动物等，</w:t>
            </w:r>
            <w:r>
              <w:rPr>
                <w:rFonts w:hint="default" w:ascii="Times New Roman" w:hAnsi="Times New Roman" w:eastAsia="宋体" w:cs="Times New Roman"/>
                <w:color w:val="auto"/>
                <w:spacing w:val="9"/>
                <w:sz w:val="21"/>
                <w:szCs w:val="21"/>
                <w:highlight w:val="none"/>
              </w:rPr>
              <w:t>对动物栖息地连通性的存在影</w:t>
            </w:r>
            <w:r>
              <w:rPr>
                <w:rFonts w:hint="default" w:ascii="Times New Roman" w:hAnsi="Times New Roman" w:eastAsia="宋体" w:cs="Times New Roman"/>
                <w:color w:val="auto"/>
                <w:spacing w:val="-1"/>
                <w:sz w:val="21"/>
                <w:szCs w:val="21"/>
                <w:highlight w:val="none"/>
              </w:rPr>
              <w:t>响。</w:t>
            </w:r>
          </w:p>
        </w:tc>
        <w:tc>
          <w:tcPr>
            <w:tcW w:w="645" w:type="dxa"/>
            <w:vMerge w:val="restart"/>
            <w:tcBorders>
              <w:bottom w:val="nil"/>
            </w:tcBorders>
            <w:vAlign w:val="center"/>
          </w:tcPr>
          <w:p w14:paraId="26EEE2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632" w:type="dxa"/>
            <w:vMerge w:val="restart"/>
            <w:tcBorders>
              <w:bottom w:val="nil"/>
            </w:tcBorders>
            <w:vAlign w:val="center"/>
          </w:tcPr>
          <w:p w14:paraId="72002D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r>
      <w:tr w14:paraId="7C78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bottom w:val="nil"/>
            </w:tcBorders>
            <w:vAlign w:val="center"/>
          </w:tcPr>
          <w:p w14:paraId="59F307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2BA5F8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69" w:type="dxa"/>
            <w:vMerge w:val="continue"/>
            <w:tcBorders>
              <w:top w:val="nil"/>
              <w:bottom w:val="nil"/>
            </w:tcBorders>
            <w:vAlign w:val="center"/>
          </w:tcPr>
          <w:p w14:paraId="0F06B6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bottom w:val="nil"/>
            </w:tcBorders>
            <w:vAlign w:val="center"/>
          </w:tcPr>
          <w:p w14:paraId="5D7518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289E2D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bottom w:val="nil"/>
            </w:tcBorders>
            <w:vAlign w:val="center"/>
          </w:tcPr>
          <w:p w14:paraId="184AAF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4FAB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tcBorders>
            <w:vAlign w:val="center"/>
          </w:tcPr>
          <w:p w14:paraId="24CCD6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2238EA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69" w:type="dxa"/>
            <w:vMerge w:val="continue"/>
            <w:tcBorders>
              <w:top w:val="nil"/>
            </w:tcBorders>
            <w:vAlign w:val="center"/>
          </w:tcPr>
          <w:p w14:paraId="260CE6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tcBorders>
            <w:vAlign w:val="center"/>
          </w:tcPr>
          <w:p w14:paraId="1F2AB8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7EA7CF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tcBorders>
            <w:vAlign w:val="center"/>
          </w:tcPr>
          <w:p w14:paraId="1A65DB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5AF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restart"/>
            <w:tcBorders>
              <w:bottom w:val="nil"/>
            </w:tcBorders>
            <w:vAlign w:val="center"/>
          </w:tcPr>
          <w:p w14:paraId="2E4241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生物群落</w:t>
            </w:r>
            <w:r>
              <w:rPr>
                <w:rFonts w:hint="default" w:ascii="Times New Roman" w:hAnsi="Times New Roman" w:eastAsia="宋体" w:cs="Times New Roman"/>
                <w:color w:val="auto"/>
                <w:spacing w:val="7"/>
                <w:sz w:val="21"/>
                <w:szCs w:val="21"/>
                <w:highlight w:val="none"/>
              </w:rPr>
              <w:t>重要种类受影响程度的影响</w:t>
            </w:r>
            <w:r>
              <w:rPr>
                <w:rFonts w:hint="default" w:ascii="Times New Roman" w:hAnsi="Times New Roman" w:eastAsia="宋体" w:cs="Times New Roman"/>
                <w:color w:val="auto"/>
                <w:spacing w:val="26"/>
                <w:sz w:val="21"/>
                <w:szCs w:val="21"/>
                <w:highlight w:val="none"/>
              </w:rPr>
              <w:t>（B4）</w:t>
            </w:r>
          </w:p>
        </w:tc>
        <w:tc>
          <w:tcPr>
            <w:tcW w:w="1917" w:type="dxa"/>
            <w:vAlign w:val="center"/>
          </w:tcPr>
          <w:p w14:paraId="373D77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69" w:type="dxa"/>
            <w:vMerge w:val="restart"/>
            <w:tcBorders>
              <w:bottom w:val="nil"/>
            </w:tcBorders>
            <w:vAlign w:val="center"/>
          </w:tcPr>
          <w:p w14:paraId="6158B7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293" w:type="dxa"/>
            <w:vMerge w:val="restart"/>
            <w:tcBorders>
              <w:bottom w:val="nil"/>
            </w:tcBorders>
            <w:vAlign w:val="center"/>
          </w:tcPr>
          <w:p w14:paraId="555539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项目建成前后，影响评价区内生物群落的重要种类及丰富度不会发生较大变化，且影响评价区内的生物群落类型和重要种类在保护区范围内和周边区</w:t>
            </w:r>
            <w:r>
              <w:rPr>
                <w:rFonts w:hint="default" w:ascii="Times New Roman" w:hAnsi="Times New Roman" w:eastAsia="宋体" w:cs="Times New Roman"/>
                <w:color w:val="auto"/>
                <w:spacing w:val="6"/>
                <w:sz w:val="21"/>
                <w:szCs w:val="21"/>
                <w:highlight w:val="none"/>
              </w:rPr>
              <w:t>域均较常见。</w:t>
            </w:r>
          </w:p>
        </w:tc>
        <w:tc>
          <w:tcPr>
            <w:tcW w:w="645" w:type="dxa"/>
            <w:vMerge w:val="restart"/>
            <w:tcBorders>
              <w:bottom w:val="nil"/>
            </w:tcBorders>
            <w:vAlign w:val="center"/>
          </w:tcPr>
          <w:p w14:paraId="5BB520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0.30</w:t>
            </w:r>
          </w:p>
        </w:tc>
        <w:tc>
          <w:tcPr>
            <w:tcW w:w="632" w:type="dxa"/>
            <w:vMerge w:val="restart"/>
            <w:tcBorders>
              <w:bottom w:val="nil"/>
            </w:tcBorders>
            <w:vAlign w:val="center"/>
          </w:tcPr>
          <w:p w14:paraId="379670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15.0</w:t>
            </w:r>
          </w:p>
        </w:tc>
      </w:tr>
      <w:tr w14:paraId="7F3BA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bottom w:val="nil"/>
            </w:tcBorders>
            <w:vAlign w:val="center"/>
          </w:tcPr>
          <w:p w14:paraId="44F2F8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6AC07E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69" w:type="dxa"/>
            <w:vMerge w:val="continue"/>
            <w:tcBorders>
              <w:top w:val="nil"/>
              <w:bottom w:val="nil"/>
            </w:tcBorders>
            <w:vAlign w:val="center"/>
          </w:tcPr>
          <w:p w14:paraId="5E6679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bottom w:val="nil"/>
            </w:tcBorders>
            <w:vAlign w:val="center"/>
          </w:tcPr>
          <w:p w14:paraId="431780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1A3E5F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bottom w:val="nil"/>
            </w:tcBorders>
            <w:vAlign w:val="center"/>
          </w:tcPr>
          <w:p w14:paraId="0D17C5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C43F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tcBorders>
            <w:vAlign w:val="center"/>
          </w:tcPr>
          <w:p w14:paraId="493572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02DA18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69" w:type="dxa"/>
            <w:vMerge w:val="continue"/>
            <w:tcBorders>
              <w:top w:val="nil"/>
            </w:tcBorders>
            <w:vAlign w:val="center"/>
          </w:tcPr>
          <w:p w14:paraId="129786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tcBorders>
            <w:vAlign w:val="center"/>
          </w:tcPr>
          <w:p w14:paraId="66D92C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0C77F7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tcBorders>
            <w:vAlign w:val="center"/>
          </w:tcPr>
          <w:p w14:paraId="213023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E49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restart"/>
            <w:tcBorders>
              <w:bottom w:val="nil"/>
            </w:tcBorders>
            <w:vAlign w:val="center"/>
          </w:tcPr>
          <w:p w14:paraId="338025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生物群落</w:t>
            </w:r>
            <w:r>
              <w:rPr>
                <w:rFonts w:hint="default" w:ascii="Times New Roman" w:hAnsi="Times New Roman" w:eastAsia="宋体" w:cs="Times New Roman"/>
                <w:color w:val="auto"/>
                <w:spacing w:val="5"/>
                <w:sz w:val="21"/>
                <w:szCs w:val="21"/>
                <w:highlight w:val="none"/>
              </w:rPr>
              <w:t>结构影响</w:t>
            </w:r>
            <w:r>
              <w:rPr>
                <w:rFonts w:hint="default" w:ascii="Times New Roman" w:hAnsi="Times New Roman" w:eastAsia="宋体" w:cs="Times New Roman"/>
                <w:color w:val="auto"/>
                <w:spacing w:val="9"/>
                <w:sz w:val="21"/>
                <w:szCs w:val="21"/>
                <w:highlight w:val="none"/>
              </w:rPr>
              <w:t>（</w:t>
            </w:r>
            <w:r>
              <w:rPr>
                <w:rFonts w:hint="default" w:ascii="Times New Roman" w:hAnsi="Times New Roman" w:eastAsia="宋体" w:cs="Times New Roman"/>
                <w:color w:val="auto"/>
                <w:spacing w:val="-39"/>
                <w:sz w:val="21"/>
                <w:szCs w:val="21"/>
                <w:highlight w:val="none"/>
              </w:rPr>
              <w:t xml:space="preserve"> </w:t>
            </w:r>
            <w:r>
              <w:rPr>
                <w:rFonts w:hint="default" w:ascii="Times New Roman" w:hAnsi="Times New Roman" w:eastAsia="宋体" w:cs="Times New Roman"/>
                <w:color w:val="auto"/>
                <w:spacing w:val="9"/>
                <w:sz w:val="21"/>
                <w:szCs w:val="21"/>
                <w:highlight w:val="none"/>
              </w:rPr>
              <w:t>B5）</w:t>
            </w:r>
          </w:p>
        </w:tc>
        <w:tc>
          <w:tcPr>
            <w:tcW w:w="1917" w:type="dxa"/>
            <w:vAlign w:val="center"/>
          </w:tcPr>
          <w:p w14:paraId="3F2F45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eastAsia"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69" w:type="dxa"/>
            <w:vMerge w:val="restart"/>
            <w:tcBorders>
              <w:bottom w:val="nil"/>
            </w:tcBorders>
            <w:vAlign w:val="center"/>
          </w:tcPr>
          <w:p w14:paraId="4ABD26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293" w:type="dxa"/>
            <w:vMerge w:val="restart"/>
            <w:tcBorders>
              <w:bottom w:val="nil"/>
            </w:tcBorders>
            <w:vAlign w:val="center"/>
          </w:tcPr>
          <w:p w14:paraId="0DB1FF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拟建项目占用植物群落</w:t>
            </w:r>
            <w:r>
              <w:rPr>
                <w:rFonts w:hint="eastAsia" w:eastAsia="宋体" w:cs="Times New Roman"/>
                <w:color w:val="auto"/>
                <w:spacing w:val="4"/>
                <w:sz w:val="21"/>
                <w:szCs w:val="21"/>
                <w:highlight w:val="none"/>
                <w:lang w:val="en-US" w:eastAsia="zh-CN"/>
              </w:rPr>
              <w:t>4000</w:t>
            </w:r>
            <w:r>
              <w:rPr>
                <w:rFonts w:hint="default" w:ascii="Times New Roman" w:hAnsi="Times New Roman" w:eastAsia="宋体" w:cs="Times New Roman"/>
                <w:color w:val="auto"/>
                <w:spacing w:val="4"/>
                <w:sz w:val="21"/>
                <w:szCs w:val="21"/>
                <w:highlight w:val="none"/>
              </w:rPr>
              <w:t>m</w:t>
            </w:r>
            <w:r>
              <w:rPr>
                <w:rFonts w:hint="eastAsia" w:ascii="Times New Roman" w:hAnsi="Times New Roman" w:eastAsia="宋体" w:cs="Times New Roman"/>
                <w:color w:val="auto"/>
                <w:spacing w:val="4"/>
                <w:sz w:val="21"/>
                <w:szCs w:val="21"/>
                <w:highlight w:val="none"/>
                <w:vertAlign w:val="superscript"/>
                <w:lang w:val="en-US" w:eastAsia="zh-CN"/>
              </w:rPr>
              <w:t>2</w:t>
            </w:r>
            <w:r>
              <w:rPr>
                <w:rFonts w:hint="default" w:ascii="Times New Roman" w:hAnsi="Times New Roman" w:eastAsia="宋体" w:cs="Times New Roman"/>
                <w:color w:val="auto"/>
                <w:spacing w:val="-1"/>
                <w:sz w:val="21"/>
                <w:szCs w:val="21"/>
                <w:highlight w:val="none"/>
              </w:rPr>
              <w:t>，占用面积极为有限，</w:t>
            </w:r>
            <w:r>
              <w:rPr>
                <w:rFonts w:hint="default" w:ascii="Times New Roman" w:hAnsi="Times New Roman" w:eastAsia="宋体" w:cs="Times New Roman"/>
                <w:color w:val="auto"/>
                <w:spacing w:val="8"/>
                <w:sz w:val="21"/>
                <w:szCs w:val="21"/>
                <w:highlight w:val="none"/>
              </w:rPr>
              <w:t>没有改变原有植物群落的结</w:t>
            </w:r>
            <w:r>
              <w:rPr>
                <w:rFonts w:hint="default" w:ascii="Times New Roman" w:hAnsi="Times New Roman" w:eastAsia="宋体" w:cs="Times New Roman"/>
                <w:color w:val="auto"/>
                <w:spacing w:val="9"/>
                <w:sz w:val="21"/>
                <w:szCs w:val="21"/>
                <w:highlight w:val="none"/>
              </w:rPr>
              <w:t>构，且占地范围内的树种均为评价区常见的白桦和蒙古栎</w:t>
            </w:r>
            <w:r>
              <w:rPr>
                <w:rFonts w:hint="default" w:ascii="Times New Roman" w:hAnsi="Times New Roman" w:eastAsia="宋体" w:cs="Times New Roman"/>
                <w:color w:val="auto"/>
                <w:spacing w:val="8"/>
                <w:sz w:val="21"/>
                <w:szCs w:val="21"/>
                <w:highlight w:val="none"/>
              </w:rPr>
              <w:t>等，项目建设后保护区内仍有</w:t>
            </w:r>
            <w:r>
              <w:rPr>
                <w:rFonts w:hint="default" w:ascii="Times New Roman" w:hAnsi="Times New Roman" w:eastAsia="宋体" w:cs="Times New Roman"/>
                <w:color w:val="auto"/>
                <w:spacing w:val="7"/>
                <w:sz w:val="21"/>
                <w:szCs w:val="21"/>
                <w:highlight w:val="none"/>
              </w:rPr>
              <w:t>大面积的该类型生物群落。</w:t>
            </w:r>
          </w:p>
        </w:tc>
        <w:tc>
          <w:tcPr>
            <w:tcW w:w="645" w:type="dxa"/>
            <w:vMerge w:val="restart"/>
            <w:tcBorders>
              <w:bottom w:val="nil"/>
            </w:tcBorders>
            <w:vAlign w:val="center"/>
          </w:tcPr>
          <w:p w14:paraId="715D03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0.20</w:t>
            </w:r>
          </w:p>
        </w:tc>
        <w:tc>
          <w:tcPr>
            <w:tcW w:w="632" w:type="dxa"/>
            <w:vMerge w:val="restart"/>
            <w:tcBorders>
              <w:bottom w:val="nil"/>
            </w:tcBorders>
            <w:vAlign w:val="center"/>
          </w:tcPr>
          <w:p w14:paraId="174043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10.0</w:t>
            </w:r>
          </w:p>
        </w:tc>
      </w:tr>
      <w:tr w14:paraId="7721F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bottom w:val="nil"/>
            </w:tcBorders>
            <w:vAlign w:val="center"/>
          </w:tcPr>
          <w:p w14:paraId="62FAD3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347FDD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eastAsia"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69" w:type="dxa"/>
            <w:vMerge w:val="continue"/>
            <w:tcBorders>
              <w:top w:val="nil"/>
              <w:bottom w:val="nil"/>
            </w:tcBorders>
            <w:vAlign w:val="center"/>
          </w:tcPr>
          <w:p w14:paraId="256240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bottom w:val="nil"/>
            </w:tcBorders>
            <w:vAlign w:val="center"/>
          </w:tcPr>
          <w:p w14:paraId="69325F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2F437F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bottom w:val="nil"/>
            </w:tcBorders>
            <w:vAlign w:val="center"/>
          </w:tcPr>
          <w:p w14:paraId="052547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DD8D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67" w:type="dxa"/>
            <w:vMerge w:val="continue"/>
            <w:tcBorders>
              <w:top w:val="nil"/>
            </w:tcBorders>
            <w:vAlign w:val="center"/>
          </w:tcPr>
          <w:p w14:paraId="71F3BD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17" w:type="dxa"/>
            <w:vAlign w:val="center"/>
          </w:tcPr>
          <w:p w14:paraId="35C95A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69" w:type="dxa"/>
            <w:vMerge w:val="continue"/>
            <w:tcBorders>
              <w:top w:val="nil"/>
            </w:tcBorders>
            <w:vAlign w:val="center"/>
          </w:tcPr>
          <w:p w14:paraId="0A423B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93" w:type="dxa"/>
            <w:vMerge w:val="continue"/>
            <w:tcBorders>
              <w:top w:val="nil"/>
            </w:tcBorders>
            <w:vAlign w:val="center"/>
          </w:tcPr>
          <w:p w14:paraId="42F209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253D54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dxa"/>
            <w:vMerge w:val="continue"/>
            <w:tcBorders>
              <w:top w:val="nil"/>
            </w:tcBorders>
            <w:vAlign w:val="center"/>
          </w:tcPr>
          <w:p w14:paraId="694EC3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FDBF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7246" w:type="dxa"/>
            <w:gridSpan w:val="4"/>
            <w:vAlign w:val="center"/>
          </w:tcPr>
          <w:p w14:paraId="7767C7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合计</w:t>
            </w:r>
          </w:p>
        </w:tc>
        <w:tc>
          <w:tcPr>
            <w:tcW w:w="645" w:type="dxa"/>
            <w:vAlign w:val="center"/>
          </w:tcPr>
          <w:p w14:paraId="6F098A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2" w:type="dxa"/>
            <w:vAlign w:val="center"/>
          </w:tcPr>
          <w:p w14:paraId="3E58B0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bl>
    <w:p w14:paraId="466A8188">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62" w:name="bookmark60"/>
      <w:bookmarkEnd w:id="62"/>
      <w:bookmarkStart w:id="63" w:name="bookmark59"/>
      <w:bookmarkEnd w:id="63"/>
      <w:r>
        <w:rPr>
          <w:rFonts w:hint="eastAsia" w:cs="Times New Roman"/>
          <w:color w:val="auto"/>
          <w:kern w:val="0"/>
          <w:szCs w:val="30"/>
          <w:highlight w:val="none"/>
          <w:lang w:val="en-US" w:eastAsia="zh-CN"/>
        </w:rPr>
        <w:t>5.3对种群/物种的影响</w:t>
      </w:r>
    </w:p>
    <w:p w14:paraId="3F3C3012">
      <w:pPr>
        <w:bidi w:val="0"/>
        <w:rPr>
          <w:color w:val="auto"/>
          <w:highlight w:val="none"/>
        </w:rPr>
      </w:pPr>
      <w:r>
        <w:rPr>
          <w:rFonts w:hint="eastAsia"/>
          <w:color w:val="auto"/>
          <w:highlight w:val="none"/>
          <w:lang w:val="en-US" w:eastAsia="zh-CN"/>
        </w:rPr>
        <w:t>5</w:t>
      </w:r>
      <w:r>
        <w:rPr>
          <w:color w:val="auto"/>
          <w:highlight w:val="none"/>
        </w:rPr>
        <w:t>.3.1对特有物种的影响（C1）</w:t>
      </w:r>
    </w:p>
    <w:p w14:paraId="69EB0037">
      <w:pPr>
        <w:bidi w:val="0"/>
        <w:rPr>
          <w:color w:val="auto"/>
          <w:highlight w:val="none"/>
        </w:rPr>
      </w:pPr>
      <w:r>
        <w:rPr>
          <w:color w:val="auto"/>
          <w:highlight w:val="none"/>
        </w:rPr>
        <w:t>根据实地调查和查阅相关材料，影响评价区域分布特有种有油松、山噪鹛，评价区分布的油松为人工种植，保护价值较小，且项目施工范围没有油松分布。山噪鹛主要栖息于山地灌丛和矮树林中，本项目送出线路架空，对地和对树的距离较远，对山噪鹛的活动影响较小。项目建设过程中对保护区内特有动、植物的生存和繁衍影响较小。影响程度定级为中低度影响，分值50分，根据二级指标权重0.30，该指标得分为15.0分。</w:t>
      </w:r>
    </w:p>
    <w:p w14:paraId="2BE240F1">
      <w:pPr>
        <w:bidi w:val="0"/>
        <w:rPr>
          <w:color w:val="auto"/>
          <w:highlight w:val="none"/>
        </w:rPr>
      </w:pPr>
      <w:r>
        <w:rPr>
          <w:rFonts w:hint="eastAsia"/>
          <w:color w:val="auto"/>
          <w:highlight w:val="none"/>
          <w:lang w:val="en-US" w:eastAsia="zh-CN"/>
        </w:rPr>
        <w:t>5</w:t>
      </w:r>
      <w:r>
        <w:rPr>
          <w:color w:val="auto"/>
          <w:highlight w:val="none"/>
        </w:rPr>
        <w:t>.3.2对保护物种的影响（C2）</w:t>
      </w:r>
    </w:p>
    <w:p w14:paraId="30012F30">
      <w:pPr>
        <w:bidi w:val="0"/>
        <w:rPr>
          <w:color w:val="auto"/>
          <w:highlight w:val="none"/>
        </w:rPr>
      </w:pPr>
      <w:r>
        <w:rPr>
          <w:color w:val="auto"/>
          <w:highlight w:val="none"/>
        </w:rPr>
        <w:t>影响评价区内没有国家级重点保护植物，河北省重点保护植物有6种，国家二级重点保护野生鸟类动物10种，河北省重点保护野生陆生动物21种。项目占地范围内没有发现河北省重点保护植物，国家和河北省重点保护鸟类中有冬候鸟1种，夏候鸟8种，旅鸟8种，留鸟8种，在项目施工期，建筑材料的运输、塔基的安装施工和线路的连接可能会影响保护鸟类的飞行和活动。</w:t>
      </w:r>
    </w:p>
    <w:p w14:paraId="0797D92E">
      <w:pPr>
        <w:bidi w:val="0"/>
        <w:rPr>
          <w:color w:val="auto"/>
          <w:highlight w:val="none"/>
        </w:rPr>
      </w:pPr>
      <w:r>
        <w:rPr>
          <w:color w:val="auto"/>
          <w:highlight w:val="none"/>
        </w:rPr>
        <w:t>河北省重点保护哺乳动物：狍性情胆小，日间多栖于密林中，早晚时分才会在空旷的草场或灌木丛活动；黄鼬、艾鼬具有夜行性；狗獾活动以春、秋两季最盛洞。</w:t>
      </w:r>
    </w:p>
    <w:p w14:paraId="6BF19A7E">
      <w:pPr>
        <w:bidi w:val="0"/>
        <w:rPr>
          <w:color w:val="auto"/>
          <w:highlight w:val="none"/>
        </w:rPr>
      </w:pPr>
      <w:r>
        <w:rPr>
          <w:color w:val="auto"/>
          <w:highlight w:val="none"/>
        </w:rPr>
        <w:t>河北省重点保护爬行动物：赤峰锦蛇长期栖息在山地阳坡，平原、丘陵、低山等环境；蓝尾石龙子喜在干燥而温度较高的阳坡活动，3月下旬或4月初出蛰。项目施工过程中人为活动较为频繁，产生的施工噪音、大气污染等可能会影响哺乳、爬行保护物种的活动。运行期输电线路和塔基也可能会影响鸟类的活动，所以影响程度定级为中高度影响，分值70分，根据二级指标权重0.30，该指标得分为21.0分。</w:t>
      </w:r>
    </w:p>
    <w:p w14:paraId="4903F282">
      <w:pPr>
        <w:bidi w:val="0"/>
        <w:rPr>
          <w:color w:val="auto"/>
          <w:highlight w:val="none"/>
        </w:rPr>
      </w:pPr>
      <w:r>
        <w:rPr>
          <w:rFonts w:hint="eastAsia"/>
          <w:color w:val="auto"/>
          <w:highlight w:val="none"/>
          <w:lang w:val="en-US" w:eastAsia="zh-CN"/>
        </w:rPr>
        <w:t>5</w:t>
      </w:r>
      <w:r>
        <w:rPr>
          <w:color w:val="auto"/>
          <w:highlight w:val="none"/>
        </w:rPr>
        <w:t>.3.3对特有物种、保护物种的食物网/链结构的影响（C3）</w:t>
      </w:r>
    </w:p>
    <w:p w14:paraId="729431DE">
      <w:pPr>
        <w:bidi w:val="0"/>
        <w:rPr>
          <w:color w:val="auto"/>
          <w:highlight w:val="none"/>
        </w:rPr>
      </w:pPr>
      <w:r>
        <w:rPr>
          <w:color w:val="auto"/>
          <w:highlight w:val="none"/>
        </w:rPr>
        <w:t>影响评价区内没有国家级重点保护植物，河北省重点保护植物有6种，国家二级重点保护野生鸟类动物10种，河北省重点保护野生陆生动物21种。其中大型鸟类食物来源为昆虫、小型哺乳动物、爬行动物等，小型鸟类的食物来源为昆虫、果实等；黄鼬和艾鼬以老鼠和野兔为主食，也吃两栖动物、鱼类、鸟卵、昆虫和腐肉，也采食植物的果实、种子；狗獾以植物的根、茎、果实和蛙、蚯蚓、小鱼、沙蜥、昆虫等为食；赤峰锦蛇食物来源主要以小型啮齿类动物为主。</w:t>
      </w:r>
    </w:p>
    <w:p w14:paraId="429BA9B7">
      <w:pPr>
        <w:bidi w:val="0"/>
        <w:rPr>
          <w:color w:val="auto"/>
          <w:highlight w:val="none"/>
        </w:rPr>
      </w:pPr>
      <w:r>
        <w:rPr>
          <w:color w:val="auto"/>
          <w:highlight w:val="none"/>
        </w:rPr>
        <w:t>项目建设占地</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，占评价区总面积的0.0</w:t>
      </w:r>
      <w:r>
        <w:rPr>
          <w:rFonts w:hint="eastAsia"/>
          <w:color w:val="auto"/>
          <w:highlight w:val="none"/>
          <w:lang w:val="en-US" w:eastAsia="zh-CN"/>
        </w:rPr>
        <w:t>1</w:t>
      </w:r>
      <w:r>
        <w:rPr>
          <w:color w:val="auto"/>
          <w:highlight w:val="none"/>
        </w:rPr>
        <w:t>%，属于线性工程，施工区没有发现保护物种的主要觅食地，占用的植被类型在评价区及周边广泛分布，所以项目对栖息地植物群落的面积、结构与空间分布基本没有影响，对动物的食物来源影响也非常小，对植物群落生产力水平、各级动物食物来源基本保持原有状态，鸟类、哺乳动物、爬行动物与其他物种相互作用，形成了一个复杂的生态系统，保护物种食物网/链结构不会发生显著改变。影响程度定级为中低度影响，分值50分，根据二级指标权重0.20，该指标得分为10.0分。</w:t>
      </w:r>
    </w:p>
    <w:p w14:paraId="459E1845">
      <w:pPr>
        <w:bidi w:val="0"/>
        <w:rPr>
          <w:color w:val="auto"/>
          <w:highlight w:val="none"/>
        </w:rPr>
      </w:pPr>
      <w:r>
        <w:rPr>
          <w:rFonts w:hint="eastAsia"/>
          <w:color w:val="auto"/>
          <w:highlight w:val="none"/>
          <w:lang w:val="en-US" w:eastAsia="zh-CN"/>
        </w:rPr>
        <w:t>5</w:t>
      </w:r>
      <w:r>
        <w:rPr>
          <w:color w:val="auto"/>
          <w:highlight w:val="none"/>
        </w:rPr>
        <w:t>.3.4对特有物种、保护物种的迁移、散布和繁衍等的影响（C4）</w:t>
      </w:r>
    </w:p>
    <w:p w14:paraId="182668DC">
      <w:pPr>
        <w:bidi w:val="0"/>
        <w:rPr>
          <w:color w:val="auto"/>
          <w:highlight w:val="none"/>
        </w:rPr>
      </w:pPr>
      <w:r>
        <w:rPr>
          <w:color w:val="auto"/>
          <w:highlight w:val="none"/>
        </w:rPr>
        <w:t>经收集资料和现场调查，影响评价区分布河北省重点保护植物有6种，国家二级重点保护野生鸟类动物10种，河北省重点保护野生陆生动物21种。经收集资料和现场调查，影响评价区未分布有保护物种迁移、散布的通道，未分布保护动物的固定栖息地，且项目属于线性工程，对动物的迁移和散布造成的影响非常小，对其栖息地的连通性基本不会造成阻碍。</w:t>
      </w:r>
    </w:p>
    <w:p w14:paraId="1AF71DCA">
      <w:pPr>
        <w:bidi w:val="0"/>
        <w:rPr>
          <w:color w:val="auto"/>
          <w:highlight w:val="none"/>
        </w:rPr>
      </w:pPr>
      <w:r>
        <w:rPr>
          <w:color w:val="auto"/>
          <w:highlight w:val="none"/>
        </w:rPr>
        <w:t>工程建设对重要物种的迁移、散布、繁衍的影响，主要体现在施工期间机械设备使用产生的振动和噪声，会对施工场地周围的动物产生一定的影响，缩小了动物的栖息地和活动范围，会导致动物的迁徙移动。项目建设周边类似生境广泛，动物可活动范围较广，觅食生境多样，群落的连通性较好，且项目建设并未切断动物的迁徙通道，对哺乳动物的移动和鸟类的迁徙造成影响较小；项目建设区及周边并非动物繁衍的固定地点，且位于保护区的实验区，对动物的繁衍造成影响较小；影响程度定级为中低度影响，分值50分，根据二级指标权重0.20，该指标得分为10.0分。</w:t>
      </w:r>
    </w:p>
    <w:p w14:paraId="3561CFF7">
      <w:pPr>
        <w:bidi w:val="0"/>
        <w:rPr>
          <w:color w:val="auto"/>
          <w:highlight w:val="none"/>
        </w:rPr>
      </w:pPr>
      <w:r>
        <w:rPr>
          <w:rFonts w:hint="eastAsia"/>
          <w:color w:val="auto"/>
          <w:highlight w:val="none"/>
          <w:lang w:val="en-US" w:eastAsia="zh-CN"/>
        </w:rPr>
        <w:t>5</w:t>
      </w:r>
      <w:r>
        <w:rPr>
          <w:color w:val="auto"/>
          <w:highlight w:val="none"/>
        </w:rPr>
        <w:t>.3.5物种（C）各项评价指标权重和综合评分</w:t>
      </w:r>
    </w:p>
    <w:p w14:paraId="237ED47D">
      <w:pPr>
        <w:bidi w:val="0"/>
        <w:rPr>
          <w:color w:val="auto"/>
          <w:highlight w:val="none"/>
        </w:rPr>
      </w:pPr>
      <w:r>
        <w:rPr>
          <w:color w:val="auto"/>
          <w:highlight w:val="none"/>
        </w:rPr>
        <w:t>通过以上影响程度评分，并对指标权重等综合计算。本工程对影响评价区物种的影响评价综合评分为56.0分。为中低度影响。</w:t>
      </w:r>
    </w:p>
    <w:p w14:paraId="4903F83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default" w:ascii="Times New Roman" w:hAnsi="Times New Roman" w:eastAsia="宋体" w:cs="Times New Roman"/>
          <w:b/>
          <w:bCs/>
          <w:color w:val="auto"/>
          <w:spacing w:val="-2"/>
          <w:sz w:val="21"/>
          <w:szCs w:val="21"/>
          <w:highlight w:val="none"/>
        </w:rPr>
        <w:t>表</w:t>
      </w:r>
      <w:r>
        <w:rPr>
          <w:rFonts w:hint="eastAsia" w:ascii="Times New Roman" w:hAnsi="Times New Roman" w:eastAsia="宋体" w:cs="Times New Roman"/>
          <w:b/>
          <w:bCs/>
          <w:color w:val="auto"/>
          <w:spacing w:val="-2"/>
          <w:sz w:val="21"/>
          <w:szCs w:val="21"/>
          <w:highlight w:val="none"/>
          <w:lang w:val="en-US" w:eastAsia="zh-CN"/>
        </w:rPr>
        <w:t>5.3-1</w:t>
      </w:r>
      <w:r>
        <w:rPr>
          <w:rFonts w:hint="default" w:ascii="Times New Roman" w:hAnsi="Times New Roman" w:eastAsia="宋体" w:cs="Times New Roman"/>
          <w:b/>
          <w:bCs/>
          <w:color w:val="auto"/>
          <w:spacing w:val="-2"/>
          <w:sz w:val="21"/>
          <w:szCs w:val="21"/>
          <w:highlight w:val="none"/>
        </w:rPr>
        <w:t xml:space="preserve">  物种各项评价指标综合评分表</w:t>
      </w:r>
    </w:p>
    <w:tbl>
      <w:tblPr>
        <w:tblStyle w:val="22"/>
        <w:tblW w:w="852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9"/>
        <w:gridCol w:w="1920"/>
        <w:gridCol w:w="750"/>
        <w:gridCol w:w="3049"/>
        <w:gridCol w:w="663"/>
        <w:gridCol w:w="652"/>
      </w:tblGrid>
      <w:tr w14:paraId="159F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Align w:val="center"/>
          </w:tcPr>
          <w:p w14:paraId="2FB20E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3"/>
                <w:sz w:val="20"/>
                <w:szCs w:val="20"/>
                <w:highlight w:val="none"/>
              </w:rPr>
              <w:t>二级指标</w:t>
            </w:r>
          </w:p>
        </w:tc>
        <w:tc>
          <w:tcPr>
            <w:tcW w:w="1920" w:type="dxa"/>
            <w:vAlign w:val="center"/>
          </w:tcPr>
          <w:p w14:paraId="70AD00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4"/>
                <w:sz w:val="20"/>
                <w:szCs w:val="20"/>
                <w:highlight w:val="none"/>
              </w:rPr>
              <w:t>影响程度</w:t>
            </w:r>
          </w:p>
        </w:tc>
        <w:tc>
          <w:tcPr>
            <w:tcW w:w="750" w:type="dxa"/>
            <w:vAlign w:val="center"/>
          </w:tcPr>
          <w:p w14:paraId="1FEAB7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3"/>
                <w:sz w:val="20"/>
                <w:szCs w:val="20"/>
                <w:highlight w:val="none"/>
              </w:rPr>
              <w:t>分值</w:t>
            </w:r>
          </w:p>
        </w:tc>
        <w:tc>
          <w:tcPr>
            <w:tcW w:w="3049" w:type="dxa"/>
            <w:vAlign w:val="center"/>
          </w:tcPr>
          <w:p w14:paraId="42AE06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4"/>
                <w:sz w:val="20"/>
                <w:szCs w:val="20"/>
                <w:highlight w:val="none"/>
              </w:rPr>
              <w:t>简要说明</w:t>
            </w:r>
          </w:p>
        </w:tc>
        <w:tc>
          <w:tcPr>
            <w:tcW w:w="663" w:type="dxa"/>
            <w:vAlign w:val="center"/>
          </w:tcPr>
          <w:p w14:paraId="3A88D4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1"/>
                <w:sz w:val="20"/>
                <w:szCs w:val="20"/>
                <w:highlight w:val="none"/>
              </w:rPr>
              <w:t>权重</w:t>
            </w:r>
          </w:p>
        </w:tc>
        <w:tc>
          <w:tcPr>
            <w:tcW w:w="652" w:type="dxa"/>
            <w:vAlign w:val="center"/>
          </w:tcPr>
          <w:p w14:paraId="2F1CD6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2"/>
                <w:sz w:val="20"/>
                <w:szCs w:val="20"/>
                <w:highlight w:val="none"/>
              </w:rPr>
              <w:t>得分</w:t>
            </w:r>
          </w:p>
        </w:tc>
      </w:tr>
      <w:tr w14:paraId="56AD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restart"/>
            <w:vAlign w:val="center"/>
          </w:tcPr>
          <w:p w14:paraId="397B99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4"/>
                <w:sz w:val="20"/>
                <w:szCs w:val="20"/>
                <w:highlight w:val="none"/>
              </w:rPr>
              <w:t>生物群落类型及其</w:t>
            </w:r>
            <w:r>
              <w:rPr>
                <w:rFonts w:hint="default" w:ascii="Times New Roman" w:hAnsi="Times New Roman" w:eastAsia="宋体" w:cs="Times New Roman"/>
                <w:color w:val="auto"/>
                <w:spacing w:val="38"/>
                <w:sz w:val="20"/>
                <w:szCs w:val="20"/>
                <w:highlight w:val="none"/>
              </w:rPr>
              <w:t>特有性</w:t>
            </w:r>
            <w:r>
              <w:rPr>
                <w:rFonts w:hint="default" w:ascii="Times New Roman" w:hAnsi="Times New Roman" w:eastAsia="宋体" w:cs="Times New Roman"/>
                <w:color w:val="auto"/>
                <w:spacing w:val="7"/>
                <w:sz w:val="20"/>
                <w:szCs w:val="20"/>
                <w:highlight w:val="none"/>
              </w:rPr>
              <w:t>（</w:t>
            </w:r>
            <w:r>
              <w:rPr>
                <w:rFonts w:hint="default" w:ascii="Times New Roman" w:hAnsi="Times New Roman" w:eastAsia="宋体" w:cs="Times New Roman"/>
                <w:color w:val="auto"/>
                <w:spacing w:val="-35"/>
                <w:sz w:val="20"/>
                <w:szCs w:val="20"/>
                <w:highlight w:val="none"/>
              </w:rPr>
              <w:t xml:space="preserve"> </w:t>
            </w:r>
            <w:r>
              <w:rPr>
                <w:rFonts w:hint="default" w:ascii="Times New Roman" w:hAnsi="Times New Roman" w:eastAsia="宋体" w:cs="Times New Roman"/>
                <w:color w:val="auto"/>
                <w:spacing w:val="7"/>
                <w:sz w:val="20"/>
                <w:szCs w:val="20"/>
                <w:highlight w:val="none"/>
              </w:rPr>
              <w:t>C1）</w:t>
            </w:r>
          </w:p>
        </w:tc>
        <w:tc>
          <w:tcPr>
            <w:tcW w:w="1920" w:type="dxa"/>
            <w:vAlign w:val="center"/>
          </w:tcPr>
          <w:p w14:paraId="3203F3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default"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50" w:type="dxa"/>
            <w:vMerge w:val="restart"/>
            <w:vAlign w:val="center"/>
          </w:tcPr>
          <w:p w14:paraId="1B0717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50</w:t>
            </w:r>
          </w:p>
        </w:tc>
        <w:tc>
          <w:tcPr>
            <w:tcW w:w="3049" w:type="dxa"/>
            <w:vMerge w:val="restart"/>
            <w:vAlign w:val="center"/>
          </w:tcPr>
          <w:p w14:paraId="10C6F3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22"/>
                <w:sz w:val="20"/>
                <w:szCs w:val="20"/>
                <w:highlight w:val="none"/>
              </w:rPr>
              <w:t>影响评价区域分布特有种有</w:t>
            </w:r>
            <w:r>
              <w:rPr>
                <w:rFonts w:hint="default" w:ascii="Times New Roman" w:hAnsi="Times New Roman" w:eastAsia="宋体" w:cs="Times New Roman"/>
                <w:color w:val="auto"/>
                <w:spacing w:val="6"/>
                <w:sz w:val="20"/>
                <w:szCs w:val="20"/>
                <w:highlight w:val="none"/>
              </w:rPr>
              <w:t>油松、山噪鹛，评价区分布的油松为人工种植，保护价值较小，本项目送出线路架空，对地和对树的距离较远，对山噪</w:t>
            </w:r>
            <w:r>
              <w:rPr>
                <w:rFonts w:hint="default" w:ascii="Times New Roman" w:hAnsi="Times New Roman" w:eastAsia="宋体" w:cs="Times New Roman"/>
                <w:color w:val="auto"/>
                <w:spacing w:val="7"/>
                <w:sz w:val="20"/>
                <w:szCs w:val="20"/>
                <w:highlight w:val="none"/>
              </w:rPr>
              <w:t>鹛的活动影响较小。</w:t>
            </w:r>
          </w:p>
        </w:tc>
        <w:tc>
          <w:tcPr>
            <w:tcW w:w="663" w:type="dxa"/>
            <w:vMerge w:val="restart"/>
            <w:vAlign w:val="center"/>
          </w:tcPr>
          <w:p w14:paraId="1781A5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1"/>
                <w:sz w:val="20"/>
                <w:szCs w:val="20"/>
                <w:highlight w:val="none"/>
              </w:rPr>
              <w:t>0.3</w:t>
            </w:r>
          </w:p>
        </w:tc>
        <w:tc>
          <w:tcPr>
            <w:tcW w:w="652" w:type="dxa"/>
            <w:vMerge w:val="restart"/>
            <w:vAlign w:val="center"/>
          </w:tcPr>
          <w:p w14:paraId="71C7FB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2"/>
                <w:sz w:val="20"/>
                <w:szCs w:val="20"/>
                <w:highlight w:val="none"/>
              </w:rPr>
              <w:t>15.0</w:t>
            </w:r>
          </w:p>
        </w:tc>
      </w:tr>
      <w:tr w14:paraId="0B73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32F4F3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48ADD7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default"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50" w:type="dxa"/>
            <w:vMerge w:val="continue"/>
            <w:vAlign w:val="center"/>
          </w:tcPr>
          <w:p w14:paraId="5B4A43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32BA13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509683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35FEBB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7D33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068E3F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4885F4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50" w:type="dxa"/>
            <w:vMerge w:val="continue"/>
            <w:vAlign w:val="center"/>
          </w:tcPr>
          <w:p w14:paraId="5C31CD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4E0A67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3D1D43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374F68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564C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restart"/>
            <w:vAlign w:val="center"/>
          </w:tcPr>
          <w:p w14:paraId="1DE649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8"/>
                <w:sz w:val="20"/>
                <w:szCs w:val="20"/>
                <w:highlight w:val="none"/>
              </w:rPr>
              <w:t>保护物种</w:t>
            </w:r>
            <w:r>
              <w:rPr>
                <w:rFonts w:hint="default" w:ascii="Times New Roman" w:hAnsi="Times New Roman" w:eastAsia="宋体" w:cs="Times New Roman"/>
                <w:color w:val="auto"/>
                <w:spacing w:val="1"/>
                <w:sz w:val="20"/>
                <w:szCs w:val="20"/>
                <w:highlight w:val="none"/>
              </w:rPr>
              <w:t>影响</w:t>
            </w:r>
            <w:r>
              <w:rPr>
                <w:rFonts w:hint="default" w:ascii="Times New Roman" w:hAnsi="Times New Roman" w:eastAsia="宋体" w:cs="Times New Roman"/>
                <w:color w:val="auto"/>
                <w:spacing w:val="5"/>
                <w:sz w:val="20"/>
                <w:szCs w:val="20"/>
                <w:highlight w:val="none"/>
              </w:rPr>
              <w:t>（C2）</w:t>
            </w:r>
          </w:p>
        </w:tc>
        <w:tc>
          <w:tcPr>
            <w:tcW w:w="1920" w:type="dxa"/>
            <w:vAlign w:val="center"/>
          </w:tcPr>
          <w:p w14:paraId="7D86F2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default"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50" w:type="dxa"/>
            <w:vMerge w:val="restart"/>
            <w:vAlign w:val="center"/>
          </w:tcPr>
          <w:p w14:paraId="46A32E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1"/>
                <w:sz w:val="20"/>
                <w:szCs w:val="20"/>
                <w:highlight w:val="none"/>
              </w:rPr>
              <w:t>70</w:t>
            </w:r>
          </w:p>
        </w:tc>
        <w:tc>
          <w:tcPr>
            <w:tcW w:w="3049" w:type="dxa"/>
            <w:vMerge w:val="restart"/>
            <w:vAlign w:val="center"/>
          </w:tcPr>
          <w:p w14:paraId="63BDDC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5"/>
                <w:sz w:val="20"/>
                <w:szCs w:val="20"/>
                <w:highlight w:val="none"/>
              </w:rPr>
              <w:t>在项目施工期，建筑材料的运</w:t>
            </w:r>
            <w:r>
              <w:rPr>
                <w:rFonts w:hint="default" w:ascii="Times New Roman" w:hAnsi="Times New Roman" w:eastAsia="宋体" w:cs="Times New Roman"/>
                <w:color w:val="auto"/>
                <w:spacing w:val="6"/>
                <w:sz w:val="20"/>
                <w:szCs w:val="20"/>
                <w:highlight w:val="none"/>
              </w:rPr>
              <w:t>输、塔基的安装施工和线路的</w:t>
            </w:r>
            <w:r>
              <w:rPr>
                <w:rFonts w:hint="default" w:ascii="Times New Roman" w:hAnsi="Times New Roman" w:eastAsia="宋体" w:cs="Times New Roman"/>
                <w:color w:val="auto"/>
                <w:spacing w:val="23"/>
                <w:sz w:val="20"/>
                <w:szCs w:val="20"/>
                <w:highlight w:val="none"/>
              </w:rPr>
              <w:t>连接可能会对保护区保护物</w:t>
            </w:r>
            <w:r>
              <w:rPr>
                <w:rFonts w:hint="default" w:ascii="Times New Roman" w:hAnsi="Times New Roman" w:eastAsia="宋体" w:cs="Times New Roman"/>
                <w:color w:val="auto"/>
                <w:spacing w:val="7"/>
                <w:sz w:val="20"/>
                <w:szCs w:val="20"/>
                <w:highlight w:val="none"/>
              </w:rPr>
              <w:t>种产生一定的影响。</w:t>
            </w:r>
          </w:p>
        </w:tc>
        <w:tc>
          <w:tcPr>
            <w:tcW w:w="663" w:type="dxa"/>
            <w:vMerge w:val="restart"/>
            <w:vAlign w:val="center"/>
          </w:tcPr>
          <w:p w14:paraId="6FDD8B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1"/>
                <w:sz w:val="20"/>
                <w:szCs w:val="20"/>
                <w:highlight w:val="none"/>
              </w:rPr>
              <w:t>0.3</w:t>
            </w:r>
          </w:p>
        </w:tc>
        <w:tc>
          <w:tcPr>
            <w:tcW w:w="652" w:type="dxa"/>
            <w:vMerge w:val="restart"/>
            <w:vAlign w:val="center"/>
          </w:tcPr>
          <w:p w14:paraId="0F8C8A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3"/>
                <w:sz w:val="20"/>
                <w:szCs w:val="20"/>
                <w:highlight w:val="none"/>
              </w:rPr>
              <w:t>21.0</w:t>
            </w:r>
          </w:p>
        </w:tc>
      </w:tr>
      <w:tr w14:paraId="448C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5C0DF4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4AD6D1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default"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50" w:type="dxa"/>
            <w:vMerge w:val="continue"/>
            <w:vAlign w:val="center"/>
          </w:tcPr>
          <w:p w14:paraId="192443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3860DF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3B05BA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6D08FB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4ACC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3B47C0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3A3803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50" w:type="dxa"/>
            <w:vMerge w:val="continue"/>
            <w:vAlign w:val="center"/>
          </w:tcPr>
          <w:p w14:paraId="5C12E0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1586E5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182542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5E688C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3E07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restart"/>
            <w:vAlign w:val="center"/>
          </w:tcPr>
          <w:p w14:paraId="780F94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pacing w:val="-1"/>
                <w:sz w:val="20"/>
                <w:szCs w:val="20"/>
                <w:highlight w:val="none"/>
              </w:rPr>
              <w:t>特有物种、</w:t>
            </w:r>
            <w:r>
              <w:rPr>
                <w:rFonts w:hint="default" w:ascii="Times New Roman" w:hAnsi="Times New Roman" w:eastAsia="宋体" w:cs="Times New Roman"/>
                <w:color w:val="auto"/>
                <w:spacing w:val="13"/>
                <w:sz w:val="20"/>
                <w:szCs w:val="20"/>
                <w:highlight w:val="none"/>
              </w:rPr>
              <w:t>保护物种</w:t>
            </w:r>
            <w:r>
              <w:rPr>
                <w:rFonts w:hint="default" w:ascii="Times New Roman" w:hAnsi="Times New Roman" w:eastAsia="宋体" w:cs="Times New Roman"/>
                <w:color w:val="auto"/>
                <w:spacing w:val="5"/>
                <w:sz w:val="20"/>
                <w:szCs w:val="20"/>
                <w:highlight w:val="none"/>
              </w:rPr>
              <w:t>食物网/链</w:t>
            </w:r>
            <w:r>
              <w:rPr>
                <w:rFonts w:hint="default" w:ascii="Times New Roman" w:hAnsi="Times New Roman" w:eastAsia="宋体" w:cs="Times New Roman"/>
                <w:color w:val="auto"/>
                <w:spacing w:val="13"/>
                <w:sz w:val="20"/>
                <w:szCs w:val="20"/>
                <w:highlight w:val="none"/>
              </w:rPr>
              <w:t>结构影响</w:t>
            </w:r>
            <w:r>
              <w:rPr>
                <w:rFonts w:hint="default" w:ascii="Times New Roman" w:hAnsi="Times New Roman" w:eastAsia="宋体" w:cs="Times New Roman"/>
                <w:color w:val="auto"/>
                <w:spacing w:val="5"/>
                <w:sz w:val="20"/>
                <w:szCs w:val="20"/>
                <w:highlight w:val="none"/>
              </w:rPr>
              <w:t>（C3）</w:t>
            </w:r>
          </w:p>
        </w:tc>
        <w:tc>
          <w:tcPr>
            <w:tcW w:w="1920" w:type="dxa"/>
            <w:vAlign w:val="center"/>
          </w:tcPr>
          <w:p w14:paraId="5B4355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default"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50" w:type="dxa"/>
            <w:vMerge w:val="restart"/>
            <w:vAlign w:val="center"/>
          </w:tcPr>
          <w:p w14:paraId="1EF623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50</w:t>
            </w:r>
          </w:p>
        </w:tc>
        <w:tc>
          <w:tcPr>
            <w:tcW w:w="3049" w:type="dxa"/>
            <w:vMerge w:val="restart"/>
            <w:vAlign w:val="center"/>
          </w:tcPr>
          <w:p w14:paraId="4F7A4A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9"/>
                <w:sz w:val="20"/>
                <w:szCs w:val="20"/>
                <w:highlight w:val="none"/>
              </w:rPr>
              <w:t>项目建设占地</w:t>
            </w:r>
            <w:r>
              <w:rPr>
                <w:rFonts w:hint="eastAsia" w:eastAsia="宋体" w:cs="Times New Roman"/>
                <w:color w:val="auto"/>
                <w:spacing w:val="-19"/>
                <w:sz w:val="20"/>
                <w:szCs w:val="20"/>
                <w:highlight w:val="none"/>
                <w:lang w:val="en-US" w:eastAsia="zh-CN"/>
              </w:rPr>
              <w:t>4000</w:t>
            </w:r>
            <w:r>
              <w:rPr>
                <w:rFonts w:hint="default" w:ascii="Times New Roman" w:hAnsi="Times New Roman" w:eastAsia="宋体" w:cs="Times New Roman"/>
                <w:color w:val="auto"/>
                <w:spacing w:val="9"/>
                <w:sz w:val="20"/>
                <w:szCs w:val="20"/>
                <w:highlight w:val="none"/>
              </w:rPr>
              <w:t>m</w:t>
            </w:r>
            <w:r>
              <w:rPr>
                <w:rFonts w:hint="default" w:ascii="Times New Roman" w:hAnsi="Times New Roman" w:eastAsia="宋体" w:cs="Times New Roman"/>
                <w:color w:val="auto"/>
                <w:spacing w:val="9"/>
                <w:position w:val="6"/>
                <w:sz w:val="13"/>
                <w:szCs w:val="13"/>
                <w:highlight w:val="none"/>
              </w:rPr>
              <w:t>2</w:t>
            </w:r>
            <w:r>
              <w:rPr>
                <w:rFonts w:hint="default" w:ascii="Times New Roman" w:hAnsi="Times New Roman" w:eastAsia="宋体" w:cs="Times New Roman"/>
                <w:color w:val="auto"/>
                <w:spacing w:val="9"/>
                <w:sz w:val="20"/>
                <w:szCs w:val="20"/>
                <w:highlight w:val="none"/>
              </w:rPr>
              <w:t>，属于</w:t>
            </w:r>
            <w:r>
              <w:rPr>
                <w:rFonts w:hint="default" w:ascii="Times New Roman" w:hAnsi="Times New Roman" w:eastAsia="宋体" w:cs="Times New Roman"/>
                <w:color w:val="auto"/>
                <w:spacing w:val="6"/>
                <w:sz w:val="20"/>
                <w:szCs w:val="20"/>
                <w:highlight w:val="none"/>
              </w:rPr>
              <w:t>线性工程，施工区没有发现保护物种的主要觅食地，占用的</w:t>
            </w:r>
            <w:r>
              <w:rPr>
                <w:rFonts w:hint="default" w:ascii="Times New Roman" w:hAnsi="Times New Roman" w:eastAsia="宋体" w:cs="Times New Roman"/>
                <w:color w:val="auto"/>
                <w:spacing w:val="23"/>
                <w:sz w:val="20"/>
                <w:szCs w:val="20"/>
                <w:highlight w:val="none"/>
              </w:rPr>
              <w:t>植被类型在评价区及周边广</w:t>
            </w:r>
            <w:r>
              <w:rPr>
                <w:rFonts w:hint="default" w:ascii="Times New Roman" w:hAnsi="Times New Roman" w:eastAsia="宋体" w:cs="Times New Roman"/>
                <w:color w:val="auto"/>
                <w:spacing w:val="6"/>
                <w:sz w:val="20"/>
                <w:szCs w:val="20"/>
                <w:highlight w:val="none"/>
              </w:rPr>
              <w:t>泛分布，对动物的食物来源影</w:t>
            </w:r>
            <w:r>
              <w:rPr>
                <w:rFonts w:hint="default" w:ascii="Times New Roman" w:hAnsi="Times New Roman" w:eastAsia="宋体" w:cs="Times New Roman"/>
                <w:color w:val="auto"/>
                <w:spacing w:val="20"/>
                <w:sz w:val="20"/>
                <w:szCs w:val="20"/>
                <w:highlight w:val="none"/>
              </w:rPr>
              <w:t>响非常小</w:t>
            </w:r>
            <w:r>
              <w:rPr>
                <w:rFonts w:hint="default" w:ascii="Times New Roman" w:hAnsi="Times New Roman" w:eastAsia="宋体" w:cs="Times New Roman"/>
                <w:color w:val="auto"/>
                <w:spacing w:val="-54"/>
                <w:sz w:val="20"/>
                <w:szCs w:val="20"/>
                <w:highlight w:val="none"/>
              </w:rPr>
              <w:t xml:space="preserve"> </w:t>
            </w:r>
            <w:r>
              <w:rPr>
                <w:rFonts w:hint="default" w:ascii="Times New Roman" w:hAnsi="Times New Roman" w:eastAsia="宋体" w:cs="Times New Roman"/>
                <w:color w:val="auto"/>
                <w:spacing w:val="20"/>
                <w:sz w:val="20"/>
                <w:szCs w:val="20"/>
                <w:highlight w:val="none"/>
              </w:rPr>
              <w:t>，各类物种相互作</w:t>
            </w:r>
            <w:r>
              <w:rPr>
                <w:rFonts w:hint="default" w:ascii="Times New Roman" w:hAnsi="Times New Roman" w:eastAsia="宋体" w:cs="Times New Roman"/>
                <w:color w:val="auto"/>
                <w:spacing w:val="6"/>
                <w:sz w:val="20"/>
                <w:szCs w:val="20"/>
                <w:highlight w:val="none"/>
              </w:rPr>
              <w:t>用，形成了一个复杂的生态系</w:t>
            </w:r>
            <w:r>
              <w:rPr>
                <w:rFonts w:hint="default" w:ascii="Times New Roman" w:hAnsi="Times New Roman" w:eastAsia="宋体" w:cs="Times New Roman"/>
                <w:color w:val="auto"/>
                <w:spacing w:val="2"/>
                <w:sz w:val="20"/>
                <w:szCs w:val="20"/>
                <w:highlight w:val="none"/>
              </w:rPr>
              <w:t>统，保护物种食物网/链结构不</w:t>
            </w:r>
            <w:r>
              <w:rPr>
                <w:rFonts w:hint="default" w:ascii="Times New Roman" w:hAnsi="Times New Roman" w:eastAsia="宋体" w:cs="Times New Roman"/>
                <w:color w:val="auto"/>
                <w:spacing w:val="8"/>
                <w:sz w:val="20"/>
                <w:szCs w:val="20"/>
                <w:highlight w:val="none"/>
              </w:rPr>
              <w:t>会发生显著改变。</w:t>
            </w:r>
          </w:p>
        </w:tc>
        <w:tc>
          <w:tcPr>
            <w:tcW w:w="663" w:type="dxa"/>
            <w:vMerge w:val="restart"/>
            <w:vAlign w:val="center"/>
          </w:tcPr>
          <w:p w14:paraId="3251D22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1"/>
                <w:sz w:val="20"/>
                <w:szCs w:val="20"/>
                <w:highlight w:val="none"/>
              </w:rPr>
              <w:t>0.2</w:t>
            </w:r>
          </w:p>
        </w:tc>
        <w:tc>
          <w:tcPr>
            <w:tcW w:w="652" w:type="dxa"/>
            <w:vMerge w:val="restart"/>
            <w:vAlign w:val="center"/>
          </w:tcPr>
          <w:p w14:paraId="6EB7064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2"/>
                <w:sz w:val="20"/>
                <w:szCs w:val="20"/>
                <w:highlight w:val="none"/>
              </w:rPr>
              <w:t>10.0</w:t>
            </w:r>
          </w:p>
        </w:tc>
      </w:tr>
      <w:tr w14:paraId="08DF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4EED72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40B1F6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default"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50" w:type="dxa"/>
            <w:vMerge w:val="continue"/>
            <w:vAlign w:val="center"/>
          </w:tcPr>
          <w:p w14:paraId="72BD3E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1323F7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61E007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4E8B15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422F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6743A1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5E9430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50" w:type="dxa"/>
            <w:vMerge w:val="continue"/>
            <w:vAlign w:val="center"/>
          </w:tcPr>
          <w:p w14:paraId="2709DA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065714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381DC8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4E944E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32D3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restart"/>
            <w:vAlign w:val="center"/>
          </w:tcPr>
          <w:p w14:paraId="651AD5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pacing w:val="7"/>
                <w:sz w:val="20"/>
                <w:szCs w:val="20"/>
                <w:highlight w:val="none"/>
              </w:rPr>
              <w:t>特有物种、</w:t>
            </w:r>
            <w:r>
              <w:rPr>
                <w:rFonts w:hint="default" w:ascii="Times New Roman" w:hAnsi="Times New Roman" w:eastAsia="宋体" w:cs="Times New Roman"/>
                <w:color w:val="auto"/>
                <w:spacing w:val="28"/>
                <w:sz w:val="20"/>
                <w:szCs w:val="20"/>
                <w:highlight w:val="none"/>
              </w:rPr>
              <w:t>保护物种</w:t>
            </w:r>
            <w:r>
              <w:rPr>
                <w:rFonts w:hint="default" w:ascii="Times New Roman" w:hAnsi="Times New Roman" w:eastAsia="宋体" w:cs="Times New Roman"/>
                <w:color w:val="auto"/>
                <w:spacing w:val="4"/>
                <w:sz w:val="20"/>
                <w:szCs w:val="20"/>
                <w:highlight w:val="none"/>
              </w:rPr>
              <w:t>的迁移、散</w:t>
            </w:r>
            <w:r>
              <w:rPr>
                <w:rFonts w:hint="default" w:ascii="Times New Roman" w:hAnsi="Times New Roman" w:eastAsia="宋体" w:cs="Times New Roman"/>
                <w:color w:val="auto"/>
                <w:spacing w:val="28"/>
                <w:sz w:val="20"/>
                <w:szCs w:val="20"/>
                <w:highlight w:val="none"/>
              </w:rPr>
              <w:t>布和繁衍</w:t>
            </w:r>
            <w:r>
              <w:rPr>
                <w:rFonts w:hint="default" w:ascii="Times New Roman" w:hAnsi="Times New Roman" w:eastAsia="宋体" w:cs="Times New Roman"/>
                <w:color w:val="auto"/>
                <w:spacing w:val="3"/>
                <w:sz w:val="20"/>
                <w:szCs w:val="20"/>
                <w:highlight w:val="none"/>
              </w:rPr>
              <w:t>等影响</w:t>
            </w:r>
            <w:r>
              <w:rPr>
                <w:rFonts w:hint="default" w:ascii="Times New Roman" w:hAnsi="Times New Roman" w:eastAsia="宋体" w:cs="Times New Roman"/>
                <w:color w:val="auto"/>
                <w:spacing w:val="5"/>
                <w:sz w:val="20"/>
                <w:szCs w:val="20"/>
                <w:highlight w:val="none"/>
              </w:rPr>
              <w:t>（C4）</w:t>
            </w:r>
          </w:p>
        </w:tc>
        <w:tc>
          <w:tcPr>
            <w:tcW w:w="1920" w:type="dxa"/>
            <w:vAlign w:val="center"/>
          </w:tcPr>
          <w:p w14:paraId="6F4C0A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5"/>
                <w:sz w:val="21"/>
                <w:szCs w:val="21"/>
                <w:highlight w:val="none"/>
              </w:rPr>
              <w:t>中低度影响</w:t>
            </w:r>
            <w:r>
              <w:rPr>
                <w:rFonts w:hint="default" w:ascii="Times New Roman" w:hAnsi="Times New Roman" w:eastAsia="宋体" w:cs="Times New Roman"/>
                <w:color w:val="auto"/>
                <w:spacing w:val="-35"/>
                <w:sz w:val="21"/>
                <w:szCs w:val="21"/>
                <w:highlight w:val="none"/>
                <w:lang w:eastAsia="zh-CN"/>
              </w:rPr>
              <w:t>（</w:t>
            </w:r>
            <w:r>
              <w:rPr>
                <w:rFonts w:hint="default" w:ascii="Times New Roman" w:hAnsi="Times New Roman" w:eastAsia="宋体" w:cs="Times New Roman"/>
                <w:color w:val="auto"/>
                <w:spacing w:val="-5"/>
                <w:sz w:val="21"/>
                <w:szCs w:val="21"/>
                <w:highlight w:val="none"/>
              </w:rPr>
              <w:t>50）</w:t>
            </w:r>
          </w:p>
        </w:tc>
        <w:tc>
          <w:tcPr>
            <w:tcW w:w="750" w:type="dxa"/>
            <w:vMerge w:val="restart"/>
            <w:vAlign w:val="center"/>
          </w:tcPr>
          <w:p w14:paraId="0FAAED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50</w:t>
            </w:r>
          </w:p>
        </w:tc>
        <w:tc>
          <w:tcPr>
            <w:tcW w:w="3049" w:type="dxa"/>
            <w:vMerge w:val="restart"/>
            <w:vAlign w:val="center"/>
          </w:tcPr>
          <w:p w14:paraId="77300B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22"/>
                <w:sz w:val="20"/>
                <w:szCs w:val="20"/>
                <w:highlight w:val="none"/>
              </w:rPr>
              <w:t>影响评价区未分布有重要物</w:t>
            </w:r>
            <w:r>
              <w:rPr>
                <w:rFonts w:hint="default" w:ascii="Times New Roman" w:hAnsi="Times New Roman" w:eastAsia="宋体" w:cs="Times New Roman"/>
                <w:color w:val="auto"/>
                <w:spacing w:val="6"/>
                <w:sz w:val="20"/>
                <w:szCs w:val="20"/>
                <w:highlight w:val="none"/>
              </w:rPr>
              <w:t>种迁移、散布、繁衍的通道，且项目属于线性工程，对其栖</w:t>
            </w:r>
            <w:r>
              <w:rPr>
                <w:rFonts w:hint="default" w:ascii="Times New Roman" w:hAnsi="Times New Roman" w:eastAsia="宋体" w:cs="Times New Roman"/>
                <w:color w:val="auto"/>
                <w:spacing w:val="23"/>
                <w:sz w:val="20"/>
                <w:szCs w:val="20"/>
                <w:highlight w:val="none"/>
              </w:rPr>
              <w:t>息地的连通性基本不会造成</w:t>
            </w:r>
            <w:r>
              <w:rPr>
                <w:rFonts w:hint="default" w:ascii="Times New Roman" w:hAnsi="Times New Roman" w:eastAsia="宋体" w:cs="Times New Roman"/>
                <w:color w:val="auto"/>
                <w:spacing w:val="6"/>
                <w:sz w:val="20"/>
                <w:szCs w:val="20"/>
                <w:highlight w:val="none"/>
              </w:rPr>
              <w:t>阻碍，对其迁移、散布产生的影响非常小。</w:t>
            </w:r>
          </w:p>
        </w:tc>
        <w:tc>
          <w:tcPr>
            <w:tcW w:w="663" w:type="dxa"/>
            <w:vMerge w:val="restart"/>
            <w:vAlign w:val="center"/>
          </w:tcPr>
          <w:p w14:paraId="5DC481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1"/>
                <w:sz w:val="20"/>
                <w:szCs w:val="20"/>
                <w:highlight w:val="none"/>
              </w:rPr>
              <w:t>0.2</w:t>
            </w:r>
          </w:p>
        </w:tc>
        <w:tc>
          <w:tcPr>
            <w:tcW w:w="652" w:type="dxa"/>
            <w:vMerge w:val="restart"/>
            <w:vAlign w:val="center"/>
          </w:tcPr>
          <w:p w14:paraId="764F38E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spacing w:val="-8"/>
                <w:sz w:val="20"/>
                <w:szCs w:val="20"/>
                <w:highlight w:val="none"/>
              </w:rPr>
              <w:t>10</w:t>
            </w:r>
          </w:p>
        </w:tc>
      </w:tr>
      <w:tr w14:paraId="3D9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73A0B2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38FF46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21"/>
                <w:w w:val="101"/>
                <w:sz w:val="21"/>
                <w:szCs w:val="21"/>
                <w:highlight w:val="none"/>
              </w:rPr>
              <w:t xml:space="preserve">  </w:t>
            </w:r>
            <w:r>
              <w:rPr>
                <w:rFonts w:hint="default" w:ascii="Times New Roman" w:hAnsi="Times New Roman" w:eastAsia="宋体" w:cs="Times New Roman"/>
                <w:color w:val="auto"/>
                <w:spacing w:val="-6"/>
                <w:sz w:val="21"/>
                <w:szCs w:val="21"/>
                <w:highlight w:val="none"/>
              </w:rPr>
              <w:t>中高度影响</w:t>
            </w:r>
            <w:r>
              <w:rPr>
                <w:rFonts w:hint="default" w:ascii="Times New Roman" w:hAnsi="Times New Roman" w:eastAsia="宋体" w:cs="Times New Roman"/>
                <w:color w:val="auto"/>
                <w:spacing w:val="-37"/>
                <w:sz w:val="21"/>
                <w:szCs w:val="21"/>
                <w:highlight w:val="none"/>
                <w:lang w:eastAsia="zh-CN"/>
              </w:rPr>
              <w:t>（</w:t>
            </w:r>
            <w:r>
              <w:rPr>
                <w:rFonts w:hint="default" w:ascii="Times New Roman" w:hAnsi="Times New Roman" w:eastAsia="宋体" w:cs="Times New Roman"/>
                <w:color w:val="auto"/>
                <w:spacing w:val="-6"/>
                <w:sz w:val="21"/>
                <w:szCs w:val="21"/>
                <w:highlight w:val="none"/>
              </w:rPr>
              <w:t>70）</w:t>
            </w:r>
          </w:p>
        </w:tc>
        <w:tc>
          <w:tcPr>
            <w:tcW w:w="750" w:type="dxa"/>
            <w:vMerge w:val="continue"/>
            <w:vAlign w:val="center"/>
          </w:tcPr>
          <w:p w14:paraId="454BCA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7781E0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3AF552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65911B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0B94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489" w:type="dxa"/>
            <w:vMerge w:val="continue"/>
            <w:vAlign w:val="center"/>
          </w:tcPr>
          <w:p w14:paraId="1E5368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1920" w:type="dxa"/>
            <w:vAlign w:val="center"/>
          </w:tcPr>
          <w:p w14:paraId="409BCD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  严重影响（90）</w:t>
            </w:r>
          </w:p>
        </w:tc>
        <w:tc>
          <w:tcPr>
            <w:tcW w:w="750" w:type="dxa"/>
            <w:vMerge w:val="continue"/>
            <w:vAlign w:val="center"/>
          </w:tcPr>
          <w:p w14:paraId="1594B3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3049" w:type="dxa"/>
            <w:vMerge w:val="continue"/>
            <w:vAlign w:val="center"/>
          </w:tcPr>
          <w:p w14:paraId="525F56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63" w:type="dxa"/>
            <w:vMerge w:val="continue"/>
            <w:vAlign w:val="center"/>
          </w:tcPr>
          <w:p w14:paraId="2CA4E6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c>
          <w:tcPr>
            <w:tcW w:w="652" w:type="dxa"/>
            <w:vMerge w:val="continue"/>
            <w:vAlign w:val="center"/>
          </w:tcPr>
          <w:p w14:paraId="63BA47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p>
        </w:tc>
      </w:tr>
      <w:tr w14:paraId="12B1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7208" w:type="dxa"/>
            <w:gridSpan w:val="4"/>
            <w:vAlign w:val="center"/>
          </w:tcPr>
          <w:p w14:paraId="27A2EB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pacing w:val="3"/>
                <w:sz w:val="20"/>
                <w:szCs w:val="20"/>
                <w:highlight w:val="none"/>
              </w:rPr>
              <w:t>合计</w:t>
            </w:r>
          </w:p>
        </w:tc>
        <w:tc>
          <w:tcPr>
            <w:tcW w:w="663" w:type="dxa"/>
            <w:vAlign w:val="center"/>
          </w:tcPr>
          <w:p w14:paraId="44779F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652" w:type="dxa"/>
            <w:vAlign w:val="center"/>
          </w:tcPr>
          <w:p w14:paraId="49DF20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56</w:t>
            </w:r>
          </w:p>
        </w:tc>
      </w:tr>
    </w:tbl>
    <w:p w14:paraId="56587E13">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64" w:name="bookmark61"/>
      <w:bookmarkEnd w:id="64"/>
      <w:bookmarkStart w:id="65" w:name="bookmark62"/>
      <w:bookmarkEnd w:id="65"/>
      <w:r>
        <w:rPr>
          <w:rFonts w:hint="eastAsia" w:cs="Times New Roman"/>
          <w:color w:val="auto"/>
          <w:kern w:val="0"/>
          <w:szCs w:val="30"/>
          <w:highlight w:val="none"/>
          <w:lang w:val="en-US" w:eastAsia="zh-CN"/>
        </w:rPr>
        <w:t>5.4对主要保护对象的影响</w:t>
      </w:r>
    </w:p>
    <w:p w14:paraId="0CDD174A">
      <w:pPr>
        <w:bidi w:val="0"/>
        <w:rPr>
          <w:color w:val="auto"/>
          <w:highlight w:val="none"/>
        </w:rPr>
      </w:pPr>
      <w:r>
        <w:rPr>
          <w:rFonts w:hint="eastAsia"/>
          <w:color w:val="auto"/>
          <w:highlight w:val="none"/>
          <w:lang w:val="en-US" w:eastAsia="zh-CN"/>
        </w:rPr>
        <w:t>5</w:t>
      </w:r>
      <w:r>
        <w:rPr>
          <w:color w:val="auto"/>
          <w:highlight w:val="none"/>
        </w:rPr>
        <w:t>.4.1对主要保护对象种群数量的影响（D1）</w:t>
      </w:r>
    </w:p>
    <w:p w14:paraId="0FAC2AA5">
      <w:pPr>
        <w:bidi w:val="0"/>
        <w:rPr>
          <w:color w:val="auto"/>
          <w:highlight w:val="none"/>
        </w:rPr>
      </w:pPr>
      <w:r>
        <w:rPr>
          <w:color w:val="auto"/>
          <w:highlight w:val="none"/>
        </w:rPr>
        <w:t>河北滦河上游国家级自然保护区的主要保护对象为多样、完整的森林生态系统；珍稀野生动植物。本项目为线性工程，</w:t>
      </w:r>
      <w:r>
        <w:rPr>
          <w:rFonts w:hint="eastAsia"/>
          <w:color w:val="auto"/>
          <w:highlight w:val="none"/>
          <w:lang w:val="en-US" w:eastAsia="zh-CN"/>
        </w:rPr>
        <w:t>57座塔基占地4000m</w:t>
      </w:r>
      <w:r>
        <w:rPr>
          <w:rFonts w:hint="eastAsia"/>
          <w:color w:val="auto"/>
          <w:highlight w:val="none"/>
          <w:vertAlign w:val="superscript"/>
          <w:lang w:val="en-US" w:eastAsia="zh-CN"/>
        </w:rPr>
        <w:t>2</w:t>
      </w:r>
      <w:r>
        <w:rPr>
          <w:rFonts w:hint="eastAsia"/>
          <w:color w:val="auto"/>
          <w:highlight w:val="none"/>
          <w:lang w:val="en-US" w:eastAsia="zh-CN"/>
        </w:rPr>
        <w:t>，</w:t>
      </w:r>
      <w:r>
        <w:rPr>
          <w:color w:val="auto"/>
          <w:highlight w:val="none"/>
        </w:rPr>
        <w:t>占评价区总面积的0.0</w:t>
      </w:r>
      <w:r>
        <w:rPr>
          <w:rFonts w:hint="eastAsia"/>
          <w:color w:val="auto"/>
          <w:highlight w:val="none"/>
          <w:lang w:val="en-US" w:eastAsia="zh-CN"/>
        </w:rPr>
        <w:t>1</w:t>
      </w:r>
      <w:r>
        <w:rPr>
          <w:color w:val="auto"/>
          <w:highlight w:val="none"/>
        </w:rPr>
        <w:t>%</w:t>
      </w:r>
      <w:r>
        <w:rPr>
          <w:rFonts w:hint="eastAsia"/>
          <w:color w:val="auto"/>
          <w:highlight w:val="none"/>
          <w:lang w:eastAsia="zh-CN"/>
        </w:rPr>
        <w:t>，</w:t>
      </w:r>
      <w:r>
        <w:rPr>
          <w:rFonts w:hint="eastAsia"/>
          <w:color w:val="auto"/>
          <w:highlight w:val="none"/>
          <w:lang w:val="en-US" w:eastAsia="zh-CN"/>
        </w:rPr>
        <w:t>其中</w:t>
      </w:r>
      <w:r>
        <w:rPr>
          <w:color w:val="auto"/>
          <w:highlight w:val="none"/>
        </w:rPr>
        <w:t>位于保护区实验区，23座塔基占地面积2438m</w:t>
      </w:r>
      <w:r>
        <w:rPr>
          <w:color w:val="auto"/>
          <w:highlight w:val="none"/>
          <w:vertAlign w:val="superscript"/>
        </w:rPr>
        <w:t>2</w:t>
      </w:r>
      <w:r>
        <w:rPr>
          <w:color w:val="auto"/>
          <w:highlight w:val="none"/>
        </w:rPr>
        <w:t>，所以对森林生态系统的多样性、完整性基本不造成影响。在项目施工期，会对保护区野生保护动物产生一定的影响，但项目建设施工时间短，干扰强度低，且由于鸟类、哺乳类动物迁移能力强，影响评价区不是特有的栖息地，且周边具有替代的生境，受到干扰后可迅速避让，所以对主要保护对象种群数量影响比较小。影响程度定级为中低度影响，分值50分，根据二级指标权重0.55，该指标得分为27.5分。</w:t>
      </w:r>
    </w:p>
    <w:p w14:paraId="73047D02">
      <w:pPr>
        <w:bidi w:val="0"/>
        <w:rPr>
          <w:color w:val="auto"/>
          <w:highlight w:val="none"/>
        </w:rPr>
      </w:pPr>
      <w:r>
        <w:rPr>
          <w:rFonts w:hint="eastAsia"/>
          <w:color w:val="auto"/>
          <w:highlight w:val="none"/>
          <w:lang w:val="en-US" w:eastAsia="zh-CN"/>
        </w:rPr>
        <w:t>5</w:t>
      </w:r>
      <w:r>
        <w:rPr>
          <w:color w:val="auto"/>
          <w:highlight w:val="none"/>
        </w:rPr>
        <w:t>.4.2对主要保护对象生境面积的影响（D2）</w:t>
      </w:r>
    </w:p>
    <w:p w14:paraId="3A9890A8">
      <w:pPr>
        <w:bidi w:val="0"/>
        <w:rPr>
          <w:color w:val="auto"/>
          <w:highlight w:val="none"/>
        </w:rPr>
      </w:pPr>
      <w:r>
        <w:rPr>
          <w:color w:val="auto"/>
          <w:highlight w:val="none"/>
        </w:rPr>
        <w:t>本项目为线性工程，</w:t>
      </w:r>
      <w:r>
        <w:rPr>
          <w:rFonts w:hint="eastAsia"/>
          <w:color w:val="auto"/>
          <w:highlight w:val="none"/>
          <w:lang w:val="en-US" w:eastAsia="zh-CN"/>
        </w:rPr>
        <w:t>57座塔基占地4000m</w:t>
      </w:r>
      <w:r>
        <w:rPr>
          <w:rFonts w:hint="eastAsia"/>
          <w:color w:val="auto"/>
          <w:highlight w:val="none"/>
          <w:vertAlign w:val="superscript"/>
          <w:lang w:val="en-US" w:eastAsia="zh-CN"/>
        </w:rPr>
        <w:t>2</w:t>
      </w:r>
      <w:r>
        <w:rPr>
          <w:rFonts w:hint="eastAsia"/>
          <w:color w:val="auto"/>
          <w:highlight w:val="none"/>
          <w:lang w:val="en-US" w:eastAsia="zh-CN"/>
        </w:rPr>
        <w:t>，</w:t>
      </w:r>
      <w:r>
        <w:rPr>
          <w:color w:val="auto"/>
          <w:highlight w:val="none"/>
        </w:rPr>
        <w:t>占评价区总面积的0.0</w:t>
      </w:r>
      <w:r>
        <w:rPr>
          <w:rFonts w:hint="eastAsia"/>
          <w:color w:val="auto"/>
          <w:highlight w:val="none"/>
          <w:lang w:val="en-US" w:eastAsia="zh-CN"/>
        </w:rPr>
        <w:t>1</w:t>
      </w:r>
      <w:r>
        <w:rPr>
          <w:color w:val="auto"/>
          <w:highlight w:val="none"/>
        </w:rPr>
        <w:t>%</w:t>
      </w:r>
      <w:r>
        <w:rPr>
          <w:rFonts w:hint="eastAsia"/>
          <w:color w:val="auto"/>
          <w:highlight w:val="none"/>
          <w:lang w:eastAsia="zh-CN"/>
        </w:rPr>
        <w:t>，</w:t>
      </w:r>
      <w:r>
        <w:rPr>
          <w:rFonts w:hint="eastAsia"/>
          <w:color w:val="auto"/>
          <w:highlight w:val="none"/>
          <w:lang w:val="en-US" w:eastAsia="zh-CN"/>
        </w:rPr>
        <w:t>其中</w:t>
      </w:r>
      <w:r>
        <w:rPr>
          <w:color w:val="auto"/>
          <w:highlight w:val="none"/>
        </w:rPr>
        <w:t>位于保护区实验区，23座塔基占地面积2438m</w:t>
      </w:r>
      <w:r>
        <w:rPr>
          <w:color w:val="auto"/>
          <w:highlight w:val="none"/>
          <w:vertAlign w:val="superscript"/>
        </w:rPr>
        <w:t>2</w:t>
      </w:r>
      <w:r>
        <w:rPr>
          <w:color w:val="auto"/>
          <w:highlight w:val="none"/>
        </w:rPr>
        <w:t>，占地类型</w:t>
      </w:r>
      <w:r>
        <w:rPr>
          <w:rFonts w:hint="eastAsia"/>
          <w:color w:val="auto"/>
          <w:highlight w:val="none"/>
          <w:lang w:eastAsia="zh-CN"/>
        </w:rPr>
        <w:t>以</w:t>
      </w:r>
      <w:r>
        <w:rPr>
          <w:color w:val="auto"/>
          <w:highlight w:val="none"/>
        </w:rPr>
        <w:t>林地</w:t>
      </w:r>
      <w:r>
        <w:rPr>
          <w:rFonts w:hint="eastAsia"/>
          <w:color w:val="auto"/>
          <w:highlight w:val="none"/>
          <w:lang w:eastAsia="zh-CN"/>
        </w:rPr>
        <w:t>为主，其次为草地</w:t>
      </w:r>
      <w:r>
        <w:rPr>
          <w:color w:val="auto"/>
          <w:highlight w:val="none"/>
        </w:rPr>
        <w:t>，占用植被类型和物种为常见的白桦和蒙古栎等，在保护区及其周边区域广泛分布。且占用面积占保护区总面积的比例极小，施工完成后除塔基外地面没有其他永久建筑，因此对主要保护对象生境面积的影响极小。影响程度定级为中低度影响，分值50分，根据二级指标权重0.45，该指标得分为22.5分。</w:t>
      </w:r>
    </w:p>
    <w:p w14:paraId="18E54CAC">
      <w:pPr>
        <w:bidi w:val="0"/>
        <w:rPr>
          <w:color w:val="auto"/>
          <w:highlight w:val="none"/>
        </w:rPr>
      </w:pPr>
      <w:r>
        <w:rPr>
          <w:rFonts w:hint="eastAsia"/>
          <w:color w:val="auto"/>
          <w:highlight w:val="none"/>
          <w:lang w:val="en-US" w:eastAsia="zh-CN"/>
        </w:rPr>
        <w:t>5</w:t>
      </w:r>
      <w:r>
        <w:rPr>
          <w:color w:val="auto"/>
          <w:highlight w:val="none"/>
        </w:rPr>
        <w:t>.4.3主要保护对象（D）各项评价指标权重和综合评分</w:t>
      </w:r>
    </w:p>
    <w:p w14:paraId="23340F8E">
      <w:pPr>
        <w:bidi w:val="0"/>
        <w:rPr>
          <w:color w:val="auto"/>
          <w:highlight w:val="none"/>
        </w:rPr>
      </w:pPr>
      <w:r>
        <w:rPr>
          <w:color w:val="auto"/>
          <w:highlight w:val="none"/>
        </w:rPr>
        <w:t>通过以上影响程度评分，并对指标权重等综合计算。本工程对影响评价区物种的影响评价综合评分为50分。为中低度影响。</w:t>
      </w:r>
    </w:p>
    <w:p w14:paraId="6109928C">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color w:val="auto"/>
          <w:highlight w:val="none"/>
        </w:rPr>
      </w:pPr>
      <w:r>
        <w:rPr>
          <w:rFonts w:hint="default" w:ascii="Times New Roman" w:hAnsi="Times New Roman" w:eastAsia="宋体" w:cs="Times New Roman"/>
          <w:b/>
          <w:bCs/>
          <w:color w:val="auto"/>
          <w:spacing w:val="-2"/>
          <w:sz w:val="21"/>
          <w:szCs w:val="21"/>
          <w:highlight w:val="none"/>
        </w:rPr>
        <w:t>表</w:t>
      </w:r>
      <w:r>
        <w:rPr>
          <w:rFonts w:hint="eastAsia" w:ascii="Times New Roman" w:hAnsi="Times New Roman" w:eastAsia="宋体" w:cs="Times New Roman"/>
          <w:b/>
          <w:bCs/>
          <w:color w:val="auto"/>
          <w:spacing w:val="-2"/>
          <w:sz w:val="21"/>
          <w:szCs w:val="21"/>
          <w:highlight w:val="none"/>
          <w:lang w:val="en-US" w:eastAsia="zh-CN"/>
        </w:rPr>
        <w:t>5.4-1</w:t>
      </w:r>
      <w:r>
        <w:rPr>
          <w:rFonts w:hint="default" w:ascii="Times New Roman" w:hAnsi="Times New Roman" w:eastAsia="宋体" w:cs="Times New Roman"/>
          <w:b/>
          <w:bCs/>
          <w:color w:val="auto"/>
          <w:spacing w:val="-2"/>
          <w:sz w:val="21"/>
          <w:szCs w:val="21"/>
          <w:highlight w:val="none"/>
        </w:rPr>
        <w:t xml:space="preserve">  主要保护对象各项评价指标综合评分表</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35"/>
        <w:gridCol w:w="2235"/>
        <w:gridCol w:w="670"/>
        <w:gridCol w:w="2887"/>
        <w:gridCol w:w="645"/>
        <w:gridCol w:w="635"/>
      </w:tblGrid>
      <w:tr w14:paraId="36468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43" w:type="pct"/>
            <w:vAlign w:val="center"/>
          </w:tcPr>
          <w:p w14:paraId="5DB771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二级指标</w:t>
            </w:r>
          </w:p>
        </w:tc>
        <w:tc>
          <w:tcPr>
            <w:tcW w:w="1345" w:type="pct"/>
            <w:vAlign w:val="center"/>
          </w:tcPr>
          <w:p w14:paraId="52C054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影响程度</w:t>
            </w:r>
          </w:p>
        </w:tc>
        <w:tc>
          <w:tcPr>
            <w:tcW w:w="403" w:type="pct"/>
            <w:vAlign w:val="center"/>
          </w:tcPr>
          <w:p w14:paraId="5F4DBF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分值</w:t>
            </w:r>
          </w:p>
        </w:tc>
        <w:tc>
          <w:tcPr>
            <w:tcW w:w="1736" w:type="pct"/>
            <w:vAlign w:val="center"/>
          </w:tcPr>
          <w:p w14:paraId="0C2EA2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简要说明</w:t>
            </w:r>
          </w:p>
        </w:tc>
        <w:tc>
          <w:tcPr>
            <w:tcW w:w="388" w:type="pct"/>
            <w:vAlign w:val="center"/>
          </w:tcPr>
          <w:p w14:paraId="22C9F3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权重</w:t>
            </w:r>
          </w:p>
        </w:tc>
        <w:tc>
          <w:tcPr>
            <w:tcW w:w="382" w:type="pct"/>
            <w:vAlign w:val="center"/>
          </w:tcPr>
          <w:p w14:paraId="66CF9D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得分</w:t>
            </w:r>
          </w:p>
        </w:tc>
      </w:tr>
      <w:tr w14:paraId="170EF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3" w:type="pct"/>
            <w:vMerge w:val="restart"/>
            <w:tcBorders>
              <w:bottom w:val="nil"/>
            </w:tcBorders>
            <w:vAlign w:val="center"/>
          </w:tcPr>
          <w:p w14:paraId="52BE2A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主要保护对象种群数量影响（D1）</w:t>
            </w:r>
          </w:p>
        </w:tc>
        <w:tc>
          <w:tcPr>
            <w:tcW w:w="1345" w:type="pct"/>
            <w:vAlign w:val="center"/>
          </w:tcPr>
          <w:p w14:paraId="245C76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403" w:type="pct"/>
            <w:vMerge w:val="restart"/>
            <w:tcBorders>
              <w:bottom w:val="nil"/>
            </w:tcBorders>
            <w:vAlign w:val="center"/>
          </w:tcPr>
          <w:p w14:paraId="4D252C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50</w:t>
            </w:r>
          </w:p>
        </w:tc>
        <w:tc>
          <w:tcPr>
            <w:tcW w:w="1736" w:type="pct"/>
            <w:vMerge w:val="restart"/>
            <w:tcBorders>
              <w:bottom w:val="nil"/>
            </w:tcBorders>
            <w:vAlign w:val="center"/>
          </w:tcPr>
          <w:p w14:paraId="5CAADD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本项目为线性工程，输电线路不占用土地，</w:t>
            </w:r>
            <w:r>
              <w:rPr>
                <w:rFonts w:hint="default" w:ascii="Times New Roman" w:hAnsi="Times New Roman" w:eastAsia="宋体" w:cs="Times New Roman"/>
                <w:b w:val="0"/>
                <w:bCs w:val="0"/>
                <w:color w:val="auto"/>
                <w:sz w:val="21"/>
                <w:szCs w:val="21"/>
                <w:highlight w:val="none"/>
                <w:lang w:val="en-US" w:eastAsia="zh-CN"/>
              </w:rPr>
              <w:t>57座塔基占地</w:t>
            </w:r>
            <w:r>
              <w:rPr>
                <w:rFonts w:hint="eastAsia" w:eastAsia="宋体" w:cs="Times New Roman"/>
                <w:b w:val="0"/>
                <w:bCs w:val="0"/>
                <w:color w:val="auto"/>
                <w:sz w:val="21"/>
                <w:szCs w:val="21"/>
                <w:highlight w:val="none"/>
                <w:lang w:val="en-US" w:eastAsia="zh-CN"/>
              </w:rPr>
              <w:t>4000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占评价区总面积的0.0</w:t>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其中</w:t>
            </w:r>
            <w:r>
              <w:rPr>
                <w:rFonts w:hint="default" w:ascii="Times New Roman" w:hAnsi="Times New Roman" w:eastAsia="宋体" w:cs="Times New Roman"/>
                <w:b w:val="0"/>
                <w:bCs w:val="0"/>
                <w:color w:val="auto"/>
                <w:sz w:val="21"/>
                <w:szCs w:val="21"/>
                <w:highlight w:val="none"/>
              </w:rPr>
              <w:t>位于保护区实验区，23座塔基占地面积2438m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pacing w:val="3"/>
                <w:sz w:val="21"/>
                <w:szCs w:val="21"/>
                <w:highlight w:val="none"/>
              </w:rPr>
              <w:t>，所以对森林生态系统的多样性、完整性基本不造成影响，对主要保护对象种群数量影响比较小。</w:t>
            </w:r>
          </w:p>
        </w:tc>
        <w:tc>
          <w:tcPr>
            <w:tcW w:w="388" w:type="pct"/>
            <w:vMerge w:val="restart"/>
            <w:tcBorders>
              <w:bottom w:val="nil"/>
            </w:tcBorders>
            <w:vAlign w:val="center"/>
          </w:tcPr>
          <w:p w14:paraId="487154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0.55</w:t>
            </w:r>
          </w:p>
        </w:tc>
        <w:tc>
          <w:tcPr>
            <w:tcW w:w="382" w:type="pct"/>
            <w:vMerge w:val="restart"/>
            <w:tcBorders>
              <w:bottom w:val="nil"/>
            </w:tcBorders>
            <w:vAlign w:val="center"/>
          </w:tcPr>
          <w:p w14:paraId="4D743C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27.5</w:t>
            </w:r>
          </w:p>
        </w:tc>
      </w:tr>
      <w:tr w14:paraId="0D74B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3" w:type="pct"/>
            <w:vMerge w:val="continue"/>
            <w:tcBorders>
              <w:top w:val="nil"/>
              <w:bottom w:val="nil"/>
            </w:tcBorders>
            <w:vAlign w:val="center"/>
          </w:tcPr>
          <w:p w14:paraId="29F823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345" w:type="pct"/>
            <w:vAlign w:val="center"/>
          </w:tcPr>
          <w:p w14:paraId="06B3A4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403" w:type="pct"/>
            <w:vMerge w:val="continue"/>
            <w:tcBorders>
              <w:top w:val="nil"/>
              <w:bottom w:val="nil"/>
            </w:tcBorders>
            <w:vAlign w:val="center"/>
          </w:tcPr>
          <w:p w14:paraId="61BB4F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736" w:type="pct"/>
            <w:vMerge w:val="continue"/>
            <w:tcBorders>
              <w:top w:val="nil"/>
              <w:bottom w:val="nil"/>
            </w:tcBorders>
            <w:vAlign w:val="center"/>
          </w:tcPr>
          <w:p w14:paraId="367604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8" w:type="pct"/>
            <w:vMerge w:val="continue"/>
            <w:tcBorders>
              <w:top w:val="nil"/>
              <w:bottom w:val="nil"/>
            </w:tcBorders>
            <w:vAlign w:val="center"/>
          </w:tcPr>
          <w:p w14:paraId="4765C4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2" w:type="pct"/>
            <w:vMerge w:val="continue"/>
            <w:tcBorders>
              <w:top w:val="nil"/>
              <w:bottom w:val="nil"/>
            </w:tcBorders>
            <w:vAlign w:val="center"/>
          </w:tcPr>
          <w:p w14:paraId="4112E0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r>
      <w:tr w14:paraId="57A8B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43" w:type="pct"/>
            <w:vMerge w:val="continue"/>
            <w:tcBorders>
              <w:top w:val="nil"/>
            </w:tcBorders>
            <w:vAlign w:val="center"/>
          </w:tcPr>
          <w:p w14:paraId="00D480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345" w:type="pct"/>
            <w:vAlign w:val="center"/>
          </w:tcPr>
          <w:p w14:paraId="20EF46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403" w:type="pct"/>
            <w:vMerge w:val="continue"/>
            <w:tcBorders>
              <w:top w:val="nil"/>
            </w:tcBorders>
            <w:vAlign w:val="center"/>
          </w:tcPr>
          <w:p w14:paraId="3DF244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736" w:type="pct"/>
            <w:vMerge w:val="continue"/>
            <w:tcBorders>
              <w:top w:val="nil"/>
            </w:tcBorders>
            <w:vAlign w:val="center"/>
          </w:tcPr>
          <w:p w14:paraId="0EEB72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8" w:type="pct"/>
            <w:vMerge w:val="continue"/>
            <w:tcBorders>
              <w:top w:val="nil"/>
            </w:tcBorders>
            <w:vAlign w:val="center"/>
          </w:tcPr>
          <w:p w14:paraId="715974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2" w:type="pct"/>
            <w:vMerge w:val="continue"/>
            <w:tcBorders>
              <w:top w:val="nil"/>
            </w:tcBorders>
            <w:vAlign w:val="center"/>
          </w:tcPr>
          <w:p w14:paraId="526FB1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r>
      <w:tr w14:paraId="5303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3" w:type="pct"/>
            <w:vMerge w:val="restart"/>
            <w:tcBorders>
              <w:bottom w:val="nil"/>
            </w:tcBorders>
            <w:vAlign w:val="center"/>
          </w:tcPr>
          <w:p w14:paraId="058920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主要保护对象生境面积影响（D2）</w:t>
            </w:r>
          </w:p>
        </w:tc>
        <w:tc>
          <w:tcPr>
            <w:tcW w:w="1345" w:type="pct"/>
            <w:vAlign w:val="center"/>
          </w:tcPr>
          <w:p w14:paraId="215114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403" w:type="pct"/>
            <w:vMerge w:val="restart"/>
            <w:tcBorders>
              <w:bottom w:val="nil"/>
            </w:tcBorders>
            <w:vAlign w:val="center"/>
          </w:tcPr>
          <w:p w14:paraId="02EAD2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50</w:t>
            </w:r>
          </w:p>
        </w:tc>
        <w:tc>
          <w:tcPr>
            <w:tcW w:w="1736" w:type="pct"/>
            <w:vMerge w:val="restart"/>
            <w:tcBorders>
              <w:bottom w:val="nil"/>
            </w:tcBorders>
            <w:vAlign w:val="center"/>
          </w:tcPr>
          <w:p w14:paraId="488732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本项目为线性工程，输电线路不占用土地，</w:t>
            </w:r>
            <w:r>
              <w:rPr>
                <w:rFonts w:hint="default" w:ascii="Times New Roman" w:hAnsi="Times New Roman" w:eastAsia="宋体" w:cs="Times New Roman"/>
                <w:b w:val="0"/>
                <w:bCs w:val="0"/>
                <w:color w:val="auto"/>
                <w:sz w:val="21"/>
                <w:szCs w:val="21"/>
                <w:highlight w:val="none"/>
                <w:lang w:val="en-US" w:eastAsia="zh-CN"/>
              </w:rPr>
              <w:t>57座塔基占地</w:t>
            </w:r>
            <w:r>
              <w:rPr>
                <w:rFonts w:hint="eastAsia" w:eastAsia="宋体" w:cs="Times New Roman"/>
                <w:b w:val="0"/>
                <w:bCs w:val="0"/>
                <w:color w:val="auto"/>
                <w:sz w:val="21"/>
                <w:szCs w:val="21"/>
                <w:highlight w:val="none"/>
                <w:lang w:val="en-US" w:eastAsia="zh-CN"/>
              </w:rPr>
              <w:t>4000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占评价区总面积的0.0</w:t>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其中</w:t>
            </w:r>
            <w:r>
              <w:rPr>
                <w:rFonts w:hint="default" w:ascii="Times New Roman" w:hAnsi="Times New Roman" w:eastAsia="宋体" w:cs="Times New Roman"/>
                <w:b w:val="0"/>
                <w:bCs w:val="0"/>
                <w:color w:val="auto"/>
                <w:sz w:val="21"/>
                <w:szCs w:val="21"/>
                <w:highlight w:val="none"/>
              </w:rPr>
              <w:t>位于保护区实验区，23座塔基占地面积2438m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pacing w:val="3"/>
                <w:sz w:val="21"/>
                <w:szCs w:val="21"/>
                <w:highlight w:val="none"/>
              </w:rPr>
              <w:t>，占地类型</w:t>
            </w:r>
            <w:r>
              <w:rPr>
                <w:rFonts w:hint="default" w:ascii="Times New Roman" w:hAnsi="Times New Roman" w:eastAsia="宋体" w:cs="Times New Roman"/>
                <w:b w:val="0"/>
                <w:bCs w:val="0"/>
                <w:color w:val="auto"/>
                <w:sz w:val="21"/>
                <w:szCs w:val="21"/>
                <w:highlight w:val="none"/>
              </w:rPr>
              <w:t>占地类型</w:t>
            </w:r>
            <w:r>
              <w:rPr>
                <w:rFonts w:hint="default" w:ascii="Times New Roman" w:hAnsi="Times New Roman" w:eastAsia="宋体" w:cs="Times New Roman"/>
                <w:b w:val="0"/>
                <w:bCs w:val="0"/>
                <w:color w:val="auto"/>
                <w:sz w:val="21"/>
                <w:szCs w:val="21"/>
                <w:highlight w:val="none"/>
                <w:lang w:eastAsia="zh-CN"/>
              </w:rPr>
              <w:t>以</w:t>
            </w:r>
            <w:r>
              <w:rPr>
                <w:rFonts w:hint="default" w:ascii="Times New Roman" w:hAnsi="Times New Roman" w:eastAsia="宋体" w:cs="Times New Roman"/>
                <w:b w:val="0"/>
                <w:bCs w:val="0"/>
                <w:color w:val="auto"/>
                <w:sz w:val="21"/>
                <w:szCs w:val="21"/>
                <w:highlight w:val="none"/>
              </w:rPr>
              <w:t>林地</w:t>
            </w:r>
            <w:r>
              <w:rPr>
                <w:rFonts w:hint="default" w:ascii="Times New Roman" w:hAnsi="Times New Roman" w:eastAsia="宋体" w:cs="Times New Roman"/>
                <w:b w:val="0"/>
                <w:bCs w:val="0"/>
                <w:color w:val="auto"/>
                <w:sz w:val="21"/>
                <w:szCs w:val="21"/>
                <w:highlight w:val="none"/>
                <w:lang w:eastAsia="zh-CN"/>
              </w:rPr>
              <w:t>为主，其次为草地</w:t>
            </w:r>
            <w:r>
              <w:rPr>
                <w:rFonts w:hint="default" w:ascii="Times New Roman" w:hAnsi="Times New Roman" w:eastAsia="宋体" w:cs="Times New Roman"/>
                <w:b w:val="0"/>
                <w:bCs w:val="0"/>
                <w:color w:val="auto"/>
                <w:spacing w:val="3"/>
                <w:sz w:val="21"/>
                <w:szCs w:val="21"/>
                <w:highlight w:val="none"/>
              </w:rPr>
              <w:t>，占用面积占保护区总面积的比例极小。</w:t>
            </w:r>
          </w:p>
        </w:tc>
        <w:tc>
          <w:tcPr>
            <w:tcW w:w="388" w:type="pct"/>
            <w:vMerge w:val="restart"/>
            <w:tcBorders>
              <w:bottom w:val="nil"/>
            </w:tcBorders>
            <w:vAlign w:val="center"/>
          </w:tcPr>
          <w:p w14:paraId="189A24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0.45</w:t>
            </w:r>
          </w:p>
        </w:tc>
        <w:tc>
          <w:tcPr>
            <w:tcW w:w="382" w:type="pct"/>
            <w:vMerge w:val="restart"/>
            <w:tcBorders>
              <w:bottom w:val="nil"/>
            </w:tcBorders>
            <w:vAlign w:val="center"/>
          </w:tcPr>
          <w:p w14:paraId="1D8F2F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22.5</w:t>
            </w:r>
          </w:p>
        </w:tc>
      </w:tr>
      <w:tr w14:paraId="0E12F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3" w:type="pct"/>
            <w:vMerge w:val="continue"/>
            <w:tcBorders>
              <w:top w:val="nil"/>
              <w:bottom w:val="nil"/>
            </w:tcBorders>
            <w:vAlign w:val="center"/>
          </w:tcPr>
          <w:p w14:paraId="2505CF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345" w:type="pct"/>
            <w:vAlign w:val="center"/>
          </w:tcPr>
          <w:p w14:paraId="12D44E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403" w:type="pct"/>
            <w:vMerge w:val="continue"/>
            <w:tcBorders>
              <w:top w:val="nil"/>
              <w:bottom w:val="nil"/>
            </w:tcBorders>
            <w:vAlign w:val="center"/>
          </w:tcPr>
          <w:p w14:paraId="746926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736" w:type="pct"/>
            <w:vMerge w:val="continue"/>
            <w:tcBorders>
              <w:top w:val="nil"/>
              <w:bottom w:val="nil"/>
            </w:tcBorders>
            <w:vAlign w:val="center"/>
          </w:tcPr>
          <w:p w14:paraId="72AB66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8" w:type="pct"/>
            <w:vMerge w:val="continue"/>
            <w:tcBorders>
              <w:top w:val="nil"/>
              <w:bottom w:val="nil"/>
            </w:tcBorders>
            <w:vAlign w:val="center"/>
          </w:tcPr>
          <w:p w14:paraId="1897BE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2" w:type="pct"/>
            <w:vMerge w:val="continue"/>
            <w:tcBorders>
              <w:top w:val="nil"/>
              <w:bottom w:val="nil"/>
            </w:tcBorders>
            <w:vAlign w:val="center"/>
          </w:tcPr>
          <w:p w14:paraId="2035BA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r>
      <w:tr w14:paraId="233C5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3" w:type="pct"/>
            <w:vMerge w:val="continue"/>
            <w:tcBorders>
              <w:top w:val="nil"/>
            </w:tcBorders>
            <w:vAlign w:val="center"/>
          </w:tcPr>
          <w:p w14:paraId="551FFE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345" w:type="pct"/>
            <w:vAlign w:val="center"/>
          </w:tcPr>
          <w:p w14:paraId="495B8D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403" w:type="pct"/>
            <w:vMerge w:val="continue"/>
            <w:tcBorders>
              <w:top w:val="nil"/>
            </w:tcBorders>
            <w:vAlign w:val="center"/>
          </w:tcPr>
          <w:p w14:paraId="390A72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1736" w:type="pct"/>
            <w:vMerge w:val="continue"/>
            <w:tcBorders>
              <w:top w:val="nil"/>
            </w:tcBorders>
            <w:vAlign w:val="center"/>
          </w:tcPr>
          <w:p w14:paraId="078D3B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8" w:type="pct"/>
            <w:vMerge w:val="continue"/>
            <w:tcBorders>
              <w:top w:val="nil"/>
            </w:tcBorders>
            <w:vAlign w:val="center"/>
          </w:tcPr>
          <w:p w14:paraId="03D797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c>
          <w:tcPr>
            <w:tcW w:w="382" w:type="pct"/>
            <w:vMerge w:val="continue"/>
            <w:tcBorders>
              <w:top w:val="nil"/>
            </w:tcBorders>
            <w:vAlign w:val="center"/>
          </w:tcPr>
          <w:p w14:paraId="5708F2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p>
        </w:tc>
      </w:tr>
      <w:tr w14:paraId="0D77E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4228" w:type="pct"/>
            <w:gridSpan w:val="4"/>
            <w:vAlign w:val="center"/>
          </w:tcPr>
          <w:p w14:paraId="56739C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合计</w:t>
            </w:r>
          </w:p>
        </w:tc>
        <w:tc>
          <w:tcPr>
            <w:tcW w:w="388" w:type="pct"/>
            <w:vAlign w:val="center"/>
          </w:tcPr>
          <w:p w14:paraId="0A1436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1</w:t>
            </w:r>
          </w:p>
        </w:tc>
        <w:tc>
          <w:tcPr>
            <w:tcW w:w="382" w:type="pct"/>
            <w:vAlign w:val="center"/>
          </w:tcPr>
          <w:p w14:paraId="74097D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3"/>
                <w:sz w:val="21"/>
                <w:szCs w:val="21"/>
                <w:highlight w:val="none"/>
              </w:rPr>
            </w:pPr>
            <w:r>
              <w:rPr>
                <w:rFonts w:hint="default" w:ascii="Times New Roman" w:hAnsi="Times New Roman" w:eastAsia="宋体" w:cs="Times New Roman"/>
                <w:b w:val="0"/>
                <w:bCs w:val="0"/>
                <w:color w:val="auto"/>
                <w:spacing w:val="3"/>
                <w:sz w:val="21"/>
                <w:szCs w:val="21"/>
                <w:highlight w:val="none"/>
              </w:rPr>
              <w:t>50</w:t>
            </w:r>
          </w:p>
        </w:tc>
      </w:tr>
    </w:tbl>
    <w:p w14:paraId="69296D4B">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66" w:name="bookmark63"/>
      <w:bookmarkEnd w:id="66"/>
      <w:bookmarkStart w:id="67" w:name="bookmark64"/>
      <w:bookmarkEnd w:id="67"/>
      <w:r>
        <w:rPr>
          <w:rFonts w:hint="eastAsia" w:cs="Times New Roman"/>
          <w:color w:val="auto"/>
          <w:kern w:val="0"/>
          <w:szCs w:val="30"/>
          <w:highlight w:val="none"/>
          <w:lang w:val="en-US" w:eastAsia="zh-CN"/>
        </w:rPr>
        <w:t>5.5对生物安全的影响</w:t>
      </w:r>
    </w:p>
    <w:p w14:paraId="0FA3A286">
      <w:pPr>
        <w:bidi w:val="0"/>
        <w:rPr>
          <w:color w:val="auto"/>
          <w:highlight w:val="none"/>
        </w:rPr>
      </w:pPr>
      <w:r>
        <w:rPr>
          <w:rFonts w:hint="eastAsia"/>
          <w:color w:val="auto"/>
          <w:highlight w:val="none"/>
          <w:lang w:val="en-US" w:eastAsia="zh-CN"/>
        </w:rPr>
        <w:t>5</w:t>
      </w:r>
      <w:r>
        <w:rPr>
          <w:color w:val="auto"/>
          <w:highlight w:val="none"/>
        </w:rPr>
        <w:t>.5.1病虫害爆发（E1）</w:t>
      </w:r>
    </w:p>
    <w:p w14:paraId="0652FC93">
      <w:pPr>
        <w:bidi w:val="0"/>
        <w:rPr>
          <w:color w:val="auto"/>
          <w:highlight w:val="none"/>
        </w:rPr>
      </w:pPr>
      <w:r>
        <w:rPr>
          <w:color w:val="auto"/>
          <w:highlight w:val="none"/>
        </w:rPr>
        <w:t>项目施工范围小，</w:t>
      </w:r>
      <w:r>
        <w:rPr>
          <w:rFonts w:hint="eastAsia"/>
          <w:color w:val="auto"/>
          <w:highlight w:val="none"/>
          <w:lang w:val="en-US" w:eastAsia="zh-CN"/>
        </w:rPr>
        <w:t>57</w:t>
      </w:r>
      <w:r>
        <w:rPr>
          <w:color w:val="auto"/>
          <w:highlight w:val="none"/>
        </w:rPr>
        <w:t>座塔基占地面积为</w:t>
      </w:r>
      <w:r>
        <w:rPr>
          <w:rFonts w:hint="eastAsia"/>
          <w:color w:val="auto"/>
          <w:highlight w:val="none"/>
          <w:lang w:val="en-US" w:eastAsia="zh-CN"/>
        </w:rPr>
        <w:t>4000</w:t>
      </w:r>
      <w:r>
        <w:rPr>
          <w:color w:val="auto"/>
          <w:highlight w:val="none"/>
        </w:rPr>
        <w:t>m</w:t>
      </w:r>
      <w:r>
        <w:rPr>
          <w:color w:val="auto"/>
          <w:highlight w:val="none"/>
          <w:vertAlign w:val="superscript"/>
        </w:rPr>
        <w:t>2</w:t>
      </w:r>
      <w:r>
        <w:rPr>
          <w:color w:val="auto"/>
          <w:highlight w:val="none"/>
        </w:rPr>
        <w:t>，项目建设前后生态系统没有发生明显变化，对群落结构和生态系统没有造成较大的影响，基本维持生物群落的稳定性和生态系统平衡，导致病虫害爆发的可能性很小。影响评价区整体生态系统健康稳定、和谐，抗病虫害的能力较强。项目建设期间，评价区会增加一部分的人流、物流及生产生活活动，一些林木病虫害可能随着人员进入，有引发病虫害爆发的潜在可能性，但可通过加强进入项目区的检查和监控等相关措施，可大大降低此类事情发生的概率。综上，项目建设期增加病虫害发生的几率较小，影响评价评分为50分，根据二级指标权重0.40，该指标得分为20.0分。</w:t>
      </w:r>
    </w:p>
    <w:p w14:paraId="50A3B91F">
      <w:pPr>
        <w:bidi w:val="0"/>
        <w:rPr>
          <w:color w:val="auto"/>
          <w:highlight w:val="none"/>
        </w:rPr>
      </w:pPr>
      <w:r>
        <w:rPr>
          <w:rFonts w:hint="eastAsia"/>
          <w:color w:val="auto"/>
          <w:highlight w:val="none"/>
          <w:lang w:val="en-US" w:eastAsia="zh-CN"/>
        </w:rPr>
        <w:t>5</w:t>
      </w:r>
      <w:r>
        <w:rPr>
          <w:color w:val="auto"/>
          <w:highlight w:val="none"/>
        </w:rPr>
        <w:t>.5.2外来物种或有害生物入侵（E2）</w:t>
      </w:r>
    </w:p>
    <w:p w14:paraId="5069FBC0">
      <w:pPr>
        <w:bidi w:val="0"/>
        <w:rPr>
          <w:color w:val="auto"/>
          <w:highlight w:val="none"/>
        </w:rPr>
      </w:pPr>
      <w:r>
        <w:rPr>
          <w:color w:val="auto"/>
          <w:highlight w:val="none"/>
        </w:rPr>
        <w:t>项目为输电线路建设项目，建设过程中施工人员、设备和材料会进入自然保护区，人员和材料可能会携带外来物种，所以有可能会造成外来物种或有害生物入侵。影响程度定级为中高度影响，分值70分，根据二级指标权重0.15，该指标得分10.5分。</w:t>
      </w:r>
    </w:p>
    <w:p w14:paraId="224B5533">
      <w:pPr>
        <w:bidi w:val="0"/>
        <w:rPr>
          <w:color w:val="auto"/>
          <w:highlight w:val="none"/>
        </w:rPr>
      </w:pPr>
      <w:r>
        <w:rPr>
          <w:rFonts w:hint="eastAsia"/>
          <w:color w:val="auto"/>
          <w:highlight w:val="none"/>
          <w:lang w:val="en-US" w:eastAsia="zh-CN"/>
        </w:rPr>
        <w:t>5</w:t>
      </w:r>
      <w:r>
        <w:rPr>
          <w:color w:val="auto"/>
          <w:highlight w:val="none"/>
        </w:rPr>
        <w:t>.5.3保护区重要遗传资源流失（E3）</w:t>
      </w:r>
    </w:p>
    <w:p w14:paraId="5ED8CDD6">
      <w:pPr>
        <w:bidi w:val="0"/>
        <w:rPr>
          <w:color w:val="auto"/>
          <w:highlight w:val="none"/>
        </w:rPr>
      </w:pPr>
      <w:r>
        <w:rPr>
          <w:color w:val="auto"/>
          <w:highlight w:val="none"/>
        </w:rPr>
        <w:t>本项目施工范围内无重点保护野生动植物，工程项目的实施对自然保护区的动植物资源等遗传资源的破坏是局部的、有限的。保护区内植被面积的减小量非常小，占用的植被类型为保护区内外常见的类型，分布非常广泛，项目建设只会造成部分植物物种个体数量降低，但不会造成某个植物种类在评价区或保护区内消失；施工范围内野生动物种群、数量均稀少，加之均属于保护区内常见物种，可能造成评价区内个别生物群落变动，但不会阻隔生物的迁徙，导致物种间的生态失衡，不会使区域内生态系统受到威胁，通过生态恢复后，造成遗传资源流失的可能性较小。综上，影响程度为中低度，该项影响评价评分为50分，根据二级指标权重0.15，该指标得分7.5分。</w:t>
      </w:r>
    </w:p>
    <w:p w14:paraId="51BA8C2B">
      <w:pPr>
        <w:bidi w:val="0"/>
        <w:rPr>
          <w:color w:val="auto"/>
          <w:highlight w:val="none"/>
        </w:rPr>
      </w:pPr>
      <w:r>
        <w:rPr>
          <w:rFonts w:hint="eastAsia"/>
          <w:color w:val="auto"/>
          <w:highlight w:val="none"/>
          <w:lang w:val="en-US" w:eastAsia="zh-CN"/>
        </w:rPr>
        <w:t>5</w:t>
      </w:r>
      <w:r>
        <w:rPr>
          <w:color w:val="auto"/>
          <w:highlight w:val="none"/>
        </w:rPr>
        <w:t>.5.4导致火灾、化学品泄漏等突发事件发生的可能性</w:t>
      </w:r>
    </w:p>
    <w:p w14:paraId="769CCC56">
      <w:pPr>
        <w:bidi w:val="0"/>
        <w:rPr>
          <w:color w:val="auto"/>
          <w:highlight w:val="none"/>
        </w:rPr>
      </w:pPr>
      <w:r>
        <w:rPr>
          <w:color w:val="auto"/>
          <w:highlight w:val="none"/>
        </w:rPr>
        <w:t>项目施工期，施工人员、设备和材料会进入自然保护区，人为活动的增加可能会导致火灾的发生，机械设备的使用也会增加火灾发生的可能性，运营期间，维护人员的进入，也有火源进入保护区的风险，所以项目有导致火灾等突发事件发生的可能性。影响程度定级为中高度影响，分值70分，根据二级指标权重0.30，该指标得分为21.0分。</w:t>
      </w:r>
    </w:p>
    <w:p w14:paraId="476DC0C8">
      <w:pPr>
        <w:bidi w:val="0"/>
        <w:rPr>
          <w:color w:val="auto"/>
          <w:highlight w:val="none"/>
        </w:rPr>
      </w:pPr>
      <w:r>
        <w:rPr>
          <w:rFonts w:hint="eastAsia"/>
          <w:color w:val="auto"/>
          <w:highlight w:val="none"/>
          <w:lang w:val="en-US" w:eastAsia="zh-CN"/>
        </w:rPr>
        <w:t>5</w:t>
      </w:r>
      <w:r>
        <w:rPr>
          <w:color w:val="auto"/>
          <w:highlight w:val="none"/>
        </w:rPr>
        <w:t>.5.5对生物安全影响的评分</w:t>
      </w:r>
    </w:p>
    <w:p w14:paraId="48DDDCBB">
      <w:pPr>
        <w:bidi w:val="0"/>
        <w:rPr>
          <w:color w:val="auto"/>
          <w:highlight w:val="none"/>
        </w:rPr>
      </w:pPr>
      <w:r>
        <w:rPr>
          <w:color w:val="auto"/>
          <w:highlight w:val="none"/>
        </w:rPr>
        <w:t>通过以上影响程度评分，并对指标权重等综合计算。本工程对影响评价区物种的影响评价综合评分为59分。为中低度影响。</w:t>
      </w:r>
    </w:p>
    <w:p w14:paraId="45E996F1">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ascii="Arial"/>
          <w:color w:val="auto"/>
          <w:sz w:val="2"/>
          <w:highlight w:val="none"/>
        </w:rPr>
      </w:pPr>
      <w:r>
        <w:rPr>
          <w:rFonts w:hint="default" w:ascii="Times New Roman" w:hAnsi="Times New Roman" w:eastAsia="宋体" w:cs="Times New Roman"/>
          <w:b/>
          <w:bCs/>
          <w:color w:val="auto"/>
          <w:spacing w:val="-2"/>
          <w:sz w:val="21"/>
          <w:szCs w:val="21"/>
          <w:highlight w:val="none"/>
        </w:rPr>
        <w:t>表</w:t>
      </w:r>
      <w:r>
        <w:rPr>
          <w:rFonts w:hint="eastAsia" w:ascii="Times New Roman" w:hAnsi="Times New Roman" w:eastAsia="宋体" w:cs="Times New Roman"/>
          <w:b/>
          <w:bCs/>
          <w:color w:val="auto"/>
          <w:spacing w:val="-2"/>
          <w:sz w:val="21"/>
          <w:szCs w:val="21"/>
          <w:highlight w:val="none"/>
          <w:lang w:val="en-US" w:eastAsia="zh-CN"/>
        </w:rPr>
        <w:t>5.5-1</w:t>
      </w:r>
      <w:r>
        <w:rPr>
          <w:rFonts w:hint="default" w:ascii="Times New Roman" w:hAnsi="Times New Roman" w:eastAsia="宋体" w:cs="Times New Roman"/>
          <w:b/>
          <w:bCs/>
          <w:color w:val="auto"/>
          <w:spacing w:val="-2"/>
          <w:sz w:val="21"/>
          <w:szCs w:val="21"/>
          <w:highlight w:val="none"/>
        </w:rPr>
        <w:t xml:space="preserve">  生物安全各项评价指标综合评分表</w:t>
      </w:r>
    </w:p>
    <w:tbl>
      <w:tblPr>
        <w:tblStyle w:val="22"/>
        <w:tblW w:w="86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2354"/>
        <w:gridCol w:w="689"/>
        <w:gridCol w:w="2908"/>
        <w:gridCol w:w="645"/>
        <w:gridCol w:w="634"/>
      </w:tblGrid>
      <w:tr w14:paraId="066B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5" w:type="dxa"/>
            <w:vAlign w:val="center"/>
          </w:tcPr>
          <w:p w14:paraId="40FE98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二级指标</w:t>
            </w:r>
          </w:p>
        </w:tc>
        <w:tc>
          <w:tcPr>
            <w:tcW w:w="2354" w:type="dxa"/>
            <w:vAlign w:val="center"/>
          </w:tcPr>
          <w:p w14:paraId="6217F5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影响程度</w:t>
            </w:r>
          </w:p>
        </w:tc>
        <w:tc>
          <w:tcPr>
            <w:tcW w:w="689" w:type="dxa"/>
            <w:vAlign w:val="center"/>
          </w:tcPr>
          <w:p w14:paraId="63956F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分值</w:t>
            </w:r>
          </w:p>
        </w:tc>
        <w:tc>
          <w:tcPr>
            <w:tcW w:w="2908" w:type="dxa"/>
            <w:vAlign w:val="center"/>
          </w:tcPr>
          <w:p w14:paraId="59D392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简要说明</w:t>
            </w:r>
          </w:p>
        </w:tc>
        <w:tc>
          <w:tcPr>
            <w:tcW w:w="645" w:type="dxa"/>
            <w:vAlign w:val="center"/>
          </w:tcPr>
          <w:p w14:paraId="3624A4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权重</w:t>
            </w:r>
          </w:p>
        </w:tc>
        <w:tc>
          <w:tcPr>
            <w:tcW w:w="634" w:type="dxa"/>
            <w:vAlign w:val="center"/>
          </w:tcPr>
          <w:p w14:paraId="05FB95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得分</w:t>
            </w:r>
          </w:p>
        </w:tc>
      </w:tr>
      <w:tr w14:paraId="56261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5" w:type="dxa"/>
            <w:vMerge w:val="restart"/>
            <w:vAlign w:val="center"/>
          </w:tcPr>
          <w:p w14:paraId="79CEEE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病虫害爆发</w:t>
            </w:r>
            <w:r>
              <w:rPr>
                <w:rFonts w:hint="default" w:ascii="Times New Roman" w:hAnsi="Times New Roman" w:eastAsia="宋体" w:cs="Times New Roman"/>
                <w:color w:val="auto"/>
                <w:spacing w:val="4"/>
                <w:sz w:val="21"/>
                <w:szCs w:val="21"/>
                <w:highlight w:val="none"/>
              </w:rPr>
              <w:t>（E1）</w:t>
            </w:r>
          </w:p>
        </w:tc>
        <w:tc>
          <w:tcPr>
            <w:tcW w:w="2354" w:type="dxa"/>
            <w:vAlign w:val="center"/>
          </w:tcPr>
          <w:p w14:paraId="21066E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89" w:type="dxa"/>
            <w:vMerge w:val="restart"/>
            <w:vAlign w:val="center"/>
          </w:tcPr>
          <w:p w14:paraId="653206E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w:t>
            </w:r>
          </w:p>
        </w:tc>
        <w:tc>
          <w:tcPr>
            <w:tcW w:w="2908" w:type="dxa"/>
            <w:vMerge w:val="restart"/>
            <w:vAlign w:val="center"/>
          </w:tcPr>
          <w:p w14:paraId="34DF8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8"/>
                <w:sz w:val="21"/>
                <w:szCs w:val="21"/>
                <w:highlight w:val="none"/>
              </w:rPr>
              <w:t>项</w:t>
            </w:r>
            <w:r>
              <w:rPr>
                <w:rFonts w:hint="default" w:ascii="Times New Roman" w:hAnsi="Times New Roman" w:eastAsia="宋体" w:cs="Times New Roman"/>
                <w:color w:val="auto"/>
                <w:spacing w:val="-35"/>
                <w:sz w:val="21"/>
                <w:szCs w:val="21"/>
                <w:highlight w:val="none"/>
              </w:rPr>
              <w:t xml:space="preserve"> </w:t>
            </w:r>
            <w:r>
              <w:rPr>
                <w:rFonts w:hint="default" w:ascii="Times New Roman" w:hAnsi="Times New Roman" w:eastAsia="宋体" w:cs="Times New Roman"/>
                <w:color w:val="auto"/>
                <w:spacing w:val="18"/>
                <w:sz w:val="21"/>
                <w:szCs w:val="21"/>
                <w:highlight w:val="none"/>
              </w:rPr>
              <w:t>目建设前后生态系统没有</w:t>
            </w:r>
            <w:r>
              <w:rPr>
                <w:rFonts w:hint="default" w:ascii="Times New Roman" w:hAnsi="Times New Roman" w:eastAsia="宋体" w:cs="Times New Roman"/>
                <w:color w:val="auto"/>
                <w:spacing w:val="6"/>
                <w:sz w:val="21"/>
                <w:szCs w:val="21"/>
                <w:highlight w:val="none"/>
              </w:rPr>
              <w:t>发生明显变化，基本维持生物</w:t>
            </w:r>
            <w:r>
              <w:rPr>
                <w:rFonts w:hint="default" w:ascii="Times New Roman" w:hAnsi="Times New Roman" w:eastAsia="宋体" w:cs="Times New Roman"/>
                <w:color w:val="auto"/>
                <w:spacing w:val="24"/>
                <w:sz w:val="21"/>
                <w:szCs w:val="21"/>
                <w:highlight w:val="none"/>
              </w:rPr>
              <w:t>群落的稳定性和生态系统平</w:t>
            </w:r>
            <w:r>
              <w:rPr>
                <w:rFonts w:hint="default" w:ascii="Times New Roman" w:hAnsi="Times New Roman" w:eastAsia="宋体" w:cs="Times New Roman"/>
                <w:color w:val="auto"/>
                <w:spacing w:val="6"/>
                <w:sz w:val="21"/>
                <w:szCs w:val="21"/>
                <w:highlight w:val="none"/>
              </w:rPr>
              <w:t>衡，导致病虫害爆发的可能性很小。通过加强进入项目区的</w:t>
            </w:r>
            <w:r>
              <w:rPr>
                <w:rFonts w:hint="default" w:ascii="Times New Roman" w:hAnsi="Times New Roman" w:eastAsia="宋体" w:cs="Times New Roman"/>
                <w:color w:val="auto"/>
                <w:spacing w:val="24"/>
                <w:sz w:val="21"/>
                <w:szCs w:val="21"/>
                <w:highlight w:val="none"/>
              </w:rPr>
              <w:t>检查和监控等相关措施能在很大程度上抑制病虫害的爆</w:t>
            </w:r>
            <w:r>
              <w:rPr>
                <w:rFonts w:hint="default" w:ascii="Times New Roman" w:hAnsi="Times New Roman" w:eastAsia="宋体" w:cs="Times New Roman"/>
                <w:color w:val="auto"/>
                <w:spacing w:val="2"/>
                <w:sz w:val="21"/>
                <w:szCs w:val="21"/>
                <w:highlight w:val="none"/>
              </w:rPr>
              <w:t>发。</w:t>
            </w:r>
          </w:p>
        </w:tc>
        <w:tc>
          <w:tcPr>
            <w:tcW w:w="645" w:type="dxa"/>
            <w:vMerge w:val="restart"/>
            <w:vAlign w:val="center"/>
          </w:tcPr>
          <w:p w14:paraId="3A2B4E9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0.40</w:t>
            </w:r>
          </w:p>
        </w:tc>
        <w:tc>
          <w:tcPr>
            <w:tcW w:w="634" w:type="dxa"/>
            <w:vMerge w:val="restart"/>
            <w:vAlign w:val="center"/>
          </w:tcPr>
          <w:p w14:paraId="5891104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20.0</w:t>
            </w:r>
          </w:p>
        </w:tc>
      </w:tr>
      <w:tr w14:paraId="02869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5" w:type="dxa"/>
            <w:vMerge w:val="continue"/>
            <w:vAlign w:val="center"/>
          </w:tcPr>
          <w:p w14:paraId="7084B2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p>
        </w:tc>
        <w:tc>
          <w:tcPr>
            <w:tcW w:w="2354" w:type="dxa"/>
            <w:vAlign w:val="center"/>
          </w:tcPr>
          <w:p w14:paraId="48E67C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89" w:type="dxa"/>
            <w:vMerge w:val="continue"/>
            <w:vAlign w:val="center"/>
          </w:tcPr>
          <w:p w14:paraId="1CD77B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p>
        </w:tc>
        <w:tc>
          <w:tcPr>
            <w:tcW w:w="2908" w:type="dxa"/>
            <w:vMerge w:val="continue"/>
            <w:vAlign w:val="center"/>
          </w:tcPr>
          <w:p w14:paraId="6AEA44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4"/>
                <w:sz w:val="21"/>
                <w:szCs w:val="21"/>
                <w:highlight w:val="none"/>
              </w:rPr>
            </w:pPr>
          </w:p>
        </w:tc>
        <w:tc>
          <w:tcPr>
            <w:tcW w:w="645" w:type="dxa"/>
            <w:vMerge w:val="continue"/>
            <w:vAlign w:val="center"/>
          </w:tcPr>
          <w:p w14:paraId="20E446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1"/>
                <w:sz w:val="21"/>
                <w:szCs w:val="21"/>
                <w:highlight w:val="none"/>
              </w:rPr>
            </w:pPr>
          </w:p>
        </w:tc>
        <w:tc>
          <w:tcPr>
            <w:tcW w:w="634" w:type="dxa"/>
            <w:vMerge w:val="continue"/>
            <w:vAlign w:val="center"/>
          </w:tcPr>
          <w:p w14:paraId="6A8D5B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5"/>
                <w:sz w:val="21"/>
                <w:szCs w:val="21"/>
                <w:highlight w:val="none"/>
              </w:rPr>
            </w:pPr>
          </w:p>
        </w:tc>
      </w:tr>
      <w:tr w14:paraId="0941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5" w:type="dxa"/>
            <w:vMerge w:val="continue"/>
            <w:vAlign w:val="center"/>
          </w:tcPr>
          <w:p w14:paraId="5204BA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p>
        </w:tc>
        <w:tc>
          <w:tcPr>
            <w:tcW w:w="2354" w:type="dxa"/>
            <w:vAlign w:val="center"/>
          </w:tcPr>
          <w:p w14:paraId="47A007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89" w:type="dxa"/>
            <w:vMerge w:val="continue"/>
            <w:vAlign w:val="center"/>
          </w:tcPr>
          <w:p w14:paraId="29091D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3"/>
                <w:sz w:val="21"/>
                <w:szCs w:val="21"/>
                <w:highlight w:val="none"/>
              </w:rPr>
            </w:pPr>
          </w:p>
        </w:tc>
        <w:tc>
          <w:tcPr>
            <w:tcW w:w="2908" w:type="dxa"/>
            <w:vMerge w:val="continue"/>
            <w:vAlign w:val="center"/>
          </w:tcPr>
          <w:p w14:paraId="51437D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4"/>
                <w:sz w:val="21"/>
                <w:szCs w:val="21"/>
                <w:highlight w:val="none"/>
              </w:rPr>
            </w:pPr>
          </w:p>
        </w:tc>
        <w:tc>
          <w:tcPr>
            <w:tcW w:w="645" w:type="dxa"/>
            <w:vMerge w:val="continue"/>
            <w:vAlign w:val="center"/>
          </w:tcPr>
          <w:p w14:paraId="705A5F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1"/>
                <w:sz w:val="21"/>
                <w:szCs w:val="21"/>
                <w:highlight w:val="none"/>
              </w:rPr>
            </w:pPr>
          </w:p>
        </w:tc>
        <w:tc>
          <w:tcPr>
            <w:tcW w:w="634" w:type="dxa"/>
            <w:vMerge w:val="continue"/>
            <w:vAlign w:val="center"/>
          </w:tcPr>
          <w:p w14:paraId="0EAF74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5"/>
                <w:sz w:val="21"/>
                <w:szCs w:val="21"/>
                <w:highlight w:val="none"/>
              </w:rPr>
            </w:pPr>
          </w:p>
        </w:tc>
      </w:tr>
      <w:tr w14:paraId="5CBEB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85" w:type="dxa"/>
            <w:vMerge w:val="restart"/>
            <w:tcBorders>
              <w:bottom w:val="nil"/>
            </w:tcBorders>
            <w:vAlign w:val="center"/>
          </w:tcPr>
          <w:p w14:paraId="7CB405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外来物种或</w:t>
            </w:r>
            <w:r>
              <w:rPr>
                <w:rFonts w:hint="default" w:ascii="Times New Roman" w:hAnsi="Times New Roman" w:eastAsia="宋体" w:cs="Times New Roman"/>
                <w:color w:val="auto"/>
                <w:spacing w:val="7"/>
                <w:sz w:val="21"/>
                <w:szCs w:val="21"/>
                <w:highlight w:val="none"/>
              </w:rPr>
              <w:t>有害生物入</w:t>
            </w:r>
            <w:r>
              <w:rPr>
                <w:rFonts w:hint="default" w:ascii="Times New Roman" w:hAnsi="Times New Roman" w:eastAsia="宋体" w:cs="Times New Roman"/>
                <w:color w:val="auto"/>
                <w:spacing w:val="23"/>
                <w:sz w:val="21"/>
                <w:szCs w:val="21"/>
                <w:highlight w:val="none"/>
              </w:rPr>
              <w:t>侵（E2）</w:t>
            </w:r>
          </w:p>
        </w:tc>
        <w:tc>
          <w:tcPr>
            <w:tcW w:w="2354" w:type="dxa"/>
            <w:vAlign w:val="center"/>
          </w:tcPr>
          <w:p w14:paraId="3D947D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89" w:type="dxa"/>
            <w:vMerge w:val="restart"/>
            <w:tcBorders>
              <w:bottom w:val="nil"/>
            </w:tcBorders>
            <w:vAlign w:val="center"/>
          </w:tcPr>
          <w:p w14:paraId="2A8092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2908" w:type="dxa"/>
            <w:vMerge w:val="restart"/>
            <w:tcBorders>
              <w:bottom w:val="nil"/>
            </w:tcBorders>
            <w:vAlign w:val="center"/>
          </w:tcPr>
          <w:p w14:paraId="1676AA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建设过程中施工人员、设备和</w:t>
            </w:r>
            <w:r>
              <w:rPr>
                <w:rFonts w:hint="default" w:ascii="Times New Roman" w:hAnsi="Times New Roman" w:eastAsia="宋体" w:cs="Times New Roman"/>
                <w:color w:val="auto"/>
                <w:spacing w:val="7"/>
                <w:sz w:val="21"/>
                <w:szCs w:val="21"/>
                <w:highlight w:val="none"/>
              </w:rPr>
              <w:t xml:space="preserve"> </w:t>
            </w:r>
            <w:r>
              <w:rPr>
                <w:rFonts w:hint="default" w:ascii="Times New Roman" w:hAnsi="Times New Roman" w:eastAsia="宋体" w:cs="Times New Roman"/>
                <w:color w:val="auto"/>
                <w:spacing w:val="6"/>
                <w:sz w:val="21"/>
                <w:szCs w:val="21"/>
                <w:highlight w:val="none"/>
              </w:rPr>
              <w:t>材料会进入自然保护区，人员</w:t>
            </w:r>
            <w:r>
              <w:rPr>
                <w:rFonts w:hint="default" w:ascii="Times New Roman" w:hAnsi="Times New Roman" w:eastAsia="宋体" w:cs="Times New Roman"/>
                <w:color w:val="auto"/>
                <w:spacing w:val="5"/>
                <w:sz w:val="21"/>
                <w:szCs w:val="21"/>
                <w:highlight w:val="none"/>
              </w:rPr>
              <w:t xml:space="preserve"> </w:t>
            </w:r>
            <w:r>
              <w:rPr>
                <w:rFonts w:hint="default" w:ascii="Times New Roman" w:hAnsi="Times New Roman" w:eastAsia="宋体" w:cs="Times New Roman"/>
                <w:color w:val="auto"/>
                <w:spacing w:val="6"/>
                <w:sz w:val="21"/>
                <w:szCs w:val="21"/>
                <w:highlight w:val="none"/>
              </w:rPr>
              <w:t>和材料可能会携带外来物种，</w:t>
            </w:r>
            <w:r>
              <w:rPr>
                <w:rFonts w:hint="default" w:ascii="Times New Roman" w:hAnsi="Times New Roman" w:eastAsia="宋体" w:cs="Times New Roman"/>
                <w:color w:val="auto"/>
                <w:spacing w:val="5"/>
                <w:sz w:val="21"/>
                <w:szCs w:val="21"/>
                <w:highlight w:val="none"/>
              </w:rPr>
              <w:t xml:space="preserve"> </w:t>
            </w:r>
            <w:r>
              <w:rPr>
                <w:rFonts w:hint="default" w:ascii="Times New Roman" w:hAnsi="Times New Roman" w:eastAsia="宋体" w:cs="Times New Roman"/>
                <w:color w:val="auto"/>
                <w:spacing w:val="23"/>
                <w:sz w:val="21"/>
                <w:szCs w:val="21"/>
                <w:highlight w:val="none"/>
              </w:rPr>
              <w:t>所以有可能会造成外来物种</w:t>
            </w:r>
            <w:r>
              <w:rPr>
                <w:rFonts w:hint="default" w:ascii="Times New Roman" w:hAnsi="Times New Roman" w:eastAsia="宋体" w:cs="Times New Roman"/>
                <w:color w:val="auto"/>
                <w:spacing w:val="7"/>
                <w:sz w:val="21"/>
                <w:szCs w:val="21"/>
                <w:highlight w:val="none"/>
              </w:rPr>
              <w:t>或有害生物入侵。</w:t>
            </w:r>
          </w:p>
        </w:tc>
        <w:tc>
          <w:tcPr>
            <w:tcW w:w="645" w:type="dxa"/>
            <w:vMerge w:val="restart"/>
            <w:tcBorders>
              <w:bottom w:val="nil"/>
            </w:tcBorders>
            <w:vAlign w:val="center"/>
          </w:tcPr>
          <w:p w14:paraId="3EC100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634" w:type="dxa"/>
            <w:vMerge w:val="restart"/>
            <w:tcBorders>
              <w:bottom w:val="nil"/>
            </w:tcBorders>
            <w:vAlign w:val="center"/>
          </w:tcPr>
          <w:p w14:paraId="3B1F30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10.5</w:t>
            </w:r>
          </w:p>
        </w:tc>
      </w:tr>
      <w:tr w14:paraId="7647E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85" w:type="dxa"/>
            <w:vMerge w:val="continue"/>
            <w:tcBorders>
              <w:top w:val="nil"/>
              <w:bottom w:val="nil"/>
            </w:tcBorders>
            <w:vAlign w:val="center"/>
          </w:tcPr>
          <w:p w14:paraId="600997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45032E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89" w:type="dxa"/>
            <w:vMerge w:val="continue"/>
            <w:tcBorders>
              <w:top w:val="nil"/>
              <w:bottom w:val="nil"/>
            </w:tcBorders>
            <w:vAlign w:val="center"/>
          </w:tcPr>
          <w:p w14:paraId="5B1400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bottom w:val="nil"/>
            </w:tcBorders>
            <w:vAlign w:val="center"/>
          </w:tcPr>
          <w:p w14:paraId="31D22D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33E9F6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bottom w:val="nil"/>
            </w:tcBorders>
            <w:vAlign w:val="center"/>
          </w:tcPr>
          <w:p w14:paraId="54AFFD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3083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85" w:type="dxa"/>
            <w:vMerge w:val="continue"/>
            <w:tcBorders>
              <w:top w:val="nil"/>
            </w:tcBorders>
            <w:vAlign w:val="center"/>
          </w:tcPr>
          <w:p w14:paraId="7918C2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343EF9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89" w:type="dxa"/>
            <w:vMerge w:val="continue"/>
            <w:tcBorders>
              <w:top w:val="nil"/>
            </w:tcBorders>
            <w:vAlign w:val="center"/>
          </w:tcPr>
          <w:p w14:paraId="0B986E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tcBorders>
            <w:vAlign w:val="center"/>
          </w:tcPr>
          <w:p w14:paraId="3338B7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59D581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tcBorders>
            <w:vAlign w:val="center"/>
          </w:tcPr>
          <w:p w14:paraId="0A3352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0482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385" w:type="dxa"/>
            <w:vMerge w:val="restart"/>
            <w:tcBorders>
              <w:bottom w:val="nil"/>
            </w:tcBorders>
            <w:vAlign w:val="center"/>
          </w:tcPr>
          <w:p w14:paraId="75400C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保护区重要</w:t>
            </w:r>
            <w:r>
              <w:rPr>
                <w:rFonts w:hint="default" w:ascii="Times New Roman" w:hAnsi="Times New Roman" w:eastAsia="宋体" w:cs="Times New Roman"/>
                <w:color w:val="auto"/>
                <w:spacing w:val="7"/>
                <w:sz w:val="21"/>
                <w:szCs w:val="21"/>
                <w:highlight w:val="none"/>
              </w:rPr>
              <w:t>遗传资源流</w:t>
            </w:r>
            <w:r>
              <w:rPr>
                <w:rFonts w:hint="default" w:ascii="Times New Roman" w:hAnsi="Times New Roman" w:eastAsia="宋体" w:cs="Times New Roman"/>
                <w:color w:val="auto"/>
                <w:sz w:val="21"/>
                <w:szCs w:val="21"/>
                <w:highlight w:val="none"/>
              </w:rPr>
              <w:t>失</w:t>
            </w:r>
            <w:r>
              <w:rPr>
                <w:rFonts w:hint="default" w:ascii="Times New Roman" w:hAnsi="Times New Roman" w:eastAsia="宋体" w:cs="Times New Roman"/>
                <w:color w:val="auto"/>
                <w:spacing w:val="4"/>
                <w:sz w:val="21"/>
                <w:szCs w:val="21"/>
                <w:highlight w:val="none"/>
              </w:rPr>
              <w:t>（E3）</w:t>
            </w:r>
          </w:p>
        </w:tc>
        <w:tc>
          <w:tcPr>
            <w:tcW w:w="2354" w:type="dxa"/>
            <w:vAlign w:val="center"/>
          </w:tcPr>
          <w:p w14:paraId="0791A6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89" w:type="dxa"/>
            <w:vMerge w:val="restart"/>
            <w:tcBorders>
              <w:bottom w:val="nil"/>
            </w:tcBorders>
            <w:vAlign w:val="center"/>
          </w:tcPr>
          <w:p w14:paraId="013866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2908" w:type="dxa"/>
            <w:vMerge w:val="restart"/>
            <w:tcBorders>
              <w:bottom w:val="nil"/>
            </w:tcBorders>
            <w:vAlign w:val="center"/>
          </w:tcPr>
          <w:p w14:paraId="342420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sz w:val="21"/>
                <w:szCs w:val="21"/>
                <w:highlight w:val="none"/>
              </w:rPr>
              <w:t>项</w:t>
            </w:r>
            <w:r>
              <w:rPr>
                <w:rFonts w:hint="default" w:ascii="Times New Roman" w:hAnsi="Times New Roman" w:eastAsia="宋体" w:cs="Times New Roman"/>
                <w:color w:val="auto"/>
                <w:spacing w:val="-35"/>
                <w:sz w:val="21"/>
                <w:szCs w:val="21"/>
                <w:highlight w:val="none"/>
              </w:rPr>
              <w:t xml:space="preserve"> </w:t>
            </w:r>
            <w:r>
              <w:rPr>
                <w:rFonts w:hint="default" w:ascii="Times New Roman" w:hAnsi="Times New Roman" w:eastAsia="宋体" w:cs="Times New Roman"/>
                <w:color w:val="auto"/>
                <w:spacing w:val="18"/>
                <w:sz w:val="21"/>
                <w:szCs w:val="21"/>
                <w:highlight w:val="none"/>
              </w:rPr>
              <w:t>目建设只会造成部分植物</w:t>
            </w:r>
            <w:r>
              <w:rPr>
                <w:rFonts w:hint="default" w:ascii="Times New Roman" w:hAnsi="Times New Roman" w:eastAsia="宋体" w:cs="Times New Roman"/>
                <w:color w:val="auto"/>
                <w:spacing w:val="6"/>
                <w:sz w:val="21"/>
                <w:szCs w:val="21"/>
                <w:highlight w:val="none"/>
              </w:rPr>
              <w:t>物种个体数量降低，但不会造</w:t>
            </w:r>
            <w:r>
              <w:rPr>
                <w:rFonts w:hint="default" w:ascii="Times New Roman" w:hAnsi="Times New Roman" w:eastAsia="宋体" w:cs="Times New Roman"/>
                <w:color w:val="auto"/>
                <w:spacing w:val="24"/>
                <w:sz w:val="21"/>
                <w:szCs w:val="21"/>
                <w:highlight w:val="none"/>
              </w:rPr>
              <w:t>成某个植物种类在评价区或</w:t>
            </w:r>
            <w:r>
              <w:rPr>
                <w:rFonts w:hint="default" w:ascii="Times New Roman" w:hAnsi="Times New Roman" w:eastAsia="宋体" w:cs="Times New Roman"/>
                <w:color w:val="auto"/>
                <w:spacing w:val="6"/>
                <w:sz w:val="21"/>
                <w:szCs w:val="21"/>
                <w:highlight w:val="none"/>
              </w:rPr>
              <w:t>保护区内消失；施工范围内野生动物种群、数量均稀少，加之均属于保护区内常见物种，</w:t>
            </w:r>
            <w:r>
              <w:rPr>
                <w:rFonts w:hint="default" w:ascii="Times New Roman" w:hAnsi="Times New Roman" w:eastAsia="宋体" w:cs="Times New Roman"/>
                <w:color w:val="auto"/>
                <w:spacing w:val="24"/>
                <w:sz w:val="21"/>
                <w:szCs w:val="21"/>
                <w:highlight w:val="none"/>
              </w:rPr>
              <w:t>可能造成评价区内个别生物</w:t>
            </w:r>
            <w:r>
              <w:rPr>
                <w:rFonts w:hint="default" w:ascii="Times New Roman" w:hAnsi="Times New Roman" w:eastAsia="宋体" w:cs="Times New Roman"/>
                <w:color w:val="auto"/>
                <w:spacing w:val="6"/>
                <w:sz w:val="21"/>
                <w:szCs w:val="21"/>
                <w:highlight w:val="none"/>
              </w:rPr>
              <w:t>群落变动，但不会使区域内生</w:t>
            </w:r>
            <w:r>
              <w:rPr>
                <w:rFonts w:hint="default" w:ascii="Times New Roman" w:hAnsi="Times New Roman" w:eastAsia="宋体" w:cs="Times New Roman"/>
                <w:color w:val="auto"/>
                <w:spacing w:val="8"/>
                <w:sz w:val="21"/>
                <w:szCs w:val="21"/>
                <w:highlight w:val="none"/>
              </w:rPr>
              <w:t>态系统受到威胁。</w:t>
            </w:r>
          </w:p>
        </w:tc>
        <w:tc>
          <w:tcPr>
            <w:tcW w:w="645" w:type="dxa"/>
            <w:vMerge w:val="restart"/>
            <w:tcBorders>
              <w:bottom w:val="nil"/>
            </w:tcBorders>
            <w:vAlign w:val="center"/>
          </w:tcPr>
          <w:p w14:paraId="064501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634" w:type="dxa"/>
            <w:vMerge w:val="restart"/>
            <w:tcBorders>
              <w:bottom w:val="nil"/>
            </w:tcBorders>
            <w:vAlign w:val="center"/>
          </w:tcPr>
          <w:p w14:paraId="69B526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7.5</w:t>
            </w:r>
          </w:p>
        </w:tc>
      </w:tr>
      <w:tr w14:paraId="0772F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385" w:type="dxa"/>
            <w:vMerge w:val="continue"/>
            <w:tcBorders>
              <w:top w:val="nil"/>
              <w:bottom w:val="nil"/>
            </w:tcBorders>
            <w:vAlign w:val="center"/>
          </w:tcPr>
          <w:p w14:paraId="68DA8A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66123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89" w:type="dxa"/>
            <w:vMerge w:val="continue"/>
            <w:tcBorders>
              <w:top w:val="nil"/>
              <w:bottom w:val="nil"/>
            </w:tcBorders>
            <w:vAlign w:val="center"/>
          </w:tcPr>
          <w:p w14:paraId="3259DA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bottom w:val="nil"/>
            </w:tcBorders>
            <w:vAlign w:val="center"/>
          </w:tcPr>
          <w:p w14:paraId="3131A2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18760E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bottom w:val="nil"/>
            </w:tcBorders>
            <w:vAlign w:val="center"/>
          </w:tcPr>
          <w:p w14:paraId="7B5930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144E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385" w:type="dxa"/>
            <w:vMerge w:val="continue"/>
            <w:tcBorders>
              <w:top w:val="nil"/>
            </w:tcBorders>
            <w:vAlign w:val="center"/>
          </w:tcPr>
          <w:p w14:paraId="6F8494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52BF98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89" w:type="dxa"/>
            <w:vMerge w:val="continue"/>
            <w:tcBorders>
              <w:top w:val="nil"/>
            </w:tcBorders>
            <w:vAlign w:val="center"/>
          </w:tcPr>
          <w:p w14:paraId="6E37F7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tcBorders>
            <w:vAlign w:val="center"/>
          </w:tcPr>
          <w:p w14:paraId="030B3E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0C8B43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tcBorders>
            <w:vAlign w:val="center"/>
          </w:tcPr>
          <w:p w14:paraId="699847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D066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385" w:type="dxa"/>
            <w:vMerge w:val="restart"/>
            <w:tcBorders>
              <w:bottom w:val="nil"/>
            </w:tcBorders>
            <w:vAlign w:val="center"/>
          </w:tcPr>
          <w:p w14:paraId="10DC03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导致火灾、化</w:t>
            </w:r>
            <w:r>
              <w:rPr>
                <w:rFonts w:hint="default" w:ascii="Times New Roman" w:hAnsi="Times New Roman" w:eastAsia="宋体" w:cs="Times New Roman"/>
                <w:color w:val="auto"/>
                <w:spacing w:val="5"/>
                <w:sz w:val="21"/>
                <w:szCs w:val="21"/>
                <w:highlight w:val="none"/>
              </w:rPr>
              <w:t>学品泄漏等</w:t>
            </w:r>
            <w:r>
              <w:rPr>
                <w:rFonts w:hint="default" w:ascii="Times New Roman" w:hAnsi="Times New Roman" w:eastAsia="宋体" w:cs="Times New Roman"/>
                <w:color w:val="auto"/>
                <w:spacing w:val="6"/>
                <w:sz w:val="21"/>
                <w:szCs w:val="21"/>
                <w:highlight w:val="none"/>
              </w:rPr>
              <w:t>突发事件发</w:t>
            </w:r>
            <w:r>
              <w:rPr>
                <w:rFonts w:hint="default" w:ascii="Times New Roman" w:hAnsi="Times New Roman" w:eastAsia="宋体" w:cs="Times New Roman"/>
                <w:color w:val="auto"/>
                <w:spacing w:val="5"/>
                <w:sz w:val="21"/>
                <w:szCs w:val="21"/>
                <w:highlight w:val="none"/>
              </w:rPr>
              <w:t>生的可能性</w:t>
            </w:r>
            <w:r>
              <w:rPr>
                <w:rFonts w:hint="default" w:ascii="Times New Roman" w:hAnsi="Times New Roman" w:eastAsia="宋体" w:cs="Times New Roman"/>
                <w:color w:val="auto"/>
                <w:spacing w:val="4"/>
                <w:sz w:val="21"/>
                <w:szCs w:val="21"/>
                <w:highlight w:val="none"/>
              </w:rPr>
              <w:t>（E4）</w:t>
            </w:r>
          </w:p>
        </w:tc>
        <w:tc>
          <w:tcPr>
            <w:tcW w:w="2354" w:type="dxa"/>
            <w:vAlign w:val="center"/>
          </w:tcPr>
          <w:p w14:paraId="0F4C0E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89" w:type="dxa"/>
            <w:vMerge w:val="restart"/>
            <w:tcBorders>
              <w:bottom w:val="nil"/>
            </w:tcBorders>
            <w:vAlign w:val="center"/>
          </w:tcPr>
          <w:p w14:paraId="672498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2908" w:type="dxa"/>
            <w:vMerge w:val="restart"/>
            <w:tcBorders>
              <w:bottom w:val="nil"/>
            </w:tcBorders>
            <w:vAlign w:val="center"/>
          </w:tcPr>
          <w:p w14:paraId="232F32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施工人员、设备和材料会进入</w:t>
            </w:r>
            <w:r>
              <w:rPr>
                <w:rFonts w:hint="default" w:ascii="Times New Roman" w:hAnsi="Times New Roman" w:eastAsia="宋体" w:cs="Times New Roman"/>
                <w:color w:val="auto"/>
                <w:spacing w:val="5"/>
                <w:sz w:val="21"/>
                <w:szCs w:val="21"/>
                <w:highlight w:val="none"/>
              </w:rPr>
              <w:t>自然保护区，人为活动的增加</w:t>
            </w:r>
            <w:r>
              <w:rPr>
                <w:rFonts w:hint="default" w:ascii="Times New Roman" w:hAnsi="Times New Roman" w:eastAsia="宋体" w:cs="Times New Roman"/>
                <w:color w:val="auto"/>
                <w:spacing w:val="7"/>
                <w:sz w:val="21"/>
                <w:szCs w:val="21"/>
                <w:highlight w:val="none"/>
              </w:rPr>
              <w:t>可能会导致火灾的发生。</w:t>
            </w:r>
          </w:p>
        </w:tc>
        <w:tc>
          <w:tcPr>
            <w:tcW w:w="645" w:type="dxa"/>
            <w:vMerge w:val="restart"/>
            <w:tcBorders>
              <w:bottom w:val="nil"/>
            </w:tcBorders>
            <w:vAlign w:val="center"/>
          </w:tcPr>
          <w:p w14:paraId="2190B9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0.30</w:t>
            </w:r>
          </w:p>
        </w:tc>
        <w:tc>
          <w:tcPr>
            <w:tcW w:w="634" w:type="dxa"/>
            <w:vMerge w:val="restart"/>
            <w:tcBorders>
              <w:bottom w:val="nil"/>
            </w:tcBorders>
            <w:vAlign w:val="center"/>
          </w:tcPr>
          <w:p w14:paraId="621BC8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21.0</w:t>
            </w:r>
          </w:p>
        </w:tc>
      </w:tr>
      <w:tr w14:paraId="2C5DA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385" w:type="dxa"/>
            <w:vMerge w:val="continue"/>
            <w:tcBorders>
              <w:top w:val="nil"/>
              <w:bottom w:val="nil"/>
            </w:tcBorders>
            <w:vAlign w:val="center"/>
          </w:tcPr>
          <w:p w14:paraId="195749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1AF898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89" w:type="dxa"/>
            <w:vMerge w:val="continue"/>
            <w:tcBorders>
              <w:top w:val="nil"/>
              <w:bottom w:val="nil"/>
            </w:tcBorders>
            <w:vAlign w:val="center"/>
          </w:tcPr>
          <w:p w14:paraId="5A747F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bottom w:val="nil"/>
            </w:tcBorders>
            <w:vAlign w:val="center"/>
          </w:tcPr>
          <w:p w14:paraId="09D143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bottom w:val="nil"/>
            </w:tcBorders>
            <w:vAlign w:val="center"/>
          </w:tcPr>
          <w:p w14:paraId="6CE7E2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bottom w:val="nil"/>
            </w:tcBorders>
            <w:vAlign w:val="center"/>
          </w:tcPr>
          <w:p w14:paraId="65C698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B32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85" w:type="dxa"/>
            <w:vMerge w:val="continue"/>
            <w:tcBorders>
              <w:top w:val="nil"/>
            </w:tcBorders>
            <w:vAlign w:val="center"/>
          </w:tcPr>
          <w:p w14:paraId="7DCE59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54" w:type="dxa"/>
            <w:vAlign w:val="center"/>
          </w:tcPr>
          <w:p w14:paraId="2036CD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89" w:type="dxa"/>
            <w:vMerge w:val="continue"/>
            <w:tcBorders>
              <w:top w:val="nil"/>
            </w:tcBorders>
            <w:vAlign w:val="center"/>
          </w:tcPr>
          <w:p w14:paraId="19691E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908" w:type="dxa"/>
            <w:vMerge w:val="continue"/>
            <w:tcBorders>
              <w:top w:val="nil"/>
            </w:tcBorders>
            <w:vAlign w:val="center"/>
          </w:tcPr>
          <w:p w14:paraId="480C77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45" w:type="dxa"/>
            <w:vMerge w:val="continue"/>
            <w:tcBorders>
              <w:top w:val="nil"/>
            </w:tcBorders>
            <w:vAlign w:val="center"/>
          </w:tcPr>
          <w:p w14:paraId="66C1A3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4" w:type="dxa"/>
            <w:vMerge w:val="continue"/>
            <w:tcBorders>
              <w:top w:val="nil"/>
            </w:tcBorders>
            <w:vAlign w:val="center"/>
          </w:tcPr>
          <w:p w14:paraId="499CF9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938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336" w:type="dxa"/>
            <w:gridSpan w:val="4"/>
            <w:vAlign w:val="center"/>
          </w:tcPr>
          <w:p w14:paraId="7BFAA6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合计</w:t>
            </w:r>
          </w:p>
        </w:tc>
        <w:tc>
          <w:tcPr>
            <w:tcW w:w="645" w:type="dxa"/>
            <w:vAlign w:val="center"/>
          </w:tcPr>
          <w:p w14:paraId="5B431D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34" w:type="dxa"/>
            <w:vAlign w:val="center"/>
          </w:tcPr>
          <w:p w14:paraId="40B10D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r>
    </w:tbl>
    <w:p w14:paraId="0E480A16">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68" w:name="bookmark67"/>
      <w:bookmarkEnd w:id="68"/>
      <w:bookmarkStart w:id="69" w:name="bookmark66"/>
      <w:bookmarkEnd w:id="69"/>
      <w:bookmarkStart w:id="70" w:name="bookmark68"/>
      <w:bookmarkEnd w:id="70"/>
      <w:bookmarkStart w:id="71" w:name="bookmark65"/>
      <w:bookmarkEnd w:id="71"/>
      <w:bookmarkStart w:id="72" w:name="bookmark69"/>
      <w:bookmarkEnd w:id="72"/>
      <w:bookmarkStart w:id="73" w:name="bookmark70"/>
      <w:bookmarkEnd w:id="73"/>
      <w:r>
        <w:rPr>
          <w:rFonts w:hint="eastAsia" w:cs="Times New Roman"/>
          <w:color w:val="auto"/>
          <w:kern w:val="0"/>
          <w:szCs w:val="30"/>
          <w:highlight w:val="none"/>
          <w:lang w:val="en-US" w:eastAsia="zh-CN"/>
        </w:rPr>
        <w:t>5.6对社会因素的影响</w:t>
      </w:r>
    </w:p>
    <w:p w14:paraId="2CD715C1">
      <w:pPr>
        <w:bidi w:val="0"/>
        <w:rPr>
          <w:color w:val="auto"/>
          <w:highlight w:val="none"/>
        </w:rPr>
      </w:pPr>
      <w:r>
        <w:rPr>
          <w:rFonts w:hint="eastAsia"/>
          <w:color w:val="auto"/>
          <w:highlight w:val="none"/>
          <w:lang w:val="en-US" w:eastAsia="zh-CN"/>
        </w:rPr>
        <w:t>5</w:t>
      </w:r>
      <w:r>
        <w:rPr>
          <w:color w:val="auto"/>
          <w:highlight w:val="none"/>
        </w:rPr>
        <w:t>.6.1当地政府支持程度（F1）</w:t>
      </w:r>
    </w:p>
    <w:p w14:paraId="68ECF390">
      <w:pPr>
        <w:bidi w:val="0"/>
        <w:rPr>
          <w:color w:val="auto"/>
          <w:highlight w:val="none"/>
        </w:rPr>
      </w:pPr>
      <w:r>
        <w:rPr>
          <w:color w:val="auto"/>
          <w:highlight w:val="none"/>
        </w:rPr>
        <w:t>本项目落实国家可持续发展政策、满足节约能源、保护环境的需要、促进当地经济和社会的发展，充分利用太阳能等潜在优势，加快产业结构的调整，逐步提高科技含量，增进经济效益。项目规划得到当地政府管理部门的支持。影响程度定级为中低度影响，分值50分，根据二级指标权重0.10，该指标得分为5.0分。</w:t>
      </w:r>
    </w:p>
    <w:p w14:paraId="38707A67">
      <w:pPr>
        <w:bidi w:val="0"/>
        <w:rPr>
          <w:color w:val="auto"/>
          <w:highlight w:val="none"/>
        </w:rPr>
      </w:pPr>
      <w:r>
        <w:rPr>
          <w:rFonts w:hint="eastAsia"/>
          <w:color w:val="auto"/>
          <w:highlight w:val="none"/>
          <w:lang w:val="en-US" w:eastAsia="zh-CN"/>
        </w:rPr>
        <w:t>5</w:t>
      </w:r>
      <w:r>
        <w:rPr>
          <w:color w:val="auto"/>
          <w:highlight w:val="none"/>
        </w:rPr>
        <w:t>.6.2当地社区群众支持程度（F2）</w:t>
      </w:r>
    </w:p>
    <w:p w14:paraId="75A7EFD4">
      <w:pPr>
        <w:bidi w:val="0"/>
        <w:rPr>
          <w:color w:val="auto"/>
          <w:highlight w:val="none"/>
        </w:rPr>
      </w:pPr>
      <w:r>
        <w:rPr>
          <w:color w:val="auto"/>
          <w:highlight w:val="none"/>
        </w:rPr>
        <w:t>本项目落实国家可持续发展政策、满足节约能源、保护环境的需要、促进当地经济和社会的发展，充分利用太阳能等潜在优势，加快产业结构的调整，逐步提高科技含量，增进经济效益。项目规划得到当地政府管理部门的支持，当地社区群众也呈支持态度。影响程度定级为中低度影响，分值50分，根据二级指标权重0.20，该指标得分为10.0分。</w:t>
      </w:r>
    </w:p>
    <w:p w14:paraId="459E93BF">
      <w:pPr>
        <w:bidi w:val="0"/>
        <w:rPr>
          <w:color w:val="auto"/>
          <w:highlight w:val="none"/>
        </w:rPr>
      </w:pPr>
      <w:r>
        <w:rPr>
          <w:rFonts w:hint="eastAsia"/>
          <w:color w:val="auto"/>
          <w:highlight w:val="none"/>
          <w:lang w:val="en-US" w:eastAsia="zh-CN"/>
        </w:rPr>
        <w:t>5</w:t>
      </w:r>
      <w:r>
        <w:rPr>
          <w:color w:val="auto"/>
          <w:highlight w:val="none"/>
        </w:rPr>
        <w:t>.6.3对保护区管理的直接投入（F3）</w:t>
      </w:r>
    </w:p>
    <w:p w14:paraId="751B1441">
      <w:pPr>
        <w:bidi w:val="0"/>
        <w:rPr>
          <w:color w:val="auto"/>
          <w:highlight w:val="none"/>
        </w:rPr>
      </w:pPr>
      <w:r>
        <w:rPr>
          <w:color w:val="auto"/>
          <w:highlight w:val="none"/>
        </w:rPr>
        <w:t>项目的建设对保护区管理无较大直接投入，运营期间需要定期进行巡查，增加了保护区管理的难度。影响程度定级为中高度影响，分值70分根据二级指标权重0.35，该指标得分为24.5分。</w:t>
      </w:r>
    </w:p>
    <w:p w14:paraId="45AFFE3D">
      <w:pPr>
        <w:bidi w:val="0"/>
        <w:rPr>
          <w:color w:val="auto"/>
          <w:highlight w:val="none"/>
        </w:rPr>
      </w:pPr>
      <w:r>
        <w:rPr>
          <w:rFonts w:hint="eastAsia"/>
          <w:color w:val="auto"/>
          <w:highlight w:val="none"/>
          <w:lang w:val="en-US" w:eastAsia="zh-CN"/>
        </w:rPr>
        <w:t>5</w:t>
      </w:r>
      <w:r>
        <w:rPr>
          <w:color w:val="auto"/>
          <w:highlight w:val="none"/>
        </w:rPr>
        <w:t>.6.4对改善周边社区社会经济贡献（F4）</w:t>
      </w:r>
    </w:p>
    <w:p w14:paraId="4F17906C">
      <w:pPr>
        <w:bidi w:val="0"/>
        <w:rPr>
          <w:color w:val="auto"/>
          <w:highlight w:val="none"/>
        </w:rPr>
      </w:pPr>
      <w:r>
        <w:rPr>
          <w:color w:val="auto"/>
          <w:highlight w:val="none"/>
        </w:rPr>
        <w:t>本项目落实国家可持续发展政策，促进当地经济和社会的发展，充分利用太阳能等潜在优势，加快产业结构的调整，逐步提高科技含量，增进经济效益。项目规划得到当地政府管理部门的支持，周边社区对于项目建设呈支持态度。影响程度定级为中低度影响，分值50分，根据二级指标权重0.30，该指标得分为15.0分。</w:t>
      </w:r>
    </w:p>
    <w:p w14:paraId="0D82BA99">
      <w:pPr>
        <w:bidi w:val="0"/>
        <w:rPr>
          <w:color w:val="auto"/>
          <w:highlight w:val="none"/>
        </w:rPr>
      </w:pPr>
      <w:r>
        <w:rPr>
          <w:rFonts w:hint="eastAsia"/>
          <w:color w:val="auto"/>
          <w:highlight w:val="none"/>
          <w:lang w:val="en-US" w:eastAsia="zh-CN"/>
        </w:rPr>
        <w:t>5</w:t>
      </w:r>
      <w:r>
        <w:rPr>
          <w:color w:val="auto"/>
          <w:highlight w:val="none"/>
        </w:rPr>
        <w:t>.6.5对当地群众生产生活环境的危害及程度（F5）</w:t>
      </w:r>
    </w:p>
    <w:p w14:paraId="7A51C564">
      <w:pPr>
        <w:bidi w:val="0"/>
        <w:rPr>
          <w:color w:val="auto"/>
          <w:highlight w:val="none"/>
        </w:rPr>
      </w:pPr>
      <w:r>
        <w:rPr>
          <w:color w:val="auto"/>
          <w:highlight w:val="none"/>
        </w:rPr>
        <w:t>本项目为线性工程，</w:t>
      </w:r>
      <w:r>
        <w:rPr>
          <w:rFonts w:hint="eastAsia"/>
          <w:color w:val="auto"/>
          <w:highlight w:val="none"/>
          <w:lang w:val="en-US" w:eastAsia="zh-CN"/>
        </w:rPr>
        <w:t>57座塔基占地4000m</w:t>
      </w:r>
      <w:r>
        <w:rPr>
          <w:rFonts w:hint="eastAsia"/>
          <w:color w:val="auto"/>
          <w:highlight w:val="none"/>
          <w:vertAlign w:val="superscript"/>
          <w:lang w:val="en-US" w:eastAsia="zh-CN"/>
        </w:rPr>
        <w:t>2</w:t>
      </w:r>
      <w:r>
        <w:rPr>
          <w:rFonts w:hint="eastAsia"/>
          <w:color w:val="auto"/>
          <w:highlight w:val="none"/>
          <w:lang w:val="en-US" w:eastAsia="zh-CN"/>
        </w:rPr>
        <w:t>，</w:t>
      </w:r>
      <w:r>
        <w:rPr>
          <w:color w:val="auto"/>
          <w:highlight w:val="none"/>
        </w:rPr>
        <w:t>占评价区总面积的0.0</w:t>
      </w:r>
      <w:r>
        <w:rPr>
          <w:rFonts w:hint="eastAsia"/>
          <w:color w:val="auto"/>
          <w:highlight w:val="none"/>
          <w:lang w:val="en-US" w:eastAsia="zh-CN"/>
        </w:rPr>
        <w:t>1</w:t>
      </w:r>
      <w:r>
        <w:rPr>
          <w:color w:val="auto"/>
          <w:highlight w:val="none"/>
        </w:rPr>
        <w:t>%</w:t>
      </w:r>
      <w:r>
        <w:rPr>
          <w:rFonts w:hint="eastAsia"/>
          <w:color w:val="auto"/>
          <w:highlight w:val="none"/>
          <w:lang w:eastAsia="zh-CN"/>
        </w:rPr>
        <w:t>，</w:t>
      </w:r>
      <w:r>
        <w:rPr>
          <w:rFonts w:hint="eastAsia"/>
          <w:color w:val="auto"/>
          <w:highlight w:val="none"/>
          <w:lang w:val="en-US" w:eastAsia="zh-CN"/>
        </w:rPr>
        <w:t>其中</w:t>
      </w:r>
      <w:r>
        <w:rPr>
          <w:color w:val="auto"/>
          <w:highlight w:val="none"/>
        </w:rPr>
        <w:t>位于保护区实验区，23座塔基占地面积2438m</w:t>
      </w:r>
      <w:r>
        <w:rPr>
          <w:color w:val="auto"/>
          <w:highlight w:val="none"/>
          <w:vertAlign w:val="superscript"/>
        </w:rPr>
        <w:t>2</w:t>
      </w:r>
      <w:r>
        <w:rPr>
          <w:color w:val="auto"/>
          <w:highlight w:val="none"/>
        </w:rPr>
        <w:t>，占地面积非常小，对当地群众造成的危害很小。项目建设期可能会稍微破坏影响评价区的土壤和植被，但项目施工结束后会有相应的植被恢复措施，对当地群众的生产生活环境影响较轻。影响程度定级为中低度影响，分值50分，根据二级指标权重0.05，该指标得分为2.5分。</w:t>
      </w:r>
    </w:p>
    <w:p w14:paraId="5A4AC3BD">
      <w:pPr>
        <w:bidi w:val="0"/>
        <w:rPr>
          <w:color w:val="auto"/>
          <w:highlight w:val="none"/>
        </w:rPr>
      </w:pPr>
      <w:r>
        <w:rPr>
          <w:rFonts w:hint="eastAsia"/>
          <w:color w:val="auto"/>
          <w:highlight w:val="none"/>
          <w:lang w:val="en-US" w:eastAsia="zh-CN"/>
        </w:rPr>
        <w:t>5</w:t>
      </w:r>
      <w:r>
        <w:rPr>
          <w:color w:val="auto"/>
          <w:highlight w:val="none"/>
        </w:rPr>
        <w:t>.6.6社会因素（F）各项评价指标权重和综合评分</w:t>
      </w:r>
    </w:p>
    <w:p w14:paraId="0EAD07D6">
      <w:pPr>
        <w:bidi w:val="0"/>
        <w:rPr>
          <w:color w:val="auto"/>
          <w:highlight w:val="none"/>
        </w:rPr>
      </w:pPr>
      <w:r>
        <w:rPr>
          <w:color w:val="auto"/>
          <w:highlight w:val="none"/>
        </w:rPr>
        <w:t>通过以上影响程度评分，并对指标权重等综合计算，本工程建设 对社会因素的影响评价综合评分为57.0分。</w:t>
      </w:r>
    </w:p>
    <w:p w14:paraId="6EB5034B">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eastAsia" w:ascii="Times New Roman" w:hAnsi="Times New Roman" w:eastAsia="宋体" w:cs="Times New Roman"/>
          <w:b/>
          <w:bCs/>
          <w:color w:val="auto"/>
          <w:spacing w:val="-2"/>
          <w:sz w:val="21"/>
          <w:szCs w:val="21"/>
          <w:highlight w:val="none"/>
          <w:lang w:val="en-US" w:eastAsia="zh-CN"/>
        </w:rPr>
        <w:t>5.6-1</w:t>
      </w:r>
      <w:r>
        <w:rPr>
          <w:rFonts w:hint="default" w:ascii="Times New Roman" w:hAnsi="Times New Roman" w:eastAsia="宋体" w:cs="Times New Roman"/>
          <w:b/>
          <w:bCs/>
          <w:color w:val="auto"/>
          <w:spacing w:val="-2"/>
          <w:sz w:val="21"/>
          <w:szCs w:val="21"/>
          <w:highlight w:val="none"/>
        </w:rPr>
        <w:t xml:space="preserve">  社会因素各项评价指标综合评分表</w:t>
      </w:r>
    </w:p>
    <w:tbl>
      <w:tblPr>
        <w:tblStyle w:val="22"/>
        <w:tblW w:w="8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6"/>
        <w:gridCol w:w="2293"/>
        <w:gridCol w:w="622"/>
        <w:gridCol w:w="3026"/>
        <w:gridCol w:w="663"/>
        <w:gridCol w:w="652"/>
      </w:tblGrid>
      <w:tr w14:paraId="43BD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Align w:val="center"/>
          </w:tcPr>
          <w:p w14:paraId="1A1A21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二级指标</w:t>
            </w:r>
          </w:p>
        </w:tc>
        <w:tc>
          <w:tcPr>
            <w:tcW w:w="2293" w:type="dxa"/>
            <w:vAlign w:val="center"/>
          </w:tcPr>
          <w:p w14:paraId="247CE0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影响程度</w:t>
            </w:r>
          </w:p>
        </w:tc>
        <w:tc>
          <w:tcPr>
            <w:tcW w:w="622" w:type="dxa"/>
            <w:vAlign w:val="center"/>
          </w:tcPr>
          <w:p w14:paraId="77026D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分值</w:t>
            </w:r>
          </w:p>
        </w:tc>
        <w:tc>
          <w:tcPr>
            <w:tcW w:w="3026" w:type="dxa"/>
            <w:vAlign w:val="center"/>
          </w:tcPr>
          <w:p w14:paraId="458A2B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简要说明</w:t>
            </w:r>
          </w:p>
        </w:tc>
        <w:tc>
          <w:tcPr>
            <w:tcW w:w="663" w:type="dxa"/>
            <w:vAlign w:val="center"/>
          </w:tcPr>
          <w:p w14:paraId="763CE1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权重</w:t>
            </w:r>
          </w:p>
        </w:tc>
        <w:tc>
          <w:tcPr>
            <w:tcW w:w="652" w:type="dxa"/>
            <w:vAlign w:val="center"/>
          </w:tcPr>
          <w:p w14:paraId="472CF4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得分</w:t>
            </w:r>
          </w:p>
        </w:tc>
      </w:tr>
      <w:tr w14:paraId="1F2B7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restart"/>
            <w:tcBorders>
              <w:bottom w:val="nil"/>
            </w:tcBorders>
            <w:vAlign w:val="center"/>
          </w:tcPr>
          <w:p w14:paraId="2359C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地方政府的</w:t>
            </w:r>
            <w:r>
              <w:rPr>
                <w:rFonts w:hint="default" w:ascii="Times New Roman" w:hAnsi="Times New Roman" w:eastAsia="宋体" w:cs="Times New Roman"/>
                <w:color w:val="auto"/>
                <w:spacing w:val="6"/>
                <w:sz w:val="21"/>
                <w:szCs w:val="21"/>
                <w:highlight w:val="none"/>
              </w:rPr>
              <w:t>支持程度</w:t>
            </w:r>
            <w:r>
              <w:rPr>
                <w:rFonts w:hint="default" w:ascii="Times New Roman" w:hAnsi="Times New Roman" w:eastAsia="宋体" w:cs="Times New Roman"/>
                <w:color w:val="auto"/>
                <w:spacing w:val="12"/>
                <w:sz w:val="21"/>
                <w:szCs w:val="21"/>
                <w:highlight w:val="none"/>
              </w:rPr>
              <w:t>（</w:t>
            </w:r>
            <w:r>
              <w:rPr>
                <w:rFonts w:hint="default" w:ascii="Times New Roman" w:hAnsi="Times New Roman" w:eastAsia="宋体" w:cs="Times New Roman"/>
                <w:color w:val="auto"/>
                <w:spacing w:val="-39"/>
                <w:sz w:val="21"/>
                <w:szCs w:val="21"/>
                <w:highlight w:val="none"/>
              </w:rPr>
              <w:t xml:space="preserve"> </w:t>
            </w:r>
            <w:r>
              <w:rPr>
                <w:rFonts w:hint="default" w:ascii="Times New Roman" w:hAnsi="Times New Roman" w:eastAsia="宋体" w:cs="Times New Roman"/>
                <w:color w:val="auto"/>
                <w:spacing w:val="12"/>
                <w:sz w:val="21"/>
                <w:szCs w:val="21"/>
                <w:highlight w:val="none"/>
              </w:rPr>
              <w:t>F1）</w:t>
            </w:r>
          </w:p>
        </w:tc>
        <w:tc>
          <w:tcPr>
            <w:tcW w:w="2293" w:type="dxa"/>
            <w:vAlign w:val="center"/>
          </w:tcPr>
          <w:p w14:paraId="3D88AD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22" w:type="dxa"/>
            <w:vMerge w:val="restart"/>
            <w:tcBorders>
              <w:bottom w:val="nil"/>
            </w:tcBorders>
            <w:vAlign w:val="center"/>
          </w:tcPr>
          <w:p w14:paraId="18F8CE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026" w:type="dxa"/>
            <w:vMerge w:val="restart"/>
            <w:tcBorders>
              <w:bottom w:val="nil"/>
            </w:tcBorders>
            <w:vAlign w:val="center"/>
          </w:tcPr>
          <w:p w14:paraId="1CD008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4"/>
                <w:sz w:val="21"/>
                <w:szCs w:val="21"/>
                <w:highlight w:val="none"/>
              </w:rPr>
              <w:t>本项目落实国家可持续发展</w:t>
            </w:r>
            <w:r>
              <w:rPr>
                <w:rFonts w:hint="default" w:ascii="Times New Roman" w:hAnsi="Times New Roman" w:eastAsia="宋体" w:cs="Times New Roman"/>
                <w:color w:val="auto"/>
                <w:spacing w:val="7"/>
                <w:sz w:val="21"/>
                <w:szCs w:val="21"/>
                <w:highlight w:val="none"/>
              </w:rPr>
              <w:t>政策、满足节约能源、保护环境的需要、促进当地经济和社会的发展，充分利用太阳能等潜在优势，加快产业结构的调整，逐步提高科技含量，增进经济效益。项目规划得到当地</w:t>
            </w:r>
            <w:r>
              <w:rPr>
                <w:rFonts w:hint="default" w:ascii="Times New Roman" w:hAnsi="Times New Roman" w:eastAsia="宋体" w:cs="Times New Roman"/>
                <w:color w:val="auto"/>
                <w:spacing w:val="8"/>
                <w:sz w:val="21"/>
                <w:szCs w:val="21"/>
                <w:highlight w:val="none"/>
              </w:rPr>
              <w:t>政府管理部门的支持。</w:t>
            </w:r>
          </w:p>
        </w:tc>
        <w:tc>
          <w:tcPr>
            <w:tcW w:w="663" w:type="dxa"/>
            <w:vMerge w:val="restart"/>
            <w:tcBorders>
              <w:bottom w:val="nil"/>
            </w:tcBorders>
            <w:vAlign w:val="center"/>
          </w:tcPr>
          <w:p w14:paraId="45393B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0.10</w:t>
            </w:r>
          </w:p>
        </w:tc>
        <w:tc>
          <w:tcPr>
            <w:tcW w:w="652" w:type="dxa"/>
            <w:vMerge w:val="restart"/>
            <w:tcBorders>
              <w:bottom w:val="nil"/>
            </w:tcBorders>
            <w:vAlign w:val="center"/>
          </w:tcPr>
          <w:p w14:paraId="1D2223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14:paraId="1E72F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bottom w:val="nil"/>
            </w:tcBorders>
            <w:vAlign w:val="center"/>
          </w:tcPr>
          <w:p w14:paraId="04992F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5F34B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22" w:type="dxa"/>
            <w:vMerge w:val="continue"/>
            <w:tcBorders>
              <w:top w:val="nil"/>
              <w:bottom w:val="nil"/>
            </w:tcBorders>
            <w:vAlign w:val="center"/>
          </w:tcPr>
          <w:p w14:paraId="57F860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bottom w:val="nil"/>
            </w:tcBorders>
            <w:vAlign w:val="center"/>
          </w:tcPr>
          <w:p w14:paraId="4EF658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bottom w:val="nil"/>
            </w:tcBorders>
            <w:vAlign w:val="center"/>
          </w:tcPr>
          <w:p w14:paraId="44977E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bottom w:val="nil"/>
            </w:tcBorders>
            <w:vAlign w:val="center"/>
          </w:tcPr>
          <w:p w14:paraId="1E2AEF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821F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tcBorders>
            <w:vAlign w:val="center"/>
          </w:tcPr>
          <w:p w14:paraId="1502A7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02D2B0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22" w:type="dxa"/>
            <w:vMerge w:val="continue"/>
            <w:tcBorders>
              <w:top w:val="nil"/>
            </w:tcBorders>
            <w:vAlign w:val="center"/>
          </w:tcPr>
          <w:p w14:paraId="70C3BE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tcBorders>
            <w:vAlign w:val="center"/>
          </w:tcPr>
          <w:p w14:paraId="4638BE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tcBorders>
            <w:vAlign w:val="center"/>
          </w:tcPr>
          <w:p w14:paraId="0A93A9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tcBorders>
            <w:vAlign w:val="center"/>
          </w:tcPr>
          <w:p w14:paraId="36D19C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9825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restart"/>
            <w:tcBorders>
              <w:bottom w:val="nil"/>
            </w:tcBorders>
            <w:vAlign w:val="center"/>
          </w:tcPr>
          <w:p w14:paraId="3A8090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当地社区群</w:t>
            </w:r>
            <w:r>
              <w:rPr>
                <w:rFonts w:hint="default" w:ascii="Times New Roman" w:hAnsi="Times New Roman" w:eastAsia="宋体" w:cs="Times New Roman"/>
                <w:color w:val="auto"/>
                <w:spacing w:val="8"/>
                <w:sz w:val="21"/>
                <w:szCs w:val="21"/>
                <w:highlight w:val="none"/>
              </w:rPr>
              <w:t>众支持程度</w:t>
            </w:r>
            <w:r>
              <w:rPr>
                <w:rFonts w:hint="default" w:ascii="Times New Roman" w:hAnsi="Times New Roman" w:eastAsia="宋体" w:cs="Times New Roman"/>
                <w:color w:val="auto"/>
                <w:spacing w:val="5"/>
                <w:sz w:val="21"/>
                <w:szCs w:val="21"/>
                <w:highlight w:val="none"/>
              </w:rPr>
              <w:t>影响（F2）</w:t>
            </w:r>
          </w:p>
        </w:tc>
        <w:tc>
          <w:tcPr>
            <w:tcW w:w="2293" w:type="dxa"/>
            <w:vAlign w:val="center"/>
          </w:tcPr>
          <w:p w14:paraId="6DCDAD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22" w:type="dxa"/>
            <w:vMerge w:val="restart"/>
            <w:tcBorders>
              <w:bottom w:val="nil"/>
            </w:tcBorders>
            <w:vAlign w:val="center"/>
          </w:tcPr>
          <w:p w14:paraId="63FB24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026" w:type="dxa"/>
            <w:vMerge w:val="restart"/>
            <w:tcBorders>
              <w:bottom w:val="nil"/>
            </w:tcBorders>
            <w:vAlign w:val="center"/>
          </w:tcPr>
          <w:p w14:paraId="1FB344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4"/>
                <w:sz w:val="21"/>
                <w:szCs w:val="21"/>
                <w:highlight w:val="none"/>
              </w:rPr>
              <w:t>本项目落实国家可持续发展</w:t>
            </w:r>
            <w:r>
              <w:rPr>
                <w:rFonts w:hint="default" w:ascii="Times New Roman" w:hAnsi="Times New Roman" w:eastAsia="宋体" w:cs="Times New Roman"/>
                <w:color w:val="auto"/>
                <w:spacing w:val="7"/>
                <w:sz w:val="21"/>
                <w:szCs w:val="21"/>
                <w:highlight w:val="none"/>
              </w:rPr>
              <w:t>政策、满足节约能源、保护环境的需要、促进当地经济和社会的发展，充分利用太阳能等潜在优势，加快产业结构的调整，逐步提高科技含量，增进经济效益，当地社区群众呈支</w:t>
            </w:r>
            <w:r>
              <w:rPr>
                <w:rFonts w:hint="default" w:ascii="Times New Roman" w:hAnsi="Times New Roman" w:eastAsia="宋体" w:cs="Times New Roman"/>
                <w:color w:val="auto"/>
                <w:spacing w:val="6"/>
                <w:sz w:val="21"/>
                <w:szCs w:val="21"/>
                <w:highlight w:val="none"/>
              </w:rPr>
              <w:t>持态度。</w:t>
            </w:r>
          </w:p>
        </w:tc>
        <w:tc>
          <w:tcPr>
            <w:tcW w:w="663" w:type="dxa"/>
            <w:vMerge w:val="restart"/>
            <w:tcBorders>
              <w:bottom w:val="nil"/>
            </w:tcBorders>
            <w:vAlign w:val="center"/>
          </w:tcPr>
          <w:p w14:paraId="119C4D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0.20</w:t>
            </w:r>
          </w:p>
        </w:tc>
        <w:tc>
          <w:tcPr>
            <w:tcW w:w="652" w:type="dxa"/>
            <w:vMerge w:val="restart"/>
            <w:tcBorders>
              <w:bottom w:val="nil"/>
            </w:tcBorders>
            <w:vAlign w:val="center"/>
          </w:tcPr>
          <w:p w14:paraId="4F2A9F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10.0</w:t>
            </w:r>
          </w:p>
        </w:tc>
      </w:tr>
      <w:tr w14:paraId="69C6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bottom w:val="nil"/>
            </w:tcBorders>
            <w:vAlign w:val="center"/>
          </w:tcPr>
          <w:p w14:paraId="64C0D8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113007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22" w:type="dxa"/>
            <w:vMerge w:val="continue"/>
            <w:tcBorders>
              <w:top w:val="nil"/>
              <w:bottom w:val="nil"/>
            </w:tcBorders>
            <w:vAlign w:val="center"/>
          </w:tcPr>
          <w:p w14:paraId="537DD5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bottom w:val="nil"/>
            </w:tcBorders>
            <w:vAlign w:val="center"/>
          </w:tcPr>
          <w:p w14:paraId="3A25CA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bottom w:val="nil"/>
            </w:tcBorders>
            <w:vAlign w:val="center"/>
          </w:tcPr>
          <w:p w14:paraId="128ED5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bottom w:val="nil"/>
            </w:tcBorders>
            <w:vAlign w:val="center"/>
          </w:tcPr>
          <w:p w14:paraId="4CAAFF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A257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tcBorders>
            <w:vAlign w:val="center"/>
          </w:tcPr>
          <w:p w14:paraId="25E5B8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5A4B7C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22" w:type="dxa"/>
            <w:vMerge w:val="continue"/>
            <w:tcBorders>
              <w:top w:val="nil"/>
            </w:tcBorders>
            <w:vAlign w:val="center"/>
          </w:tcPr>
          <w:p w14:paraId="525239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tcBorders>
            <w:vAlign w:val="center"/>
          </w:tcPr>
          <w:p w14:paraId="59FF87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tcBorders>
            <w:vAlign w:val="center"/>
          </w:tcPr>
          <w:p w14:paraId="49711A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tcBorders>
            <w:vAlign w:val="center"/>
          </w:tcPr>
          <w:p w14:paraId="379FC5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0C13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restart"/>
            <w:tcBorders>
              <w:bottom w:val="nil"/>
            </w:tcBorders>
            <w:vAlign w:val="center"/>
          </w:tcPr>
          <w:p w14:paraId="3C5621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保护区管理</w:t>
            </w:r>
            <w:r>
              <w:rPr>
                <w:rFonts w:hint="default" w:ascii="Times New Roman" w:hAnsi="Times New Roman" w:eastAsia="宋体" w:cs="Times New Roman"/>
                <w:color w:val="auto"/>
                <w:spacing w:val="4"/>
                <w:sz w:val="21"/>
                <w:szCs w:val="21"/>
                <w:highlight w:val="none"/>
              </w:rPr>
              <w:t>的直接投入</w:t>
            </w:r>
            <w:r>
              <w:rPr>
                <w:rFonts w:hint="default" w:ascii="Times New Roman" w:hAnsi="Times New Roman" w:eastAsia="宋体" w:cs="Times New Roman"/>
                <w:color w:val="auto"/>
                <w:spacing w:val="5"/>
                <w:sz w:val="21"/>
                <w:szCs w:val="21"/>
                <w:highlight w:val="none"/>
              </w:rPr>
              <w:t>贡献影响（F3）</w:t>
            </w:r>
          </w:p>
        </w:tc>
        <w:tc>
          <w:tcPr>
            <w:tcW w:w="2293" w:type="dxa"/>
            <w:vAlign w:val="center"/>
          </w:tcPr>
          <w:p w14:paraId="361B9D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22" w:type="dxa"/>
            <w:vMerge w:val="restart"/>
            <w:tcBorders>
              <w:bottom w:val="nil"/>
            </w:tcBorders>
            <w:vAlign w:val="center"/>
          </w:tcPr>
          <w:p w14:paraId="6F86D6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3026" w:type="dxa"/>
            <w:vMerge w:val="restart"/>
            <w:tcBorders>
              <w:bottom w:val="nil"/>
            </w:tcBorders>
            <w:vAlign w:val="center"/>
          </w:tcPr>
          <w:p w14:paraId="348710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sz w:val="21"/>
                <w:szCs w:val="21"/>
                <w:highlight w:val="none"/>
              </w:rPr>
              <w:t>项</w:t>
            </w:r>
            <w:r>
              <w:rPr>
                <w:rFonts w:hint="default" w:ascii="Times New Roman" w:hAnsi="Times New Roman" w:eastAsia="宋体" w:cs="Times New Roman"/>
                <w:color w:val="auto"/>
                <w:spacing w:val="-37"/>
                <w:sz w:val="21"/>
                <w:szCs w:val="21"/>
                <w:highlight w:val="none"/>
              </w:rPr>
              <w:t xml:space="preserve"> </w:t>
            </w:r>
            <w:r>
              <w:rPr>
                <w:rFonts w:hint="default" w:ascii="Times New Roman" w:hAnsi="Times New Roman" w:eastAsia="宋体" w:cs="Times New Roman"/>
                <w:color w:val="auto"/>
                <w:spacing w:val="15"/>
                <w:sz w:val="21"/>
                <w:szCs w:val="21"/>
                <w:highlight w:val="none"/>
              </w:rPr>
              <w:t>目</w:t>
            </w:r>
            <w:r>
              <w:rPr>
                <w:rFonts w:hint="default" w:ascii="Times New Roman" w:hAnsi="Times New Roman" w:eastAsia="宋体" w:cs="Times New Roman"/>
                <w:color w:val="auto"/>
                <w:spacing w:val="-57"/>
                <w:sz w:val="21"/>
                <w:szCs w:val="21"/>
                <w:highlight w:val="none"/>
              </w:rPr>
              <w:t xml:space="preserve"> </w:t>
            </w:r>
            <w:r>
              <w:rPr>
                <w:rFonts w:hint="default" w:ascii="Times New Roman" w:hAnsi="Times New Roman" w:eastAsia="宋体" w:cs="Times New Roman"/>
                <w:color w:val="auto"/>
                <w:spacing w:val="15"/>
                <w:sz w:val="21"/>
                <w:szCs w:val="21"/>
                <w:highlight w:val="none"/>
              </w:rPr>
              <w:t>的建设对保护区管理无</w:t>
            </w:r>
            <w:r>
              <w:rPr>
                <w:rFonts w:hint="default" w:ascii="Times New Roman" w:hAnsi="Times New Roman" w:eastAsia="宋体" w:cs="Times New Roman"/>
                <w:color w:val="auto"/>
                <w:spacing w:val="6"/>
                <w:sz w:val="21"/>
                <w:szCs w:val="21"/>
                <w:highlight w:val="none"/>
              </w:rPr>
              <w:t>较大直接投入，运营期间需要定期进行巡查，增加了保护区管理的难度。</w:t>
            </w:r>
          </w:p>
        </w:tc>
        <w:tc>
          <w:tcPr>
            <w:tcW w:w="663" w:type="dxa"/>
            <w:vMerge w:val="restart"/>
            <w:tcBorders>
              <w:bottom w:val="nil"/>
            </w:tcBorders>
            <w:vAlign w:val="center"/>
          </w:tcPr>
          <w:p w14:paraId="3A88A6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0.35</w:t>
            </w:r>
          </w:p>
        </w:tc>
        <w:tc>
          <w:tcPr>
            <w:tcW w:w="652" w:type="dxa"/>
            <w:vMerge w:val="restart"/>
            <w:tcBorders>
              <w:bottom w:val="nil"/>
            </w:tcBorders>
            <w:vAlign w:val="center"/>
          </w:tcPr>
          <w:p w14:paraId="3F96DD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24.5</w:t>
            </w:r>
          </w:p>
        </w:tc>
      </w:tr>
      <w:tr w14:paraId="1768B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bottom w:val="nil"/>
            </w:tcBorders>
            <w:vAlign w:val="center"/>
          </w:tcPr>
          <w:p w14:paraId="2DD1BB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735960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22" w:type="dxa"/>
            <w:vMerge w:val="continue"/>
            <w:tcBorders>
              <w:top w:val="nil"/>
              <w:bottom w:val="nil"/>
            </w:tcBorders>
            <w:vAlign w:val="center"/>
          </w:tcPr>
          <w:p w14:paraId="4AEF4D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bottom w:val="nil"/>
            </w:tcBorders>
            <w:vAlign w:val="center"/>
          </w:tcPr>
          <w:p w14:paraId="59CB1E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bottom w:val="nil"/>
            </w:tcBorders>
            <w:vAlign w:val="center"/>
          </w:tcPr>
          <w:p w14:paraId="5B38E0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bottom w:val="nil"/>
            </w:tcBorders>
            <w:vAlign w:val="center"/>
          </w:tcPr>
          <w:p w14:paraId="622F81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3069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tcBorders>
            <w:vAlign w:val="center"/>
          </w:tcPr>
          <w:p w14:paraId="3674C8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407E0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22" w:type="dxa"/>
            <w:vMerge w:val="continue"/>
            <w:tcBorders>
              <w:top w:val="nil"/>
            </w:tcBorders>
            <w:vAlign w:val="center"/>
          </w:tcPr>
          <w:p w14:paraId="3AADCE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tcBorders>
            <w:vAlign w:val="center"/>
          </w:tcPr>
          <w:p w14:paraId="170C96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tcBorders>
            <w:vAlign w:val="center"/>
          </w:tcPr>
          <w:p w14:paraId="668D80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tcBorders>
            <w:vAlign w:val="center"/>
          </w:tcPr>
          <w:p w14:paraId="3BC41A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5A1B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restart"/>
            <w:tcBorders>
              <w:bottom w:val="nil"/>
            </w:tcBorders>
            <w:vAlign w:val="center"/>
          </w:tcPr>
          <w:p w14:paraId="420BFA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改善保护区</w:t>
            </w:r>
            <w:r>
              <w:rPr>
                <w:rFonts w:hint="default" w:ascii="Times New Roman" w:hAnsi="Times New Roman" w:eastAsia="宋体" w:cs="Times New Roman"/>
                <w:color w:val="auto"/>
                <w:spacing w:val="8"/>
                <w:sz w:val="21"/>
                <w:szCs w:val="21"/>
                <w:highlight w:val="none"/>
              </w:rPr>
              <w:t>周边社区社</w:t>
            </w:r>
            <w:r>
              <w:rPr>
                <w:rFonts w:hint="default" w:ascii="Times New Roman" w:hAnsi="Times New Roman" w:eastAsia="宋体" w:cs="Times New Roman"/>
                <w:color w:val="auto"/>
                <w:spacing w:val="7"/>
                <w:sz w:val="21"/>
                <w:szCs w:val="21"/>
                <w:highlight w:val="none"/>
              </w:rPr>
              <w:t>会经济贡献</w:t>
            </w:r>
            <w:r>
              <w:rPr>
                <w:rFonts w:hint="default" w:ascii="Times New Roman" w:hAnsi="Times New Roman" w:eastAsia="宋体" w:cs="Times New Roman"/>
                <w:color w:val="auto"/>
                <w:spacing w:val="5"/>
                <w:sz w:val="21"/>
                <w:szCs w:val="21"/>
                <w:highlight w:val="none"/>
              </w:rPr>
              <w:t>（F4）</w:t>
            </w:r>
          </w:p>
        </w:tc>
        <w:tc>
          <w:tcPr>
            <w:tcW w:w="2293" w:type="dxa"/>
            <w:vAlign w:val="center"/>
          </w:tcPr>
          <w:p w14:paraId="400586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22" w:type="dxa"/>
            <w:vMerge w:val="restart"/>
            <w:tcBorders>
              <w:bottom w:val="nil"/>
            </w:tcBorders>
            <w:vAlign w:val="center"/>
          </w:tcPr>
          <w:p w14:paraId="1042DC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026" w:type="dxa"/>
            <w:vMerge w:val="restart"/>
            <w:tcBorders>
              <w:bottom w:val="nil"/>
            </w:tcBorders>
            <w:vAlign w:val="center"/>
          </w:tcPr>
          <w:p w14:paraId="415E96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4"/>
                <w:sz w:val="21"/>
                <w:szCs w:val="21"/>
                <w:highlight w:val="none"/>
              </w:rPr>
              <w:t>本项目落实国家可持续发展</w:t>
            </w:r>
            <w:r>
              <w:rPr>
                <w:rFonts w:hint="default" w:ascii="Times New Roman" w:hAnsi="Times New Roman" w:eastAsia="宋体" w:cs="Times New Roman"/>
                <w:color w:val="auto"/>
                <w:spacing w:val="7"/>
                <w:sz w:val="21"/>
                <w:szCs w:val="21"/>
                <w:highlight w:val="none"/>
              </w:rPr>
              <w:t>政策，促进当地经济和社会的发展，充分利用太阳能等潜在优势，加快产业结构的调整，</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color w:val="auto"/>
                <w:spacing w:val="7"/>
                <w:sz w:val="21"/>
                <w:szCs w:val="21"/>
                <w:highlight w:val="none"/>
              </w:rPr>
              <w:t>逐步提高科技含量，增进经济效益。项目规划得到当地政府管理部门的支持，周边社区对</w:t>
            </w:r>
            <w:r>
              <w:rPr>
                <w:rFonts w:hint="default" w:ascii="Times New Roman" w:hAnsi="Times New Roman" w:eastAsia="宋体" w:cs="Times New Roman"/>
                <w:color w:val="auto"/>
                <w:spacing w:val="8"/>
                <w:sz w:val="21"/>
                <w:szCs w:val="21"/>
                <w:highlight w:val="none"/>
              </w:rPr>
              <w:t>于项目建设呈支持态度。</w:t>
            </w:r>
          </w:p>
        </w:tc>
        <w:tc>
          <w:tcPr>
            <w:tcW w:w="663" w:type="dxa"/>
            <w:vMerge w:val="restart"/>
            <w:tcBorders>
              <w:bottom w:val="nil"/>
            </w:tcBorders>
            <w:vAlign w:val="center"/>
          </w:tcPr>
          <w:p w14:paraId="273D78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0.30</w:t>
            </w:r>
          </w:p>
        </w:tc>
        <w:tc>
          <w:tcPr>
            <w:tcW w:w="652" w:type="dxa"/>
            <w:vMerge w:val="restart"/>
            <w:tcBorders>
              <w:bottom w:val="nil"/>
            </w:tcBorders>
            <w:vAlign w:val="center"/>
          </w:tcPr>
          <w:p w14:paraId="635DE1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15.0</w:t>
            </w:r>
          </w:p>
        </w:tc>
      </w:tr>
      <w:tr w14:paraId="2BC4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bottom w:val="nil"/>
            </w:tcBorders>
            <w:vAlign w:val="center"/>
          </w:tcPr>
          <w:p w14:paraId="309712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5865AD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22" w:type="dxa"/>
            <w:vMerge w:val="continue"/>
            <w:tcBorders>
              <w:top w:val="nil"/>
              <w:bottom w:val="nil"/>
            </w:tcBorders>
            <w:vAlign w:val="center"/>
          </w:tcPr>
          <w:p w14:paraId="7C4468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bottom w:val="nil"/>
            </w:tcBorders>
            <w:vAlign w:val="center"/>
          </w:tcPr>
          <w:p w14:paraId="6A1D89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bottom w:val="nil"/>
            </w:tcBorders>
            <w:vAlign w:val="center"/>
          </w:tcPr>
          <w:p w14:paraId="398912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bottom w:val="nil"/>
            </w:tcBorders>
            <w:vAlign w:val="center"/>
          </w:tcPr>
          <w:p w14:paraId="1CE3D6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21A0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tcBorders>
            <w:vAlign w:val="center"/>
          </w:tcPr>
          <w:p w14:paraId="5C5E93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4C84C6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22" w:type="dxa"/>
            <w:vMerge w:val="continue"/>
            <w:tcBorders>
              <w:top w:val="nil"/>
            </w:tcBorders>
            <w:vAlign w:val="center"/>
          </w:tcPr>
          <w:p w14:paraId="307CEB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tcBorders>
            <w:vAlign w:val="center"/>
          </w:tcPr>
          <w:p w14:paraId="45D5CC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tcBorders>
            <w:vAlign w:val="center"/>
          </w:tcPr>
          <w:p w14:paraId="1FF560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tcBorders>
            <w:vAlign w:val="center"/>
          </w:tcPr>
          <w:p w14:paraId="68AE67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0C1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restart"/>
            <w:tcBorders>
              <w:bottom w:val="nil"/>
            </w:tcBorders>
            <w:vAlign w:val="center"/>
          </w:tcPr>
          <w:p w14:paraId="40832B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当地群众生</w:t>
            </w:r>
            <w:r>
              <w:rPr>
                <w:rFonts w:hint="default" w:ascii="Times New Roman" w:hAnsi="Times New Roman" w:eastAsia="宋体" w:cs="Times New Roman"/>
                <w:color w:val="auto"/>
                <w:spacing w:val="8"/>
                <w:sz w:val="21"/>
                <w:szCs w:val="21"/>
                <w:highlight w:val="none"/>
              </w:rPr>
              <w:t>产生活环境的危害及程</w:t>
            </w:r>
            <w:r>
              <w:rPr>
                <w:rFonts w:hint="default" w:ascii="Times New Roman" w:hAnsi="Times New Roman" w:eastAsia="宋体" w:cs="Times New Roman"/>
                <w:color w:val="auto"/>
                <w:spacing w:val="24"/>
                <w:sz w:val="21"/>
                <w:szCs w:val="21"/>
                <w:highlight w:val="none"/>
              </w:rPr>
              <w:t>度（F5）</w:t>
            </w:r>
          </w:p>
        </w:tc>
        <w:tc>
          <w:tcPr>
            <w:tcW w:w="2293" w:type="dxa"/>
            <w:vAlign w:val="center"/>
          </w:tcPr>
          <w:p w14:paraId="16A994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5"/>
                <w:sz w:val="21"/>
                <w:szCs w:val="21"/>
                <w:highlight w:val="none"/>
              </w:rPr>
              <w:t>中低度影响</w:t>
            </w:r>
            <w:r>
              <w:rPr>
                <w:rFonts w:hint="default" w:ascii="Times New Roman" w:hAnsi="Times New Roman" w:eastAsia="宋体" w:cs="Times New Roman"/>
                <w:b w:val="0"/>
                <w:bCs w:val="0"/>
                <w:color w:val="auto"/>
                <w:spacing w:val="-35"/>
                <w:sz w:val="21"/>
                <w:szCs w:val="21"/>
                <w:highlight w:val="none"/>
                <w:lang w:eastAsia="zh-CN"/>
              </w:rPr>
              <w:t>（</w:t>
            </w:r>
            <w:r>
              <w:rPr>
                <w:rFonts w:hint="default" w:ascii="Times New Roman" w:hAnsi="Times New Roman" w:eastAsia="宋体" w:cs="Times New Roman"/>
                <w:b w:val="0"/>
                <w:bCs w:val="0"/>
                <w:color w:val="auto"/>
                <w:spacing w:val="-5"/>
                <w:sz w:val="21"/>
                <w:szCs w:val="21"/>
                <w:highlight w:val="none"/>
              </w:rPr>
              <w:t>50）</w:t>
            </w:r>
          </w:p>
        </w:tc>
        <w:tc>
          <w:tcPr>
            <w:tcW w:w="622" w:type="dxa"/>
            <w:vMerge w:val="restart"/>
            <w:tcBorders>
              <w:bottom w:val="nil"/>
            </w:tcBorders>
            <w:vAlign w:val="center"/>
          </w:tcPr>
          <w:p w14:paraId="632595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026" w:type="dxa"/>
            <w:vMerge w:val="restart"/>
            <w:tcBorders>
              <w:bottom w:val="nil"/>
            </w:tcBorders>
            <w:vAlign w:val="center"/>
          </w:tcPr>
          <w:p w14:paraId="1265E8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t>本项目为线性工程，</w:t>
            </w:r>
            <w:r>
              <w:rPr>
                <w:rFonts w:hint="eastAsia"/>
                <w:color w:val="auto"/>
                <w:sz w:val="21"/>
                <w:szCs w:val="21"/>
                <w:highlight w:val="none"/>
                <w:lang w:val="en-US" w:eastAsia="zh-CN"/>
              </w:rPr>
              <w:t>57座塔基占地4000m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color w:val="auto"/>
                <w:sz w:val="21"/>
                <w:szCs w:val="21"/>
                <w:highlight w:val="none"/>
              </w:rPr>
              <w:t>占评价区总面积的0.0</w:t>
            </w:r>
            <w:r>
              <w:rPr>
                <w:rFonts w:hint="eastAsia"/>
                <w:color w:val="auto"/>
                <w:sz w:val="21"/>
                <w:szCs w:val="21"/>
                <w:highlight w:val="none"/>
                <w:lang w:val="en-US" w:eastAsia="zh-CN"/>
              </w:rPr>
              <w:t>1</w:t>
            </w:r>
            <w:r>
              <w:rPr>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lang w:val="en-US" w:eastAsia="zh-CN"/>
              </w:rPr>
              <w:t>其中</w:t>
            </w:r>
            <w:r>
              <w:rPr>
                <w:color w:val="auto"/>
                <w:sz w:val="21"/>
                <w:szCs w:val="21"/>
                <w:highlight w:val="none"/>
              </w:rPr>
              <w:t>位于保护区实验区，23座塔基占地面积2438m</w:t>
            </w:r>
            <w:r>
              <w:rPr>
                <w:color w:val="auto"/>
                <w:sz w:val="21"/>
                <w:szCs w:val="21"/>
                <w:highlight w:val="none"/>
                <w:vertAlign w:val="superscript"/>
              </w:rPr>
              <w:t>2</w:t>
            </w:r>
            <w:r>
              <w:rPr>
                <w:color w:val="auto"/>
                <w:sz w:val="21"/>
                <w:szCs w:val="21"/>
                <w:highlight w:val="none"/>
              </w:rPr>
              <w:t>，</w:t>
            </w:r>
            <w:r>
              <w:rPr>
                <w:rFonts w:hint="default" w:ascii="Times New Roman" w:hAnsi="Times New Roman" w:eastAsia="宋体" w:cs="Times New Roman"/>
                <w:color w:val="auto"/>
                <w:sz w:val="21"/>
                <w:szCs w:val="21"/>
                <w:highlight w:val="none"/>
              </w:rPr>
              <w:t>占地面积非常小，对</w:t>
            </w:r>
            <w:r>
              <w:rPr>
                <w:rFonts w:hint="default" w:ascii="Times New Roman" w:hAnsi="Times New Roman" w:eastAsia="宋体" w:cs="Times New Roman"/>
                <w:color w:val="auto"/>
                <w:spacing w:val="8"/>
                <w:sz w:val="21"/>
                <w:szCs w:val="21"/>
                <w:highlight w:val="none"/>
              </w:rPr>
              <w:t>当地群众造成的危害很小。</w:t>
            </w:r>
          </w:p>
        </w:tc>
        <w:tc>
          <w:tcPr>
            <w:tcW w:w="663" w:type="dxa"/>
            <w:vMerge w:val="restart"/>
            <w:tcBorders>
              <w:bottom w:val="nil"/>
            </w:tcBorders>
            <w:vAlign w:val="center"/>
          </w:tcPr>
          <w:p w14:paraId="03D1CD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0.05</w:t>
            </w:r>
          </w:p>
        </w:tc>
        <w:tc>
          <w:tcPr>
            <w:tcW w:w="652" w:type="dxa"/>
            <w:vMerge w:val="restart"/>
            <w:tcBorders>
              <w:bottom w:val="nil"/>
            </w:tcBorders>
            <w:vAlign w:val="center"/>
          </w:tcPr>
          <w:p w14:paraId="1ADA37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2.5</w:t>
            </w:r>
          </w:p>
        </w:tc>
      </w:tr>
      <w:tr w14:paraId="4D604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bottom w:val="nil"/>
            </w:tcBorders>
            <w:vAlign w:val="center"/>
          </w:tcPr>
          <w:p w14:paraId="7E47BC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1B729B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6"/>
                <w:sz w:val="21"/>
                <w:szCs w:val="21"/>
                <w:highlight w:val="none"/>
              </w:rPr>
              <w:t>○</w:t>
            </w:r>
            <w:r>
              <w:rPr>
                <w:rFonts w:hint="default" w:ascii="Times New Roman" w:hAnsi="Times New Roman" w:eastAsia="宋体" w:cs="Times New Roman"/>
                <w:b w:val="0"/>
                <w:bCs w:val="0"/>
                <w:color w:val="auto"/>
                <w:spacing w:val="21"/>
                <w:w w:val="101"/>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中高度影响</w:t>
            </w:r>
            <w:r>
              <w:rPr>
                <w:rFonts w:hint="default" w:ascii="Times New Roman" w:hAnsi="Times New Roman" w:eastAsia="宋体" w:cs="Times New Roman"/>
                <w:b w:val="0"/>
                <w:bCs w:val="0"/>
                <w:color w:val="auto"/>
                <w:spacing w:val="-37"/>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rPr>
              <w:t>70）</w:t>
            </w:r>
          </w:p>
        </w:tc>
        <w:tc>
          <w:tcPr>
            <w:tcW w:w="622" w:type="dxa"/>
            <w:vMerge w:val="continue"/>
            <w:tcBorders>
              <w:top w:val="nil"/>
              <w:bottom w:val="nil"/>
            </w:tcBorders>
            <w:vAlign w:val="center"/>
          </w:tcPr>
          <w:p w14:paraId="3BAC20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bottom w:val="nil"/>
            </w:tcBorders>
            <w:vAlign w:val="center"/>
          </w:tcPr>
          <w:p w14:paraId="4F0E65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bottom w:val="nil"/>
            </w:tcBorders>
            <w:vAlign w:val="center"/>
          </w:tcPr>
          <w:p w14:paraId="7260D2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bottom w:val="nil"/>
            </w:tcBorders>
            <w:vAlign w:val="center"/>
          </w:tcPr>
          <w:p w14:paraId="056C39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2C23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386" w:type="dxa"/>
            <w:vMerge w:val="continue"/>
            <w:tcBorders>
              <w:top w:val="nil"/>
            </w:tcBorders>
            <w:vAlign w:val="center"/>
          </w:tcPr>
          <w:p w14:paraId="5A7C19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293" w:type="dxa"/>
            <w:vAlign w:val="center"/>
          </w:tcPr>
          <w:p w14:paraId="6FF73F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pacing w:val="5"/>
                <w:sz w:val="21"/>
                <w:szCs w:val="21"/>
                <w:highlight w:val="none"/>
              </w:rPr>
              <w:t>○  严重影响（90）</w:t>
            </w:r>
          </w:p>
        </w:tc>
        <w:tc>
          <w:tcPr>
            <w:tcW w:w="622" w:type="dxa"/>
            <w:vMerge w:val="continue"/>
            <w:tcBorders>
              <w:top w:val="nil"/>
            </w:tcBorders>
            <w:vAlign w:val="center"/>
          </w:tcPr>
          <w:p w14:paraId="089643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26" w:type="dxa"/>
            <w:vMerge w:val="continue"/>
            <w:tcBorders>
              <w:top w:val="nil"/>
            </w:tcBorders>
            <w:vAlign w:val="center"/>
          </w:tcPr>
          <w:p w14:paraId="21007E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63" w:type="dxa"/>
            <w:vMerge w:val="continue"/>
            <w:tcBorders>
              <w:top w:val="nil"/>
            </w:tcBorders>
            <w:vAlign w:val="center"/>
          </w:tcPr>
          <w:p w14:paraId="17CB7A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52" w:type="dxa"/>
            <w:vMerge w:val="continue"/>
            <w:tcBorders>
              <w:top w:val="nil"/>
            </w:tcBorders>
            <w:vAlign w:val="center"/>
          </w:tcPr>
          <w:p w14:paraId="5CDDEA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4A4C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27" w:type="dxa"/>
            <w:gridSpan w:val="4"/>
            <w:vAlign w:val="center"/>
          </w:tcPr>
          <w:p w14:paraId="328AC8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合计</w:t>
            </w:r>
          </w:p>
        </w:tc>
        <w:tc>
          <w:tcPr>
            <w:tcW w:w="663" w:type="dxa"/>
            <w:vAlign w:val="center"/>
          </w:tcPr>
          <w:p w14:paraId="7ACC27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52" w:type="dxa"/>
            <w:vAlign w:val="center"/>
          </w:tcPr>
          <w:p w14:paraId="4048D6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r>
    </w:tbl>
    <w:p w14:paraId="09080EC2">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r>
        <w:rPr>
          <w:rFonts w:hint="eastAsia" w:cs="Times New Roman"/>
          <w:color w:val="auto"/>
          <w:kern w:val="0"/>
          <w:szCs w:val="30"/>
          <w:highlight w:val="none"/>
          <w:lang w:val="en-US" w:eastAsia="zh-CN"/>
        </w:rPr>
        <w:t>5.7项目影响评价否决项情况</w:t>
      </w:r>
    </w:p>
    <w:p w14:paraId="5CC17B22">
      <w:pPr>
        <w:bidi w:val="0"/>
        <w:rPr>
          <w:color w:val="auto"/>
          <w:highlight w:val="none"/>
        </w:rPr>
      </w:pPr>
      <w:r>
        <w:rPr>
          <w:color w:val="auto"/>
          <w:highlight w:val="none"/>
        </w:rPr>
        <w:t>根据《自然保护区建设项目生物多样性影响评价技术规范》（LY/T2242-2014），若建设项目涉及下列情况之一，则无条件否决该项目：</w:t>
      </w:r>
    </w:p>
    <w:p w14:paraId="4FE31C4F">
      <w:pPr>
        <w:bidi w:val="0"/>
        <w:rPr>
          <w:color w:val="auto"/>
          <w:highlight w:val="none"/>
        </w:rPr>
      </w:pPr>
      <w:r>
        <w:rPr>
          <w:color w:val="auto"/>
          <w:highlight w:val="none"/>
        </w:rPr>
        <w:t>（1）对自然保护区的主要景观格局造成破坏，或对原有景观的美学价值产生严重的负面影响；</w:t>
      </w:r>
    </w:p>
    <w:p w14:paraId="0B30A5F7">
      <w:pPr>
        <w:bidi w:val="0"/>
        <w:rPr>
          <w:color w:val="auto"/>
          <w:highlight w:val="none"/>
        </w:rPr>
      </w:pPr>
      <w:r>
        <w:rPr>
          <w:color w:val="auto"/>
          <w:highlight w:val="none"/>
        </w:rPr>
        <w:t>（2）可能导致影响评价区土壤严重侵蚀，或极有可能发生严重自然灾害；</w:t>
      </w:r>
    </w:p>
    <w:p w14:paraId="7BF6347C">
      <w:pPr>
        <w:bidi w:val="0"/>
        <w:rPr>
          <w:color w:val="auto"/>
          <w:highlight w:val="none"/>
        </w:rPr>
      </w:pPr>
      <w:r>
        <w:rPr>
          <w:color w:val="auto"/>
          <w:highlight w:val="none"/>
        </w:rPr>
        <w:t>（3）对自然保护区的主要保护对象的数量或面积产生较大的负面影响，对主要保护对象繁殖场所、重要栖息地和主要分布区域生境产生较大负面影响（也包括严重污染）；</w:t>
      </w:r>
    </w:p>
    <w:p w14:paraId="09FE6FD7">
      <w:pPr>
        <w:bidi w:val="0"/>
        <w:rPr>
          <w:color w:val="auto"/>
          <w:highlight w:val="none"/>
        </w:rPr>
      </w:pPr>
      <w:r>
        <w:rPr>
          <w:color w:val="auto"/>
          <w:highlight w:val="none"/>
        </w:rPr>
        <w:t>（4）对国家级或省级保护物种、区域特有或本自然保护区特有物种构成严重的威胁，可能导致这些物种在本自然保护区内种群数量低于最小生存种群数量；</w:t>
      </w:r>
    </w:p>
    <w:p w14:paraId="49E851F6">
      <w:pPr>
        <w:bidi w:val="0"/>
        <w:rPr>
          <w:color w:val="auto"/>
          <w:highlight w:val="none"/>
        </w:rPr>
      </w:pPr>
      <w:r>
        <w:rPr>
          <w:color w:val="auto"/>
          <w:highlight w:val="none"/>
        </w:rPr>
        <w:t>（5）对特有种、保护种等重要物种食物网/链结构产生严重负面影响，可能导致重要物种濒危或者涉及的自然保护区消失；</w:t>
      </w:r>
    </w:p>
    <w:p w14:paraId="756106AD">
      <w:pPr>
        <w:bidi w:val="0"/>
        <w:rPr>
          <w:color w:val="auto"/>
          <w:highlight w:val="none"/>
        </w:rPr>
      </w:pPr>
      <w:r>
        <w:rPr>
          <w:color w:val="auto"/>
          <w:highlight w:val="none"/>
        </w:rPr>
        <w:t>（6）对特有种、保护种等重要物种的迁移、散布、繁衍产生严重负面影响，可能导致重要物种濒危或者涉及的自然保护区消失；</w:t>
      </w:r>
    </w:p>
    <w:p w14:paraId="452BF735">
      <w:pPr>
        <w:bidi w:val="0"/>
        <w:rPr>
          <w:color w:val="auto"/>
          <w:highlight w:val="none"/>
        </w:rPr>
      </w:pPr>
      <w:r>
        <w:rPr>
          <w:color w:val="auto"/>
          <w:highlight w:val="none"/>
        </w:rPr>
        <w:t>（7）可能导致林业有害生物或疫病大规模爆发；</w:t>
      </w:r>
    </w:p>
    <w:p w14:paraId="305C20F3">
      <w:pPr>
        <w:bidi w:val="0"/>
        <w:rPr>
          <w:color w:val="auto"/>
          <w:highlight w:val="none"/>
        </w:rPr>
      </w:pPr>
      <w:r>
        <w:rPr>
          <w:color w:val="auto"/>
          <w:highlight w:val="none"/>
        </w:rPr>
        <w:t>（8）可能导致外来物种或林业有害生物入侵，对本土物种造成严重威胁；</w:t>
      </w:r>
    </w:p>
    <w:p w14:paraId="35A6095B">
      <w:pPr>
        <w:bidi w:val="0"/>
        <w:rPr>
          <w:color w:val="auto"/>
          <w:highlight w:val="none"/>
        </w:rPr>
      </w:pPr>
      <w:r>
        <w:rPr>
          <w:color w:val="auto"/>
          <w:highlight w:val="none"/>
        </w:rPr>
        <w:t>（9）对某一级指标包含的所有二级指标评分均为90分。</w:t>
      </w:r>
    </w:p>
    <w:p w14:paraId="69CDEE1B">
      <w:pPr>
        <w:bidi w:val="0"/>
        <w:rPr>
          <w:color w:val="auto"/>
          <w:highlight w:val="none"/>
        </w:rPr>
      </w:pPr>
      <w:r>
        <w:rPr>
          <w:color w:val="auto"/>
          <w:highlight w:val="none"/>
        </w:rPr>
        <w:t>经实地调查，结合《自然保护区建设项目生物多样性影响评价技术规范》（LY/T2242-2014）的评价标准及指标，</w:t>
      </w:r>
      <w:r>
        <w:rPr>
          <w:rFonts w:hint="eastAsia"/>
          <w:color w:val="auto"/>
          <w:highlight w:val="none"/>
          <w:lang w:val="en-US" w:eastAsia="zh-CN"/>
        </w:rPr>
        <w:t>本</w:t>
      </w:r>
      <w:r>
        <w:rPr>
          <w:color w:val="auto"/>
          <w:highlight w:val="none"/>
        </w:rPr>
        <w:t>项目不涉及上述任何一项项目否决项。</w:t>
      </w:r>
    </w:p>
    <w:p w14:paraId="6C727674">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74" w:name="bookmark71"/>
      <w:bookmarkEnd w:id="74"/>
      <w:bookmarkStart w:id="75" w:name="bookmark72"/>
      <w:bookmarkEnd w:id="75"/>
      <w:r>
        <w:rPr>
          <w:rFonts w:hint="eastAsia" w:cs="Times New Roman"/>
          <w:color w:val="auto"/>
          <w:kern w:val="0"/>
          <w:szCs w:val="30"/>
          <w:highlight w:val="none"/>
          <w:lang w:val="en-US" w:eastAsia="zh-CN"/>
        </w:rPr>
        <w:t>5.8生物多样性影响指数计算</w:t>
      </w:r>
    </w:p>
    <w:p w14:paraId="0E48007A">
      <w:pPr>
        <w:bidi w:val="0"/>
        <w:rPr>
          <w:color w:val="auto"/>
          <w:highlight w:val="none"/>
        </w:rPr>
      </w:pPr>
      <w:r>
        <w:rPr>
          <w:rFonts w:hint="eastAsia"/>
          <w:color w:val="auto"/>
          <w:highlight w:val="none"/>
          <w:lang w:val="en-US" w:eastAsia="zh-CN"/>
        </w:rPr>
        <w:t>5.8</w:t>
      </w:r>
      <w:r>
        <w:rPr>
          <w:color w:val="auto"/>
          <w:highlight w:val="none"/>
        </w:rPr>
        <w:t>.1生物多样性影响指数评价</w:t>
      </w:r>
    </w:p>
    <w:p w14:paraId="0809D892">
      <w:pPr>
        <w:bidi w:val="0"/>
        <w:rPr>
          <w:color w:val="auto"/>
          <w:highlight w:val="none"/>
        </w:rPr>
      </w:pPr>
      <w:r>
        <w:rPr>
          <w:color w:val="auto"/>
          <w:highlight w:val="none"/>
        </w:rPr>
        <w:t>评价组无否决项，评价结果采用生物多样性影响指数（BI）确定。根据</w:t>
      </w:r>
      <w:r>
        <w:rPr>
          <w:rFonts w:hint="eastAsia"/>
          <w:color w:val="auto"/>
          <w:highlight w:val="none"/>
          <w:lang w:eastAsia="zh-CN"/>
        </w:rPr>
        <w:t>前述</w:t>
      </w:r>
      <w:r>
        <w:rPr>
          <w:color w:val="auto"/>
          <w:highlight w:val="none"/>
        </w:rPr>
        <w:t>的6个一级指标及其26个二级指标结果，计算华能围场“风光储氢热一体化”项目（光伏200MW）项目220kV送出线路工程</w:t>
      </w:r>
      <w:r>
        <w:rPr>
          <w:rFonts w:hint="eastAsia"/>
          <w:color w:val="auto"/>
          <w:highlight w:val="none"/>
          <w:lang w:eastAsia="zh-CN"/>
        </w:rPr>
        <w:t>项目</w:t>
      </w:r>
      <w:r>
        <w:rPr>
          <w:color w:val="auto"/>
          <w:highlight w:val="none"/>
        </w:rPr>
        <w:t>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生物多样性影响指数（BI）。</w:t>
      </w:r>
    </w:p>
    <w:p w14:paraId="478E3FDC">
      <w:pPr>
        <w:bidi w:val="0"/>
        <w:rPr>
          <w:color w:val="auto"/>
          <w:highlight w:val="none"/>
        </w:rPr>
      </w:pPr>
      <w:r>
        <w:rPr>
          <w:color w:val="auto"/>
          <w:highlight w:val="none"/>
        </w:rPr>
        <w:t>计算公式如下：</w:t>
      </w:r>
    </w:p>
    <w:p w14:paraId="3580D562">
      <w:pPr>
        <w:spacing w:line="568" w:lineRule="exact"/>
        <w:ind w:left="3504"/>
        <w:rPr>
          <w:color w:val="auto"/>
          <w:highlight w:val="none"/>
        </w:rPr>
      </w:pPr>
      <w:r>
        <w:rPr>
          <w:color w:val="auto"/>
          <w:position w:val="-11"/>
          <w:highlight w:val="none"/>
        </w:rPr>
        <w:drawing>
          <wp:inline distT="0" distB="0" distL="0" distR="0">
            <wp:extent cx="1177925" cy="360045"/>
            <wp:effectExtent l="0" t="0" r="3175" b="1905"/>
            <wp:docPr id="58" name="IM 8"/>
            <wp:cNvGraphicFramePr/>
            <a:graphic xmlns:a="http://schemas.openxmlformats.org/drawingml/2006/main">
              <a:graphicData uri="http://schemas.openxmlformats.org/drawingml/2006/picture">
                <pic:pic xmlns:pic="http://schemas.openxmlformats.org/drawingml/2006/picture">
                  <pic:nvPicPr>
                    <pic:cNvPr id="58" name="IM 8"/>
                    <pic:cNvPicPr/>
                  </pic:nvPicPr>
                  <pic:blipFill>
                    <a:blip r:embed="rId96"/>
                    <a:stretch>
                      <a:fillRect/>
                    </a:stretch>
                  </pic:blipFill>
                  <pic:spPr>
                    <a:xfrm>
                      <a:off x="0" y="0"/>
                      <a:ext cx="1177938" cy="360576"/>
                    </a:xfrm>
                    <a:prstGeom prst="rect">
                      <a:avLst/>
                    </a:prstGeom>
                  </pic:spPr>
                </pic:pic>
              </a:graphicData>
            </a:graphic>
          </wp:inline>
        </w:drawing>
      </w:r>
    </w:p>
    <w:p w14:paraId="26C22BBF">
      <w:pPr>
        <w:pStyle w:val="4"/>
        <w:spacing w:line="344" w:lineRule="auto"/>
        <w:rPr>
          <w:color w:val="auto"/>
          <w:highlight w:val="none"/>
        </w:rPr>
      </w:pPr>
    </w:p>
    <w:p w14:paraId="4EC060DC">
      <w:pPr>
        <w:spacing w:before="1" w:line="567" w:lineRule="exact"/>
        <w:ind w:left="3466"/>
        <w:rPr>
          <w:color w:val="auto"/>
          <w:highlight w:val="none"/>
        </w:rPr>
      </w:pPr>
      <w:r>
        <w:rPr>
          <w:color w:val="auto"/>
          <w:position w:val="-11"/>
          <w:highlight w:val="none"/>
        </w:rPr>
        <w:drawing>
          <wp:inline distT="0" distB="0" distL="0" distR="0">
            <wp:extent cx="1217930" cy="360045"/>
            <wp:effectExtent l="0" t="0" r="1270" b="1905"/>
            <wp:docPr id="59" name="IM 10"/>
            <wp:cNvGraphicFramePr/>
            <a:graphic xmlns:a="http://schemas.openxmlformats.org/drawingml/2006/main">
              <a:graphicData uri="http://schemas.openxmlformats.org/drawingml/2006/picture">
                <pic:pic xmlns:pic="http://schemas.openxmlformats.org/drawingml/2006/picture">
                  <pic:nvPicPr>
                    <pic:cNvPr id="59" name="IM 10"/>
                    <pic:cNvPicPr/>
                  </pic:nvPicPr>
                  <pic:blipFill>
                    <a:blip r:embed="rId97"/>
                    <a:stretch>
                      <a:fillRect/>
                    </a:stretch>
                  </pic:blipFill>
                  <pic:spPr>
                    <a:xfrm>
                      <a:off x="0" y="0"/>
                      <a:ext cx="1218107" cy="360497"/>
                    </a:xfrm>
                    <a:prstGeom prst="rect">
                      <a:avLst/>
                    </a:prstGeom>
                  </pic:spPr>
                </pic:pic>
              </a:graphicData>
            </a:graphic>
          </wp:inline>
        </w:drawing>
      </w:r>
    </w:p>
    <w:p w14:paraId="1426EA81">
      <w:pPr>
        <w:bidi w:val="0"/>
        <w:rPr>
          <w:color w:val="auto"/>
          <w:highlight w:val="none"/>
        </w:rPr>
      </w:pPr>
      <w:r>
        <w:rPr>
          <w:color w:val="auto"/>
          <w:highlight w:val="none"/>
        </w:rPr>
        <w:t>式中：</w:t>
      </w:r>
    </w:p>
    <w:p w14:paraId="31CA889D">
      <w:pPr>
        <w:bidi w:val="0"/>
        <w:rPr>
          <w:color w:val="auto"/>
          <w:highlight w:val="none"/>
        </w:rPr>
      </w:pPr>
      <w:r>
        <w:rPr>
          <w:color w:val="auto"/>
          <w:highlight w:val="none"/>
        </w:rPr>
        <w:t>Si——一级指标的分值；Nj——二级指标的分值；Wj——二级指标权重值；</w:t>
      </w:r>
    </w:p>
    <w:p w14:paraId="1A1ED4CF">
      <w:pPr>
        <w:bidi w:val="0"/>
        <w:rPr>
          <w:color w:val="auto"/>
          <w:highlight w:val="none"/>
        </w:rPr>
      </w:pPr>
      <w:r>
        <w:rPr>
          <w:color w:val="auto"/>
          <w:highlight w:val="none"/>
        </w:rPr>
        <w:t>Wi——一级指标权重值；BI——建设项目对</w:t>
      </w:r>
      <w:r>
        <w:rPr>
          <w:rFonts w:hint="eastAsia"/>
          <w:color w:val="auto"/>
          <w:highlight w:val="none"/>
          <w:lang w:eastAsia="zh-CN"/>
        </w:rPr>
        <w:t>区域</w:t>
      </w:r>
      <w:r>
        <w:rPr>
          <w:color w:val="auto"/>
          <w:highlight w:val="none"/>
        </w:rPr>
        <w:t>生物多样性影响指数。</w:t>
      </w:r>
    </w:p>
    <w:p w14:paraId="1D03042C">
      <w:pPr>
        <w:bidi w:val="0"/>
        <w:rPr>
          <w:color w:val="auto"/>
          <w:highlight w:val="none"/>
        </w:rPr>
      </w:pPr>
      <w:r>
        <w:rPr>
          <w:color w:val="auto"/>
          <w:highlight w:val="none"/>
        </w:rPr>
        <w:t>综上，华能围场“风光储氢热一体化”项目（光伏200MW）项目220kV送出线路工程</w:t>
      </w:r>
      <w:r>
        <w:rPr>
          <w:rFonts w:hint="eastAsia"/>
          <w:color w:val="auto"/>
          <w:highlight w:val="none"/>
          <w:lang w:eastAsia="zh-CN"/>
        </w:rPr>
        <w:t>项目</w:t>
      </w:r>
      <w:r>
        <w:rPr>
          <w:color w:val="auto"/>
          <w:highlight w:val="none"/>
        </w:rPr>
        <w:t>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生物多样性影响指数（BI）为55.72。详见表</w:t>
      </w:r>
      <w:r>
        <w:rPr>
          <w:rFonts w:hint="eastAsia"/>
          <w:color w:val="auto"/>
          <w:highlight w:val="none"/>
          <w:lang w:val="en-US" w:eastAsia="zh-CN"/>
        </w:rPr>
        <w:t>5.8</w:t>
      </w:r>
      <w:r>
        <w:rPr>
          <w:color w:val="auto"/>
          <w:highlight w:val="none"/>
        </w:rPr>
        <w:t>-1。</w:t>
      </w:r>
    </w:p>
    <w:p w14:paraId="5DEF4FA1">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eastAsia" w:ascii="Times New Roman" w:hAnsi="Times New Roman" w:eastAsia="宋体" w:cs="Times New Roman"/>
          <w:b/>
          <w:bCs/>
          <w:color w:val="auto"/>
          <w:spacing w:val="-2"/>
          <w:sz w:val="21"/>
          <w:szCs w:val="21"/>
          <w:highlight w:val="none"/>
          <w:lang w:val="en-US" w:eastAsia="zh-CN"/>
        </w:rPr>
        <w:t>5.8</w:t>
      </w:r>
      <w:r>
        <w:rPr>
          <w:rFonts w:hint="default" w:ascii="Times New Roman" w:hAnsi="Times New Roman" w:eastAsia="宋体" w:cs="Times New Roman"/>
          <w:b/>
          <w:bCs/>
          <w:color w:val="auto"/>
          <w:spacing w:val="-2"/>
          <w:sz w:val="21"/>
          <w:szCs w:val="21"/>
          <w:highlight w:val="none"/>
        </w:rPr>
        <w:t>-1  生物多样性影响指标计算表</w:t>
      </w:r>
    </w:p>
    <w:tbl>
      <w:tblPr>
        <w:tblStyle w:val="22"/>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2"/>
        <w:gridCol w:w="1485"/>
        <w:gridCol w:w="1485"/>
        <w:gridCol w:w="2801"/>
      </w:tblGrid>
      <w:tr w14:paraId="6F857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752" w:type="dxa"/>
            <w:vAlign w:val="center"/>
          </w:tcPr>
          <w:p w14:paraId="5DCD29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一级指标</w:t>
            </w:r>
          </w:p>
        </w:tc>
        <w:tc>
          <w:tcPr>
            <w:tcW w:w="1485" w:type="dxa"/>
            <w:vAlign w:val="center"/>
          </w:tcPr>
          <w:p w14:paraId="3CF2D8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得分（</w:t>
            </w:r>
            <w:r>
              <w:rPr>
                <w:rFonts w:hint="default" w:ascii="Times New Roman" w:hAnsi="Times New Roman" w:eastAsia="宋体" w:cs="Times New Roman"/>
                <w:b/>
                <w:bCs/>
                <w:color w:val="auto"/>
                <w:sz w:val="21"/>
                <w:szCs w:val="21"/>
                <w:highlight w:val="none"/>
              </w:rPr>
              <w:t>Si</w:t>
            </w:r>
            <w:r>
              <w:rPr>
                <w:rFonts w:hint="default" w:ascii="Times New Roman" w:hAnsi="Times New Roman" w:eastAsia="宋体" w:cs="Times New Roman"/>
                <w:b/>
                <w:bCs/>
                <w:color w:val="auto"/>
                <w:spacing w:val="6"/>
                <w:sz w:val="21"/>
                <w:szCs w:val="21"/>
                <w:highlight w:val="none"/>
              </w:rPr>
              <w:t>）</w:t>
            </w:r>
          </w:p>
        </w:tc>
        <w:tc>
          <w:tcPr>
            <w:tcW w:w="1485" w:type="dxa"/>
            <w:vAlign w:val="center"/>
          </w:tcPr>
          <w:p w14:paraId="2B5B4F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权重（</w:t>
            </w:r>
            <w:r>
              <w:rPr>
                <w:rFonts w:hint="default" w:ascii="Times New Roman" w:hAnsi="Times New Roman" w:eastAsia="宋体" w:cs="Times New Roman"/>
                <w:b/>
                <w:bCs/>
                <w:color w:val="auto"/>
                <w:sz w:val="21"/>
                <w:szCs w:val="21"/>
                <w:highlight w:val="none"/>
              </w:rPr>
              <w:t>Wi</w:t>
            </w:r>
            <w:r>
              <w:rPr>
                <w:rFonts w:hint="default" w:ascii="Times New Roman" w:hAnsi="Times New Roman" w:eastAsia="宋体" w:cs="Times New Roman"/>
                <w:b/>
                <w:bCs/>
                <w:color w:val="auto"/>
                <w:spacing w:val="6"/>
                <w:sz w:val="21"/>
                <w:szCs w:val="21"/>
                <w:highlight w:val="none"/>
              </w:rPr>
              <w:t>）</w:t>
            </w:r>
          </w:p>
        </w:tc>
        <w:tc>
          <w:tcPr>
            <w:tcW w:w="2801" w:type="dxa"/>
            <w:vAlign w:val="center"/>
          </w:tcPr>
          <w:p w14:paraId="6FB207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生物多样性影响指数（</w:t>
            </w:r>
            <w:r>
              <w:rPr>
                <w:rFonts w:hint="default" w:ascii="Times New Roman" w:hAnsi="Times New Roman" w:eastAsia="宋体" w:cs="Times New Roman"/>
                <w:b/>
                <w:bCs/>
                <w:color w:val="auto"/>
                <w:sz w:val="21"/>
                <w:szCs w:val="21"/>
                <w:highlight w:val="none"/>
              </w:rPr>
              <w:t>BI</w:t>
            </w:r>
            <w:r>
              <w:rPr>
                <w:rFonts w:hint="default" w:ascii="Times New Roman" w:hAnsi="Times New Roman" w:eastAsia="宋体" w:cs="Times New Roman"/>
                <w:b/>
                <w:bCs/>
                <w:color w:val="auto"/>
                <w:spacing w:val="6"/>
                <w:sz w:val="21"/>
                <w:szCs w:val="21"/>
                <w:highlight w:val="none"/>
              </w:rPr>
              <w:t>）</w:t>
            </w:r>
          </w:p>
        </w:tc>
      </w:tr>
      <w:tr w14:paraId="7A5E1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52" w:type="dxa"/>
            <w:vAlign w:val="center"/>
          </w:tcPr>
          <w:p w14:paraId="71475A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对景观/生态系统的影响</w:t>
            </w:r>
          </w:p>
        </w:tc>
        <w:tc>
          <w:tcPr>
            <w:tcW w:w="1485" w:type="dxa"/>
            <w:vAlign w:val="center"/>
          </w:tcPr>
          <w:p w14:paraId="2A2E98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62.6</w:t>
            </w:r>
          </w:p>
        </w:tc>
        <w:tc>
          <w:tcPr>
            <w:tcW w:w="1485" w:type="dxa"/>
            <w:vAlign w:val="center"/>
          </w:tcPr>
          <w:p w14:paraId="67ACB8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0.2</w:t>
            </w:r>
          </w:p>
        </w:tc>
        <w:tc>
          <w:tcPr>
            <w:tcW w:w="2801" w:type="dxa"/>
            <w:vAlign w:val="center"/>
          </w:tcPr>
          <w:p w14:paraId="04655C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12.52</w:t>
            </w:r>
          </w:p>
        </w:tc>
      </w:tr>
      <w:tr w14:paraId="04A5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52" w:type="dxa"/>
            <w:vAlign w:val="center"/>
          </w:tcPr>
          <w:p w14:paraId="625698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对生物群落的影响</w:t>
            </w:r>
          </w:p>
        </w:tc>
        <w:tc>
          <w:tcPr>
            <w:tcW w:w="1485" w:type="dxa"/>
            <w:vAlign w:val="center"/>
          </w:tcPr>
          <w:p w14:paraId="5C0191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1485" w:type="dxa"/>
            <w:vAlign w:val="center"/>
          </w:tcPr>
          <w:p w14:paraId="125D4E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0.2</w:t>
            </w:r>
          </w:p>
        </w:tc>
        <w:tc>
          <w:tcPr>
            <w:tcW w:w="2801" w:type="dxa"/>
            <w:vAlign w:val="center"/>
          </w:tcPr>
          <w:p w14:paraId="04FD78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10.4</w:t>
            </w:r>
          </w:p>
        </w:tc>
      </w:tr>
      <w:tr w14:paraId="1DA0A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52" w:type="dxa"/>
            <w:vAlign w:val="center"/>
          </w:tcPr>
          <w:p w14:paraId="49FF82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对物种/种群的影响</w:t>
            </w:r>
          </w:p>
        </w:tc>
        <w:tc>
          <w:tcPr>
            <w:tcW w:w="1485" w:type="dxa"/>
            <w:vAlign w:val="center"/>
          </w:tcPr>
          <w:p w14:paraId="64E021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1485" w:type="dxa"/>
            <w:vAlign w:val="center"/>
          </w:tcPr>
          <w:p w14:paraId="2E46C4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0.2</w:t>
            </w:r>
          </w:p>
        </w:tc>
        <w:tc>
          <w:tcPr>
            <w:tcW w:w="2801" w:type="dxa"/>
            <w:vAlign w:val="center"/>
          </w:tcPr>
          <w:p w14:paraId="4B59AA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11.2</w:t>
            </w:r>
          </w:p>
        </w:tc>
      </w:tr>
      <w:tr w14:paraId="539D2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52" w:type="dxa"/>
            <w:vAlign w:val="center"/>
          </w:tcPr>
          <w:p w14:paraId="1ACE62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对主要保护对象的影响</w:t>
            </w:r>
          </w:p>
        </w:tc>
        <w:tc>
          <w:tcPr>
            <w:tcW w:w="1485" w:type="dxa"/>
            <w:vAlign w:val="center"/>
          </w:tcPr>
          <w:p w14:paraId="04DB92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485" w:type="dxa"/>
            <w:vAlign w:val="center"/>
          </w:tcPr>
          <w:p w14:paraId="4F0D35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0.2</w:t>
            </w:r>
          </w:p>
        </w:tc>
        <w:tc>
          <w:tcPr>
            <w:tcW w:w="2801" w:type="dxa"/>
            <w:vAlign w:val="center"/>
          </w:tcPr>
          <w:p w14:paraId="062DEE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10</w:t>
            </w:r>
          </w:p>
        </w:tc>
      </w:tr>
      <w:tr w14:paraId="73C2B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752" w:type="dxa"/>
            <w:vAlign w:val="center"/>
          </w:tcPr>
          <w:p w14:paraId="699A58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对生物安全的影响</w:t>
            </w:r>
          </w:p>
        </w:tc>
        <w:tc>
          <w:tcPr>
            <w:tcW w:w="1485" w:type="dxa"/>
            <w:vAlign w:val="center"/>
          </w:tcPr>
          <w:p w14:paraId="3896C9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1485" w:type="dxa"/>
            <w:vAlign w:val="center"/>
          </w:tcPr>
          <w:p w14:paraId="7248D5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2801" w:type="dxa"/>
            <w:vAlign w:val="center"/>
          </w:tcPr>
          <w:p w14:paraId="1409D5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r>
      <w:tr w14:paraId="79FD6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752" w:type="dxa"/>
            <w:vAlign w:val="center"/>
          </w:tcPr>
          <w:p w14:paraId="7FB3A2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对社会因素的影响</w:t>
            </w:r>
          </w:p>
        </w:tc>
        <w:tc>
          <w:tcPr>
            <w:tcW w:w="1485" w:type="dxa"/>
            <w:vAlign w:val="center"/>
          </w:tcPr>
          <w:p w14:paraId="21BD51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1485" w:type="dxa"/>
            <w:vAlign w:val="center"/>
          </w:tcPr>
          <w:p w14:paraId="75825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2801" w:type="dxa"/>
            <w:vAlign w:val="center"/>
          </w:tcPr>
          <w:p w14:paraId="317070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r>
      <w:tr w14:paraId="440D2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237" w:type="dxa"/>
            <w:gridSpan w:val="2"/>
            <w:vAlign w:val="center"/>
          </w:tcPr>
          <w:p w14:paraId="082A83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合计</w:t>
            </w:r>
          </w:p>
        </w:tc>
        <w:tc>
          <w:tcPr>
            <w:tcW w:w="1485" w:type="dxa"/>
            <w:vAlign w:val="center"/>
          </w:tcPr>
          <w:p w14:paraId="0031C0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801" w:type="dxa"/>
            <w:vAlign w:val="center"/>
          </w:tcPr>
          <w:p w14:paraId="0869BD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55.72</w:t>
            </w:r>
          </w:p>
        </w:tc>
      </w:tr>
    </w:tbl>
    <w:p w14:paraId="750982A5">
      <w:pPr>
        <w:bidi w:val="0"/>
        <w:rPr>
          <w:color w:val="auto"/>
          <w:highlight w:val="none"/>
        </w:rPr>
      </w:pPr>
      <w:r>
        <w:rPr>
          <w:rFonts w:hint="eastAsia"/>
          <w:color w:val="auto"/>
          <w:highlight w:val="none"/>
          <w:lang w:val="en-US" w:eastAsia="zh-CN"/>
        </w:rPr>
        <w:t>5.8</w:t>
      </w:r>
      <w:r>
        <w:rPr>
          <w:color w:val="auto"/>
          <w:highlight w:val="none"/>
        </w:rPr>
        <w:t>.2生物多样性影响程度</w:t>
      </w:r>
    </w:p>
    <w:p w14:paraId="0336CC3F">
      <w:pPr>
        <w:bidi w:val="0"/>
        <w:rPr>
          <w:color w:val="auto"/>
          <w:highlight w:val="none"/>
        </w:rPr>
      </w:pPr>
      <w:r>
        <w:rPr>
          <w:color w:val="auto"/>
          <w:highlight w:val="none"/>
        </w:rPr>
        <w:t>根据《自然保护区建设项目生物多样性影响评价技术规范》将建设项目对生物多样性影响程度分为中低度影响、中高度影响、严重影响三级，其分值区间，详见表</w:t>
      </w:r>
      <w:r>
        <w:rPr>
          <w:rFonts w:hint="eastAsia"/>
          <w:color w:val="auto"/>
          <w:highlight w:val="none"/>
          <w:lang w:val="en-US" w:eastAsia="zh-CN"/>
        </w:rPr>
        <w:t>5.8</w:t>
      </w:r>
      <w:r>
        <w:rPr>
          <w:color w:val="auto"/>
          <w:highlight w:val="none"/>
        </w:rPr>
        <w:t>-2。</w:t>
      </w:r>
    </w:p>
    <w:p w14:paraId="58EABDDD">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eastAsia" w:eastAsia="宋体" w:cs="Times New Roman"/>
          <w:b/>
          <w:bCs/>
          <w:color w:val="auto"/>
          <w:spacing w:val="-2"/>
          <w:sz w:val="21"/>
          <w:szCs w:val="21"/>
          <w:highlight w:val="none"/>
          <w:lang w:val="en-US" w:eastAsia="zh-CN"/>
        </w:rPr>
        <w:t>5.8</w:t>
      </w:r>
      <w:r>
        <w:rPr>
          <w:rFonts w:hint="default" w:ascii="Times New Roman" w:hAnsi="Times New Roman" w:eastAsia="宋体" w:cs="Times New Roman"/>
          <w:b/>
          <w:bCs/>
          <w:color w:val="auto"/>
          <w:spacing w:val="-2"/>
          <w:sz w:val="21"/>
          <w:szCs w:val="21"/>
          <w:highlight w:val="none"/>
        </w:rPr>
        <w:t>-2</w:t>
      </w:r>
      <w:r>
        <w:rPr>
          <w:rFonts w:hint="eastAsia"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 xml:space="preserve"> 生物多样性影响程度分级表</w:t>
      </w:r>
    </w:p>
    <w:tbl>
      <w:tblPr>
        <w:tblStyle w:val="22"/>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76"/>
        <w:gridCol w:w="1743"/>
        <w:gridCol w:w="1748"/>
        <w:gridCol w:w="1756"/>
      </w:tblGrid>
      <w:tr w14:paraId="7669B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276" w:type="dxa"/>
            <w:vAlign w:val="center"/>
          </w:tcPr>
          <w:p w14:paraId="660F8A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级别</w:t>
            </w:r>
          </w:p>
        </w:tc>
        <w:tc>
          <w:tcPr>
            <w:tcW w:w="1743" w:type="dxa"/>
            <w:vAlign w:val="center"/>
          </w:tcPr>
          <w:p w14:paraId="3AE95C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中低度影响</w:t>
            </w:r>
          </w:p>
        </w:tc>
        <w:tc>
          <w:tcPr>
            <w:tcW w:w="1748" w:type="dxa"/>
            <w:vAlign w:val="center"/>
          </w:tcPr>
          <w:p w14:paraId="2988BC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中高度影响</w:t>
            </w:r>
          </w:p>
        </w:tc>
        <w:tc>
          <w:tcPr>
            <w:tcW w:w="1756" w:type="dxa"/>
            <w:vAlign w:val="center"/>
          </w:tcPr>
          <w:p w14:paraId="15489F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严重影响</w:t>
            </w:r>
          </w:p>
        </w:tc>
      </w:tr>
      <w:tr w14:paraId="648B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276" w:type="dxa"/>
            <w:vAlign w:val="center"/>
          </w:tcPr>
          <w:p w14:paraId="4D4595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生物多样性影响指数（BI）</w:t>
            </w:r>
          </w:p>
        </w:tc>
        <w:tc>
          <w:tcPr>
            <w:tcW w:w="1743" w:type="dxa"/>
            <w:vAlign w:val="center"/>
          </w:tcPr>
          <w:p w14:paraId="23D48B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BI&lt;60</w:t>
            </w:r>
          </w:p>
        </w:tc>
        <w:tc>
          <w:tcPr>
            <w:tcW w:w="1748" w:type="dxa"/>
            <w:vAlign w:val="center"/>
          </w:tcPr>
          <w:p w14:paraId="658601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60≤BI&lt;80</w:t>
            </w:r>
          </w:p>
        </w:tc>
        <w:tc>
          <w:tcPr>
            <w:tcW w:w="1756" w:type="dxa"/>
            <w:vAlign w:val="center"/>
          </w:tcPr>
          <w:p w14:paraId="3C6E59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BI≥80</w:t>
            </w:r>
          </w:p>
        </w:tc>
      </w:tr>
    </w:tbl>
    <w:p w14:paraId="25BF72B5">
      <w:pPr>
        <w:bidi w:val="0"/>
        <w:rPr>
          <w:color w:val="auto"/>
          <w:highlight w:val="none"/>
        </w:rPr>
      </w:pPr>
      <w:r>
        <w:rPr>
          <w:color w:val="auto"/>
          <w:highlight w:val="none"/>
        </w:rPr>
        <w:t>经计算，华能围场“风光储氢热一体化”项目（光伏200MW）项目220kV送出线路工程</w:t>
      </w:r>
      <w:r>
        <w:rPr>
          <w:rFonts w:hint="eastAsia"/>
          <w:color w:val="auto"/>
          <w:highlight w:val="none"/>
          <w:lang w:eastAsia="zh-CN"/>
        </w:rPr>
        <w:t>项目</w:t>
      </w:r>
      <w:r>
        <w:rPr>
          <w:color w:val="auto"/>
          <w:highlight w:val="none"/>
        </w:rPr>
        <w:t>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生物多样性影响指数（BI）为55.72。说明工程对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生物多样性影响评价结果为：中低度影响。</w:t>
      </w:r>
    </w:p>
    <w:p w14:paraId="21EDFFF1">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bookmarkStart w:id="76" w:name="bookmark73"/>
      <w:bookmarkEnd w:id="76"/>
      <w:bookmarkStart w:id="77" w:name="bookmark74"/>
      <w:bookmarkEnd w:id="77"/>
      <w:r>
        <w:rPr>
          <w:rFonts w:hint="eastAsia" w:cs="Times New Roman"/>
          <w:color w:val="auto"/>
          <w:kern w:val="0"/>
          <w:szCs w:val="30"/>
          <w:highlight w:val="none"/>
          <w:lang w:val="en-US" w:eastAsia="zh-CN"/>
        </w:rPr>
        <w:t>5.9综合影响结论</w:t>
      </w:r>
    </w:p>
    <w:p w14:paraId="2DB77C25">
      <w:pPr>
        <w:bidi w:val="0"/>
        <w:rPr>
          <w:color w:val="auto"/>
          <w:highlight w:val="none"/>
        </w:rPr>
      </w:pPr>
      <w:r>
        <w:rPr>
          <w:color w:val="auto"/>
          <w:highlight w:val="none"/>
        </w:rPr>
        <w:t>该项目对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的生物多样性影响程度为“中低度影响”，各分项影响如下：</w:t>
      </w:r>
    </w:p>
    <w:p w14:paraId="7D9E2CBB">
      <w:pPr>
        <w:bidi w:val="0"/>
        <w:rPr>
          <w:color w:val="auto"/>
          <w:highlight w:val="none"/>
        </w:rPr>
      </w:pPr>
      <w:r>
        <w:rPr>
          <w:rFonts w:hint="eastAsia"/>
          <w:color w:val="auto"/>
          <w:highlight w:val="none"/>
          <w:lang w:val="en-US" w:eastAsia="zh-CN"/>
        </w:rPr>
        <w:t>5.9</w:t>
      </w:r>
      <w:r>
        <w:rPr>
          <w:color w:val="auto"/>
          <w:highlight w:val="none"/>
        </w:rPr>
        <w:t>.1对景观/生态系统的影响为中高度影响</w:t>
      </w:r>
    </w:p>
    <w:p w14:paraId="1C04CE3C">
      <w:pPr>
        <w:bidi w:val="0"/>
        <w:rPr>
          <w:color w:val="auto"/>
          <w:highlight w:val="none"/>
        </w:rPr>
      </w:pPr>
      <w:r>
        <w:rPr>
          <w:color w:val="auto"/>
          <w:highlight w:val="none"/>
        </w:rPr>
        <w:t>项目施工结束后，保护区实验区安装了23座塔基</w:t>
      </w:r>
      <w:r>
        <w:rPr>
          <w:rFonts w:hint="eastAsia"/>
          <w:color w:val="auto"/>
          <w:highlight w:val="none"/>
          <w:lang w:eastAsia="zh-CN"/>
        </w:rPr>
        <w:t>、保护区外安装了</w:t>
      </w:r>
      <w:r>
        <w:rPr>
          <w:rFonts w:hint="eastAsia"/>
          <w:color w:val="auto"/>
          <w:highlight w:val="none"/>
          <w:lang w:val="en-US" w:eastAsia="zh-CN"/>
        </w:rPr>
        <w:t>34座塔基</w:t>
      </w:r>
      <w:r>
        <w:rPr>
          <w:color w:val="auto"/>
          <w:highlight w:val="none"/>
        </w:rPr>
        <w:t>，由施工前的森林景观变为</w:t>
      </w:r>
      <w:r>
        <w:rPr>
          <w:rFonts w:hint="eastAsia"/>
          <w:color w:val="auto"/>
          <w:highlight w:val="none"/>
          <w:lang w:val="en-US" w:eastAsia="zh-CN"/>
        </w:rPr>
        <w:t>57</w:t>
      </w:r>
      <w:r>
        <w:rPr>
          <w:color w:val="auto"/>
          <w:highlight w:val="none"/>
        </w:rPr>
        <w:t>个建筑景观，虽然占地面积较小，但影响了景观类型的斑块数量，改变了原有的森林景观，对景观美学价值造成了一定的影响，降低整体和局部地带的观赏性。表土剥离、土石方开挖等工艺容易造成土壤侵蚀。</w:t>
      </w:r>
    </w:p>
    <w:p w14:paraId="0F2E554B">
      <w:pPr>
        <w:bidi w:val="0"/>
        <w:rPr>
          <w:color w:val="auto"/>
          <w:highlight w:val="none"/>
        </w:rPr>
      </w:pPr>
      <w:r>
        <w:rPr>
          <w:color w:val="auto"/>
          <w:highlight w:val="none"/>
        </w:rPr>
        <w:t>综上所述，项目建设对景观生态的影响为中高度。</w:t>
      </w:r>
    </w:p>
    <w:p w14:paraId="4B36ADD0">
      <w:pPr>
        <w:bidi w:val="0"/>
        <w:rPr>
          <w:color w:val="auto"/>
          <w:highlight w:val="none"/>
        </w:rPr>
      </w:pPr>
      <w:r>
        <w:rPr>
          <w:rFonts w:hint="eastAsia"/>
          <w:color w:val="auto"/>
          <w:highlight w:val="none"/>
          <w:lang w:val="en-US" w:eastAsia="zh-CN"/>
        </w:rPr>
        <w:t>5.9</w:t>
      </w:r>
      <w:r>
        <w:rPr>
          <w:color w:val="auto"/>
          <w:highlight w:val="none"/>
        </w:rPr>
        <w:t>.2对生物群落的影响为中低度影响</w:t>
      </w:r>
    </w:p>
    <w:p w14:paraId="77529340">
      <w:pPr>
        <w:bidi w:val="0"/>
        <w:rPr>
          <w:rFonts w:hint="eastAsia"/>
          <w:color w:val="auto"/>
          <w:highlight w:val="none"/>
          <w:lang w:eastAsia="zh-CN"/>
        </w:rPr>
      </w:pPr>
      <w:r>
        <w:rPr>
          <w:color w:val="auto"/>
          <w:highlight w:val="none"/>
        </w:rPr>
        <w:t>项目影响评价区生物群落按群系分，主要为白桦林、蒙古栎林、华北落叶松林、平榛灌丛、杂灌类灌丛、地榆-细叶苔草草甸、杂类草草甸。这些植被类型均为保护区及周边地区常见的群落类型，主要以常见的森林植被为主，非评价区及保护区特有。且项目为线性工程，项目建设对栖息地连通性、保护区生物群落类型、重要种类结构等指标均影响较小，综合为中低度影响</w:t>
      </w:r>
      <w:r>
        <w:rPr>
          <w:rFonts w:hint="eastAsia"/>
          <w:color w:val="auto"/>
          <w:highlight w:val="none"/>
          <w:lang w:eastAsia="zh-CN"/>
        </w:rPr>
        <w:t>。</w:t>
      </w:r>
    </w:p>
    <w:p w14:paraId="25157E69">
      <w:pPr>
        <w:bidi w:val="0"/>
        <w:rPr>
          <w:color w:val="auto"/>
          <w:highlight w:val="none"/>
        </w:rPr>
      </w:pPr>
      <w:r>
        <w:rPr>
          <w:color w:val="auto"/>
          <w:highlight w:val="none"/>
        </w:rPr>
        <w:t>综上所述，项目建设对生物群落的影响为中低度。</w:t>
      </w:r>
    </w:p>
    <w:p w14:paraId="020D17DC">
      <w:pPr>
        <w:bidi w:val="0"/>
        <w:rPr>
          <w:color w:val="auto"/>
          <w:highlight w:val="none"/>
        </w:rPr>
      </w:pPr>
      <w:r>
        <w:rPr>
          <w:rFonts w:hint="eastAsia"/>
          <w:color w:val="auto"/>
          <w:highlight w:val="none"/>
          <w:lang w:val="en-US" w:eastAsia="zh-CN"/>
        </w:rPr>
        <w:t>5.9</w:t>
      </w:r>
      <w:r>
        <w:rPr>
          <w:color w:val="auto"/>
          <w:highlight w:val="none"/>
        </w:rPr>
        <w:t>.3对物种/种群的影响为中低度影响</w:t>
      </w:r>
    </w:p>
    <w:p w14:paraId="37E59F8B">
      <w:pPr>
        <w:bidi w:val="0"/>
        <w:rPr>
          <w:color w:val="auto"/>
          <w:highlight w:val="none"/>
        </w:rPr>
      </w:pPr>
      <w:r>
        <w:rPr>
          <w:color w:val="auto"/>
          <w:highlight w:val="none"/>
        </w:rPr>
        <w:t>影响评价区大部分在</w:t>
      </w:r>
      <w:r>
        <w:rPr>
          <w:rFonts w:hint="eastAsia"/>
          <w:color w:val="auto"/>
          <w:highlight w:val="none"/>
          <w:lang w:eastAsia="zh-CN"/>
        </w:rPr>
        <w:t>保护区以外和保护区的</w:t>
      </w:r>
      <w:r>
        <w:rPr>
          <w:color w:val="auto"/>
          <w:highlight w:val="none"/>
        </w:rPr>
        <w:t>实验区</w:t>
      </w:r>
      <w:r>
        <w:rPr>
          <w:rFonts w:hint="eastAsia"/>
          <w:color w:val="auto"/>
          <w:highlight w:val="none"/>
          <w:lang w:eastAsia="zh-CN"/>
        </w:rPr>
        <w:t>、缓冲区</w:t>
      </w:r>
      <w:r>
        <w:rPr>
          <w:color w:val="auto"/>
          <w:highlight w:val="none"/>
        </w:rPr>
        <w:t>，动植物种类比较少，评价区范围涉及到的植物物种在保护区内及周边分布广泛；陆生野生动物以鸟类为主，项目占地范围非动物的主要觅食地和栖息地，且占地范围有限，不会对其造成较大影响，且周围有可替代的生境，动物适应性较强，且具有一定的抗干扰能力，项目建设对保护物种影响较小；项目建设不会明显改变和破坏在该区域栖息的某一类群重要物种的食物网/链结构，更不会因食物网/链结构方面的影响而造成某一类群的重要物种在影响评价区内消失。</w:t>
      </w:r>
    </w:p>
    <w:p w14:paraId="31FEB6F3">
      <w:pPr>
        <w:bidi w:val="0"/>
        <w:rPr>
          <w:color w:val="auto"/>
          <w:highlight w:val="none"/>
        </w:rPr>
      </w:pPr>
      <w:r>
        <w:rPr>
          <w:color w:val="auto"/>
          <w:highlight w:val="none"/>
        </w:rPr>
        <w:t>综上所述，项目建设对种群和物种的影响为中低度影响。</w:t>
      </w:r>
    </w:p>
    <w:p w14:paraId="5898AE77">
      <w:pPr>
        <w:bidi w:val="0"/>
        <w:rPr>
          <w:color w:val="auto"/>
          <w:highlight w:val="none"/>
        </w:rPr>
      </w:pPr>
      <w:r>
        <w:rPr>
          <w:rFonts w:hint="eastAsia"/>
          <w:color w:val="auto"/>
          <w:highlight w:val="none"/>
          <w:lang w:val="en-US" w:eastAsia="zh-CN"/>
        </w:rPr>
        <w:t>5.9</w:t>
      </w:r>
      <w:r>
        <w:rPr>
          <w:color w:val="auto"/>
          <w:highlight w:val="none"/>
        </w:rPr>
        <w:t>.4对主要保护对象的影响为中低度影响</w:t>
      </w:r>
    </w:p>
    <w:p w14:paraId="127D6F53">
      <w:pPr>
        <w:bidi w:val="0"/>
        <w:rPr>
          <w:color w:val="auto"/>
          <w:highlight w:val="none"/>
        </w:rPr>
      </w:pPr>
      <w:r>
        <w:rPr>
          <w:color w:val="auto"/>
          <w:highlight w:val="none"/>
        </w:rPr>
        <w:t>保护区主要保护对象为多样、完整的森林生态系统；珍稀野生动植物。项目建设地全部在实验区，建设区域无特有物种和珍稀动植物，且工程建设影响的植被均为保护区内常见种，项目建设区域不是保护动物主要栖息地，因此对森林生态系统的结构、植被组成、动物保护对象和各项环境因子造成的影响较小。</w:t>
      </w:r>
    </w:p>
    <w:p w14:paraId="08768E76">
      <w:pPr>
        <w:bidi w:val="0"/>
        <w:rPr>
          <w:color w:val="auto"/>
          <w:highlight w:val="none"/>
        </w:rPr>
      </w:pPr>
      <w:r>
        <w:rPr>
          <w:color w:val="auto"/>
          <w:highlight w:val="none"/>
        </w:rPr>
        <w:t>综上所述，项目建设对保护区主要保护对象的影响为中低度。</w:t>
      </w:r>
    </w:p>
    <w:p w14:paraId="06BD8E29">
      <w:pPr>
        <w:bidi w:val="0"/>
        <w:rPr>
          <w:color w:val="auto"/>
          <w:highlight w:val="none"/>
        </w:rPr>
      </w:pPr>
      <w:r>
        <w:rPr>
          <w:rFonts w:hint="eastAsia"/>
          <w:color w:val="auto"/>
          <w:highlight w:val="none"/>
          <w:lang w:val="en-US" w:eastAsia="zh-CN"/>
        </w:rPr>
        <w:t>5.9.</w:t>
      </w:r>
      <w:r>
        <w:rPr>
          <w:color w:val="auto"/>
          <w:highlight w:val="none"/>
        </w:rPr>
        <w:t>5对生物安全的影响为中低度影响</w:t>
      </w:r>
    </w:p>
    <w:p w14:paraId="4F113CB5">
      <w:pPr>
        <w:bidi w:val="0"/>
        <w:rPr>
          <w:color w:val="auto"/>
          <w:highlight w:val="none"/>
        </w:rPr>
      </w:pPr>
      <w:r>
        <w:rPr>
          <w:color w:val="auto"/>
          <w:highlight w:val="none"/>
        </w:rPr>
        <w:t>建设过程中施工人员、设备和材料会进入自然保护区，可能会携带外来物种，所以有可能会造成外来物种或有害生物入侵，但对于健康的森林生态系统来说，这种可能性较低；工程项目的实施对植物资源、动物资源等遗传资源的破坏是局部的、有限的，只会造成部分个体的少量灭失，不会造成某个植物种类在评价区或保护区内消失，区域内野生动物种群、数量均稀少，且为常见物种，项目建设可能造成评价区内个别生物群落变动，但不会使区域内生态系统受到威胁造成遗传资源的严重流失；项目施工期和运营期对生态环境保护、水土保持等提出了详细的保障措施，在严格落实管理的情况下，病虫害爆发、外来物种或有害生物入侵、保护区重要遗传资源流失、发生火灾等突发事件均较低。</w:t>
      </w:r>
    </w:p>
    <w:p w14:paraId="78528F37">
      <w:pPr>
        <w:bidi w:val="0"/>
        <w:rPr>
          <w:color w:val="auto"/>
          <w:highlight w:val="none"/>
        </w:rPr>
      </w:pPr>
      <w:r>
        <w:rPr>
          <w:color w:val="auto"/>
          <w:highlight w:val="none"/>
        </w:rPr>
        <w:t>综上所述，项目建设对生物安全的影响为中低度。</w:t>
      </w:r>
    </w:p>
    <w:p w14:paraId="591F3B7E">
      <w:pPr>
        <w:bidi w:val="0"/>
        <w:rPr>
          <w:color w:val="auto"/>
          <w:highlight w:val="none"/>
        </w:rPr>
      </w:pPr>
      <w:r>
        <w:rPr>
          <w:rFonts w:hint="eastAsia"/>
          <w:color w:val="auto"/>
          <w:highlight w:val="none"/>
          <w:lang w:val="en-US" w:eastAsia="zh-CN"/>
        </w:rPr>
        <w:t>5.9</w:t>
      </w:r>
      <w:r>
        <w:rPr>
          <w:color w:val="auto"/>
          <w:highlight w:val="none"/>
        </w:rPr>
        <w:t>.6对社会因素的影响为中低度影响</w:t>
      </w:r>
    </w:p>
    <w:p w14:paraId="50BA0FF0">
      <w:pPr>
        <w:bidi w:val="0"/>
        <w:rPr>
          <w:color w:val="auto"/>
          <w:highlight w:val="none"/>
        </w:rPr>
      </w:pPr>
      <w:r>
        <w:rPr>
          <w:color w:val="auto"/>
          <w:highlight w:val="none"/>
        </w:rPr>
        <w:t>本项目落实国家可持续发展政策、满足节约能源、保护环境的需要、促进当地经济和社会的发展，项目建设得到了当地政府和村民的支持，虽然在项目施工过程中，一定程度上会造成当地水、空气、声等环境的污染，但建设活动范围较小，且通过合理的防控措施尽量减弱，项目占地合理合法进行，不会对当地群众生产生活环境造成严重的危害。</w:t>
      </w:r>
    </w:p>
    <w:p w14:paraId="66316BA4">
      <w:pPr>
        <w:bidi w:val="0"/>
        <w:rPr>
          <w:color w:val="auto"/>
          <w:highlight w:val="none"/>
        </w:rPr>
      </w:pPr>
      <w:r>
        <w:rPr>
          <w:color w:val="auto"/>
          <w:highlight w:val="none"/>
        </w:rPr>
        <w:t>综上所述，项目建设对社会因素的影响为中低度。</w:t>
      </w:r>
    </w:p>
    <w:p w14:paraId="543038F4">
      <w:pPr>
        <w:bidi w:val="0"/>
        <w:rPr>
          <w:color w:val="auto"/>
          <w:highlight w:val="none"/>
        </w:rPr>
      </w:pPr>
      <w:r>
        <w:rPr>
          <w:rFonts w:hint="eastAsia"/>
          <w:color w:val="auto"/>
          <w:highlight w:val="none"/>
          <w:lang w:val="en-US" w:eastAsia="zh-CN"/>
        </w:rPr>
        <w:t>5.9</w:t>
      </w:r>
      <w:r>
        <w:rPr>
          <w:color w:val="auto"/>
          <w:highlight w:val="none"/>
        </w:rPr>
        <w:t>.7影响评价结论</w:t>
      </w:r>
    </w:p>
    <w:p w14:paraId="7DE77C07">
      <w:pPr>
        <w:bidi w:val="0"/>
        <w:rPr>
          <w:color w:val="auto"/>
          <w:highlight w:val="none"/>
        </w:rPr>
      </w:pPr>
      <w:r>
        <w:rPr>
          <w:color w:val="auto"/>
          <w:highlight w:val="none"/>
        </w:rPr>
        <w:t>通过调查、分析、计算打分和评价，项目建设对以保护森林生态系统、生物多样性及珍稀濒危动植物物种为主的森林生态类型自然保护区的影响未出现否决项。虽然项目建设不可避免地会对保护区的自然资源、生态系统和动物栖息地产生一定影响，但从数据分析中可以看出，工程的建设对评价区域的景观/生态系统、生物群落、物种/种群、主要保护对象、生物安全和社会因素等生物多样性一级指标的影响较小，且这种干扰和影响总体上是暂时的、可控的，可以通过建设、规划单位对可能出现的问题设计一系列管理和保护措施，以降低或消除其影响，不会对保护区结构、功能及保护价值构成破坏和降低。</w:t>
      </w:r>
    </w:p>
    <w:p w14:paraId="29B38429">
      <w:pPr>
        <w:bidi w:val="0"/>
        <w:rPr>
          <w:color w:val="auto"/>
          <w:highlight w:val="none"/>
        </w:rPr>
      </w:pPr>
      <w:r>
        <w:rPr>
          <w:color w:val="auto"/>
          <w:highlight w:val="none"/>
        </w:rPr>
        <w:t>根据对生物多样性影响程度分级规定，华能围场“风光储氢热一体化”项目（光伏200MW）项目220kV送出线路工程</w:t>
      </w:r>
      <w:r>
        <w:rPr>
          <w:rFonts w:hint="eastAsia"/>
          <w:color w:val="auto"/>
          <w:highlight w:val="none"/>
          <w:lang w:eastAsia="zh-CN"/>
        </w:rPr>
        <w:t>项目</w:t>
      </w:r>
      <w:r>
        <w:rPr>
          <w:color w:val="auto"/>
          <w:highlight w:val="none"/>
        </w:rPr>
        <w:t>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生物多样性影响指数BI=55.72＜60，影响程度属于中低度影响</w:t>
      </w:r>
      <w:r>
        <w:rPr>
          <w:rFonts w:hint="eastAsia"/>
          <w:color w:val="auto"/>
          <w:highlight w:val="none"/>
          <w:lang w:eastAsia="zh-CN"/>
        </w:rPr>
        <w:t>，环境影响可接受</w:t>
      </w:r>
      <w:r>
        <w:rPr>
          <w:color w:val="auto"/>
          <w:highlight w:val="none"/>
        </w:rPr>
        <w:t>。</w:t>
      </w:r>
    </w:p>
    <w:p w14:paraId="71F2B0E7">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r>
        <w:rPr>
          <w:rFonts w:hint="eastAsia" w:cs="Times New Roman"/>
          <w:color w:val="auto"/>
          <w:kern w:val="0"/>
          <w:szCs w:val="30"/>
          <w:highlight w:val="none"/>
          <w:lang w:val="en-US" w:eastAsia="zh-CN"/>
        </w:rPr>
        <w:t>5.10对水土流失和土地沙化影响</w:t>
      </w:r>
    </w:p>
    <w:p w14:paraId="7DA99DA9">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围场满族蒙古族自治县阳洁光伏发电有限责任公司</w:t>
      </w:r>
      <w:r>
        <w:rPr>
          <w:rFonts w:hint="eastAsia" w:ascii="Times New Roman" w:hAnsi="Times New Roman" w:eastAsia="宋体" w:cs="Times New Roman"/>
          <w:color w:val="auto"/>
          <w:sz w:val="24"/>
          <w:highlight w:val="none"/>
          <w:lang w:val="en-US" w:eastAsia="zh-CN"/>
        </w:rPr>
        <w:t>委托河北能晖工程技术服务有限公司编制了</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w:t>
      </w:r>
      <w:r>
        <w:rPr>
          <w:rFonts w:hint="eastAsia" w:ascii="Times New Roman" w:hAnsi="Times New Roman" w:eastAsia="宋体" w:cs="Times New Roman"/>
          <w:snapToGrid w:val="0"/>
          <w:color w:val="auto"/>
          <w:kern w:val="2"/>
          <w:sz w:val="24"/>
          <w:szCs w:val="24"/>
          <w:highlight w:val="none"/>
          <w:lang w:val="en-US" w:eastAsia="zh-CN"/>
        </w:rPr>
        <w:t>以下简称水土保持方案</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2024年6月17日取得承德市数据和政务服务局准予许可的文件（承数政决字202407-10）。引用水土保持方案中水土保护结论：</w:t>
      </w:r>
      <w:r>
        <w:rPr>
          <w:rFonts w:hint="default" w:ascii="Times New Roman" w:hAnsi="Times New Roman" w:eastAsia="宋体" w:cs="Times New Roman"/>
          <w:color w:val="auto"/>
          <w:sz w:val="24"/>
          <w:highlight w:val="none"/>
        </w:rPr>
        <w:t>项目不在县级以上地方人民政府公告的崩塌、滑坡危险区和泥石流易发区范围内，工程所需材料均采用外购形式，不存在取土、挖砂、采石等活动；项目占地不占用河湖两岸保护带；项目不涉及水土保持监测站点、重点试验区及水土保持长期定位观测站。项目选址无法避让燕山国家级水土流失重点预防区，防治标准执行“北方土石山区”一级标准，同时将土壤流失控制比提高0.1、林草覆盖率提高2%，施工过程中需加强施工管理，优化施工工艺，减少地表扰动和植被损毁范围，及时落实水土保持措施，可有效控制水土流失危害的发生，项目选线基本符合水土保持要求。</w:t>
      </w:r>
    </w:p>
    <w:p w14:paraId="0020AFB0">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rPr>
      </w:pPr>
      <w:r>
        <w:rPr>
          <w:rFonts w:hint="eastAsia"/>
          <w:color w:val="auto"/>
          <w:sz w:val="24"/>
          <w:szCs w:val="24"/>
          <w:highlight w:val="none"/>
        </w:rPr>
        <w:t>根据《河北省生态环境厅办公室关于进一步做好沙区建设项目环境影响评价工作的通知》（冀环办字函[2023]326号），承德市围场县属于沙区范围主要涉及的地域，根据“河北省“三线一单”信息管理平台”中全省沙化土地矢量文件，本项目塔基占地坐标在沙化范围内，线路施工区主要影响为塔基、施工便道、牵张场施工造成植被破坏及水土流失和土地沙化等。本工程施工期，线路塔基基础的开挖，扰动了地表的原生地貌，在风力作用下，可能引起水土轻微流失；临时施工道路，由于大型机械碾压，容易造成局部地表裸露，形成地表植物破坏，诱发土地沙化。工程临时占地和永久占地会导致生态系统面积的减少。但是，临时占地在施工结束后均进行了生态恢复，恢复土地的原有使用功能，并采取水土流失防治等减缓措施能够将影响程度控制在可接受范围内；线路永久占地面积占地非常小，只有少量的塔基占地，为点状点地，占用面积比例小，不会对当地生态系统面积造成较大影响，对土地沙化影响较小。</w:t>
      </w:r>
    </w:p>
    <w:p w14:paraId="2717044F">
      <w:pPr>
        <w:ind w:firstLine="480"/>
        <w:rPr>
          <w:color w:val="auto"/>
          <w:highlight w:val="none"/>
        </w:rPr>
        <w:sectPr>
          <w:footerReference r:id="rId25" w:type="default"/>
          <w:pgSz w:w="11906" w:h="16838"/>
          <w:pgMar w:top="1440" w:right="1800" w:bottom="1440" w:left="1800" w:header="851" w:footer="992" w:gutter="0"/>
          <w:pgNumType w:fmt="decimal"/>
          <w:cols w:space="425" w:num="1"/>
          <w:docGrid w:type="lines" w:linePitch="312" w:charSpace="0"/>
        </w:sectPr>
      </w:pPr>
    </w:p>
    <w:p w14:paraId="3B709F38">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highlight w:val="none"/>
        </w:rPr>
      </w:pPr>
      <w:bookmarkStart w:id="78" w:name="_Toc31869"/>
      <w:r>
        <w:rPr>
          <w:rFonts w:cs="Times New Roman"/>
          <w:color w:val="auto"/>
          <w:highlight w:val="none"/>
        </w:rPr>
        <w:t>6</w:t>
      </w:r>
      <w:r>
        <w:rPr>
          <w:rFonts w:hint="eastAsia" w:cs="Times New Roman"/>
          <w:color w:val="auto"/>
          <w:highlight w:val="none"/>
          <w:lang w:eastAsia="zh-CN"/>
        </w:rPr>
        <w:t>生态</w:t>
      </w:r>
      <w:r>
        <w:rPr>
          <w:rFonts w:cs="Times New Roman"/>
          <w:color w:val="auto"/>
          <w:highlight w:val="none"/>
        </w:rPr>
        <w:t>环境保护措施</w:t>
      </w:r>
      <w:bookmarkEnd w:id="78"/>
    </w:p>
    <w:p w14:paraId="1807488F">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cs="Times New Roman"/>
          <w:color w:val="auto"/>
          <w:kern w:val="0"/>
          <w:szCs w:val="30"/>
          <w:highlight w:val="none"/>
          <w:lang w:val="en-US" w:eastAsia="zh-CN"/>
        </w:rPr>
      </w:pPr>
      <w:r>
        <w:rPr>
          <w:rFonts w:hint="eastAsia" w:cs="Times New Roman"/>
          <w:color w:val="auto"/>
          <w:kern w:val="0"/>
          <w:szCs w:val="30"/>
          <w:highlight w:val="none"/>
          <w:lang w:val="en-US" w:eastAsia="zh-CN"/>
        </w:rPr>
        <w:t>6.1施工期减缓影响措施</w:t>
      </w:r>
    </w:p>
    <w:p w14:paraId="432ED929">
      <w:pPr>
        <w:ind w:firstLine="480"/>
        <w:rPr>
          <w:rFonts w:hint="eastAsia" w:eastAsia="宋体" w:cs="Times New Roman"/>
          <w:b/>
          <w:bCs/>
          <w:color w:val="auto"/>
          <w:szCs w:val="24"/>
          <w:highlight w:val="none"/>
        </w:rPr>
      </w:pPr>
      <w:r>
        <w:rPr>
          <w:rFonts w:hint="eastAsia" w:eastAsia="宋体" w:cs="Times New Roman"/>
          <w:b/>
          <w:bCs/>
          <w:color w:val="auto"/>
          <w:szCs w:val="24"/>
          <w:highlight w:val="none"/>
          <w:lang w:val="en-US" w:eastAsia="zh-CN"/>
        </w:rPr>
        <w:t>6</w:t>
      </w:r>
      <w:r>
        <w:rPr>
          <w:rFonts w:hint="eastAsia" w:eastAsia="宋体" w:cs="Times New Roman"/>
          <w:b/>
          <w:bCs/>
          <w:color w:val="auto"/>
          <w:szCs w:val="24"/>
          <w:highlight w:val="none"/>
        </w:rPr>
        <w:t>.1.1施工期生物资源保护措施</w:t>
      </w:r>
    </w:p>
    <w:p w14:paraId="00AEA593">
      <w:pPr>
        <w:spacing w:line="480" w:lineRule="exact"/>
        <w:ind w:firstLine="482"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一般段</w:t>
      </w:r>
      <w:r>
        <w:rPr>
          <w:rFonts w:ascii="Times New Roman" w:hAnsi="Times New Roman" w:eastAsia="宋体" w:cs="Times New Roman"/>
          <w:b/>
          <w:bCs/>
          <w:color w:val="auto"/>
          <w:sz w:val="24"/>
          <w:szCs w:val="24"/>
          <w:highlight w:val="none"/>
        </w:rPr>
        <w:t>生态</w:t>
      </w:r>
      <w:r>
        <w:rPr>
          <w:rFonts w:hint="eastAsia" w:ascii="Times New Roman" w:hAnsi="Times New Roman" w:eastAsia="宋体" w:cs="Times New Roman"/>
          <w:b/>
          <w:bCs/>
          <w:color w:val="auto"/>
          <w:sz w:val="24"/>
          <w:szCs w:val="24"/>
          <w:highlight w:val="none"/>
        </w:rPr>
        <w:t>保护措施</w:t>
      </w:r>
    </w:p>
    <w:p w14:paraId="455C678C">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生态环境保护措施</w:t>
      </w:r>
    </w:p>
    <w:p w14:paraId="10EE4BD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输电工程，施工临时占地面积较小、施工分散且施工期较短，施工场地严格控制在征地范围内进行，施工人员租住线路沿线的居民房屋，不设施工营地，不会改变周围植被的生长及动物的生存环境，施工结束后恢复原有生态功能。</w:t>
      </w:r>
    </w:p>
    <w:p w14:paraId="037DAA97">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施工过程中，由于开挖土方，会引起自然地表的破坏，造成土壤疏松，原有的植被和蓄水保土作用遭到破坏，环境失去原有状态，引发水土流失。因此，工程建设过程中应严格按照《输变电建设项目环境保护技术要求》相关要求降低对生态的影响。</w:t>
      </w:r>
    </w:p>
    <w:p w14:paraId="7EA19006">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①输电线路工程建设项目施工期临时用地应永临结合，优先利用荒地、劣地。</w:t>
      </w:r>
    </w:p>
    <w:p w14:paraId="19328ECF">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②输电线路工程建设项目施工占地，应做好表土剥离、分类存放和回填利用。</w:t>
      </w:r>
    </w:p>
    <w:p w14:paraId="180CED7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③施工临时道路应尽可能利用机耕路等现有道路，新建道路应严格控制道路宽度，以减少临时工程对生态环境的影响。</w:t>
      </w:r>
    </w:p>
    <w:p w14:paraId="515C1642">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④施工现场使用的带油料的机械器具，应采取措施防止油跑、冒、滴、漏，防止对土壤和水体造成污染。</w:t>
      </w:r>
    </w:p>
    <w:p w14:paraId="09FA7545">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⑤选择综合素质高、有施工经验的队伍，在施工期间对施工人员加强生态保护的宣传教育；严格按照《110kV-750kV架空输电线路设计规范》（GB50545-2010）中规定的架线高度架设输电线路。</w:t>
      </w:r>
    </w:p>
    <w:p w14:paraId="66B93024">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⑥线路架设施工时，动土工程避开雨天，避免土壤和水土流失，工程建设过程中的开挖土方、容易流失的建筑材料，做好临时的防护措施，集中堆放，并注意堆放坡度，做好施工区内的排水工作。</w:t>
      </w:r>
    </w:p>
    <w:p w14:paraId="09EBAD1B">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⑦</w:t>
      </w:r>
      <w:r>
        <w:rPr>
          <w:rFonts w:hint="default" w:ascii="Times New Roman" w:hAnsi="Times New Roman" w:eastAsia="宋体" w:cs="Times New Roman"/>
          <w:color w:val="auto"/>
          <w:sz w:val="24"/>
          <w:szCs w:val="24"/>
          <w:highlight w:val="none"/>
        </w:rPr>
        <w:t>施工废水须经沉淀池沉淀后回用，严禁排入附近地表水体；工程开挖土方不能随意丢弃河流中或岸边。</w:t>
      </w:r>
    </w:p>
    <w:p w14:paraId="2FAE9B68">
      <w:pPr>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微软雅黑" w:cs="Times New Roman"/>
          <w:color w:val="auto"/>
          <w:sz w:val="24"/>
          <w:szCs w:val="24"/>
          <w:highlight w:val="none"/>
        </w:rPr>
        <w:t>⑧</w:t>
      </w:r>
      <w:r>
        <w:rPr>
          <w:rFonts w:hint="default" w:ascii="Times New Roman" w:hAnsi="Times New Roman" w:eastAsia="宋体" w:cs="Times New Roman"/>
          <w:color w:val="auto"/>
          <w:sz w:val="24"/>
          <w:szCs w:val="24"/>
          <w:highlight w:val="none"/>
        </w:rPr>
        <w:t>牵张场地等临时场地选址应远离生态红线保护范围、生态功能区、河流等生态敏感区，施工结束后，应及时清理施工现场，因地制宜进行土地功能恢复。</w:t>
      </w:r>
    </w:p>
    <w:p w14:paraId="066B70C0">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因此本工程对生态环境产生的影响较小。</w:t>
      </w:r>
    </w:p>
    <w:p w14:paraId="7EDC1D1D">
      <w:pPr>
        <w:spacing w:line="480" w:lineRule="exact"/>
        <w:ind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本项目主要为塔基施工，均在征地范围内开展，对周围区域生态环境影响可接受。</w:t>
      </w:r>
    </w:p>
    <w:p w14:paraId="5C5C4D24">
      <w:pPr>
        <w:bidi w:val="0"/>
        <w:rPr>
          <w:rFonts w:hint="default"/>
          <w:color w:val="auto"/>
        </w:rPr>
      </w:pPr>
      <w:r>
        <w:rPr>
          <w:rFonts w:hint="default"/>
          <w:color w:val="auto"/>
        </w:rPr>
        <w:t>（2）工程占地保护措施</w:t>
      </w:r>
    </w:p>
    <w:p w14:paraId="4A612C5E">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临时占地对生态环境的主要影响表现在地表植被破坏、增加水土流失和影响景观。临时用地选在植被稀疏的地方，对于破坏植被的地段，在施工期或服务期满后及时在场地内种植本地区常见植物，对植被进行恢复。加强对施工人员的环境保护意识教育，要求文明施工，不得开展滥采滥挖滥伐等植被破坏活动，根据项目施工位点，划定施工范围，禁止随意扩展施工范围。</w:t>
      </w:r>
    </w:p>
    <w:p w14:paraId="357E3798">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项目永久占地使该区域内植被覆盖度下降，对生态环境会产生一定不利影响。项目建成后，及时对施工运输机械碾压过的土地进行恢复，并对塔基下方播撒草籽，提高土壤保水性等生态功能。</w:t>
      </w:r>
    </w:p>
    <w:p w14:paraId="270E301C">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（3）植被保护措施</w:t>
      </w:r>
    </w:p>
    <w:p w14:paraId="586CFB5E">
      <w:pPr>
        <w:spacing w:line="44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临时压埋的植被，一般当年就可以完全恢复；临时堆土场压埋及基础开挖造成的植被铲除、压埋，在施工完毕后及时种草进行恢复，一般完全恢复需要3年时间。同时根据项目不同特点，种植相应植物提高绿化。当被破坏的植被完全得到恢复时，拟建工程对植被的影响就可消除。</w:t>
      </w:r>
    </w:p>
    <w:p w14:paraId="25515DFA">
      <w:pPr>
        <w:autoSpaceDE/>
        <w:autoSpaceDN/>
        <w:spacing w:line="440" w:lineRule="exact"/>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（4）水土流失</w:t>
      </w:r>
      <w:r>
        <w:rPr>
          <w:rFonts w:hint="eastAsia" w:eastAsia="宋体" w:cs="Times New Roman"/>
          <w:bCs/>
          <w:color w:val="auto"/>
          <w:sz w:val="24"/>
          <w:szCs w:val="24"/>
          <w:highlight w:val="none"/>
          <w:lang w:eastAsia="zh-CN"/>
        </w:rPr>
        <w:t>、</w:t>
      </w:r>
      <w:r>
        <w:rPr>
          <w:rFonts w:hint="eastAsia" w:eastAsia="宋体" w:cs="Times New Roman"/>
          <w:bCs/>
          <w:color w:val="auto"/>
          <w:sz w:val="24"/>
          <w:szCs w:val="24"/>
          <w:highlight w:val="none"/>
          <w:lang w:val="en-US" w:eastAsia="zh-CN"/>
        </w:rPr>
        <w:t>土地沙化</w:t>
      </w:r>
      <w:r>
        <w:rPr>
          <w:rFonts w:hint="default" w:ascii="Times New Roman" w:hAnsi="Times New Roman" w:eastAsia="宋体" w:cs="Times New Roman"/>
          <w:bCs/>
          <w:color w:val="auto"/>
          <w:sz w:val="24"/>
          <w:szCs w:val="24"/>
          <w:highlight w:val="none"/>
        </w:rPr>
        <w:t>保护措施</w:t>
      </w:r>
    </w:p>
    <w:p w14:paraId="3C69E048">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围场满族蒙古族自治县阳洁光伏发电有限责任公司</w:t>
      </w:r>
      <w:r>
        <w:rPr>
          <w:rFonts w:hint="eastAsia" w:ascii="Times New Roman" w:hAnsi="Times New Roman" w:eastAsia="宋体" w:cs="Times New Roman"/>
          <w:color w:val="auto"/>
          <w:sz w:val="24"/>
          <w:highlight w:val="none"/>
          <w:lang w:val="en-US" w:eastAsia="zh-CN"/>
        </w:rPr>
        <w:t>委托河北能晖工程技术服务有限公司编制了</w:t>
      </w:r>
      <w:r>
        <w:rPr>
          <w:rFonts w:hint="eastAsia" w:ascii="Times New Roman" w:hAnsi="Times New Roman" w:eastAsia="宋体" w:cs="Times New Roman"/>
          <w:snapToGrid w:val="0"/>
          <w:color w:val="auto"/>
          <w:kern w:val="2"/>
          <w:sz w:val="24"/>
          <w:szCs w:val="24"/>
          <w:highlight w:val="none"/>
          <w:lang w:eastAsia="zh-CN"/>
        </w:rPr>
        <w:t>《华能围场“风光储氢热一体化”项目（光伏200MW）项目220kV送出线路工程水土保持方案报告表》（</w:t>
      </w:r>
      <w:r>
        <w:rPr>
          <w:rFonts w:hint="eastAsia" w:ascii="Times New Roman" w:hAnsi="Times New Roman" w:eastAsia="宋体" w:cs="Times New Roman"/>
          <w:snapToGrid w:val="0"/>
          <w:color w:val="auto"/>
          <w:kern w:val="2"/>
          <w:sz w:val="24"/>
          <w:szCs w:val="24"/>
          <w:highlight w:val="none"/>
          <w:lang w:val="en-US" w:eastAsia="zh-CN"/>
        </w:rPr>
        <w:t>以下简称水土保持方案</w:t>
      </w:r>
      <w:r>
        <w:rPr>
          <w:rFonts w:hint="eastAsia" w:ascii="Times New Roman" w:hAnsi="Times New Roman" w:eastAsia="宋体" w:cs="Times New Roman"/>
          <w:snapToGrid w:val="0"/>
          <w:color w:val="auto"/>
          <w:kern w:val="2"/>
          <w:sz w:val="24"/>
          <w:szCs w:val="24"/>
          <w:highlight w:val="none"/>
          <w:lang w:eastAsia="zh-CN"/>
        </w:rPr>
        <w:t>），</w:t>
      </w:r>
      <w:r>
        <w:rPr>
          <w:rFonts w:hint="eastAsia" w:ascii="Times New Roman" w:hAnsi="Times New Roman" w:eastAsia="宋体" w:cs="Times New Roman"/>
          <w:snapToGrid w:val="0"/>
          <w:color w:val="auto"/>
          <w:kern w:val="2"/>
          <w:sz w:val="24"/>
          <w:szCs w:val="24"/>
          <w:highlight w:val="none"/>
          <w:lang w:val="en-US" w:eastAsia="zh-CN"/>
        </w:rPr>
        <w:t>2024年6月17日取得承德市数据和政务服务局准予许可的文件（承数政决字202407-10）。引用水土保持方案中水土保护措施：</w:t>
      </w:r>
    </w:p>
    <w:p w14:paraId="1CD24112">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结合项目建设特点、水土流失预测结果、防治目标、水土流失防治分区等内容，在分析主体工程建设中具有水土保持功能设施的基础上，借鉴同类工程的水土保持经验，针对本项目建设活动引发的水土流失因害设防，采用工程措施、植物措施、临时措施和管理措施相结合的水土流失综合防治措施体系，力求使本项目造成的水土流失得以集中和全面治理。在发挥工程措施、临时措施控制性和速效性特点的同时，充分发挥植物措施的长效性和美化效果，形成工程措施、植物措施、临时措施和管理措施结合互补的综合防治体系，在时间和空间上形成完整的水土保持防治体系。</w:t>
      </w:r>
    </w:p>
    <w:p w14:paraId="75430BC7">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1）平地段送出线路区</w:t>
      </w:r>
    </w:p>
    <w:p w14:paraId="352E4DB9">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①塔基基础区</w:t>
      </w:r>
    </w:p>
    <w:p w14:paraId="5E5297CB">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机基础施工前进行清表，剥离表土与一般土石方分别堆放在各个铁塔施工场地边角且不影响施工处，并采取草袋装土拦挡、防尘网苫盖等临时防护措施；塔机基础完工后回铺表土、在塔基基础周边设置挡水土埂、对塔基基础区进行植被恢复。</w:t>
      </w:r>
    </w:p>
    <w:p w14:paraId="53146D05">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1426C2BE">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表土剥离：送出线路平地段设计塔基8基，塔基基础开挖前进行表土剥离，可剥离面积0.07hm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，平均剥离厚度30cm，剥离表土0.02万m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，堆放在施工场边角不影响施工作业处，用于施工结束后绿化覆土来源。</w:t>
      </w:r>
    </w:p>
    <w:p w14:paraId="785AAD4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表土回覆：塔基基础施工完成后对回填区域进行回覆平整，覆土面积0.07hm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，覆土厚度约31cm左右，回覆量约0.02万m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2F840C2B">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挡水土埂：塔基架线施工结束后在平地段塔基基础四周边缘修筑挡水土埂，避免汇集径流冲刷坡面，土埂长度210m，土埂断面为梯形，埂高0.3m，上底0.3m，边坡1:1。</w:t>
      </w:r>
    </w:p>
    <w:p w14:paraId="3DB4EF8B">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56858D88">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种草绿化：塔基架线施工结束后对塔基基础占地区域进行平整绿化，绿化采用撒播草籽的方式，绿化面积0.07hm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，需羊茅、沙打旺草籽4.20kg</w:t>
      </w:r>
      <w:r>
        <w:rPr>
          <w:rFonts w:hint="eastAsia" w:ascii="Times New Roman" w:hAnsi="Times New Roman" w:eastAsia="宋体" w:cs="Times New Roman"/>
          <w:b w:val="0"/>
          <w:bCs w:val="0"/>
          <w:color w:val="auto"/>
          <w:kern w:val="0"/>
          <w:sz w:val="24"/>
          <w:szCs w:val="24"/>
          <w:lang w:val="en-US" w:eastAsia="zh-CN" w:bidi="ar"/>
        </w:rPr>
        <w:t>。</w:t>
      </w:r>
    </w:p>
    <w:p w14:paraId="1D4AC9C6">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②塔基施工区</w:t>
      </w:r>
    </w:p>
    <w:p w14:paraId="14841BFB">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基基础剥离表土与一般土石方分别堆放在各个铁塔施工场地边角且不影响施工处，并采取草袋装土拦挡、防尘网苫盖等临时防护措施；为保护场区内地表植被，减少地表扰动，方案在塔基施工区设置了彩条布铺垫措施；铁塔安装施工结束对临时占用耕地区域进行复耕、对临时占用林草地区域进行植被恢复。</w:t>
      </w:r>
    </w:p>
    <w:p w14:paraId="1D6192A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2F8C55BD">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复耕：塔基架线施工结束后对平地段塔基施工区临时占用耕地区域进行场地清理、坑凹回填、人工施肥、机械耕翻，耕地恢复面积0.04hm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7CFB6C5D">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746E4182">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种草绿化：塔基架线施工结束后对平地段塔基施工场地进行平整绿化，绿化采用撒播草籽的方式，绿化面积0.05hm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，需羊茅、沙打旺草籽3.00kg。</w:t>
      </w:r>
    </w:p>
    <w:p w14:paraId="2F76075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4FA3F0C6">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拦挡：平地段塔基基础开挖剥离表土及一般土石方堆放在施工场地边角且不影响施工作业处，为防止降雨对临时堆土的冲刷流失，在堆土四周用草袋装土拦挡，需设置草袋装土拦挡144m，砌码草袋装土拦挡86.40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w:t>
      </w:r>
    </w:p>
    <w:p w14:paraId="55D0B2C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临时苫盖：施工期间，为防止扬尘，需对平地段场地内堆放土方及裸露的松散地表采取防尘网苫盖措施，苫盖面积160m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0C90E67A">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彩条布铺垫：施工期间，为减少地表扰动，对平地段塔基施工场地扰动区域采用彩条布铺垫，铺垫面积400m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484CDADD">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2）山地段送出线路区</w:t>
      </w:r>
    </w:p>
    <w:p w14:paraId="24C15848">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①塔基基础区</w:t>
      </w:r>
    </w:p>
    <w:p w14:paraId="680ED492">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机基础施工前进行清表，剥离表土与一般土石方分别堆放在各个铁塔施工场地边角且不影响施工处，并采取草袋装土拦挡、防尘网苫盖等临时防护措施；为保证边坡的稳定性，方案在山地送出线路塔基区布设干砌石挡墙；为排泄塔机基础上游汇水，方案在塔基基础周边设置挡水土埂、在山坡段塔基基础处布设浆砌石排水沟；塔基基础完工后回铺表土、对塔基基础区进行植被恢复。</w:t>
      </w:r>
    </w:p>
    <w:p w14:paraId="03AE808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3FFDACDC">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表土剥离：送出线路山地段设计塔基49基，塔基基础开挖前进行表土剥离，可剥离面积0.33hm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，平均剥离厚度30cm，剥离表土0.10万m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，堆放在施工场边角不影响施工作业处，用于施工结束后绿化覆土来源。</w:t>
      </w:r>
    </w:p>
    <w:p w14:paraId="0CE7B44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表土回覆：山地段塔基基础施工完成后对回填区域进行回覆平整，覆土面积0.31hm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，覆土厚度约31cm左右，回覆量约0.10万m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4192479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干砌石挡墙：为保证边坡的稳定性，方案设计在山地段送电线路塔基边坡处设置干砌石挡墙600m对覆土进行防护，断面型式为矩形，尺寸为顶宽0.4m，高0.7m，埋深0.2m。</w:t>
      </w:r>
    </w:p>
    <w:p w14:paraId="52F6FB79">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浆砌石排水沟：为排泄山坡段塔机基础汇水，方案设计在山坡段塔机基础汇水处设置浆砌石排水沟192m，排水沟采用矩形断面，深0.4m，宽0.4m，砌筑浆砌石103.68m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eastAsia" w:ascii="Times New Roman" w:hAnsi="Times New Roman" w:eastAsia="宋体" w:cs="Times New Roman"/>
          <w:b w:val="0"/>
          <w:bCs w:val="0"/>
          <w:color w:val="auto"/>
          <w:kern w:val="0"/>
          <w:sz w:val="24"/>
          <w:szCs w:val="24"/>
          <w:lang w:val="en-US" w:eastAsia="zh-CN" w:bidi="ar"/>
        </w:rPr>
        <w:t>。</w:t>
      </w:r>
    </w:p>
    <w:p w14:paraId="75D06AEE">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挡水土埂：塔基架线施工结束后在山地段塔基基础四周边缘修筑挡水土埂，避免汇集径流冲刷坡面，土埂长度1470m，土埂断面为梯形，埂高0.3m，上底0.3m，边坡1:1。</w:t>
      </w:r>
    </w:p>
    <w:p w14:paraId="3BE546F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1DD3405A">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种草绿化：塔基架线施工结束后对山地段塔基基础占地区域进行平整绿化，绿化采用撒播草籽的方式，绿化面积0.31hm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，需羊茅、沙打旺草籽18.60kg</w:t>
      </w:r>
      <w:r>
        <w:rPr>
          <w:rFonts w:hint="eastAsia" w:ascii="Times New Roman" w:hAnsi="Times New Roman" w:eastAsia="宋体" w:cs="Times New Roman"/>
          <w:b w:val="0"/>
          <w:bCs w:val="0"/>
          <w:color w:val="auto"/>
          <w:kern w:val="0"/>
          <w:sz w:val="24"/>
          <w:szCs w:val="24"/>
          <w:lang w:val="en-US" w:eastAsia="zh-CN" w:bidi="ar"/>
        </w:rPr>
        <w:t>。</w:t>
      </w:r>
    </w:p>
    <w:p w14:paraId="7091ADB1">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②塔基施工区</w:t>
      </w:r>
    </w:p>
    <w:p w14:paraId="0284D276">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塔基基础剥离表土与一般土石方分别堆放在各个铁塔施工场地边角且不影响施工处，并采取草袋装土拦挡、防尘网苫盖等临时防护措施；为保护场区内地表植被，减少地表扰动，方案在塔基施工区设置了彩条布铺垫措施；铁塔安装施工结束对临时占用林草地区域进行植被恢复。</w:t>
      </w:r>
    </w:p>
    <w:p w14:paraId="641864B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755C96C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种草绿化：塔基架线施工结束后对山地段塔基施工场地进行平整绿化，绿化采用撒播草籽的方式，绿化面积0.65hm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，需羊茅、沙打旺草籽39.00kg。</w:t>
      </w:r>
    </w:p>
    <w:p w14:paraId="2347EB48">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184AC53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拦挡：塔基基础开挖剥离表土及一般土石方堆放在施工场地边角且不影响施工作业处，为防止降雨对临时堆土的冲刷流失，在山地段堆土四周用草袋装土拦挡，需设置草袋装土拦挡882m，砌码草袋装土拦挡529.20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w:t>
      </w:r>
    </w:p>
    <w:p w14:paraId="61141C1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临时苫盖：施工期间，为防止扬尘，需对山地段场地内堆放土方及裸露的松散地表采取防尘网苫盖措施，苫盖面积980m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3BC2476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彩条布铺垫：施工期间，为减少地表扰动，对山地段塔基施工场地扰动区域采用彩条布铺垫，铺垫面积2450m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129AC2BA">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3）牵张场区</w:t>
      </w:r>
    </w:p>
    <w:p w14:paraId="6D144BDC">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为保护牵张场区内地表植被，减少地表扰动，方案在牵张场区设置了彩条布铺垫措施；铁塔架线施工结束后牵张场区临时占用耕地区域进行复耕、对临时占用林草地区域进行植被恢复。</w:t>
      </w:r>
    </w:p>
    <w:p w14:paraId="187ACA45">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2892A657">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复耕：塔基架线施工结束后对牵张场临时占用耕地区域进行场地清理、坑凹回填、人工施肥、机械耕翻，耕地恢复面积0.10hm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w:t>
      </w:r>
    </w:p>
    <w:p w14:paraId="62904D4C">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4E5606D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种草绿化：塔基架线施工结束后对牵张场进行平整绿化，绿化采用撒播草籽的方式，绿化面积0.50hm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，需羊茅、沙打旺草籽30.00kg。</w:t>
      </w:r>
    </w:p>
    <w:p w14:paraId="3EF1604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20588FD4">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彩条布铺垫：施工期间，为减少地表扰动，对牵张场扰动区域采用彩条布铺垫，铺垫面积1600m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lang w:val="en-US" w:eastAsia="zh-CN" w:bidi="ar"/>
        </w:rPr>
        <w:t>。</w:t>
      </w:r>
    </w:p>
    <w:p w14:paraId="2425D595">
      <w:pPr>
        <w:keepNext w:val="0"/>
        <w:keepLines w:val="0"/>
        <w:pageBreakBefore w:val="0"/>
        <w:kinsoku/>
        <w:wordWrap/>
        <w:overflowPunct/>
        <w:topLinePunct w:val="0"/>
        <w:autoSpaceDE w:val="0"/>
        <w:autoSpaceDN w:val="0"/>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4）施工便道区</w:t>
      </w:r>
    </w:p>
    <w:p w14:paraId="4EF6566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施工便道施工前进行表土剥离，剥离表土临时堆放在便道一侧并采取防尘网苫盖等临时防护措施；铁塔架线施工结束对施工便道区回铺表土并恢复植被。</w:t>
      </w:r>
    </w:p>
    <w:p w14:paraId="431A05F3">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工程措施</w:t>
      </w:r>
      <w:r>
        <w:rPr>
          <w:rFonts w:hint="eastAsia" w:ascii="Times New Roman" w:hAnsi="Times New Roman" w:eastAsia="宋体" w:cs="Times New Roman"/>
          <w:b w:val="0"/>
          <w:bCs w:val="0"/>
          <w:color w:val="auto"/>
          <w:kern w:val="0"/>
          <w:sz w:val="24"/>
          <w:szCs w:val="24"/>
          <w:lang w:val="en-US" w:eastAsia="zh-CN" w:bidi="ar"/>
        </w:rPr>
        <w:t>：</w:t>
      </w:r>
    </w:p>
    <w:p w14:paraId="0A9EE8A1">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表土剥离：施工便道施工前进行表土剥离，可剥离面积1.80hm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，平均剥离厚度30cm，剥离表土0.54万m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，堆放在便道一侧不影响施工作业处，用于施工结束后绿化覆土来源。</w:t>
      </w:r>
    </w:p>
    <w:p w14:paraId="0BED3240">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表土回覆：塔基架线施工结束后对施工便道进行回覆平整，覆土面积1.80hm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，覆土厚度约30cm左右，回覆量约0.54万m</w:t>
      </w:r>
      <w:r>
        <w:rPr>
          <w:rFonts w:hint="default" w:ascii="Times New Roman" w:hAnsi="Times New Roman" w:eastAsia="宋体" w:cs="Times New Roman"/>
          <w:b w:val="0"/>
          <w:bCs w:val="0"/>
          <w:color w:val="auto"/>
          <w:kern w:val="0"/>
          <w:sz w:val="24"/>
          <w:szCs w:val="24"/>
          <w:vertAlign w:val="superscript"/>
          <w:lang w:val="en-US" w:eastAsia="zh-CN" w:bidi="ar"/>
        </w:rPr>
        <w:t>3</w:t>
      </w:r>
      <w:r>
        <w:rPr>
          <w:rFonts w:hint="default" w:ascii="Times New Roman" w:hAnsi="Times New Roman" w:eastAsia="宋体" w:cs="Times New Roman"/>
          <w:b w:val="0"/>
          <w:bCs w:val="0"/>
          <w:color w:val="auto"/>
          <w:kern w:val="0"/>
          <w:sz w:val="24"/>
          <w:szCs w:val="24"/>
          <w:lang w:val="en-US" w:eastAsia="zh-CN" w:bidi="ar"/>
        </w:rPr>
        <w:t>，覆土来源为开挖区清表挖方。</w:t>
      </w:r>
    </w:p>
    <w:p w14:paraId="1749A94F">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植物措施</w:t>
      </w:r>
      <w:r>
        <w:rPr>
          <w:rFonts w:hint="eastAsia" w:ascii="Times New Roman" w:hAnsi="Times New Roman" w:eastAsia="宋体" w:cs="Times New Roman"/>
          <w:b w:val="0"/>
          <w:bCs w:val="0"/>
          <w:color w:val="auto"/>
          <w:kern w:val="0"/>
          <w:sz w:val="24"/>
          <w:szCs w:val="24"/>
          <w:lang w:val="en-US" w:eastAsia="zh-CN" w:bidi="ar"/>
        </w:rPr>
        <w:t>：</w:t>
      </w:r>
    </w:p>
    <w:p w14:paraId="190A928C">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种草绿化：塔基架线施工结束后对施工便道扰动区域进行平整绿化，绿化采用撒播草籽的方式，绿化面积3.00hm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，草种可选用羊茅、沙打旺混播，设计播种量60kg/hm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default" w:ascii="Times New Roman" w:hAnsi="Times New Roman" w:eastAsia="宋体" w:cs="Times New Roman"/>
          <w:b w:val="0"/>
          <w:bCs w:val="0"/>
          <w:color w:val="auto"/>
          <w:kern w:val="0"/>
          <w:sz w:val="24"/>
          <w:szCs w:val="24"/>
          <w:lang w:val="en-US" w:eastAsia="zh-CN" w:bidi="ar"/>
        </w:rPr>
        <w:t>，需羊茅、沙打旺草籽180.00kg。</w:t>
      </w:r>
    </w:p>
    <w:p w14:paraId="51E3981C">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lang w:val="en-US" w:eastAsia="zh-CN" w:bidi="ar"/>
        </w:rPr>
        <w:t>临时措施</w:t>
      </w:r>
      <w:r>
        <w:rPr>
          <w:rFonts w:hint="eastAsia" w:ascii="Times New Roman" w:hAnsi="Times New Roman" w:eastAsia="宋体" w:cs="Times New Roman"/>
          <w:b w:val="0"/>
          <w:bCs w:val="0"/>
          <w:color w:val="auto"/>
          <w:kern w:val="0"/>
          <w:sz w:val="24"/>
          <w:szCs w:val="24"/>
          <w:lang w:val="en-US" w:eastAsia="zh-CN" w:bidi="ar"/>
        </w:rPr>
        <w:t>：</w:t>
      </w:r>
    </w:p>
    <w:p w14:paraId="3BB99FA0">
      <w:pPr>
        <w:keepNext w:val="0"/>
        <w:keepLines w:val="0"/>
        <w:pageBreakBefore w:val="0"/>
        <w:widowControl/>
        <w:suppressLineNumbers w:val="0"/>
        <w:kinsoku/>
        <w:wordWrap/>
        <w:overflowPunct/>
        <w:topLinePunct w:val="0"/>
        <w:autoSpaceDE w:val="0"/>
        <w:autoSpaceDN w:val="0"/>
        <w:bidi w:val="0"/>
        <w:adjustRightInd/>
        <w:snapToGrid/>
        <w:spacing w:line="480" w:lineRule="exact"/>
        <w:ind w:lef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lang w:val="en-US" w:eastAsia="zh-CN" w:bidi="ar"/>
        </w:rPr>
        <w:t>临时苫盖：施工期间，为防止扬尘，需对场地内堆放土方及裸露的松散地表采取防尘网苫盖措施，苫盖面积9000m</w:t>
      </w:r>
      <w:r>
        <w:rPr>
          <w:rFonts w:hint="default" w:ascii="Times New Roman" w:hAnsi="Times New Roman" w:eastAsia="宋体" w:cs="Times New Roman"/>
          <w:b w:val="0"/>
          <w:bCs w:val="0"/>
          <w:color w:val="auto"/>
          <w:kern w:val="0"/>
          <w:sz w:val="24"/>
          <w:szCs w:val="24"/>
          <w:vertAlign w:val="superscript"/>
          <w:lang w:val="en-US" w:eastAsia="zh-CN" w:bidi="ar"/>
        </w:rPr>
        <w:t>2</w:t>
      </w:r>
      <w:r>
        <w:rPr>
          <w:rFonts w:hint="eastAsia" w:ascii="Times New Roman" w:hAnsi="Times New Roman" w:eastAsia="宋体" w:cs="Times New Roman"/>
          <w:b w:val="0"/>
          <w:bCs w:val="0"/>
          <w:color w:val="auto"/>
          <w:kern w:val="0"/>
          <w:sz w:val="24"/>
          <w:szCs w:val="24"/>
          <w:vertAlign w:val="baseline"/>
          <w:lang w:val="en-US" w:eastAsia="zh-CN" w:bidi="ar"/>
        </w:rPr>
        <w:t>。</w:t>
      </w:r>
    </w:p>
    <w:p w14:paraId="6553B2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Cs/>
          <w:color w:val="auto"/>
          <w:sz w:val="24"/>
          <w:szCs w:val="24"/>
          <w:highlight w:val="none"/>
          <w:lang w:bidi="ar"/>
        </w:rPr>
      </w:pPr>
      <w:r>
        <w:rPr>
          <w:color w:val="auto"/>
        </w:rPr>
        <w:drawing>
          <wp:inline distT="0" distB="0" distL="114300" distR="114300">
            <wp:extent cx="5498465" cy="5801995"/>
            <wp:effectExtent l="0" t="0" r="6985" b="825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46"/>
                    <a:stretch>
                      <a:fillRect/>
                    </a:stretch>
                  </pic:blipFill>
                  <pic:spPr>
                    <a:xfrm>
                      <a:off x="0" y="0"/>
                      <a:ext cx="5498465" cy="5801995"/>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rPr>
        <w:t>图</w:t>
      </w:r>
      <w:r>
        <w:rPr>
          <w:rFonts w:hint="eastAsia" w:eastAsia="宋体" w:cs="Times New Roman"/>
          <w:b/>
          <w:bCs/>
          <w:color w:val="auto"/>
          <w:sz w:val="21"/>
          <w:szCs w:val="21"/>
          <w:lang w:val="en-US" w:eastAsia="zh-CN"/>
        </w:rPr>
        <w:t>6.1</w:t>
      </w:r>
      <w:r>
        <w:rPr>
          <w:rFonts w:hint="default" w:ascii="Times New Roman" w:hAnsi="Times New Roman" w:eastAsia="宋体" w:cs="Times New Roman"/>
          <w:b/>
          <w:bCs/>
          <w:color w:val="auto"/>
          <w:sz w:val="21"/>
          <w:szCs w:val="21"/>
        </w:rPr>
        <w:t>-1 水土保持措施体系框图</w:t>
      </w:r>
    </w:p>
    <w:p w14:paraId="65D037EE">
      <w:pPr>
        <w:keepNext w:val="0"/>
        <w:keepLines w:val="0"/>
        <w:pageBreakBefore w:val="0"/>
        <w:widowControl/>
        <w:kinsoku/>
        <w:wordWrap/>
        <w:overflowPunct/>
        <w:topLinePunct w:val="0"/>
        <w:autoSpaceDE/>
        <w:autoSpaceDN/>
        <w:bidi w:val="0"/>
        <w:adjustRightInd/>
        <w:snapToGrid/>
        <w:spacing w:line="480" w:lineRule="exact"/>
        <w:ind w:left="0" w:leftChars="0"/>
        <w:jc w:val="both"/>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（5）景观保护措施</w:t>
      </w:r>
    </w:p>
    <w:p w14:paraId="72F05693">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通过采取围挡作业、分区施工、及时清理余方、采取防扬尘措施、集中收集施工人员生活垃圾并及时清运处理等措施，可以将施工期造成的景观影响降至最小。</w:t>
      </w:r>
    </w:p>
    <w:p w14:paraId="3F3D8C9C">
      <w:pPr>
        <w:widowControl/>
        <w:spacing w:line="440" w:lineRule="exact"/>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（6）预期效果</w:t>
      </w:r>
    </w:p>
    <w:p w14:paraId="1E6DCD0D">
      <w:pPr>
        <w:pStyle w:val="2"/>
        <w:spacing w:after="0" w:line="480" w:lineRule="exact"/>
        <w:ind w:firstLine="480" w:firstLineChars="200"/>
        <w:jc w:val="both"/>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项目在采取以上生态保护措施后，可以有效减轻工程施工对评价区的生态影响，减少施工造成的土壤侵蚀，使本项目的建设对生态环境的影响减少到最小。施工期结束后，经过1-3年的生态恢复后，植被能够基本恢复原貌。</w:t>
      </w:r>
    </w:p>
    <w:p w14:paraId="2EC43D89">
      <w:pPr>
        <w:pStyle w:val="2"/>
        <w:spacing w:after="0" w:line="480" w:lineRule="exact"/>
        <w:ind w:firstLine="482" w:firstLineChars="200"/>
        <w:jc w:val="both"/>
        <w:rPr>
          <w:rFonts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2、河北滦河上游国家级自然保护区段和生态保护红线段</w:t>
      </w:r>
    </w:p>
    <w:p w14:paraId="30CEF48D">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经调查，项目工程占地范围无珍稀濒危的重点保护野生植物，动物以乌鸦、喜鹊、草兔、鼠类等动物为常见，工程建设对其影响轻微。植物以白桦、柞树等为主。施工过程中将直接铲除占地范围内的植被，机械和施工人员不可避免地破坏施工区域内的植被，造成植被减少，对该区域内生态系统会产生一定影响。</w:t>
      </w:r>
      <w:r>
        <w:rPr>
          <w:rFonts w:hint="eastAsia" w:ascii="Times New Roman" w:hAnsi="Times New Roman" w:eastAsia="宋体" w:cs="Times New Roman"/>
          <w:color w:val="auto"/>
          <w:sz w:val="24"/>
          <w:highlight w:val="none"/>
        </w:rPr>
        <w:t>河北滦河上游国家级自然保护区段和生态保护红线段除采取一般段生态保护措施外，还需采取以下措施</w:t>
      </w:r>
      <w:r>
        <w:rPr>
          <w:rFonts w:hint="eastAsia" w:ascii="Times New Roman" w:hAnsi="Times New Roman" w:eastAsia="宋体" w:cs="Times New Roman"/>
          <w:color w:val="auto"/>
          <w:sz w:val="24"/>
          <w:szCs w:val="24"/>
          <w:highlight w:val="none"/>
        </w:rPr>
        <w:t>减轻对动植物的影响。</w:t>
      </w:r>
    </w:p>
    <w:p w14:paraId="206F5D82">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（1）植物保护措施</w:t>
      </w:r>
    </w:p>
    <w:p w14:paraId="15B721E2">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①施工期间严禁在保护区设置施工营地。</w:t>
      </w:r>
    </w:p>
    <w:p w14:paraId="6261869A">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②河北滦河上游国家级自然保护区主要保护对象为多样完整的森林生态系统、珍稀野生动植物，对进入保护区的施工人员进行野生植物保护宣传教育，让其了解保护区的植物多样性，减少破坏保护区野生植被。</w:t>
      </w:r>
    </w:p>
    <w:p w14:paraId="47CF4FF4">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③在施工前划定好塔基占地范围，按图施工，严格控制开挖范围及开挖量，每个塔基的开挖量控制在2m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，开挖的土石方应集中在塔基占地范围内堆置，严禁破坏占地区域外的植被。</w:t>
      </w:r>
    </w:p>
    <w:p w14:paraId="78190DEB">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④塔基施工开挖时应分层开挖，分层堆放，注意表土保护，开挖土方均在塔基占地范围内合理位置填埋。</w:t>
      </w:r>
    </w:p>
    <w:p w14:paraId="72D10390">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⑤工程施工过程中强化管理，提高管理者的消防意识，注意管理巡查，严禁携带火源进入保护区，避免森林火灾的发生。</w:t>
      </w:r>
    </w:p>
    <w:p w14:paraId="0CD6B9F9">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（2）动物保护措施</w:t>
      </w:r>
    </w:p>
    <w:p w14:paraId="0E5B9D24">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影响评价区内共有脊椎动物19目36科76种，其中两栖动物2目2科2种，爬行类2目3科6种，鸟类10目23科55种，哺乳类5目8科13种。野生动物资源较为丰富，开工前施工单位应对施工人员开展保护野生动物宣传教育，制作一定数量的宣传标识牌，禁止干扰动物活动，禁止伤害和猎捕保护区内野生动物。</w:t>
      </w:r>
    </w:p>
    <w:p w14:paraId="434FA9DC">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②评价区繁殖鸟类主要繁殖期在3-7月，主要迁徙期在春季和秋季，施工时间不得安排在鸟类繁殖期和迁徙期，在开工前巡视因施工需要而将被移除的树木上是否筑巢繁殖，若有，须暂停施工，降低对动物的影响。</w:t>
      </w:r>
    </w:p>
    <w:p w14:paraId="046BBDB2">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③保护区内动物多在早晨和黄昏活动，一定要做好施工计划，尽量避免在这两个时间段施工。</w:t>
      </w:r>
    </w:p>
    <w:p w14:paraId="61F2CF57">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④对施工人员严格要求，禁止施工人员进入施工区域外的林区休息、游玩等。</w:t>
      </w:r>
    </w:p>
    <w:p w14:paraId="37FE315C">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⑤在施工现场设置警示或提示牌，警示或提示施工人员在施工过程中如果发现野生动物出没，严禁干扰野生动物的活动，严禁伤害与猎杀任何野生动物。</w:t>
      </w:r>
    </w:p>
    <w:p w14:paraId="479C74B6">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⑥在施工场地四周设置围栏、警示杆等，避免野生动物或鸟类误入施工区造成动物或鸟类的伤亡。</w:t>
      </w:r>
    </w:p>
    <w:p w14:paraId="4E3AC362">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⑦减少夜间作业，避免灯光、噪声对夜间动物活动的惊扰。加强建设期环境噪声监测，配备噪声测量仪器，对施工现场附近的敏感点进行定点、定时监测，根据敏感点的具体方位设置可移动的隔声屏障等保护措施。</w:t>
      </w:r>
    </w:p>
    <w:p w14:paraId="3D08E7D0">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⑧严格控制工期。应在预期的时间内尽快完成工程，切忌拖延工期。加强施工人员管理，严格划定施工活动范围。</w:t>
      </w:r>
    </w:p>
    <w:p w14:paraId="5E17F236">
      <w:pPr>
        <w:pStyle w:val="2"/>
        <w:spacing w:after="0" w:line="480" w:lineRule="exact"/>
        <w:ind w:firstLine="482" w:firstLineChars="200"/>
        <w:jc w:val="both"/>
        <w:rPr>
          <w:rFonts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val="en-US" w:eastAsia="zh-CN"/>
        </w:rPr>
        <w:t>6.1.2</w:t>
      </w:r>
      <w:r>
        <w:rPr>
          <w:rFonts w:ascii="Times New Roman" w:hAnsi="Times New Roman" w:eastAsia="宋体" w:cs="Times New Roman"/>
          <w:b/>
          <w:color w:val="auto"/>
          <w:sz w:val="24"/>
          <w:szCs w:val="24"/>
          <w:highlight w:val="none"/>
          <w:lang w:eastAsia="zh-CN"/>
        </w:rPr>
        <w:t>大气环境保护措施</w:t>
      </w:r>
    </w:p>
    <w:p w14:paraId="7F3FED46">
      <w:pPr>
        <w:spacing w:line="440" w:lineRule="exact"/>
        <w:ind w:firstLine="482" w:firstLineChars="200"/>
        <w:jc w:val="left"/>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1、一般段大气环境保护措施</w:t>
      </w:r>
    </w:p>
    <w:p w14:paraId="29C0E6D2">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（1）扬尘治理措施</w:t>
      </w:r>
    </w:p>
    <w:p w14:paraId="1DDF9667">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结合《河北省扬尘污染防治办法》、《河北省建筑施工扬尘防治标准》，本项目施工期应严格执行如下扬尘治理措施：</w:t>
      </w:r>
    </w:p>
    <w:p w14:paraId="0A30E261">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①施工单位必须在施工现场出入口明显位置设置扬尘防治公示牌，内容包括建设、施工、监理及监管等单位名称、扬尘防治负责人的名称、联系电话、举报电话等。</w:t>
      </w:r>
    </w:p>
    <w:p w14:paraId="222FF533">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②施工现场设置硬质围挡，围挡应坚固、美观，严禁围挡不严或敞开式施工。本项目围挡高度应不低于1.8m。</w:t>
      </w:r>
    </w:p>
    <w:p w14:paraId="5BCCEF6E">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③施工现场出入口和场内施工道路、材料加工堆放区必须采用混凝土硬化或采用硬质砌块铺设，并实现硬化率达100%，硬化后的地面应清扫整洁无浮土、积土。</w:t>
      </w:r>
    </w:p>
    <w:p w14:paraId="7B123E15">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④施工现场出入口必须配备车辆冲洗设施，设置排水、泥浆沉淀池等设施，建立冲洗制度并设专人管理，严禁车辆带泥上路。</w:t>
      </w:r>
    </w:p>
    <w:p w14:paraId="247E7D82">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⑤施工现场集中堆放的土方和裸露场地必须采取覆盖、固化或绿化等防尘措施，严禁裸露。</w:t>
      </w:r>
    </w:p>
    <w:p w14:paraId="4984EF00">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⑥施工现场易飞扬的细颗粒建筑材料必须密闭存放或严密覆盖，严禁露天放置；搬运时应有降尘措施，余料及时回收。</w:t>
      </w:r>
    </w:p>
    <w:p w14:paraId="11E3D702">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⑦部分施工区域距离村庄较近，为减少施工期对居民的影响，要求临近区域施工前及时通知影响范围内居民，适当增加临近居民侧围挡高度，增加临近居民处洒水抑尘次数，施工机械和车辆尽量避让居民居住区行驶，以减少施工废气对居民的影响。</w:t>
      </w:r>
    </w:p>
    <w:p w14:paraId="2BBFBF35">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⑧生活垃圾应用封闭式容器存放，日产日清，严禁随意丢弃。</w:t>
      </w:r>
    </w:p>
    <w:p w14:paraId="609A3BD3">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⑨施工现场建立洒水清扫抑尘制度，配备洒水设备。非冰冻期每天洒水不少于2次，并有专人负责。重污染天气时相应增加洒水频次。遇有4级以上大风或重污染天气预警时，必须采取扬尘防治应急措施，严禁土方开挖、土方回填或其他有可能产生扬尘的作业。</w:t>
      </w:r>
    </w:p>
    <w:p w14:paraId="099CB1AC">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采取以上措施后，施工扬尘排放能够满足《施工场地扬尘排放标准》（DB13/2934-2019）表1扬尘排放浓度限值。随着施工的完成，这些影响也将消失，因此不会对周围环境产生较大的不利影响。</w:t>
      </w:r>
    </w:p>
    <w:p w14:paraId="776E2483">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（2）施工机械和运输车辆的尾气治理措施</w:t>
      </w:r>
    </w:p>
    <w:p w14:paraId="31E5B545">
      <w:pPr>
        <w:pStyle w:val="2"/>
        <w:spacing w:after="0" w:line="480" w:lineRule="exact"/>
        <w:ind w:firstLine="480" w:firstLineChars="200"/>
        <w:jc w:val="both"/>
        <w:rPr>
          <w:rFonts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lang w:eastAsia="zh-CN"/>
        </w:rPr>
        <w:t>本项目施工机械和运输车辆排放的大气污染物相对较少，对周边影响程度及范围较小，通过采取限制超载、限制超速等措施，可以大大降低运输车辆及施工机械尾气对周围环境敏感点的影响。因此，机械施工和运输车辆所排放的尾气对周围环境影响较小。</w:t>
      </w:r>
    </w:p>
    <w:p w14:paraId="42F9E735">
      <w:pPr>
        <w:pStyle w:val="2"/>
        <w:spacing w:after="0" w:line="480" w:lineRule="exact"/>
        <w:ind w:firstLine="482" w:firstLineChars="200"/>
        <w:jc w:val="both"/>
        <w:rPr>
          <w:rFonts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2、河北滦河上游国家级自然保护区段和生态保护红线段</w:t>
      </w:r>
    </w:p>
    <w:p w14:paraId="0974FC2C">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本项目对大气环境的影响主要体现在施工过程中土方挖掘与填筑、建筑材料装运等施工作业产生的扬尘，为降低项目施工对大气环境的影响，</w:t>
      </w:r>
      <w:r>
        <w:rPr>
          <w:rFonts w:hint="eastAsia" w:ascii="Times New Roman" w:hAnsi="Times New Roman" w:eastAsia="宋体" w:cs="Times New Roman"/>
          <w:color w:val="auto"/>
          <w:sz w:val="24"/>
          <w:highlight w:val="none"/>
        </w:rPr>
        <w:t>河北滦河上游国家级自然保护区段和生态保护红线段除采取一般段大气保护措施外，还需</w:t>
      </w:r>
      <w:r>
        <w:rPr>
          <w:rFonts w:hint="eastAsia" w:ascii="Times New Roman" w:hAnsi="Times New Roman" w:eastAsia="宋体" w:cs="Times New Roman"/>
          <w:color w:val="auto"/>
          <w:sz w:val="24"/>
          <w:highlight w:val="none"/>
          <w:lang w:eastAsia="zh-CN"/>
        </w:rPr>
        <w:t>重点</w:t>
      </w:r>
      <w:r>
        <w:rPr>
          <w:rFonts w:hint="eastAsia" w:ascii="Times New Roman" w:hAnsi="Times New Roman" w:eastAsia="宋体" w:cs="Times New Roman"/>
          <w:color w:val="auto"/>
          <w:sz w:val="24"/>
          <w:highlight w:val="none"/>
        </w:rPr>
        <w:t>采取以下措施</w:t>
      </w:r>
      <w:r>
        <w:rPr>
          <w:rFonts w:hint="eastAsia" w:ascii="Times New Roman" w:hAnsi="Times New Roman" w:eastAsia="宋体" w:cs="Times New Roman"/>
          <w:color w:val="auto"/>
          <w:sz w:val="24"/>
          <w:szCs w:val="24"/>
          <w:highlight w:val="none"/>
        </w:rPr>
        <w:t>减轻影响。</w:t>
      </w:r>
    </w:p>
    <w:p w14:paraId="5D2E96D1">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①施工单位必须在施工现场出入口明显位置设置扬尘防治公示牌，内容包括建设、施工、监理及监管等单位名称、扬尘防治负责人的名称、联系电话、举报电话等。</w:t>
      </w:r>
    </w:p>
    <w:p w14:paraId="0F44ACD8">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②施工现场必须连续设置硬质围挡，围挡应坚固、美观，严禁围挡不严或敞开式施工。本项目围挡高度应不低于1.8m。</w:t>
      </w:r>
    </w:p>
    <w:p w14:paraId="5C674010">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③施工现场集中堆放的土方和裸露场地必须采取覆盖、固化或绿化等防尘措施，严禁裸露。</w:t>
      </w:r>
    </w:p>
    <w:p w14:paraId="26524A52">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④施工现场易飞扬的细颗粒建筑材料必须密闭存放或严密覆盖，严禁露天放置；搬运时应有降尘措施，余料及时回收。</w:t>
      </w:r>
    </w:p>
    <w:p w14:paraId="1B4AE49E">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⑤施工现场建立洒水清扫抑尘制度，配备洒水设备。非冰冻期每天洒水不少于2次，并有专人负责。重污染天气时相应增加洒水频次。遇有4级以上大风或重污染天气预警时，必须采取扬尘防治应急措施，严禁土方开挖、土方填埋或其他有可能产生扬尘的作业。</w:t>
      </w:r>
    </w:p>
    <w:p w14:paraId="1BDCE55F">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采取以上措施后，施工扬尘排放能够满足《施工场地扬尘排放标准》（DB13/2934-2019）扬尘排放浓度限值。</w:t>
      </w:r>
    </w:p>
    <w:p w14:paraId="46035DFF">
      <w:pPr>
        <w:adjustRightInd w:val="0"/>
        <w:spacing w:line="480" w:lineRule="exact"/>
        <w:ind w:firstLine="482" w:firstLineChars="200"/>
        <w:jc w:val="both"/>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6.1.3</w:t>
      </w:r>
      <w:r>
        <w:rPr>
          <w:rFonts w:ascii="Times New Roman" w:hAnsi="Times New Roman" w:eastAsia="宋体" w:cs="Times New Roman"/>
          <w:b/>
          <w:color w:val="auto"/>
          <w:sz w:val="24"/>
          <w:szCs w:val="24"/>
          <w:highlight w:val="none"/>
        </w:rPr>
        <w:t>水环境保护措施</w:t>
      </w:r>
    </w:p>
    <w:p w14:paraId="7CC8B079">
      <w:pPr>
        <w:spacing w:line="440" w:lineRule="exact"/>
        <w:ind w:firstLine="482" w:firstLineChars="200"/>
        <w:jc w:val="left"/>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1、一般段水环境保护措施</w:t>
      </w:r>
    </w:p>
    <w:p w14:paraId="6B3B39BF">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施工期产生的施工设备清洗和水泥养护排水，水量较小，主要污染物为泥沙，对环境影响较小。施工场地应设简易沉淀池，将施工废水收集沉淀后，用于场地泼洒降尘。建设期间，施工现场施工高峰期人数为50人，产生的生活污水为职工盥洗废水，水量较小，用于场区内泼洒抑尘，同时施工区设置防渗旱厕，定期清掏用作农肥，不外排。</w:t>
      </w:r>
    </w:p>
    <w:p w14:paraId="43CE3B06">
      <w:pPr>
        <w:spacing w:line="480" w:lineRule="exact"/>
        <w:ind w:firstLine="482" w:firstLineChars="200"/>
        <w:jc w:val="both"/>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2、河北滦河上游国家级自然保护区段和生态保护红线段</w:t>
      </w:r>
    </w:p>
    <w:p w14:paraId="506063BA">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highlight w:val="none"/>
        </w:rPr>
        <w:t>河北滦河上游国家级自然保护区段和生态保护红线段除采取一般段水环境保护措施外，还需采取以下措施</w:t>
      </w:r>
      <w:r>
        <w:rPr>
          <w:rFonts w:hint="eastAsia" w:ascii="Times New Roman" w:hAnsi="Times New Roman" w:eastAsia="宋体" w:cs="Times New Roman"/>
          <w:color w:val="auto"/>
          <w:sz w:val="24"/>
          <w:szCs w:val="24"/>
          <w:highlight w:val="none"/>
        </w:rPr>
        <w:t>减轻影响。</w:t>
      </w:r>
    </w:p>
    <w:p w14:paraId="325FFFBB">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（1）本项目施工过程中在保护区内不设置施工驻地，施工期对水环境的影响主要是施工人员产生的生活污水，应加强对施工人员的管理，施工人员在自然保护区内施工时严禁随意排放生活污水。</w:t>
      </w:r>
    </w:p>
    <w:p w14:paraId="290F6DA4">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（2）当日施工结束后，施工设备等应随人员转移至位于保护区范围外的施工营地存放。施工单位要做好施工场地周围的拦挡措施，尽量避开雨季土石方开挖作业。</w:t>
      </w:r>
    </w:p>
    <w:p w14:paraId="3D59CCB1">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综上，本项目施工期间无废水外排，不会对项目区水环境产生明显影响。</w:t>
      </w:r>
    </w:p>
    <w:p w14:paraId="24A6B65C">
      <w:pPr>
        <w:spacing w:line="480" w:lineRule="exact"/>
        <w:ind w:firstLine="482" w:firstLineChars="200"/>
        <w:jc w:val="both"/>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6.1.4</w:t>
      </w:r>
      <w:r>
        <w:rPr>
          <w:rFonts w:hint="eastAsia" w:ascii="Times New Roman" w:hAnsi="Times New Roman" w:eastAsia="宋体" w:cs="Times New Roman"/>
          <w:b/>
          <w:bCs/>
          <w:color w:val="auto"/>
          <w:sz w:val="24"/>
          <w:szCs w:val="24"/>
          <w:highlight w:val="none"/>
        </w:rPr>
        <w:t>声环境保护措施</w:t>
      </w:r>
    </w:p>
    <w:p w14:paraId="164BAF85">
      <w:pPr>
        <w:spacing w:line="480" w:lineRule="exact"/>
        <w:ind w:firstLine="482" w:firstLineChars="200"/>
        <w:jc w:val="both"/>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1、一般段声环境保护措施</w:t>
      </w:r>
    </w:p>
    <w:p w14:paraId="61DE80E4">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对不同施工阶段和施工机械产生的噪声影响，建设单位应采取切实有效的防噪措施，尽可能的降低施工过程中机械设备和运输车辆产生的噪声对周边环境的影响，具体措施如下：</w:t>
      </w:r>
    </w:p>
    <w:p w14:paraId="3ADA52A5">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（1）施工单位所使用的主要施工机械应选用低噪声机械设备，并及时维修保养，严格按操作规程使用各类机械。</w:t>
      </w:r>
    </w:p>
    <w:p w14:paraId="0B5618A6">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（2）对施工区外部采用围挡，减轻施工噪声对外环境的影响。压路机、挖掘机等设备运行噪声不可避免，因此基础开挖等作业必须在短期内完成。</w:t>
      </w:r>
    </w:p>
    <w:p w14:paraId="59E15061">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（3）为了最大限度地减少施工噪声对外环境的影响，昼间施工限制使用高噪声施工机械施工，夜间（22：00点到6：00点）禁止施工。</w:t>
      </w:r>
    </w:p>
    <w:p w14:paraId="0E2BF7E0">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4）为减少对临近居民的影响，钢筋调直机、钢筋切断机等非必须固定设备远离居民区进行生产加工，不在居民区附近设置固定的加工点位。减少临近居民区域的非必要车辆行驶，不在夜间和中午进行运输，以减少车辆运输噪声对临近居民的影响。</w:t>
      </w:r>
    </w:p>
    <w:p w14:paraId="099C28A9">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（5）严格控制建筑施工过程中场界环境噪声，不得超过《建筑施工场界环境噪声排放标准》（GB12532-2011）中的标准要求，即：昼间不得超过70dB（A），夜间不得超过55dB（A）。</w:t>
      </w:r>
    </w:p>
    <w:p w14:paraId="536AE1B6">
      <w:pPr>
        <w:spacing w:line="480" w:lineRule="exact"/>
        <w:ind w:firstLine="482" w:firstLineChars="200"/>
        <w:jc w:val="both"/>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2、河北滦河上游国家级自然保护区段和生态保护红线段</w:t>
      </w:r>
    </w:p>
    <w:p w14:paraId="6B21BB84">
      <w:pPr>
        <w:spacing w:line="480" w:lineRule="exact"/>
        <w:ind w:firstLine="480" w:firstLineChars="200"/>
        <w:jc w:val="both"/>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highlight w:val="none"/>
        </w:rPr>
        <w:t>河北滦河上游国家级自然保护区段和生态保护红线段除采取一般段声环境保护措施外，还需采取以下措施</w:t>
      </w:r>
      <w:r>
        <w:rPr>
          <w:rFonts w:hint="eastAsia" w:ascii="Times New Roman" w:hAnsi="Times New Roman" w:eastAsia="宋体" w:cs="Times New Roman"/>
          <w:color w:val="auto"/>
          <w:sz w:val="24"/>
          <w:szCs w:val="24"/>
          <w:highlight w:val="none"/>
        </w:rPr>
        <w:t>减轻影响。</w:t>
      </w:r>
    </w:p>
    <w:p w14:paraId="257DE6DD">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（1）施工单位所使用的主要施工机械应选用低噪声机械设备，并及时维修保养。</w:t>
      </w:r>
    </w:p>
    <w:p w14:paraId="038363E9">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（2）对施工区外部采用围档，减轻施工噪声对外环境的影响，开挖作业尽量在短期内完成。</w:t>
      </w:r>
    </w:p>
    <w:p w14:paraId="5792ECC5">
      <w:pPr>
        <w:spacing w:line="480" w:lineRule="exact"/>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（3）保护区内有较多的夜行动物，比如黄鼬、艾鼬、狗獾等，为了最大限度地减少施工噪声对野生动物的影响，夜间（22：00点到6：00点）禁止施工。</w:t>
      </w:r>
    </w:p>
    <w:p w14:paraId="24B2A766">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snapToGrid w:val="0"/>
          <w:color w:val="auto"/>
          <w:sz w:val="24"/>
          <w:highlight w:val="none"/>
        </w:rPr>
        <w:t>采取本评价提出的各项措施后，项目施工期产生的噪声可满足《建筑施工场界环境噪声排放标准》（GB12523-2011）的要求，对区域声环境影响较小。且随施工期结束而结束。</w:t>
      </w:r>
    </w:p>
    <w:p w14:paraId="209919AB">
      <w:pPr>
        <w:spacing w:line="480" w:lineRule="exact"/>
        <w:ind w:firstLine="482" w:firstLineChars="200"/>
        <w:jc w:val="both"/>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6.1.5</w:t>
      </w:r>
      <w:r>
        <w:rPr>
          <w:rFonts w:ascii="Times New Roman" w:hAnsi="Times New Roman" w:eastAsia="宋体" w:cs="Times New Roman"/>
          <w:b/>
          <w:color w:val="auto"/>
          <w:sz w:val="24"/>
          <w:szCs w:val="24"/>
          <w:highlight w:val="none"/>
        </w:rPr>
        <w:t>固体废物保护措施</w:t>
      </w:r>
    </w:p>
    <w:p w14:paraId="6AAE96F1">
      <w:pPr>
        <w:spacing w:line="440" w:lineRule="exact"/>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一般线路段</w:t>
      </w:r>
    </w:p>
    <w:p w14:paraId="169F23C4">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本项目土石方开挖和回填总土石方调配平衡，无需借方，无弃方，不设置取土场、弃渣场，所有余方全部就近平整、回填利用。</w:t>
      </w:r>
    </w:p>
    <w:p w14:paraId="7ACA23A6">
      <w:pPr>
        <w:spacing w:line="440" w:lineRule="exact"/>
        <w:ind w:firstLine="480" w:firstLineChars="200"/>
        <w:jc w:val="left"/>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施工期间产生的固废包括施工过程中产生的</w:t>
      </w:r>
      <w:r>
        <w:rPr>
          <w:rFonts w:ascii="Times New Roman" w:hAnsi="Times New Roman" w:eastAsia="宋体" w:cs="Times New Roman"/>
          <w:color w:val="auto"/>
          <w:sz w:val="24"/>
          <w:highlight w:val="none"/>
        </w:rPr>
        <w:t>废旧导线、废旧塔材、绝缘子</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bCs/>
          <w:color w:val="auto"/>
          <w:sz w:val="24"/>
          <w:highlight w:val="none"/>
        </w:rPr>
        <w:t>建筑垃圾及施工人员生活垃圾等。</w:t>
      </w:r>
    </w:p>
    <w:p w14:paraId="33F78DD6">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snapToGrid w:val="0"/>
          <w:color w:val="auto"/>
          <w:sz w:val="24"/>
          <w:highlight w:val="none"/>
        </w:rPr>
        <w:t>上述固体废物应及时收集，不得随意抛弃、转移和扩散，施工过程中产生的</w:t>
      </w:r>
      <w:r>
        <w:rPr>
          <w:rFonts w:ascii="Times New Roman" w:hAnsi="Times New Roman" w:eastAsia="宋体" w:cs="Times New Roman"/>
          <w:color w:val="auto"/>
          <w:sz w:val="24"/>
          <w:highlight w:val="none"/>
        </w:rPr>
        <w:t>废旧导线、废旧塔材、绝缘子等可重复利用材料，由施工单位现场收集交由建设单位回收再利用。</w:t>
      </w:r>
      <w:r>
        <w:rPr>
          <w:rFonts w:ascii="Times New Roman" w:hAnsi="Times New Roman" w:eastAsia="宋体" w:cs="Times New Roman"/>
          <w:snapToGrid w:val="0"/>
          <w:color w:val="auto"/>
          <w:sz w:val="24"/>
          <w:highlight w:val="none"/>
        </w:rPr>
        <w:t>建筑垃圾送市政部门指定的地点堆存；生活垃圾收集后，交由环卫部门统一处理。在采取以上措施后，施工期固废均可得到妥善处置，不会对周围环境产生明显不良影响。</w:t>
      </w:r>
    </w:p>
    <w:p w14:paraId="22D5A49F">
      <w:pPr>
        <w:spacing w:line="480" w:lineRule="exact"/>
        <w:ind w:firstLine="482" w:firstLineChars="200"/>
        <w:jc w:val="both"/>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2、河北滦河上游国家级自然保护区段和生态保护红线段</w:t>
      </w:r>
    </w:p>
    <w:p w14:paraId="3F21E2D4">
      <w:pPr>
        <w:spacing w:line="480" w:lineRule="exact"/>
        <w:ind w:firstLine="480" w:firstLineChars="200"/>
        <w:jc w:val="both"/>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eastAsia" w:ascii="Times New Roman" w:hAnsi="Times New Roman" w:eastAsia="宋体" w:cs="Times New Roman"/>
          <w:color w:val="auto"/>
          <w:sz w:val="24"/>
          <w:szCs w:val="24"/>
          <w:highlight w:val="none"/>
        </w:rPr>
        <w:t>减轻影响。</w:t>
      </w:r>
    </w:p>
    <w:p w14:paraId="02699593">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（1）建筑垃圾包括废弃的建筑材料以及场址平整和施工开挖所产生的弃土弃石等。开挖土石应有组织地在占地范围内堆置，以备回填利用，建筑垃圾应收集后带出保护区，尽量减少对周围生态环境的破坏。</w:t>
      </w:r>
    </w:p>
    <w:p w14:paraId="79A0D5EA">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（2）废旧导线、废旧塔材、绝缘子等可重复利用材料，由施工单位现场收集交由建设单位回收再利用。对于不可回收利用的建材和建筑垃圾由施工单位运送至指定的垃圾处理厂。</w:t>
      </w:r>
    </w:p>
    <w:p w14:paraId="66E10D95">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（3）避开雨季施工，防止雨水冲刷。</w:t>
      </w:r>
    </w:p>
    <w:p w14:paraId="676D6D48">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（4）加强出碴管理，及时清运，必须做到密闭、包扎、覆盖，不得沿途撒漏，做到工序完工后场地清洁。</w:t>
      </w:r>
    </w:p>
    <w:p w14:paraId="7D1623BD">
      <w:pPr>
        <w:spacing w:line="480" w:lineRule="exact"/>
        <w:ind w:firstLine="480" w:firstLineChars="200"/>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（5）施工期间产生的生活垃圾集中收集，定期转运至保护区外进行无公害处理。</w:t>
      </w:r>
    </w:p>
    <w:p w14:paraId="1036F537">
      <w:pPr>
        <w:adjustRightInd w:val="0"/>
        <w:spacing w:line="480" w:lineRule="exact"/>
        <w:ind w:firstLine="480" w:firstLineChars="200"/>
        <w:jc w:val="both"/>
        <w:rPr>
          <w:rFonts w:ascii="Times New Roman" w:hAnsi="Times New Roman" w:eastAsia="宋体" w:cs="Times New Roman"/>
          <w:bCs/>
          <w:color w:val="auto"/>
          <w:sz w:val="24"/>
          <w:highlight w:val="none"/>
        </w:rPr>
      </w:pPr>
      <w:r>
        <w:rPr>
          <w:rFonts w:ascii="Times New Roman" w:hAnsi="Times New Roman" w:eastAsia="宋体" w:cs="Times New Roman"/>
          <w:color w:val="auto"/>
          <w:sz w:val="24"/>
          <w:highlight w:val="none"/>
        </w:rPr>
        <w:t>（6）施工结束后对施工区域再次进行清理，做到“工完、料尽、场地清”。</w:t>
      </w:r>
    </w:p>
    <w:p w14:paraId="37401A72">
      <w:pPr>
        <w:ind w:firstLine="48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综上，本项目施工期间无固体废物排放，不会对项目所在区域环境造成明显不良影响</w:t>
      </w:r>
      <w:r>
        <w:rPr>
          <w:rFonts w:ascii="Times New Roman" w:hAnsi="Times New Roman" w:eastAsia="宋体" w:cs="Times New Roman"/>
          <w:bCs/>
          <w:color w:val="auto"/>
          <w:sz w:val="24"/>
          <w:highlight w:val="none"/>
        </w:rPr>
        <w:t>。</w:t>
      </w:r>
    </w:p>
    <w:p w14:paraId="51F41377">
      <w:pPr>
        <w:ind w:firstLine="480"/>
        <w:rPr>
          <w:rFonts w:hint="eastAsia" w:eastAsia="宋体" w:cs="Times New Roman"/>
          <w:b/>
          <w:bCs/>
          <w:color w:val="auto"/>
          <w:szCs w:val="24"/>
          <w:highlight w:val="none"/>
        </w:rPr>
      </w:pPr>
      <w:r>
        <w:rPr>
          <w:rFonts w:hint="eastAsia" w:eastAsia="宋体" w:cs="Times New Roman"/>
          <w:b/>
          <w:bCs/>
          <w:color w:val="auto"/>
          <w:szCs w:val="24"/>
          <w:highlight w:val="none"/>
          <w:lang w:val="en-US" w:eastAsia="zh-CN"/>
        </w:rPr>
        <w:t>6</w:t>
      </w:r>
      <w:r>
        <w:rPr>
          <w:rFonts w:hint="eastAsia" w:eastAsia="宋体" w:cs="Times New Roman"/>
          <w:b/>
          <w:bCs/>
          <w:color w:val="auto"/>
          <w:szCs w:val="24"/>
          <w:highlight w:val="none"/>
        </w:rPr>
        <w:t>.1.6水土流失防治措施</w:t>
      </w:r>
    </w:p>
    <w:p w14:paraId="5A0D9BFD">
      <w:pPr>
        <w:spacing w:line="440" w:lineRule="exact"/>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一般线路段</w:t>
      </w:r>
    </w:p>
    <w:p w14:paraId="2F74C18B">
      <w:pPr>
        <w:widowControl/>
        <w:autoSpaceDE/>
        <w:autoSpaceDN/>
        <w:spacing w:line="440" w:lineRule="exact"/>
        <w:ind w:firstLine="480" w:firstLineChars="200"/>
        <w:jc w:val="left"/>
        <w:rPr>
          <w:rFonts w:ascii="Times New Roman" w:hAnsi="Times New Roman" w:eastAsia="宋体" w:cs="Times New Roman"/>
          <w:bCs/>
          <w:color w:val="auto"/>
          <w:sz w:val="24"/>
          <w:szCs w:val="24"/>
          <w:highlight w:val="none"/>
          <w:lang w:bidi="ar"/>
        </w:rPr>
      </w:pPr>
      <w:r>
        <w:rPr>
          <w:rFonts w:ascii="Times New Roman" w:hAnsi="Times New Roman" w:eastAsia="宋体" w:cs="Times New Roman"/>
          <w:bCs/>
          <w:color w:val="auto"/>
          <w:sz w:val="24"/>
          <w:szCs w:val="24"/>
          <w:highlight w:val="none"/>
          <w:lang w:bidi="ar"/>
        </w:rPr>
        <w:t>根据工程布置及水土流失特点，本项目将采取的水土流失主要防治措施如下：</w:t>
      </w:r>
    </w:p>
    <w:p w14:paraId="3BC7DEA5">
      <w:pPr>
        <w:bidi w:val="0"/>
        <w:rPr>
          <w:color w:val="auto"/>
          <w:highlight w:val="none"/>
        </w:rPr>
      </w:pPr>
      <w:r>
        <w:rPr>
          <w:color w:val="auto"/>
          <w:highlight w:val="none"/>
        </w:rPr>
        <w:t>施工临建场地施工前需先对表层土清除后进行集中堆置防护，后用于场地覆土。施工区临时堆土场采用编织袋装土防护和苫布覆盖、设置临时排水导流系统，采取植物绿化措施；临时道路采取土石方临时防护措施、边坡防护、排水导流以及绿化措施等；在主进场道路两侧种植绿化带。</w:t>
      </w:r>
    </w:p>
    <w:p w14:paraId="4600113C">
      <w:pPr>
        <w:bidi w:val="0"/>
        <w:rPr>
          <w:color w:val="auto"/>
          <w:highlight w:val="none"/>
        </w:rPr>
      </w:pPr>
      <w:r>
        <w:rPr>
          <w:color w:val="auto"/>
          <w:highlight w:val="none"/>
        </w:rPr>
        <w:t>道路施工结束后，及时进行路基边坡防护，并完善道路排水系统，施工应减少对工程占地以外土地的扰动，施工结束后，场地按原有土地利用功能进行恢复。</w:t>
      </w:r>
    </w:p>
    <w:p w14:paraId="6CF99C1E">
      <w:pPr>
        <w:bidi w:val="0"/>
        <w:rPr>
          <w:rFonts w:hint="eastAsia"/>
          <w:color w:val="auto"/>
          <w:highlight w:val="none"/>
        </w:rPr>
      </w:pPr>
      <w:r>
        <w:rPr>
          <w:color w:val="auto"/>
          <w:highlight w:val="none"/>
        </w:rPr>
        <w:t>通过分析可知，本项目的建设不存在水土保持限制性因素，工程占地性质、占地类型、土石方流向及施工组织基本合理，主体工程设计分类布设水土流失防治措施考虑了水土保持的有关要求，对工程建设可能产生的水土流失能起到一定的防护作用。</w:t>
      </w:r>
    </w:p>
    <w:p w14:paraId="2EB57A92">
      <w:pPr>
        <w:spacing w:line="480" w:lineRule="exact"/>
        <w:ind w:firstLine="482" w:firstLineChars="200"/>
        <w:jc w:val="both"/>
        <w:rPr>
          <w:rFonts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2、河北滦河上游国家级自然保护区段和生态保护红线段</w:t>
      </w:r>
    </w:p>
    <w:p w14:paraId="3F6622C0">
      <w:pPr>
        <w:spacing w:line="480" w:lineRule="exact"/>
        <w:ind w:firstLine="480" w:firstLineChars="200"/>
        <w:jc w:val="both"/>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河北滦河上游国家级自然保护区段和生态保护红线段除采取一般段环境保护措施外，还需采取以下措施</w:t>
      </w:r>
      <w:r>
        <w:rPr>
          <w:rFonts w:hint="eastAsia" w:ascii="Times New Roman" w:hAnsi="Times New Roman" w:eastAsia="宋体" w:cs="Times New Roman"/>
          <w:color w:val="auto"/>
          <w:sz w:val="24"/>
          <w:szCs w:val="24"/>
          <w:highlight w:val="none"/>
        </w:rPr>
        <w:t>减轻影响。</w:t>
      </w:r>
    </w:p>
    <w:p w14:paraId="37CA1916">
      <w:pPr>
        <w:ind w:firstLine="480"/>
        <w:rPr>
          <w:rFonts w:hint="eastAsia" w:eastAsia="宋体" w:cs="Times New Roman"/>
          <w:color w:val="auto"/>
          <w:szCs w:val="24"/>
          <w:highlight w:val="none"/>
        </w:rPr>
      </w:pPr>
      <w:r>
        <w:rPr>
          <w:rFonts w:hint="eastAsia" w:eastAsia="宋体" w:cs="Times New Roman"/>
          <w:color w:val="auto"/>
          <w:szCs w:val="24"/>
          <w:highlight w:val="none"/>
        </w:rPr>
        <w:t>（1）施工单位在施工过程中必须按照设计要求，严格控制开挖范围及开挖量，输电线路施工限制在事先划定的施工区内，尽量减少开挖土体，减少对原有地貌的破坏。</w:t>
      </w:r>
    </w:p>
    <w:p w14:paraId="4A5764F1">
      <w:pPr>
        <w:ind w:firstLine="480"/>
        <w:rPr>
          <w:rFonts w:hint="eastAsia" w:eastAsia="宋体" w:cs="Times New Roman"/>
          <w:color w:val="auto"/>
          <w:szCs w:val="24"/>
          <w:highlight w:val="none"/>
        </w:rPr>
      </w:pPr>
      <w:r>
        <w:rPr>
          <w:rFonts w:hint="eastAsia" w:eastAsia="宋体" w:cs="Times New Roman"/>
          <w:color w:val="auto"/>
          <w:szCs w:val="24"/>
          <w:highlight w:val="none"/>
        </w:rPr>
        <w:t>（2）对开挖后的裸露开挖面用苫布覆盖，避免降雨时水流直接冲刷；施工时开挖的土石方不允许就地倾倒，应采取回填等方式妥善处置，堆土应采取围护拦挡措施，并在土体表面覆上苫布防止雨水冲刷水土流失。</w:t>
      </w:r>
    </w:p>
    <w:p w14:paraId="6CF4FD02">
      <w:pPr>
        <w:ind w:firstLine="480"/>
        <w:rPr>
          <w:rFonts w:hint="eastAsia" w:eastAsia="宋体" w:cs="Times New Roman"/>
          <w:color w:val="auto"/>
          <w:szCs w:val="24"/>
          <w:highlight w:val="none"/>
        </w:rPr>
      </w:pPr>
      <w:r>
        <w:rPr>
          <w:rFonts w:hint="eastAsia" w:eastAsia="宋体" w:cs="Times New Roman"/>
          <w:color w:val="auto"/>
          <w:szCs w:val="24"/>
          <w:highlight w:val="none"/>
        </w:rPr>
        <w:t>（3）施工尽量避开雨季施工。</w:t>
      </w:r>
    </w:p>
    <w:p w14:paraId="56525B6D">
      <w:pPr>
        <w:ind w:firstLine="480"/>
        <w:rPr>
          <w:rFonts w:hint="eastAsia" w:eastAsia="宋体" w:cs="Times New Roman"/>
          <w:color w:val="auto"/>
          <w:szCs w:val="24"/>
          <w:highlight w:val="none"/>
        </w:rPr>
      </w:pPr>
      <w:r>
        <w:rPr>
          <w:rFonts w:hint="eastAsia" w:eastAsia="宋体" w:cs="Times New Roman"/>
          <w:color w:val="auto"/>
          <w:szCs w:val="24"/>
          <w:highlight w:val="none"/>
        </w:rPr>
        <w:t>（4）建设期应限制施工区域，走同一道路，避免加开新路，尽量减少对地表的破坏。</w:t>
      </w:r>
    </w:p>
    <w:p w14:paraId="4C61ECC0">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ascii="Times New Roman" w:hAnsi="Times New Roman" w:cs="Times New Roman"/>
          <w:color w:val="auto"/>
          <w:kern w:val="0"/>
          <w:szCs w:val="30"/>
          <w:highlight w:val="none"/>
          <w:lang w:val="en-US" w:eastAsia="zh-CN"/>
        </w:rPr>
      </w:pPr>
      <w:r>
        <w:rPr>
          <w:rFonts w:hint="eastAsia" w:ascii="Times New Roman" w:hAnsi="Times New Roman" w:cs="Times New Roman"/>
          <w:color w:val="auto"/>
          <w:kern w:val="0"/>
          <w:szCs w:val="30"/>
          <w:highlight w:val="none"/>
          <w:lang w:val="en-US" w:eastAsia="zh-CN"/>
        </w:rPr>
        <w:t>6.2运行期减缓影响措施</w:t>
      </w:r>
    </w:p>
    <w:p w14:paraId="59463988">
      <w:pPr>
        <w:ind w:firstLine="480"/>
        <w:rPr>
          <w:rFonts w:hint="eastAsia" w:eastAsia="宋体" w:cs="Times New Roman"/>
          <w:color w:val="auto"/>
          <w:szCs w:val="24"/>
          <w:highlight w:val="none"/>
        </w:rPr>
      </w:pPr>
      <w:r>
        <w:rPr>
          <w:rFonts w:hint="eastAsia" w:eastAsia="宋体" w:cs="Times New Roman"/>
          <w:color w:val="auto"/>
          <w:szCs w:val="24"/>
          <w:highlight w:val="none"/>
        </w:rPr>
        <w:t>本项目所建输电线路以架空方式穿越</w:t>
      </w:r>
      <w:r>
        <w:rPr>
          <w:rFonts w:hint="eastAsia" w:eastAsia="宋体" w:cs="Times New Roman"/>
          <w:color w:val="auto"/>
          <w:szCs w:val="24"/>
          <w:highlight w:val="none"/>
          <w:lang w:eastAsia="zh-CN"/>
        </w:rPr>
        <w:t>，</w:t>
      </w:r>
      <w:r>
        <w:rPr>
          <w:rFonts w:hint="eastAsia" w:eastAsia="宋体" w:cs="Times New Roman"/>
          <w:color w:val="auto"/>
          <w:szCs w:val="24"/>
          <w:highlight w:val="none"/>
        </w:rPr>
        <w:t>正常运行期间，本项目不会对周围环境产生水、大气污染等影响。</w:t>
      </w:r>
    </w:p>
    <w:p w14:paraId="7EDFD805">
      <w:pPr>
        <w:ind w:firstLine="480"/>
        <w:rPr>
          <w:rFonts w:hint="eastAsia" w:eastAsia="宋体" w:cs="Times New Roman"/>
          <w:b/>
          <w:bCs/>
          <w:color w:val="auto"/>
          <w:szCs w:val="24"/>
          <w:highlight w:val="none"/>
        </w:rPr>
      </w:pPr>
      <w:r>
        <w:rPr>
          <w:rFonts w:hint="eastAsia" w:eastAsia="宋体" w:cs="Times New Roman"/>
          <w:b/>
          <w:bCs/>
          <w:color w:val="auto"/>
          <w:szCs w:val="24"/>
          <w:highlight w:val="none"/>
          <w:lang w:val="en-US" w:eastAsia="zh-CN"/>
        </w:rPr>
        <w:t>6</w:t>
      </w:r>
      <w:r>
        <w:rPr>
          <w:rFonts w:hint="eastAsia" w:eastAsia="宋体" w:cs="Times New Roman"/>
          <w:b/>
          <w:bCs/>
          <w:color w:val="auto"/>
          <w:szCs w:val="24"/>
          <w:highlight w:val="none"/>
        </w:rPr>
        <w:t>.2.1生态环境保护措施</w:t>
      </w:r>
    </w:p>
    <w:p w14:paraId="132D63FA">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在项目运行期需对线路沿线及塔基进行定期巡查及检修，应对线路运行维护人员进行生态环境保护，尤其是野生动植物保护相关知识的培训，提高他们的环境保护意识，不对工程周边区域的动植物及生态环境造成破坏；巡查及检修时对进入的交通工具及设备进行严格的外来物种及病虫害抽样检疫，一旦发现立即清除。按照《110kV～750kV架空输电线路设计规范》（GB50545-2010）对线路下方树木进行修剪。</w:t>
      </w:r>
    </w:p>
    <w:p w14:paraId="25C760EE">
      <w:pPr>
        <w:autoSpaceDE/>
        <w:autoSpaceDN/>
        <w:adjustRightInd w:val="0"/>
        <w:snapToGrid w:val="0"/>
        <w:spacing w:line="360" w:lineRule="auto"/>
        <w:ind w:firstLine="522" w:firstLineChars="200"/>
        <w:jc w:val="both"/>
        <w:rPr>
          <w:rFonts w:ascii="Times New Roman" w:hAnsi="Times New Roman" w:eastAsia="宋体" w:cs="Times New Roman"/>
          <w:b/>
          <w:bCs/>
          <w:color w:val="auto"/>
          <w:spacing w:val="10"/>
          <w:kern w:val="2"/>
          <w:sz w:val="24"/>
          <w:szCs w:val="24"/>
          <w:highlight w:val="none"/>
        </w:rPr>
      </w:pPr>
      <w:r>
        <w:rPr>
          <w:rFonts w:hint="eastAsia" w:ascii="Times New Roman" w:hAnsi="Times New Roman" w:eastAsia="宋体" w:cs="Times New Roman"/>
          <w:b/>
          <w:bCs/>
          <w:color w:val="auto"/>
          <w:spacing w:val="10"/>
          <w:kern w:val="2"/>
          <w:sz w:val="24"/>
          <w:szCs w:val="24"/>
          <w:highlight w:val="none"/>
          <w:lang w:val="en-US" w:eastAsia="zh-CN"/>
        </w:rPr>
        <w:t>6.2.2</w:t>
      </w:r>
      <w:r>
        <w:rPr>
          <w:rFonts w:hint="eastAsia" w:ascii="Times New Roman" w:hAnsi="Times New Roman" w:eastAsia="宋体" w:cs="Times New Roman"/>
          <w:b/>
          <w:bCs/>
          <w:color w:val="auto"/>
          <w:spacing w:val="10"/>
          <w:kern w:val="2"/>
          <w:sz w:val="24"/>
          <w:szCs w:val="24"/>
          <w:highlight w:val="none"/>
        </w:rPr>
        <w:t>生物资源保护措施</w:t>
      </w:r>
    </w:p>
    <w:p w14:paraId="699863B1">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在项目运行期鸟类有可能在塔基筑巢，</w:t>
      </w:r>
      <w:r>
        <w:rPr>
          <w:rFonts w:hint="default" w:ascii="Times New Roman" w:hAnsi="Times New Roman" w:eastAsia="宋体" w:cs="Times New Roman"/>
          <w:color w:val="auto"/>
          <w:kern w:val="2"/>
          <w:sz w:val="24"/>
          <w:szCs w:val="24"/>
          <w:highlight w:val="none"/>
        </w:rPr>
        <w:t>塔基安装驱鸟器，在导线悬垂串及跳线串上方安装防鸟刺</w:t>
      </w:r>
      <w:r>
        <w:rPr>
          <w:rFonts w:hint="eastAsia" w:ascii="Times New Roman" w:hAnsi="Times New Roman" w:eastAsia="宋体" w:cs="Times New Roman"/>
          <w:color w:val="auto"/>
          <w:spacing w:val="10"/>
          <w:kern w:val="2"/>
          <w:sz w:val="24"/>
          <w:szCs w:val="24"/>
          <w:highlight w:val="none"/>
        </w:rPr>
        <w:t>，避免鸟类进入塔基内部筑巢，如果已经筑巢可以考虑在鸟类非繁殖期由专业人员进行人工清除，这样可以避免对鸟类及其幼雏造成伤害，定期对电线塔进行巡查，对安装的防鸟装置进行定期维护，确保其有效性。</w:t>
      </w:r>
    </w:p>
    <w:p w14:paraId="2DBB8403">
      <w:pPr>
        <w:autoSpaceDE/>
        <w:autoSpaceDN/>
        <w:adjustRightInd w:val="0"/>
        <w:snapToGrid w:val="0"/>
        <w:spacing w:line="360" w:lineRule="auto"/>
        <w:ind w:firstLine="522" w:firstLineChars="200"/>
        <w:jc w:val="both"/>
        <w:rPr>
          <w:rFonts w:ascii="Times New Roman" w:hAnsi="Times New Roman" w:eastAsia="宋体" w:cs="Times New Roman"/>
          <w:b/>
          <w:bCs/>
          <w:color w:val="auto"/>
          <w:spacing w:val="10"/>
          <w:kern w:val="2"/>
          <w:sz w:val="24"/>
          <w:szCs w:val="24"/>
          <w:highlight w:val="none"/>
        </w:rPr>
      </w:pPr>
      <w:r>
        <w:rPr>
          <w:rFonts w:hint="eastAsia" w:ascii="Times New Roman" w:hAnsi="Times New Roman" w:eastAsia="宋体" w:cs="Times New Roman"/>
          <w:b/>
          <w:bCs/>
          <w:color w:val="auto"/>
          <w:spacing w:val="10"/>
          <w:kern w:val="2"/>
          <w:sz w:val="24"/>
          <w:szCs w:val="24"/>
          <w:highlight w:val="none"/>
          <w:lang w:val="en-US" w:eastAsia="zh-CN"/>
        </w:rPr>
        <w:t>6.2.3</w:t>
      </w:r>
      <w:r>
        <w:rPr>
          <w:rFonts w:hint="eastAsia" w:ascii="Times New Roman" w:hAnsi="Times New Roman" w:eastAsia="宋体" w:cs="Times New Roman"/>
          <w:b/>
          <w:bCs/>
          <w:color w:val="auto"/>
          <w:spacing w:val="10"/>
          <w:kern w:val="2"/>
          <w:sz w:val="24"/>
          <w:szCs w:val="24"/>
          <w:highlight w:val="none"/>
        </w:rPr>
        <w:t>固体废弃物影响措施</w:t>
      </w:r>
    </w:p>
    <w:p w14:paraId="7B8A095B">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在输电线路运行期，定期巡线过程中，线路的检修可能产生少量固体废物，运行维护过程中产生的废弃绝缘子、生活垃圾等废物不得随意丢弃，线路运</w:t>
      </w:r>
      <w:r>
        <w:rPr>
          <w:rFonts w:hint="eastAsia" w:eastAsia="宋体" w:cs="Times New Roman"/>
          <w:color w:val="auto"/>
          <w:spacing w:val="10"/>
          <w:kern w:val="2"/>
          <w:sz w:val="24"/>
          <w:szCs w:val="24"/>
          <w:highlight w:val="none"/>
          <w:lang w:val="en-US" w:eastAsia="zh-CN"/>
        </w:rPr>
        <w:t>行</w:t>
      </w:r>
      <w:r>
        <w:rPr>
          <w:rFonts w:hint="eastAsia" w:ascii="Times New Roman" w:hAnsi="Times New Roman" w:eastAsia="宋体" w:cs="Times New Roman"/>
          <w:color w:val="auto"/>
          <w:spacing w:val="10"/>
          <w:kern w:val="2"/>
          <w:sz w:val="24"/>
          <w:szCs w:val="24"/>
          <w:highlight w:val="none"/>
        </w:rPr>
        <w:t>维护人员应将生活垃圾带至垃圾集中收集点妥善处置，废弃绝缘子等废物回收处理。</w:t>
      </w:r>
    </w:p>
    <w:p w14:paraId="34E7F6FF">
      <w:pPr>
        <w:autoSpaceDE/>
        <w:autoSpaceDN/>
        <w:adjustRightInd w:val="0"/>
        <w:snapToGrid w:val="0"/>
        <w:spacing w:line="360" w:lineRule="auto"/>
        <w:ind w:firstLine="522" w:firstLineChars="200"/>
        <w:jc w:val="both"/>
        <w:rPr>
          <w:rFonts w:ascii="Times New Roman" w:hAnsi="Times New Roman" w:eastAsia="宋体" w:cs="Times New Roman"/>
          <w:b/>
          <w:bCs/>
          <w:color w:val="auto"/>
          <w:spacing w:val="10"/>
          <w:kern w:val="2"/>
          <w:sz w:val="24"/>
          <w:szCs w:val="24"/>
          <w:highlight w:val="none"/>
        </w:rPr>
      </w:pPr>
      <w:r>
        <w:rPr>
          <w:rFonts w:hint="eastAsia" w:ascii="Times New Roman" w:hAnsi="Times New Roman" w:eastAsia="宋体" w:cs="Times New Roman"/>
          <w:b/>
          <w:bCs/>
          <w:color w:val="auto"/>
          <w:spacing w:val="10"/>
          <w:kern w:val="2"/>
          <w:sz w:val="24"/>
          <w:szCs w:val="24"/>
          <w:highlight w:val="none"/>
          <w:lang w:val="en-US" w:eastAsia="zh-CN"/>
        </w:rPr>
        <w:t>6.2.4</w:t>
      </w:r>
      <w:r>
        <w:rPr>
          <w:rFonts w:hint="eastAsia" w:ascii="Times New Roman" w:hAnsi="Times New Roman" w:eastAsia="宋体" w:cs="Times New Roman"/>
          <w:b/>
          <w:bCs/>
          <w:color w:val="auto"/>
          <w:spacing w:val="10"/>
          <w:kern w:val="2"/>
          <w:sz w:val="24"/>
          <w:szCs w:val="24"/>
          <w:highlight w:val="none"/>
        </w:rPr>
        <w:t>电磁辐射影响措施</w:t>
      </w:r>
    </w:p>
    <w:p w14:paraId="0FAF2AAC">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本项目为线路工程，输电线路的电磁辐射可能会影响鸟类，可以使用高压线路用绝缘子，运行期间做到及时清扫输，特别是鸟类活动频繁的地区绝缘子更要多次清扫，以保证绝缘良好，防止对鸟类产生电磁辐射；</w:t>
      </w:r>
      <w:r>
        <w:rPr>
          <w:rFonts w:hint="default" w:ascii="Times New Roman" w:hAnsi="Times New Roman" w:eastAsia="宋体" w:cs="Times New Roman"/>
          <w:color w:val="auto"/>
          <w:kern w:val="2"/>
          <w:sz w:val="24"/>
          <w:szCs w:val="24"/>
          <w:highlight w:val="none"/>
        </w:rPr>
        <w:t>塔基安装驱鸟器，在导线悬垂串及跳线串上方安装防鸟刺</w:t>
      </w:r>
      <w:r>
        <w:rPr>
          <w:rFonts w:hint="eastAsia" w:ascii="Times New Roman" w:hAnsi="Times New Roman" w:eastAsia="宋体" w:cs="Times New Roman"/>
          <w:color w:val="auto"/>
          <w:spacing w:val="10"/>
          <w:kern w:val="2"/>
          <w:sz w:val="24"/>
          <w:szCs w:val="24"/>
          <w:highlight w:val="none"/>
        </w:rPr>
        <w:t>，避免鸟类飞行过程中发生碰撞。</w:t>
      </w:r>
    </w:p>
    <w:p w14:paraId="4CC0FDB6">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输电线路运行阶段在沿线杆塔上设置高压及警示标志，标明有关注意事项；运维单位加强输电线路巡线工作，确保输电线路的正常运行，确保输电线路周围电磁环境达标；对沿线居民进行有关高压输电方面的环境宣传工作，提高沿线居民环境保护意识和自我安全防护意识。</w:t>
      </w:r>
    </w:p>
    <w:p w14:paraId="136A6259">
      <w:pPr>
        <w:autoSpaceDE/>
        <w:autoSpaceDN/>
        <w:adjustRightInd w:val="0"/>
        <w:snapToGrid w:val="0"/>
        <w:spacing w:line="360" w:lineRule="auto"/>
        <w:ind w:firstLine="522" w:firstLineChars="200"/>
        <w:jc w:val="both"/>
        <w:rPr>
          <w:rFonts w:ascii="Times New Roman" w:hAnsi="Times New Roman" w:eastAsia="宋体" w:cs="Times New Roman"/>
          <w:b/>
          <w:bCs/>
          <w:color w:val="auto"/>
          <w:spacing w:val="10"/>
          <w:kern w:val="2"/>
          <w:sz w:val="24"/>
          <w:szCs w:val="24"/>
          <w:highlight w:val="none"/>
        </w:rPr>
      </w:pPr>
      <w:r>
        <w:rPr>
          <w:rFonts w:hint="eastAsia" w:ascii="Times New Roman" w:hAnsi="Times New Roman" w:eastAsia="宋体" w:cs="Times New Roman"/>
          <w:b/>
          <w:bCs/>
          <w:color w:val="auto"/>
          <w:spacing w:val="10"/>
          <w:kern w:val="2"/>
          <w:sz w:val="24"/>
          <w:szCs w:val="24"/>
          <w:highlight w:val="none"/>
          <w:lang w:val="en-US" w:eastAsia="zh-CN"/>
        </w:rPr>
        <w:t>6.2.5</w:t>
      </w:r>
      <w:r>
        <w:rPr>
          <w:rFonts w:hint="eastAsia" w:ascii="Times New Roman" w:hAnsi="Times New Roman" w:eastAsia="宋体" w:cs="Times New Roman"/>
          <w:b/>
          <w:bCs/>
          <w:color w:val="auto"/>
          <w:spacing w:val="10"/>
          <w:kern w:val="2"/>
          <w:sz w:val="24"/>
          <w:szCs w:val="24"/>
          <w:highlight w:val="none"/>
        </w:rPr>
        <w:t>动态监测</w:t>
      </w:r>
    </w:p>
    <w:p w14:paraId="29EEF170">
      <w:pPr>
        <w:autoSpaceDE/>
        <w:autoSpaceDN/>
        <w:adjustRightInd w:val="0"/>
        <w:snapToGrid w:val="0"/>
        <w:spacing w:line="360" w:lineRule="auto"/>
        <w:ind w:firstLine="520" w:firstLineChars="200"/>
        <w:jc w:val="both"/>
        <w:rPr>
          <w:rFonts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在运营期需做好自然资源与生态环境的保护与动态监测，做好野生动植物的监测，开展高压输电工程对保护区兽类、鸟类等野生动物影响的监测研究，以及时掌握评价范围内生态环境和保护物种的种群动态变化，为自然保护区保护管理提供决策依据。项目建设方要加强与保护区管理部门的协调与联系，并配合保护区做好相应的生态宣教、生态管护和生态监测等方面的工作，认真落实生态保护与恢复措施。</w:t>
      </w:r>
    </w:p>
    <w:p w14:paraId="66CBE514">
      <w:pPr>
        <w:ind w:firstLine="480"/>
        <w:rPr>
          <w:rFonts w:hint="eastAsia" w:ascii="Times New Roman" w:hAnsi="Times New Roman" w:eastAsia="宋体" w:cs="Times New Roman"/>
          <w:color w:val="auto"/>
          <w:spacing w:val="10"/>
          <w:kern w:val="2"/>
          <w:sz w:val="24"/>
          <w:szCs w:val="24"/>
          <w:highlight w:val="none"/>
        </w:rPr>
      </w:pPr>
      <w:r>
        <w:rPr>
          <w:rFonts w:hint="eastAsia" w:ascii="Times New Roman" w:hAnsi="Times New Roman" w:eastAsia="宋体" w:cs="Times New Roman"/>
          <w:color w:val="auto"/>
          <w:spacing w:val="10"/>
          <w:kern w:val="2"/>
          <w:sz w:val="24"/>
          <w:szCs w:val="24"/>
          <w:highlight w:val="none"/>
        </w:rPr>
        <w:t>制定并实施电磁环境管理和监测计划，建立电磁环境监测的数据档案。加强线路沿线巡查和检查，定期开展环境监测，确保电磁符合GB8702国家标准要求，并及时解决公众合理的环境保护诉求。保护区管理部门应参与监督生态安全与输电线路运行安全的管理工作，制定监测、监督及跟踪管理计划，若因工程建设和运营发生突发事件或较大变化的事件，应及时上报上级主管部门，并采取相应的对策降低影响程度。</w:t>
      </w:r>
    </w:p>
    <w:p w14:paraId="6C54AD4A">
      <w:pPr>
        <w:ind w:firstLine="480"/>
        <w:rPr>
          <w:rFonts w:hint="eastAsia" w:eastAsia="宋体" w:cs="Times New Roman"/>
          <w:b/>
          <w:bCs/>
          <w:color w:val="auto"/>
          <w:szCs w:val="24"/>
          <w:highlight w:val="none"/>
        </w:rPr>
      </w:pPr>
      <w:r>
        <w:rPr>
          <w:rFonts w:hint="eastAsia" w:eastAsia="宋体" w:cs="Times New Roman"/>
          <w:b/>
          <w:bCs/>
          <w:color w:val="auto"/>
          <w:szCs w:val="24"/>
          <w:highlight w:val="none"/>
          <w:lang w:val="en-US" w:eastAsia="zh-CN"/>
        </w:rPr>
        <w:t>6.2.6</w:t>
      </w:r>
      <w:r>
        <w:rPr>
          <w:rFonts w:hint="eastAsia" w:eastAsia="宋体" w:cs="Times New Roman"/>
          <w:b/>
          <w:bCs/>
          <w:color w:val="auto"/>
          <w:szCs w:val="24"/>
          <w:highlight w:val="none"/>
        </w:rPr>
        <w:t>防火措施预案</w:t>
      </w:r>
    </w:p>
    <w:p w14:paraId="30938BE8">
      <w:pPr>
        <w:ind w:firstLine="480"/>
        <w:rPr>
          <w:rFonts w:hint="eastAsia" w:eastAsia="宋体" w:cs="Times New Roman"/>
          <w:color w:val="auto"/>
          <w:szCs w:val="24"/>
          <w:highlight w:val="none"/>
        </w:rPr>
      </w:pPr>
      <w:r>
        <w:rPr>
          <w:rFonts w:hint="eastAsia" w:eastAsia="宋体" w:cs="Times New Roman"/>
          <w:color w:val="auto"/>
          <w:szCs w:val="24"/>
          <w:highlight w:val="none"/>
        </w:rPr>
        <w:t>项目施工和运营期间，依托保护区森林防火视频监控系统，服从保护区森林防火管理办法，对施工人员加强防火安全和警示教育，严格按照专项施工方案和操作规程，加强施工营区用火管理。在防火戒严期间要严格限制施工人员携带火种进入自然保护区。</w:t>
      </w:r>
    </w:p>
    <w:p w14:paraId="417A1E32">
      <w:pPr>
        <w:ind w:firstLine="480"/>
        <w:rPr>
          <w:rFonts w:eastAsia="宋体" w:cs="Times New Roman"/>
          <w:color w:val="auto"/>
          <w:szCs w:val="24"/>
          <w:highlight w:val="none"/>
        </w:rPr>
      </w:pPr>
      <w:r>
        <w:rPr>
          <w:rFonts w:hint="eastAsia" w:eastAsia="宋体" w:cs="Times New Roman"/>
          <w:color w:val="auto"/>
          <w:szCs w:val="24"/>
          <w:highlight w:val="none"/>
        </w:rPr>
        <w:t>施工单位要组织人员加强瞭望、巡视，一旦发现火情，应迅速调集专业、半专业森林防灭火队伍，采取开设阻隔带、清除障碍物、局部交通管制等应急措施，全力消除威胁，确保目标安全。</w:t>
      </w:r>
    </w:p>
    <w:p w14:paraId="77AED341">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hint="eastAsia" w:ascii="Times New Roman" w:hAnsi="Times New Roman" w:cs="Times New Roman"/>
          <w:color w:val="auto"/>
          <w:kern w:val="0"/>
          <w:szCs w:val="30"/>
          <w:highlight w:val="none"/>
          <w:lang w:val="en-US" w:eastAsia="zh-CN"/>
        </w:rPr>
      </w:pPr>
      <w:r>
        <w:rPr>
          <w:rFonts w:hint="eastAsia" w:ascii="Times New Roman" w:hAnsi="Times New Roman" w:cs="Times New Roman"/>
          <w:color w:val="auto"/>
          <w:kern w:val="0"/>
          <w:szCs w:val="30"/>
          <w:highlight w:val="none"/>
          <w:lang w:val="en-US" w:eastAsia="zh-CN"/>
        </w:rPr>
        <w:t>6.</w:t>
      </w:r>
      <w:r>
        <w:rPr>
          <w:rFonts w:hint="eastAsia" w:cs="Times New Roman"/>
          <w:color w:val="auto"/>
          <w:kern w:val="0"/>
          <w:szCs w:val="30"/>
          <w:highlight w:val="none"/>
          <w:lang w:val="en-US" w:eastAsia="zh-CN"/>
        </w:rPr>
        <w:t>3环境管理</w:t>
      </w:r>
    </w:p>
    <w:p w14:paraId="308AD02B">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前述分析评价可知，本项目在施工期和运营期都会对周围的生态环境、自然环境带来一定的影响，为了及时有效的减轻或消除不利影响，需要在项目施工建设期和运营期制定必要的环境保护管理制度。其主要目的是准确监测项目给环境带来的真实影响；监督工程的各项环保措施得以实施。</w:t>
      </w:r>
    </w:p>
    <w:p w14:paraId="3EE54254">
      <w:pPr>
        <w:autoSpaceDE/>
        <w:autoSpaceDN/>
        <w:adjustRightInd w:val="0"/>
        <w:snapToGrid w:val="0"/>
        <w:spacing w:line="480" w:lineRule="exact"/>
        <w:ind w:firstLine="480" w:firstLineChars="200"/>
        <w:jc w:val="both"/>
        <w:rPr>
          <w:rFonts w:hint="eastAsia"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施工期生态保护环境</w:t>
      </w:r>
      <w:r>
        <w:rPr>
          <w:rFonts w:hint="eastAsia" w:ascii="Times New Roman" w:hAnsi="Times New Roman" w:eastAsia="宋体" w:cs="Times New Roman"/>
          <w:color w:val="auto"/>
          <w:sz w:val="24"/>
          <w:szCs w:val="24"/>
          <w:highlight w:val="none"/>
          <w:lang w:val="en-US" w:eastAsia="zh-CN"/>
        </w:rPr>
        <w:t>监理</w:t>
      </w:r>
    </w:p>
    <w:p w14:paraId="772EDD4D">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机构由建设单位和</w:t>
      </w:r>
      <w:r>
        <w:rPr>
          <w:rFonts w:hint="eastAsia" w:ascii="Times New Roman" w:hAnsi="Times New Roman" w:eastAsia="宋体" w:cs="Times New Roman"/>
          <w:color w:val="auto"/>
          <w:sz w:val="24"/>
          <w:szCs w:val="24"/>
          <w:highlight w:val="none"/>
          <w:lang w:val="en-US" w:eastAsia="zh-CN"/>
        </w:rPr>
        <w:t>委托的第三方环境</w:t>
      </w:r>
      <w:r>
        <w:rPr>
          <w:rFonts w:hint="default" w:ascii="Times New Roman" w:hAnsi="Times New Roman" w:eastAsia="宋体" w:cs="Times New Roman"/>
          <w:color w:val="auto"/>
          <w:sz w:val="24"/>
          <w:szCs w:val="24"/>
          <w:highlight w:val="none"/>
        </w:rPr>
        <w:t>监理机构共同组成，由环保相关主管部门进行监督，共同进行施工期的环境管理。</w:t>
      </w:r>
    </w:p>
    <w:p w14:paraId="72803B6C">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点位：环境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人员应随着主体工程的开展，选择具有代表性的部位（保护区段和生态红线段）进行全程</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w:t>
      </w:r>
    </w:p>
    <w:p w14:paraId="45B54D86">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环境</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内容：</w:t>
      </w:r>
    </w:p>
    <w:p w14:paraId="3DE43BA4">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影响水土流失因子：主要包括地形地貌、土壤性质、植被覆盖率和降水、风等因子。</w:t>
      </w:r>
    </w:p>
    <w:p w14:paraId="30536C81">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水土流失动态</w:t>
      </w:r>
      <w:r>
        <w:rPr>
          <w:rFonts w:hint="eastAsia" w:ascii="Times New Roman" w:hAnsi="Times New Roman" w:eastAsia="宋体" w:cs="Times New Roman"/>
          <w:color w:val="auto"/>
          <w:sz w:val="24"/>
          <w:szCs w:val="24"/>
          <w:highlight w:val="none"/>
          <w:lang w:val="en-US" w:eastAsia="zh-CN"/>
        </w:rPr>
        <w:t>监理</w:t>
      </w:r>
      <w:r>
        <w:rPr>
          <w:rFonts w:hint="default" w:ascii="Times New Roman" w:hAnsi="Times New Roman" w:eastAsia="宋体" w:cs="Times New Roman"/>
          <w:color w:val="auto"/>
          <w:sz w:val="24"/>
          <w:szCs w:val="24"/>
          <w:highlight w:val="none"/>
        </w:rPr>
        <w:t>：包括水土流失类型、面积、强度和流失量变化，对下游及周边地区造成的危害和趋势。</w:t>
      </w:r>
    </w:p>
    <w:p w14:paraId="49CD393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生态环境管理：包括地形、地貌和水系变化情况，项目建设占地和扰动地表面积，挖填方数量和占地面积，渣土堆放形态和面积，临时堆土数量、时间、形态和面积，项目区林草覆盖率。</w:t>
      </w:r>
    </w:p>
    <w:p w14:paraId="459FBC0D">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生态措施成效管理：各类生态措施的数量和质量，林草成活率、保存率、生长情况和覆盖率，</w:t>
      </w:r>
      <w:r>
        <w:rPr>
          <w:rFonts w:hint="eastAsia" w:ascii="Times New Roman" w:hAnsi="Times New Roman" w:eastAsia="宋体" w:cs="Times New Roman"/>
          <w:color w:val="auto"/>
          <w:sz w:val="24"/>
          <w:szCs w:val="24"/>
          <w:highlight w:val="none"/>
          <w:lang w:val="en-US" w:eastAsia="zh-CN"/>
        </w:rPr>
        <w:t>施工区范围内野生动物种类、数量、活动规律、对野生动物的影响；</w:t>
      </w:r>
      <w:r>
        <w:rPr>
          <w:rFonts w:hint="default" w:ascii="Times New Roman" w:hAnsi="Times New Roman" w:eastAsia="宋体" w:cs="Times New Roman"/>
          <w:color w:val="auto"/>
          <w:sz w:val="24"/>
          <w:szCs w:val="24"/>
          <w:highlight w:val="none"/>
        </w:rPr>
        <w:t>工程措施的稳定性、完好程度和运行情况及效果。</w:t>
      </w:r>
    </w:p>
    <w:p w14:paraId="565CA6F0">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环保管理与监测机构</w:t>
      </w:r>
    </w:p>
    <w:p w14:paraId="4946DD9C">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1）本项目应设置专门的环境保护管理机构，主要负责项目施工期的环境保护管理工作，其主要职责为：</w:t>
      </w:r>
    </w:p>
    <w:p w14:paraId="60068AB2">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①负责工程的环境管理。</w:t>
      </w:r>
    </w:p>
    <w:p w14:paraId="6A1E8903">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②督促和落实环保工程设计与实施及正常运营。</w:t>
      </w:r>
    </w:p>
    <w:p w14:paraId="3213E295">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③在承包合同中落实环保条款，提供施工中环保执行信息。</w:t>
      </w:r>
    </w:p>
    <w:p w14:paraId="57155B4F">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④负责受影响公众的环保投诉。</w:t>
      </w:r>
    </w:p>
    <w:p w14:paraId="64927C37">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⑤积极配合、支持地方环保主管部门的工作，并接受其监督与检查。</w:t>
      </w:r>
    </w:p>
    <w:p w14:paraId="14B4B783">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2）项目运营期的环境管理工作建议由本项目的管理部门承担，并设专人管理，主要负责项目一切环保工作。</w:t>
      </w:r>
    </w:p>
    <w:p w14:paraId="640041D5">
      <w:pPr>
        <w:autoSpaceDE/>
        <w:autoSpaceDN/>
        <w:adjustRightInd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3）项目施工与运营期的环境监测工作建议委托有关地方环境监测机构承担。</w:t>
      </w:r>
    </w:p>
    <w:p w14:paraId="023D5CB6">
      <w:pPr>
        <w:autoSpaceDE/>
        <w:autoSpaceDN/>
        <w:spacing w:line="480" w:lineRule="exact"/>
        <w:ind w:firstLine="480" w:firstLineChars="200"/>
        <w:jc w:val="both"/>
        <w:rPr>
          <w:rFonts w:hint="default" w:ascii="Times New Roman" w:hAnsi="Times New Roman" w:eastAsia="宋体" w:cs="Times New Roman"/>
          <w:b w:val="0"/>
          <w:bCs w:val="0"/>
          <w:color w:val="auto"/>
          <w:kern w:val="2"/>
          <w:sz w:val="24"/>
          <w:szCs w:val="24"/>
          <w:highlight w:val="none"/>
        </w:rPr>
      </w:pPr>
      <w:r>
        <w:rPr>
          <w:rFonts w:hint="eastAsia" w:eastAsia="宋体" w:cs="Times New Roman"/>
          <w:b w:val="0"/>
          <w:bCs w:val="0"/>
          <w:color w:val="auto"/>
          <w:kern w:val="2"/>
          <w:sz w:val="24"/>
          <w:szCs w:val="24"/>
          <w:highlight w:val="none"/>
          <w:lang w:val="en-US" w:eastAsia="zh-CN"/>
        </w:rPr>
        <w:t>4</w:t>
      </w:r>
      <w:r>
        <w:rPr>
          <w:rFonts w:hint="default" w:ascii="Times New Roman" w:hAnsi="Times New Roman" w:eastAsia="宋体" w:cs="Times New Roman"/>
          <w:b w:val="0"/>
          <w:bCs w:val="0"/>
          <w:color w:val="auto"/>
          <w:kern w:val="2"/>
          <w:sz w:val="24"/>
          <w:szCs w:val="24"/>
          <w:highlight w:val="none"/>
        </w:rPr>
        <w:t>、监测计划</w:t>
      </w:r>
    </w:p>
    <w:p w14:paraId="220883AB">
      <w:pPr>
        <w:autoSpaceDE/>
        <w:autoSpaceDN/>
        <w:spacing w:line="48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根据《输变电建设项目环境保护技术要求》（HJ1113-2020），线路周围电磁环境和声环境需要定期监测，及时了解电磁设备对周围环境的影响，监测记录包括监测位置、监测时间、监测人员和监测结果，并保存监测记录。</w:t>
      </w:r>
    </w:p>
    <w:p w14:paraId="04FACD78">
      <w:pPr>
        <w:autoSpaceDE/>
        <w:autoSpaceDN/>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表</w:t>
      </w:r>
      <w:r>
        <w:rPr>
          <w:rFonts w:hint="eastAsia" w:eastAsia="宋体" w:cs="Times New Roman"/>
          <w:b/>
          <w:color w:val="auto"/>
          <w:kern w:val="2"/>
          <w:sz w:val="21"/>
          <w:szCs w:val="21"/>
          <w:highlight w:val="none"/>
          <w:lang w:val="en-US" w:eastAsia="zh-CN"/>
        </w:rPr>
        <w:t>6.3</w:t>
      </w:r>
      <w:r>
        <w:rPr>
          <w:rFonts w:hint="default" w:ascii="Times New Roman" w:hAnsi="Times New Roman" w:eastAsia="宋体" w:cs="Times New Roman"/>
          <w:b/>
          <w:color w:val="auto"/>
          <w:kern w:val="2"/>
          <w:sz w:val="21"/>
          <w:szCs w:val="21"/>
          <w:highlight w:val="none"/>
        </w:rPr>
        <w:t>-1  环境监测计划一览表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202"/>
        <w:gridCol w:w="1649"/>
        <w:gridCol w:w="1152"/>
        <w:gridCol w:w="2551"/>
      </w:tblGrid>
      <w:tr w14:paraId="1B1D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406B6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292" w:type="pct"/>
            <w:vAlign w:val="center"/>
          </w:tcPr>
          <w:p w14:paraId="63063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监测方法</w:t>
            </w:r>
          </w:p>
        </w:tc>
        <w:tc>
          <w:tcPr>
            <w:tcW w:w="968" w:type="pct"/>
            <w:vAlign w:val="center"/>
          </w:tcPr>
          <w:p w14:paraId="61317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676" w:type="pct"/>
            <w:vAlign w:val="center"/>
          </w:tcPr>
          <w:p w14:paraId="47164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1497" w:type="pct"/>
            <w:vAlign w:val="center"/>
          </w:tcPr>
          <w:p w14:paraId="775AC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监测周期</w:t>
            </w:r>
          </w:p>
        </w:tc>
      </w:tr>
      <w:tr w14:paraId="418E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297E6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1292" w:type="pct"/>
            <w:vAlign w:val="center"/>
          </w:tcPr>
          <w:p w14:paraId="24B03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《交流输变电工程电磁环境监测方法（试行）》（HJ681-2013）</w:t>
            </w:r>
          </w:p>
        </w:tc>
        <w:tc>
          <w:tcPr>
            <w:tcW w:w="968" w:type="pct"/>
            <w:vAlign w:val="center"/>
          </w:tcPr>
          <w:p w14:paraId="175D9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工频电场、工频磁场</w:t>
            </w:r>
          </w:p>
        </w:tc>
        <w:tc>
          <w:tcPr>
            <w:tcW w:w="676" w:type="pct"/>
            <w:vAlign w:val="center"/>
          </w:tcPr>
          <w:p w14:paraId="3D3AAE1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497" w:type="pct"/>
            <w:vAlign w:val="center"/>
          </w:tcPr>
          <w:p w14:paraId="4A460D8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r w14:paraId="4FD5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1940D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92" w:type="pct"/>
            <w:vAlign w:val="center"/>
          </w:tcPr>
          <w:p w14:paraId="73FD9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《声环境质量标准》（GB3096-2008）</w:t>
            </w:r>
          </w:p>
        </w:tc>
        <w:tc>
          <w:tcPr>
            <w:tcW w:w="968" w:type="pct"/>
            <w:vAlign w:val="center"/>
          </w:tcPr>
          <w:p w14:paraId="1113E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676" w:type="pct"/>
            <w:vAlign w:val="center"/>
          </w:tcPr>
          <w:p w14:paraId="7E616F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架空线路沿线及保护区段</w:t>
            </w:r>
          </w:p>
        </w:tc>
        <w:tc>
          <w:tcPr>
            <w:tcW w:w="1497" w:type="pct"/>
            <w:vAlign w:val="center"/>
          </w:tcPr>
          <w:p w14:paraId="1FF37B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验收监测一次，突发环境事件时进行监测，公众发生投诉情况时进行监测</w:t>
            </w:r>
          </w:p>
        </w:tc>
      </w:tr>
      <w:tr w14:paraId="4B46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5" w:type="pct"/>
            <w:vAlign w:val="center"/>
          </w:tcPr>
          <w:p w14:paraId="1B9B9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生态环境</w:t>
            </w:r>
          </w:p>
        </w:tc>
        <w:tc>
          <w:tcPr>
            <w:tcW w:w="1292" w:type="pct"/>
            <w:vAlign w:val="center"/>
          </w:tcPr>
          <w:p w14:paraId="13B62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测量法、样方调查</w:t>
            </w:r>
          </w:p>
        </w:tc>
        <w:tc>
          <w:tcPr>
            <w:tcW w:w="968" w:type="pct"/>
            <w:vAlign w:val="center"/>
          </w:tcPr>
          <w:p w14:paraId="4DF35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植被、生物量、水土流失、土地沙化、野生动物</w:t>
            </w:r>
          </w:p>
        </w:tc>
        <w:tc>
          <w:tcPr>
            <w:tcW w:w="676" w:type="pct"/>
            <w:vAlign w:val="center"/>
          </w:tcPr>
          <w:p w14:paraId="27F8FEA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施工占地区域、运行期线路沿线</w:t>
            </w:r>
          </w:p>
        </w:tc>
        <w:tc>
          <w:tcPr>
            <w:tcW w:w="1497" w:type="pct"/>
            <w:vAlign w:val="center"/>
          </w:tcPr>
          <w:p w14:paraId="431392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施工期每月一次，运营期每半年一次</w:t>
            </w:r>
          </w:p>
        </w:tc>
      </w:tr>
    </w:tbl>
    <w:p w14:paraId="5B820C49">
      <w:pPr>
        <w:ind w:firstLine="480"/>
        <w:rPr>
          <w:rFonts w:cs="Times New Roman"/>
          <w:color w:val="auto"/>
          <w:highlight w:val="none"/>
        </w:rPr>
      </w:pPr>
      <w:r>
        <w:rPr>
          <w:rFonts w:cs="Times New Roman"/>
          <w:color w:val="auto"/>
          <w:highlight w:val="none"/>
        </w:rPr>
        <w:br w:type="page"/>
      </w:r>
    </w:p>
    <w:p w14:paraId="73B64AFD">
      <w:pPr>
        <w:ind w:firstLine="480"/>
        <w:rPr>
          <w:rFonts w:cs="Times New Roman"/>
          <w:color w:val="auto"/>
          <w:highlight w:val="none"/>
        </w:rPr>
        <w:sectPr>
          <w:footerReference r:id="rId26" w:type="default"/>
          <w:pgSz w:w="11906" w:h="16838"/>
          <w:pgMar w:top="1440" w:right="1800" w:bottom="1440" w:left="1800" w:header="851" w:footer="992" w:gutter="0"/>
          <w:pgNumType w:fmt="decimal"/>
          <w:cols w:space="425" w:num="1"/>
          <w:docGrid w:type="lines" w:linePitch="312" w:charSpace="0"/>
        </w:sectPr>
      </w:pPr>
    </w:p>
    <w:p w14:paraId="0E6F28CB">
      <w:pPr>
        <w:pStyle w:val="7"/>
        <w:keepNext/>
        <w:keepLines/>
        <w:pageBreakBefore w:val="0"/>
        <w:widowControl w:val="0"/>
        <w:kinsoku/>
        <w:wordWrap/>
        <w:overflowPunct/>
        <w:topLinePunct w:val="0"/>
        <w:autoSpaceDE/>
        <w:autoSpaceDN/>
        <w:bidi w:val="0"/>
        <w:adjustRightInd/>
        <w:snapToGrid/>
        <w:ind w:firstLine="760" w:firstLineChars="200"/>
        <w:textAlignment w:val="auto"/>
        <w:rPr>
          <w:rFonts w:cs="Times New Roman"/>
          <w:color w:val="auto"/>
          <w:highlight w:val="none"/>
        </w:rPr>
      </w:pPr>
      <w:bookmarkStart w:id="79" w:name="_Toc22688"/>
      <w:r>
        <w:rPr>
          <w:rFonts w:hint="eastAsia" w:cs="Times New Roman"/>
          <w:color w:val="auto"/>
          <w:highlight w:val="none"/>
          <w:lang w:val="en-US" w:eastAsia="zh-CN"/>
        </w:rPr>
        <w:t>7</w:t>
      </w:r>
      <w:r>
        <w:rPr>
          <w:rFonts w:hint="eastAsia" w:cs="Times New Roman"/>
          <w:color w:val="auto"/>
          <w:highlight w:val="none"/>
          <w:lang w:eastAsia="zh-CN"/>
        </w:rPr>
        <w:t>生态</w:t>
      </w:r>
      <w:r>
        <w:rPr>
          <w:rFonts w:cs="Times New Roman"/>
          <w:color w:val="auto"/>
          <w:highlight w:val="none"/>
        </w:rPr>
        <w:t>环境影响评价结论</w:t>
      </w:r>
      <w:bookmarkEnd w:id="79"/>
    </w:p>
    <w:p w14:paraId="190E2A60">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hint="eastAsia" w:cs="Times New Roman"/>
          <w:color w:val="auto"/>
          <w:highlight w:val="none"/>
          <w:lang w:val="en-US" w:eastAsia="zh-CN"/>
        </w:rPr>
        <w:t>7</w:t>
      </w:r>
      <w:r>
        <w:rPr>
          <w:rFonts w:cs="Times New Roman"/>
          <w:color w:val="auto"/>
          <w:highlight w:val="none"/>
        </w:rPr>
        <w:t>.1项目建设内容及规模</w:t>
      </w:r>
    </w:p>
    <w:p w14:paraId="2B60B138">
      <w:pPr>
        <w:pStyle w:val="23"/>
        <w:spacing w:line="480" w:lineRule="exact"/>
        <w:ind w:firstLine="480" w:firstLineChars="200"/>
        <w:jc w:val="both"/>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华能围场“风光储氢热一体化”项目（光伏200MW）项目220kV送出线路工程项目</w:t>
      </w:r>
      <w:r>
        <w:rPr>
          <w:rFonts w:ascii="Times New Roman" w:hAnsi="Times New Roman" w:eastAsia="宋体" w:cs="Times New Roman"/>
          <w:bCs/>
          <w:color w:val="auto"/>
          <w:sz w:val="24"/>
          <w:szCs w:val="24"/>
          <w:highlight w:val="none"/>
        </w:rPr>
        <w:t>起于华能围场风光储氢热一体化项目(光伏200MW)升压站，止于华能围场风光储氢热一体化项目(风电200MW)升压站，220kV送出线路长度约22.99km，新建铁塔总基数</w:t>
      </w:r>
      <w:r>
        <w:rPr>
          <w:rFonts w:hint="eastAsia" w:ascii="Times New Roman" w:hAnsi="Times New Roman" w:eastAsia="宋体" w:cs="Times New Roman"/>
          <w:bCs/>
          <w:color w:val="auto"/>
          <w:sz w:val="24"/>
          <w:szCs w:val="24"/>
          <w:highlight w:val="none"/>
          <w:lang w:val="en-US" w:eastAsia="zh-CN"/>
        </w:rPr>
        <w:t>5</w:t>
      </w:r>
      <w:r>
        <w:rPr>
          <w:rFonts w:ascii="Times New Roman" w:hAnsi="Times New Roman" w:eastAsia="宋体" w:cs="Times New Roman"/>
          <w:bCs/>
          <w:color w:val="auto"/>
          <w:sz w:val="24"/>
          <w:szCs w:val="24"/>
          <w:highlight w:val="none"/>
        </w:rPr>
        <w:t>7基，其中单回路直线塔3</w:t>
      </w:r>
      <w:r>
        <w:rPr>
          <w:rFonts w:hint="eastAsia" w:ascii="Times New Roman" w:hAnsi="Times New Roman" w:eastAsia="宋体" w:cs="Times New Roman"/>
          <w:bCs/>
          <w:color w:val="auto"/>
          <w:sz w:val="24"/>
          <w:szCs w:val="24"/>
          <w:highlight w:val="none"/>
          <w:lang w:val="en-US" w:eastAsia="zh-CN"/>
        </w:rPr>
        <w:t>1</w:t>
      </w:r>
      <w:r>
        <w:rPr>
          <w:rFonts w:ascii="Times New Roman" w:hAnsi="Times New Roman" w:eastAsia="宋体" w:cs="Times New Roman"/>
          <w:bCs/>
          <w:color w:val="auto"/>
          <w:sz w:val="24"/>
          <w:szCs w:val="24"/>
          <w:highlight w:val="none"/>
        </w:rPr>
        <w:t>基、单回路耐张塔</w:t>
      </w:r>
      <w:r>
        <w:rPr>
          <w:rFonts w:hint="eastAsia" w:ascii="Times New Roman" w:hAnsi="Times New Roman" w:eastAsia="宋体" w:cs="Times New Roman"/>
          <w:bCs/>
          <w:color w:val="auto"/>
          <w:sz w:val="24"/>
          <w:szCs w:val="24"/>
          <w:highlight w:val="none"/>
          <w:lang w:val="en-US" w:eastAsia="zh-CN"/>
        </w:rPr>
        <w:t>25</w:t>
      </w:r>
      <w:r>
        <w:rPr>
          <w:rFonts w:ascii="Times New Roman" w:hAnsi="Times New Roman" w:eastAsia="宋体" w:cs="Times New Roman"/>
          <w:bCs/>
          <w:color w:val="auto"/>
          <w:sz w:val="24"/>
          <w:szCs w:val="24"/>
          <w:highlight w:val="none"/>
        </w:rPr>
        <w:t>基</w:t>
      </w:r>
      <w:r>
        <w:rPr>
          <w:rFonts w:hint="eastAsia" w:ascii="Times New Roman" w:hAnsi="Times New Roman" w:eastAsia="宋体" w:cs="Times New Roman"/>
          <w:bCs/>
          <w:color w:val="auto"/>
          <w:sz w:val="24"/>
          <w:szCs w:val="24"/>
          <w:highlight w:val="none"/>
          <w:lang w:eastAsia="zh-CN"/>
        </w:rPr>
        <w:t>、双</w:t>
      </w:r>
      <w:r>
        <w:rPr>
          <w:rFonts w:ascii="Times New Roman" w:hAnsi="Times New Roman" w:eastAsia="宋体" w:cs="Times New Roman"/>
          <w:bCs/>
          <w:color w:val="auto"/>
          <w:sz w:val="24"/>
          <w:szCs w:val="24"/>
          <w:highlight w:val="none"/>
        </w:rPr>
        <w:t>回路耐张塔</w:t>
      </w:r>
      <w:r>
        <w:rPr>
          <w:rFonts w:hint="eastAsia" w:ascii="Times New Roman" w:hAnsi="Times New Roman" w:eastAsia="宋体" w:cs="Times New Roman"/>
          <w:bCs/>
          <w:color w:val="auto"/>
          <w:sz w:val="24"/>
          <w:szCs w:val="24"/>
          <w:highlight w:val="none"/>
          <w:lang w:val="en-US" w:eastAsia="zh-CN"/>
        </w:rPr>
        <w:t>1</w:t>
      </w:r>
      <w:r>
        <w:rPr>
          <w:rFonts w:ascii="Times New Roman" w:hAnsi="Times New Roman" w:eastAsia="宋体" w:cs="Times New Roman"/>
          <w:bCs/>
          <w:color w:val="auto"/>
          <w:sz w:val="24"/>
          <w:szCs w:val="24"/>
          <w:highlight w:val="none"/>
        </w:rPr>
        <w:t>基，拟采用JL/G1A-300/40型号单导线及</w:t>
      </w:r>
      <w:r>
        <w:rPr>
          <w:rFonts w:hint="eastAsia" w:ascii="Times New Roman" w:hAnsi="Times New Roman" w:eastAsia="宋体" w:cs="Times New Roman"/>
          <w:bCs/>
          <w:color w:val="auto"/>
          <w:sz w:val="24"/>
          <w:szCs w:val="24"/>
          <w:highlight w:val="none"/>
        </w:rPr>
        <w:t>O</w:t>
      </w:r>
      <w:r>
        <w:rPr>
          <w:rFonts w:ascii="Times New Roman" w:hAnsi="Times New Roman" w:eastAsia="宋体" w:cs="Times New Roman"/>
          <w:bCs/>
          <w:color w:val="auto"/>
          <w:sz w:val="24"/>
          <w:szCs w:val="24"/>
          <w:highlight w:val="none"/>
        </w:rPr>
        <w:t>PGW-17-150型号双光缆。</w:t>
      </w:r>
    </w:p>
    <w:p w14:paraId="5AC9EF5F">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hint="eastAsia" w:cs="Times New Roman"/>
          <w:color w:val="auto"/>
          <w:highlight w:val="none"/>
          <w:lang w:val="en-US" w:eastAsia="zh-CN"/>
        </w:rPr>
        <w:t>7</w:t>
      </w:r>
      <w:r>
        <w:rPr>
          <w:rFonts w:cs="Times New Roman"/>
          <w:color w:val="auto"/>
          <w:highlight w:val="none"/>
        </w:rPr>
        <w:t>.2</w:t>
      </w:r>
      <w:r>
        <w:rPr>
          <w:rFonts w:hint="eastAsia" w:cs="Times New Roman"/>
          <w:color w:val="auto"/>
          <w:highlight w:val="none"/>
          <w:lang w:eastAsia="zh-CN"/>
        </w:rPr>
        <w:t>生态</w:t>
      </w:r>
      <w:r>
        <w:rPr>
          <w:rFonts w:cs="Times New Roman"/>
          <w:color w:val="auto"/>
          <w:highlight w:val="none"/>
        </w:rPr>
        <w:t>环境影响分析结论</w:t>
      </w:r>
    </w:p>
    <w:p w14:paraId="2446A19A">
      <w:pPr>
        <w:bidi w:val="0"/>
        <w:rPr>
          <w:color w:val="auto"/>
          <w:highlight w:val="none"/>
        </w:rPr>
      </w:pPr>
      <w:r>
        <w:rPr>
          <w:color w:val="auto"/>
          <w:highlight w:val="none"/>
        </w:rPr>
        <w:t>通过调查、分析、计算打分和评价，项目建设对以保护森林生态系统、生物多样性及珍稀濒危动植物物种为主的森林生态类型自然保护区的影响未出现否决项。虽然项目建设不可避免地会对保护区的自然资源、生态系统和动物栖息地产生一定影响，但从数据分析中可以看出，工程的建设对评价区域的景观/生态系统、生物群落、物种/种群、主要保护对象、生物安全和社会因素等生物多样性一级指标的影响较小，且这种干扰和影响总体上是暂时的、可控的，可以通过建设、规划单位对可能出现的问题设计一系列管理和保护措施，以降低或消除其影响，不会对保护区结构、功能及保护价值构成破坏和降低。</w:t>
      </w:r>
    </w:p>
    <w:p w14:paraId="59265E01">
      <w:pPr>
        <w:spacing w:line="480" w:lineRule="atLeast"/>
        <w:ind w:firstLine="480"/>
        <w:rPr>
          <w:color w:val="auto"/>
          <w:highlight w:val="none"/>
        </w:rPr>
      </w:pPr>
      <w:r>
        <w:rPr>
          <w:color w:val="auto"/>
          <w:highlight w:val="none"/>
        </w:rPr>
        <w:t>根据对生物多样性影响程度分级规定，华能围场“风光储氢热一体化”项目（光伏200MW）项目220kV送出线路工程</w:t>
      </w:r>
      <w:r>
        <w:rPr>
          <w:rFonts w:hint="eastAsia"/>
          <w:color w:val="auto"/>
          <w:highlight w:val="none"/>
          <w:lang w:eastAsia="zh-CN"/>
        </w:rPr>
        <w:t>项目</w:t>
      </w:r>
      <w:r>
        <w:rPr>
          <w:color w:val="auto"/>
          <w:highlight w:val="none"/>
        </w:rPr>
        <w:t>对</w:t>
      </w:r>
      <w:r>
        <w:rPr>
          <w:rFonts w:hint="eastAsia"/>
          <w:color w:val="auto"/>
          <w:highlight w:val="none"/>
          <w:lang w:eastAsia="zh-CN"/>
        </w:rPr>
        <w:t>区域（包括</w:t>
      </w:r>
      <w:r>
        <w:rPr>
          <w:color w:val="auto"/>
          <w:highlight w:val="none"/>
        </w:rPr>
        <w:t>河北滦河上游国家级自然保护区</w:t>
      </w:r>
      <w:r>
        <w:rPr>
          <w:rFonts w:hint="eastAsia"/>
          <w:color w:val="auto"/>
          <w:highlight w:val="none"/>
          <w:lang w:eastAsia="zh-CN"/>
        </w:rPr>
        <w:t>）</w:t>
      </w:r>
      <w:r>
        <w:rPr>
          <w:color w:val="auto"/>
          <w:highlight w:val="none"/>
        </w:rPr>
        <w:t>生物多样性影响指数BI=55.72＜60，影响程度属于中低度影响</w:t>
      </w:r>
      <w:r>
        <w:rPr>
          <w:rFonts w:hint="eastAsia"/>
          <w:color w:val="auto"/>
          <w:highlight w:val="none"/>
          <w:lang w:eastAsia="zh-CN"/>
        </w:rPr>
        <w:t>，环境影响可接受</w:t>
      </w:r>
      <w:r>
        <w:rPr>
          <w:rFonts w:eastAsia="宋体" w:cs="Times New Roman"/>
          <w:color w:val="auto"/>
          <w:szCs w:val="24"/>
          <w:highlight w:val="none"/>
        </w:rPr>
        <w:t>。</w:t>
      </w:r>
    </w:p>
    <w:p w14:paraId="4C29E5FF">
      <w:pPr>
        <w:pStyle w:val="8"/>
        <w:keepNext/>
        <w:keepLines/>
        <w:pageBreakBefore w:val="0"/>
        <w:widowControl w:val="0"/>
        <w:kinsoku/>
        <w:wordWrap/>
        <w:overflowPunct/>
        <w:topLinePunct w:val="0"/>
        <w:autoSpaceDE/>
        <w:autoSpaceDN/>
        <w:bidi w:val="0"/>
        <w:adjustRightInd/>
        <w:snapToGrid/>
        <w:ind w:firstLine="602" w:firstLineChars="200"/>
        <w:textAlignment w:val="auto"/>
        <w:rPr>
          <w:rFonts w:cs="Times New Roman"/>
          <w:color w:val="auto"/>
          <w:highlight w:val="none"/>
        </w:rPr>
      </w:pPr>
      <w:r>
        <w:rPr>
          <w:rFonts w:hint="eastAsia" w:cs="Times New Roman"/>
          <w:color w:val="auto"/>
          <w:highlight w:val="none"/>
          <w:lang w:val="en-US" w:eastAsia="zh-CN"/>
        </w:rPr>
        <w:t>7</w:t>
      </w:r>
      <w:r>
        <w:rPr>
          <w:rFonts w:cs="Times New Roman"/>
          <w:color w:val="auto"/>
          <w:highlight w:val="none"/>
        </w:rPr>
        <w:t>.3</w:t>
      </w:r>
      <w:r>
        <w:rPr>
          <w:rFonts w:hint="eastAsia" w:cs="Times New Roman"/>
          <w:color w:val="auto"/>
          <w:highlight w:val="none"/>
          <w:lang w:eastAsia="zh-CN"/>
        </w:rPr>
        <w:t>生态</w:t>
      </w:r>
      <w:r>
        <w:rPr>
          <w:rFonts w:cs="Times New Roman"/>
          <w:color w:val="auto"/>
          <w:highlight w:val="none"/>
        </w:rPr>
        <w:t>环境保护措施可行性结论</w:t>
      </w:r>
    </w:p>
    <w:p w14:paraId="6E461826">
      <w:pPr>
        <w:ind w:firstLine="480"/>
        <w:rPr>
          <w:rFonts w:cs="Times New Roman"/>
          <w:color w:val="auto"/>
          <w:highlight w:val="none"/>
        </w:rPr>
      </w:pPr>
      <w:r>
        <w:rPr>
          <w:rFonts w:cs="Times New Roman"/>
          <w:color w:val="auto"/>
          <w:highlight w:val="none"/>
        </w:rPr>
        <w:t>项目符合国家产业政策，</w:t>
      </w:r>
      <w:r>
        <w:rPr>
          <w:rFonts w:hint="eastAsia" w:cs="Times New Roman"/>
          <w:color w:val="auto"/>
          <w:highlight w:val="none"/>
        </w:rPr>
        <w:t>线路路径</w:t>
      </w:r>
      <w:r>
        <w:rPr>
          <w:rFonts w:cs="Times New Roman"/>
          <w:color w:val="auto"/>
          <w:highlight w:val="none"/>
        </w:rPr>
        <w:t>选择可行，工程采取了较为完善的污染防治措施，可确保达标排放，项目的建设不会对周围环境产生明显影响。在加强监督管理，严格执行“三同时”前提下，从</w:t>
      </w:r>
      <w:r>
        <w:rPr>
          <w:rFonts w:hint="eastAsia" w:cs="Times New Roman"/>
          <w:color w:val="auto"/>
          <w:highlight w:val="none"/>
          <w:lang w:eastAsia="zh-CN"/>
        </w:rPr>
        <w:t>生态</w:t>
      </w:r>
      <w:r>
        <w:rPr>
          <w:rFonts w:cs="Times New Roman"/>
          <w:color w:val="auto"/>
          <w:highlight w:val="none"/>
        </w:rPr>
        <w:t>环境保护角度分析，</w:t>
      </w:r>
      <w:r>
        <w:rPr>
          <w:rFonts w:eastAsia="宋体" w:cs="Times New Roman"/>
          <w:color w:val="auto"/>
          <w:szCs w:val="24"/>
          <w:highlight w:val="none"/>
        </w:rPr>
        <w:t>华能围场“风光储氢热一体化”项目（光伏200MW）项目220kV送出线路工程项目</w:t>
      </w:r>
      <w:r>
        <w:rPr>
          <w:rFonts w:cs="Times New Roman"/>
          <w:color w:val="auto"/>
          <w:highlight w:val="none"/>
        </w:rPr>
        <w:t>的建设可行。</w:t>
      </w:r>
    </w:p>
    <w:p w14:paraId="3E4E7F8A">
      <w:pPr>
        <w:ind w:left="0" w:leftChars="0" w:firstLine="0" w:firstLineChars="0"/>
        <w:rPr>
          <w:rFonts w:cs="Times New Roman"/>
          <w:color w:val="auto"/>
          <w:highlight w:val="none"/>
        </w:rPr>
      </w:pPr>
    </w:p>
    <w:p w14:paraId="48CBE677">
      <w:pPr>
        <w:pStyle w:val="3"/>
      </w:pPr>
    </w:p>
    <w:sectPr>
      <w:footerReference r:id="rId27" w:type="default"/>
      <w:pgSz w:w="11910" w:h="16840"/>
      <w:pgMar w:top="1418" w:right="998" w:bottom="1378" w:left="1100" w:header="0" w:footer="81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Noto Sans Mono CJK JP Bold">
    <w:altName w:val="Arial"/>
    <w:panose1 w:val="00000000000000000000"/>
    <w:charset w:val="00"/>
    <w:family w:val="swiss"/>
    <w:pitch w:val="default"/>
    <w:sig w:usb0="00000000" w:usb1="00000000" w:usb2="00000000" w:usb3="00000000" w:csb0="00000000" w:csb1="00000000"/>
  </w:font>
  <w:font w:name="Droid Sans Fallback">
    <w:altName w:val="Arial"/>
    <w:panose1 w:val="00000000000000000000"/>
    <w:charset w:val="00"/>
    <w:family w:val="swiss"/>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Noto Sans CJK JP Black">
    <w:altName w:val="Arial"/>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FangSong_GB2312">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8722644"/>
    </w:sdtPr>
    <w:sdtEndPr>
      <w:rPr>
        <w:rFonts w:ascii="Times New Roman" w:hAnsi="Times New Roman" w:cs="Times New Roman"/>
        <w:sz w:val="21"/>
        <w:szCs w:val="21"/>
      </w:rPr>
    </w:sdtEndPr>
    <w:sdtContent>
      <w:p w14:paraId="34D09499">
        <w:pPr>
          <w:pStyle w:val="11"/>
          <w:jc w:val="center"/>
          <w:rPr>
            <w:rFonts w:ascii="Times New Roman" w:hAnsi="Times New Roman" w:cs="Times New Roman"/>
            <w:sz w:val="21"/>
            <w:szCs w:val="21"/>
          </w:rPr>
        </w:pPr>
      </w:p>
    </w:sdtContent>
  </w:sdt>
  <w:p w14:paraId="40E191CA">
    <w:pPr>
      <w:pStyle w:val="4"/>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2C31">
    <w:pPr>
      <w:pStyle w:val="1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E322">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9B548">
    <w:pPr>
      <w:pStyle w:val="1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94938"/>
    </w:sdtPr>
    <w:sdtContent>
      <w:p w14:paraId="0829EB0D">
        <w:pPr>
          <w:pStyle w:val="11"/>
          <w:ind w:firstLine="480"/>
          <w:jc w:val="center"/>
        </w:pPr>
        <w:r>
          <w:fldChar w:fldCharType="begin"/>
        </w:r>
        <w:r>
          <w:instrText xml:space="preserve"> PAGE   \* MERGEFORMAT </w:instrText>
        </w:r>
        <w:r>
          <w:fldChar w:fldCharType="separate"/>
        </w:r>
        <w:r>
          <w:rPr>
            <w:lang w:val="zh-CN"/>
          </w:rPr>
          <w:t>20</w:t>
        </w:r>
        <w:r>
          <w:rPr>
            <w:lang w:val="zh-CN"/>
          </w:rPr>
          <w:fldChar w:fldCharType="end"/>
        </w:r>
      </w:p>
    </w:sdtContent>
  </w:sdt>
  <w:p w14:paraId="6127318A">
    <w:pPr>
      <w:pStyle w:val="1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C7ED1">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9710" cy="118745"/>
              <wp:effectExtent l="0" t="0" r="0" b="0"/>
              <wp:wrapNone/>
              <wp:docPr id="53" name="文本框 1025"/>
              <wp:cNvGraphicFramePr/>
              <a:graphic xmlns:a="http://schemas.openxmlformats.org/drawingml/2006/main">
                <a:graphicData uri="http://schemas.microsoft.com/office/word/2010/wordprocessingShape">
                  <wps:wsp>
                    <wps:cNvSpPr txBox="1"/>
                    <wps:spPr>
                      <a:xfrm>
                        <a:off x="0" y="0"/>
                        <a:ext cx="219710" cy="118745"/>
                      </a:xfrm>
                      <a:prstGeom prst="rect">
                        <a:avLst/>
                      </a:prstGeom>
                      <a:noFill/>
                      <a:ln>
                        <a:noFill/>
                      </a:ln>
                    </wps:spPr>
                    <wps:txbx>
                      <w:txbxContent>
                        <w:p w14:paraId="57A00EAC">
                          <w:pPr>
                            <w:pStyle w:val="11"/>
                          </w:pPr>
                          <w:r>
                            <w:fldChar w:fldCharType="begin"/>
                          </w:r>
                          <w:r>
                            <w:instrText xml:space="preserve"> PAGE  \* MERGEFORMAT </w:instrText>
                          </w:r>
                          <w:r>
                            <w:fldChar w:fldCharType="separate"/>
                          </w:r>
                          <w:r>
                            <w:t>9</w:t>
                          </w:r>
                          <w:r>
                            <w:fldChar w:fldCharType="end"/>
                          </w:r>
                        </w:p>
                      </w:txbxContent>
                    </wps:txbx>
                    <wps:bodyPr lIns="0" tIns="0" rIns="0" bIns="0" upright="0"/>
                  </wps:wsp>
                </a:graphicData>
              </a:graphic>
            </wp:anchor>
          </w:drawing>
        </mc:Choice>
        <mc:Fallback>
          <w:pict>
            <v:shape id="文本框 1025" o:spid="_x0000_s1026" o:spt="202" type="#_x0000_t202" style="position:absolute;left:0pt;margin-top:0pt;height:9.35pt;width:17.3pt;mso-position-horizontal:center;mso-position-horizontal-relative:margin;z-index:251659264;mso-width-relative:page;mso-height-relative:page;" filled="f" stroked="f" coordsize="21600,21600" o:gfxdata="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jOrYdMAAAADAQAADwAAAAAAAAABACAAAAAiAAAAZHJzL2Rvd25yZXYueG1sUEsBAhQA&#10;FAAAAAgAh07iQHHIBTa+AQAAdQMAAA4AAAAAAAAAAQAgAAAAIgEAAGRycy9lMm9Eb2MueG1sUEsF&#10;BgAAAAAGAAYAWQEAAFIFAAAAAA==&#10;">
              <v:fill on="f" focussize="0,0"/>
              <v:stroke on="f"/>
              <v:imagedata o:title=""/>
              <o:lock v:ext="edit" aspectratio="f"/>
              <v:textbox inset="0mm,0mm,0mm,0mm">
                <w:txbxContent>
                  <w:p w14:paraId="57A00EAC">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CB88">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C29D6E">
                          <w:pPr>
                            <w:pStyle w:val="11"/>
                          </w:pPr>
                          <w:r>
                            <w:fldChar w:fldCharType="begin"/>
                          </w:r>
                          <w:r>
                            <w:instrText xml:space="preserve"> PAGE  \* MERGEFORMAT </w:instrText>
                          </w:r>
                          <w:r>
                            <w:fldChar w:fldCharType="separate"/>
                          </w:r>
                          <w:r>
                            <w:t>21</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5gaswBAACdAwAADgAAAGRycy9lMm9Eb2MueG1srVPNjtMwEL4j8Q6W&#10;79RppV1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OaGEsctTvzy/dvlx6/Lz69k&#10;Wa1us0R9gBozHwLmpuGNH3BxZj+gMzMfVLT5i5wIxlHg81VgOSQi8qP1ar2uMCQwNl8Qnz0+DxHS&#10;W+ktyUZDI06wCMtP7yGNqXNKrub8vTamTNG4vxyImT0s9z72mK007IeJ0N63Z+TT4/Ab6nDXKTHv&#10;HGqb92Q24mzsZ+MYoj50ZZFyPQivjwmbKL3lCiPsVBinVthNG5bX4s97yXr8q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QnmBqzAEAAJ0DAAAOAAAAAAAAAAEAIAAAAB4BAABkcnMvZTJv&#10;RG9jLnhtbFBLBQYAAAAABgAGAFkBAABcBQAAAAA=&#10;">
              <v:fill on="f" focussize="0,0"/>
              <v:stroke on="f"/>
              <v:imagedata o:title=""/>
              <o:lock v:ext="edit" aspectratio="f"/>
              <v:textbox inset="0mm,0mm,0mm,0mm" style="mso-fit-shape-to-text:t;">
                <w:txbxContent>
                  <w:p w14:paraId="46C29D6E">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71754">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B523E3">
                          <w:pPr>
                            <w:pStyle w:val="11"/>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PntcMsBAACd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rqhxHGLE798/3b58evy8ytZ&#10;Vi+X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j57XDLAQAAnQMAAA4AAAAAAAAAAQAgAAAAHgEAAGRycy9lMm9E&#10;b2MueG1sUEsFBgAAAAAGAAYAWQEAAFsFAAAAAA==&#10;">
              <v:fill on="f" focussize="0,0"/>
              <v:stroke on="f"/>
              <v:imagedata o:title=""/>
              <o:lock v:ext="edit" aspectratio="f"/>
              <v:textbox inset="0mm,0mm,0mm,0mm" style="mso-fit-shape-to-text:t;">
                <w:txbxContent>
                  <w:p w14:paraId="04B523E3">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93E0E">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36855"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236855" cy="1828800"/>
                      </a:xfrm>
                      <a:prstGeom prst="rect">
                        <a:avLst/>
                      </a:prstGeom>
                      <a:noFill/>
                      <a:ln>
                        <a:noFill/>
                      </a:ln>
                    </wps:spPr>
                    <wps:txbx>
                      <w:txbxContent>
                        <w:p w14:paraId="4B0A52F9">
                          <w:pPr>
                            <w:pStyle w:val="11"/>
                          </w:pPr>
                          <w:r>
                            <w:fldChar w:fldCharType="begin"/>
                          </w:r>
                          <w:r>
                            <w:instrText xml:space="preserve"> PAGE  \* MERGEFORMAT </w:instrText>
                          </w:r>
                          <w:r>
                            <w:fldChar w:fldCharType="separate"/>
                          </w:r>
                          <w:r>
                            <w:t>22</w:t>
                          </w:r>
                          <w:r>
                            <w:fldChar w:fldCharType="end"/>
                          </w:r>
                        </w:p>
                      </w:txbxContent>
                    </wps:txbx>
                    <wps:bodyPr lIns="0" tIns="0" rIns="0" bIns="0" upright="0">
                      <a:spAutoFit/>
                    </wps:bodyPr>
                  </wps:wsp>
                </a:graphicData>
              </a:graphic>
            </wp:anchor>
          </w:drawing>
        </mc:Choice>
        <mc:Fallback>
          <w:pict>
            <v:shape id="文本框 1027" o:spid="_x0000_s1026" o:spt="202" type="#_x0000_t202" style="position:absolute;left:0pt;margin-top:0pt;height:144pt;width:18.65pt;mso-position-horizontal:center;mso-position-horizontal-relative:margin;z-index:251661312;mso-width-relative:page;mso-height-relative:page;" filled="f" stroked="f" coordsize="21600,21600" o:gfxdata="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Bn2yNMAAAAEAQAADwAAAAAAAAABACAAAAAiAAAAZHJzL2Rvd25y&#10;ZXYueG1sUEsBAhQAFAAAAAgAh07iQOpn3inKAQAAjwMAAA4AAAAAAAAAAQAgAAAAIgEAAGRycy9l&#10;Mm9Eb2MueG1sUEsFBgAAAAAGAAYAWQEAAF4FAAAAAA==&#10;">
              <v:fill on="f" focussize="0,0"/>
              <v:stroke on="f"/>
              <v:imagedata o:title=""/>
              <o:lock v:ext="edit" aspectratio="f"/>
              <v:textbox inset="0mm,0mm,0mm,0mm" style="mso-fit-shape-to-text:t;">
                <w:txbxContent>
                  <w:p w14:paraId="4B0A52F9">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8955">
    <w:pPr>
      <w:spacing w:line="167"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08035">
                          <w:pPr>
                            <w:pStyle w:val="1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3kUk8sBAACdAwAADgAAAGRycy9lMm9Eb2MueG1srVPNjtMwEL4j8Q6W&#10;79RpD6sS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UFJHLc48cuP75efvy+/vpFl&#10;tXqdJeoD1Jh5HzA3DW/9gIsz+wGdmfmgos1f5EQwjmjnq8BySETkR+vVel1hSGBsviA+e3geIqR3&#10;0luSjYZGnGARlp8+QBpT55Rczfk7bUyZonF/ORAze1jufewxW2nYDxOhvW/PyKfH4TfU4a5TYt47&#10;1Bb7S7MRZ2M/G8cQ9aEri5TrQXhzTNhE6S1XGGGnwji1wm7asLwWj+8l6+Gv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5FJPLAQAAnQMAAA4AAAAAAAAAAQAgAAAAHgEAAGRycy9lMm9E&#10;b2MueG1sUEsFBgAAAAAGAAYAWQEAAFsFAAAAAA==&#10;">
              <v:fill on="f" focussize="0,0"/>
              <v:stroke on="f"/>
              <v:imagedata o:title=""/>
              <o:lock v:ext="edit" aspectratio="f"/>
              <v:textbox inset="0mm,0mm,0mm,0mm" style="mso-fit-shape-to-text:t;">
                <w:txbxContent>
                  <w:p w14:paraId="4BB08035">
                    <w:pPr>
                      <w:pStyle w:val="1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A1B7">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28600" cy="122555"/>
              <wp:effectExtent l="0" t="0" r="0" b="0"/>
              <wp:wrapNone/>
              <wp:docPr id="62" name="文本框 1032"/>
              <wp:cNvGraphicFramePr/>
              <a:graphic xmlns:a="http://schemas.openxmlformats.org/drawingml/2006/main">
                <a:graphicData uri="http://schemas.microsoft.com/office/word/2010/wordprocessingShape">
                  <wps:wsp>
                    <wps:cNvSpPr txBox="1"/>
                    <wps:spPr>
                      <a:xfrm>
                        <a:off x="0" y="0"/>
                        <a:ext cx="228600" cy="122555"/>
                      </a:xfrm>
                      <a:prstGeom prst="rect">
                        <a:avLst/>
                      </a:prstGeom>
                      <a:noFill/>
                      <a:ln>
                        <a:noFill/>
                      </a:ln>
                    </wps:spPr>
                    <wps:txbx>
                      <w:txbxContent>
                        <w:p w14:paraId="45EC4438">
                          <w:pPr>
                            <w:pStyle w:val="11"/>
                          </w:pPr>
                          <w:r>
                            <w:fldChar w:fldCharType="begin"/>
                          </w:r>
                          <w:r>
                            <w:instrText xml:space="preserve"> PAGE  \* MERGEFORMAT </w:instrText>
                          </w:r>
                          <w:r>
                            <w:fldChar w:fldCharType="separate"/>
                          </w:r>
                          <w:r>
                            <w:t>51</w:t>
                          </w:r>
                          <w:r>
                            <w:fldChar w:fldCharType="end"/>
                          </w:r>
                        </w:p>
                      </w:txbxContent>
                    </wps:txbx>
                    <wps:bodyPr lIns="0" tIns="0" rIns="0" bIns="0" upright="0"/>
                  </wps:wsp>
                </a:graphicData>
              </a:graphic>
            </wp:anchor>
          </w:drawing>
        </mc:Choice>
        <mc:Fallback>
          <w:pict>
            <v:shape id="文本框 1032" o:spid="_x0000_s1026" o:spt="202" type="#_x0000_t202" style="position:absolute;left:0pt;margin-top:0pt;height:9.65pt;width:18pt;mso-position-horizontal:center;mso-position-horizontal-relative:margin;z-index:251664384;mso-width-relative:page;mso-height-relative:page;" filled="f" stroked="f" coordsize="21600,21600" o:gfxdata="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zopZS0wAAAAMBAAAPAAAAAAAAAAEAIAAAACIAAABkcnMvZG93bnJldi54bWxQSwECFAAU&#10;AAAACACHTuJAt9iaM70BAAB1AwAADgAAAAAAAAABACAAAAAiAQAAZHJzL2Uyb0RvYy54bWxQSwUG&#10;AAAAAAYABgBZAQAAUQUAAAAA&#10;">
              <v:fill on="f" focussize="0,0"/>
              <v:stroke on="f"/>
              <v:imagedata o:title=""/>
              <o:lock v:ext="edit" aspectratio="f"/>
              <v:textbox inset="0mm,0mm,0mm,0mm">
                <w:txbxContent>
                  <w:p w14:paraId="45EC4438">
                    <w:pPr>
                      <w:pStyle w:val="1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EE961">
    <w:pPr>
      <w:pStyle w:val="11"/>
      <w:jc w:val="center"/>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62900586"/>
                          </w:sdtPr>
                          <w:sdtEndPr>
                            <w:rPr>
                              <w:rFonts w:ascii="Times New Roman" w:hAnsi="Times New Roman" w:cs="Times New Roman"/>
                              <w:sz w:val="21"/>
                              <w:szCs w:val="21"/>
                            </w:rPr>
                          </w:sdtEndPr>
                          <w:sdtContent>
                            <w:p w14:paraId="74F425A4">
                              <w:pPr>
                                <w:pStyle w:val="11"/>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70</w:t>
                              </w:r>
                              <w:r>
                                <w:rPr>
                                  <w:rFonts w:ascii="Times New Roman" w:hAnsi="Times New Roman" w:cs="Times New Roman"/>
                                  <w:sz w:val="21"/>
                                  <w:szCs w:val="21"/>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862900586"/>
                    </w:sdtPr>
                    <w:sdtEndPr>
                      <w:rPr>
                        <w:rFonts w:ascii="Times New Roman" w:hAnsi="Times New Roman" w:cs="Times New Roman"/>
                        <w:sz w:val="21"/>
                        <w:szCs w:val="21"/>
                      </w:rPr>
                    </w:sdtEndPr>
                    <w:sdtContent>
                      <w:p w14:paraId="74F425A4">
                        <w:pPr>
                          <w:pStyle w:val="11"/>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70</w:t>
                        </w:r>
                        <w:r>
                          <w:rPr>
                            <w:rFonts w:ascii="Times New Roman" w:hAnsi="Times New Roman" w:cs="Times New Roman"/>
                            <w:sz w:val="21"/>
                            <w:szCs w:val="21"/>
                          </w:rPr>
                          <w:fldChar w:fldCharType="end"/>
                        </w:r>
                      </w:p>
                    </w:sdtContent>
                  </w:sdt>
                </w:txbxContent>
              </v:textbox>
            </v:shape>
          </w:pict>
        </mc:Fallback>
      </mc:AlternateContent>
    </w:r>
  </w:p>
  <w:p w14:paraId="61DBF5F1">
    <w:pPr>
      <w:pStyle w:val="4"/>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B5BBB">
    <w:pPr>
      <w:pStyle w:val="11"/>
      <w:jc w:val="center"/>
      <w:rPr>
        <w:rFonts w:ascii="Times New Roman" w:hAnsi="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FBAA7">
                          <w:pPr>
                            <w:pStyle w:val="1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72FBAA7">
                    <w:pPr>
                      <w:pStyle w:val="11"/>
                    </w:pPr>
                    <w:r>
                      <w:fldChar w:fldCharType="begin"/>
                    </w:r>
                    <w:r>
                      <w:instrText xml:space="preserve"> PAGE  \* MERGEFORMAT </w:instrText>
                    </w:r>
                    <w:r>
                      <w:fldChar w:fldCharType="separate"/>
                    </w:r>
                    <w:r>
                      <w:t>72</w:t>
                    </w:r>
                    <w:r>
                      <w:fldChar w:fldCharType="end"/>
                    </w:r>
                  </w:p>
                </w:txbxContent>
              </v:textbox>
            </v:shape>
          </w:pict>
        </mc:Fallback>
      </mc:AlternateContent>
    </w:r>
  </w:p>
  <w:p w14:paraId="2CEAE02A">
    <w:pPr>
      <w:pStyle w:val="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8F09">
    <w:pPr>
      <w:pStyle w:val="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74362">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896C0">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A708">
    <w:pPr>
      <w:pStyle w:val="11"/>
      <w:jc w:val="center"/>
      <w:rPr>
        <w:rFonts w:ascii="Times New Roman" w:hAnsi="Times New Roman" w:cs="Times New Roman"/>
        <w:sz w:val="21"/>
        <w:szCs w:val="21"/>
      </w:rPr>
    </w:pPr>
  </w:p>
  <w:p w14:paraId="0DB40D46">
    <w:pPr>
      <w:pStyle w:val="4"/>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C4C68">
    <w:pPr>
      <w:pStyle w:val="11"/>
      <w:jc w:val="center"/>
      <w:rPr>
        <w:rFonts w:ascii="Times New Roman" w:hAnsi="Times New Roman" w:cs="Times New Roman"/>
        <w:sz w:val="21"/>
        <w:szCs w:val="21"/>
      </w:rPr>
    </w:pPr>
  </w:p>
  <w:p w14:paraId="6EDCB14D">
    <w:pPr>
      <w:pStyle w:val="4"/>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94938"/>
    </w:sdtPr>
    <w:sdtContent>
      <w:p w14:paraId="087DC338">
        <w:pPr>
          <w:pStyle w:val="11"/>
          <w:ind w:firstLine="480"/>
          <w:jc w:val="center"/>
        </w:pPr>
        <w:r>
          <w:fldChar w:fldCharType="begin"/>
        </w:r>
        <w:r>
          <w:instrText xml:space="preserve"> PAGE   \* MERGEFORMAT </w:instrText>
        </w:r>
        <w:r>
          <w:fldChar w:fldCharType="separate"/>
        </w:r>
        <w:r>
          <w:rPr>
            <w:lang w:val="zh-CN"/>
          </w:rPr>
          <w:t>20</w:t>
        </w:r>
        <w:r>
          <w:rPr>
            <w:lang w:val="zh-CN"/>
          </w:rPr>
          <w:fldChar w:fldCharType="end"/>
        </w:r>
      </w:p>
    </w:sdtContent>
  </w:sdt>
  <w:p w14:paraId="15D68B76">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A4AF">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D14A">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F5DD">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AA51A">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78E6F">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FE6B">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69A19"/>
    <w:multiLevelType w:val="singleLevel"/>
    <w:tmpl w:val="0B169A19"/>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zNDYwZjI5YzIzZGE2NGZiMzYzYTE1NDRiNDIxNTMifQ=="/>
  </w:docVars>
  <w:rsids>
    <w:rsidRoot w:val="686326B8"/>
    <w:rsid w:val="68632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Noto Sans Mono CJK JP Bold" w:hAnsi="Noto Sans Mono CJK JP Bold" w:eastAsia="Noto Sans Mono CJK JP Bold" w:cs="Noto Sans Mono CJK JP Bold"/>
      <w:sz w:val="22"/>
      <w:szCs w:val="22"/>
      <w:lang w:val="en-US" w:eastAsia="zh-CN" w:bidi="ar-SA"/>
    </w:rPr>
  </w:style>
  <w:style w:type="paragraph" w:styleId="7">
    <w:name w:val="heading 1"/>
    <w:basedOn w:val="1"/>
    <w:next w:val="1"/>
    <w:qFormat/>
    <w:uiPriority w:val="9"/>
    <w:pPr>
      <w:spacing w:before="4"/>
      <w:ind w:left="2353" w:right="2356"/>
      <w:jc w:val="center"/>
      <w:outlineLvl w:val="0"/>
    </w:pPr>
    <w:rPr>
      <w:rFonts w:ascii="Droid Sans Fallback" w:hAnsi="Droid Sans Fallback" w:eastAsia="Droid Sans Fallback" w:cs="Droid Sans Fallback"/>
      <w:sz w:val="38"/>
      <w:szCs w:val="38"/>
    </w:rPr>
  </w:style>
  <w:style w:type="paragraph" w:styleId="8">
    <w:name w:val="heading 2"/>
    <w:basedOn w:val="1"/>
    <w:next w:val="1"/>
    <w:unhideWhenUsed/>
    <w:qFormat/>
    <w:uiPriority w:val="0"/>
    <w:pPr>
      <w:keepNext/>
      <w:keepLines/>
      <w:ind w:firstLine="0" w:firstLineChars="0"/>
      <w:outlineLvl w:val="1"/>
    </w:pPr>
    <w:rPr>
      <w:rFonts w:eastAsiaTheme="majorEastAsia" w:cstheme="majorBidi"/>
      <w:b/>
      <w:bCs/>
      <w:sz w:val="30"/>
      <w:szCs w:val="32"/>
    </w:rPr>
  </w:style>
  <w:style w:type="paragraph" w:styleId="9">
    <w:name w:val="heading 3"/>
    <w:basedOn w:val="1"/>
    <w:next w:val="1"/>
    <w:unhideWhenUsed/>
    <w:qFormat/>
    <w:uiPriority w:val="0"/>
    <w:pPr>
      <w:keepNext/>
      <w:keepLines/>
      <w:ind w:firstLine="0" w:firstLineChars="0"/>
      <w:outlineLvl w:val="2"/>
    </w:pPr>
    <w:rPr>
      <w:b/>
      <w:bCs/>
      <w:sz w:val="28"/>
      <w:szCs w:val="32"/>
    </w:rPr>
  </w:style>
  <w:style w:type="paragraph" w:styleId="10">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autoSpaceDE/>
      <w:autoSpaceDN/>
      <w:spacing w:after="200" w:line="276" w:lineRule="auto"/>
      <w:ind w:firstLine="420"/>
    </w:pPr>
    <w:rPr>
      <w:rFonts w:ascii="Calibri" w:hAnsi="Calibri" w:eastAsia="Calibri" w:cstheme="minorBidi"/>
      <w:lang w:eastAsia="en-US"/>
    </w:rPr>
  </w:style>
  <w:style w:type="paragraph" w:customStyle="1" w:styleId="3">
    <w:name w:val="样式 正文文本 + 首行缩进:  2 字符"/>
    <w:basedOn w:val="4"/>
    <w:next w:val="1"/>
    <w:qFormat/>
    <w:uiPriority w:val="99"/>
    <w:pPr>
      <w:spacing w:after="200" w:line="480" w:lineRule="exact"/>
      <w:ind w:firstLine="480" w:firstLineChars="200"/>
    </w:pPr>
    <w:rPr>
      <w:rFonts w:eastAsia="微软雅黑"/>
      <w:szCs w:val="22"/>
    </w:rPr>
  </w:style>
  <w:style w:type="paragraph" w:styleId="4">
    <w:name w:val="Body Text"/>
    <w:basedOn w:val="1"/>
    <w:next w:val="5"/>
    <w:qFormat/>
    <w:uiPriority w:val="99"/>
    <w:rPr>
      <w:rFonts w:ascii="Noto Sans CJK JP Black" w:hAnsi="Noto Sans CJK JP Black" w:eastAsia="Noto Sans CJK JP Black" w:cs="Noto Sans CJK JP Black"/>
      <w:sz w:val="30"/>
      <w:szCs w:val="30"/>
    </w:rPr>
  </w:style>
  <w:style w:type="paragraph" w:customStyle="1" w:styleId="5">
    <w:name w:val="style4"/>
    <w:basedOn w:val="1"/>
    <w:next w:val="6"/>
    <w:autoRedefine/>
    <w:qFormat/>
    <w:uiPriority w:val="0"/>
    <w:pPr>
      <w:widowControl/>
      <w:spacing w:before="280" w:after="280"/>
    </w:pPr>
    <w:rPr>
      <w:rFonts w:ascii="宋体"/>
      <w:sz w:val="18"/>
    </w:rPr>
  </w:style>
  <w:style w:type="paragraph" w:customStyle="1" w:styleId="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1">
    <w:name w:val="footer"/>
    <w:basedOn w:val="1"/>
    <w:unhideWhenUsed/>
    <w:qFormat/>
    <w:uiPriority w:val="99"/>
    <w:pPr>
      <w:tabs>
        <w:tab w:val="center" w:pos="4153"/>
        <w:tab w:val="right" w:pos="8306"/>
      </w:tabs>
      <w:snapToGrid w:val="0"/>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autoSpaceDE/>
      <w:autoSpaceDN/>
      <w:spacing w:after="200" w:line="240" w:lineRule="exact"/>
      <w:jc w:val="center"/>
    </w:pPr>
    <w:rPr>
      <w:rFonts w:ascii="Calibri" w:hAnsi="Calibri" w:eastAsia="Calibri" w:cs="Times New Roman"/>
      <w:sz w:val="18"/>
      <w:szCs w:val="18"/>
      <w:lang w:eastAsia="en-US"/>
    </w:rPr>
  </w:style>
  <w:style w:type="paragraph" w:styleId="14">
    <w:name w:val="Normal (Web)"/>
    <w:basedOn w:val="1"/>
    <w:qFormat/>
    <w:uiPriority w:val="99"/>
    <w:pPr>
      <w:widowControl/>
      <w:autoSpaceDE/>
      <w:autoSpaceDN/>
      <w:spacing w:before="100" w:beforeAutospacing="1" w:after="100" w:afterAutospacing="1" w:line="276" w:lineRule="auto"/>
    </w:pPr>
    <w:rPr>
      <w:rFonts w:ascii="宋体" w:hAnsi="宋体" w:eastAsia="Calibri" w:cs="Times New Roman"/>
      <w:sz w:val="24"/>
      <w:szCs w:val="24"/>
      <w:lang w:eastAsia="en-US"/>
    </w:rPr>
  </w:style>
  <w:style w:type="table" w:styleId="16">
    <w:name w:val="Table Grid"/>
    <w:basedOn w:val="15"/>
    <w:qFormat/>
    <w:uiPriority w:val="9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unhideWhenUsed/>
    <w:qFormat/>
    <w:uiPriority w:val="99"/>
    <w:rPr>
      <w:color w:val="0000FF"/>
      <w:u w:val="single"/>
    </w:rPr>
  </w:style>
  <w:style w:type="character" w:styleId="19">
    <w:name w:val="annotation reference"/>
    <w:qFormat/>
    <w:uiPriority w:val="0"/>
    <w:rPr>
      <w:sz w:val="21"/>
    </w:rPr>
  </w:style>
  <w:style w:type="paragraph" w:customStyle="1" w:styleId="20">
    <w:name w:val="TOC 标题1"/>
    <w:basedOn w:val="7"/>
    <w:next w:val="1"/>
    <w:autoRedefine/>
    <w:unhideWhenUsed/>
    <w:qFormat/>
    <w:uiPriority w:val="39"/>
    <w:pPr>
      <w:keepNext/>
      <w:keepLines/>
      <w:widowControl/>
      <w:autoSpaceDE/>
      <w:autoSpaceDN/>
      <w:spacing w:before="240" w:line="259" w:lineRule="auto"/>
      <w:ind w:left="0" w:right="0"/>
      <w:jc w:val="left"/>
      <w:outlineLvl w:val="9"/>
    </w:pPr>
    <w:rPr>
      <w:rFonts w:asciiTheme="majorHAnsi" w:hAnsiTheme="majorHAnsi" w:eastAsiaTheme="majorEastAsia" w:cstheme="majorBidi"/>
      <w:color w:val="2E54A1" w:themeColor="accent1" w:themeShade="BF"/>
      <w:sz w:val="32"/>
      <w:szCs w:val="32"/>
    </w:rPr>
  </w:style>
  <w:style w:type="paragraph" w:customStyle="1" w:styleId="21">
    <w:name w:val="Default"/>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table" w:customStyle="1" w:styleId="22">
    <w:name w:val="Table Normal"/>
    <w:autoRedefine/>
    <w:semiHidden/>
    <w:unhideWhenUsed/>
    <w:qFormat/>
    <w:uiPriority w:val="2"/>
    <w:tblPr>
      <w:tblCellMar>
        <w:top w:w="0" w:type="dxa"/>
        <w:left w:w="0" w:type="dxa"/>
        <w:bottom w:w="0" w:type="dxa"/>
        <w:right w:w="0" w:type="dxa"/>
      </w:tblCellMar>
    </w:tblPr>
  </w:style>
  <w:style w:type="paragraph" w:customStyle="1" w:styleId="23">
    <w:name w:val="Table Paragraph"/>
    <w:basedOn w:val="1"/>
    <w:autoRedefine/>
    <w:qFormat/>
    <w:uiPriority w:val="0"/>
  </w:style>
  <w:style w:type="paragraph" w:customStyle="1" w:styleId="24">
    <w:name w:val="Table Text"/>
    <w:basedOn w:val="1"/>
    <w:autoRedefine/>
    <w:semiHidden/>
    <w:qFormat/>
    <w:uiPriority w:val="0"/>
    <w:pPr>
      <w:spacing w:line="480" w:lineRule="atLeast"/>
      <w:jc w:val="center"/>
    </w:pPr>
    <w:rPr>
      <w:rFonts w:ascii="Times New Roman" w:hAnsi="Times New Roman" w:cs="Times New Roman" w:eastAsiaTheme="minorEastAsia"/>
      <w:b/>
      <w:color w:val="000000" w:themeColor="text1"/>
      <w:spacing w:val="-2"/>
      <w:sz w:val="21"/>
      <w:szCs w:val="21"/>
      <w14:textFill>
        <w14:solidFill>
          <w14:schemeClr w14:val="tx1"/>
        </w14:solidFill>
      </w14:textFill>
    </w:rPr>
  </w:style>
  <w:style w:type="paragraph" w:customStyle="1" w:styleId="25">
    <w:name w:val="书表格内"/>
    <w:basedOn w:val="1"/>
    <w:qFormat/>
    <w:uiPriority w:val="0"/>
    <w:pPr>
      <w:autoSpaceDE/>
      <w:autoSpaceDN/>
      <w:adjustRightInd w:val="0"/>
      <w:snapToGrid w:val="0"/>
      <w:spacing w:line="0" w:lineRule="atLeast"/>
      <w:jc w:val="center"/>
    </w:pPr>
    <w:rPr>
      <w:rFonts w:ascii="Times New Roman" w:hAnsi="Times New Roman" w:eastAsia="宋体" w:cs="Times New Roman"/>
      <w:kern w:val="2"/>
      <w:sz w:val="21"/>
      <w:szCs w:val="21"/>
    </w:rPr>
  </w:style>
  <w:style w:type="paragraph" w:customStyle="1" w:styleId="26">
    <w:name w:val="表中文字"/>
    <w:basedOn w:val="1"/>
    <w:autoRedefine/>
    <w:qFormat/>
    <w:uiPriority w:val="0"/>
    <w:pPr>
      <w:adjustRightInd w:val="0"/>
      <w:snapToGrid w:val="0"/>
      <w:spacing w:line="240" w:lineRule="atLeast"/>
      <w:jc w:val="center"/>
    </w:pPr>
    <w:rPr>
      <w:lang w:val="zh-CN"/>
    </w:rPr>
  </w:style>
  <w:style w:type="paragraph" w:customStyle="1" w:styleId="27">
    <w:name w:val="样式 正文缩进正文缩进2正文缩进 Char Char正文缩进 Char Char Char Char正文缩进 Char ..."/>
    <w:basedOn w:val="2"/>
    <w:autoRedefine/>
    <w:qFormat/>
    <w:uiPriority w:val="0"/>
    <w:pPr>
      <w:spacing w:after="0" w:line="360" w:lineRule="auto"/>
      <w:ind w:firstLine="200" w:firstLineChars="200"/>
      <w:jc w:val="both"/>
    </w:pPr>
    <w:rPr>
      <w:rFonts w:ascii="Times New Roman" w:hAnsi="Times New Roman" w:eastAsia="宋体" w:cs="宋体"/>
      <w:kern w:val="2"/>
      <w:sz w:val="24"/>
      <w:szCs w:val="24"/>
      <w:lang w:eastAsia="zh-CN"/>
    </w:rPr>
  </w:style>
  <w:style w:type="paragraph" w:customStyle="1" w:styleId="28">
    <w:name w:val="正文本"/>
    <w:basedOn w:val="1"/>
    <w:qFormat/>
    <w:uiPriority w:val="0"/>
    <w:pPr>
      <w:adjustRightInd w:val="0"/>
      <w:snapToGrid w:val="0"/>
      <w:spacing w:line="500" w:lineRule="exact"/>
      <w:ind w:firstLine="200" w:firstLineChars="200"/>
    </w:pPr>
    <w:rPr>
      <w:sz w:val="24"/>
      <w:szCs w:val="21"/>
    </w:rPr>
  </w:style>
  <w:style w:type="paragraph" w:customStyle="1" w:styleId="29">
    <w:name w:val="正文内容"/>
    <w:basedOn w:val="1"/>
    <w:autoRedefine/>
    <w:qFormat/>
    <w:uiPriority w:val="0"/>
    <w:pPr>
      <w:autoSpaceDE/>
      <w:autoSpaceDN/>
      <w:spacing w:line="360" w:lineRule="auto"/>
      <w:ind w:firstLine="200" w:firstLineChars="200"/>
      <w:jc w:val="both"/>
    </w:pPr>
    <w:rPr>
      <w:rFonts w:ascii="宋体" w:hAnsi="Times New Roman" w:eastAsia="宋体" w:cs="Times New Roman"/>
      <w:kern w:val="2"/>
      <w:sz w:val="24"/>
      <w:szCs w:val="20"/>
    </w:rPr>
  </w:style>
  <w:style w:type="paragraph" w:customStyle="1" w:styleId="30">
    <w:name w:val="表格"/>
    <w:basedOn w:val="4"/>
    <w:next w:val="1"/>
    <w:autoRedefine/>
    <w:qFormat/>
    <w:uiPriority w:val="0"/>
    <w:pPr>
      <w:autoSpaceDE/>
      <w:autoSpaceDN/>
      <w:adjustRightInd w:val="0"/>
      <w:snapToGrid w:val="0"/>
      <w:spacing w:line="276" w:lineRule="auto"/>
      <w:jc w:val="center"/>
      <w:textAlignment w:val="baseline"/>
    </w:pPr>
    <w:rPr>
      <w:rFonts w:ascii="宋体" w:hAnsi="宋体" w:eastAsia="Calibri" w:cs="Times New Roman"/>
      <w:sz w:val="24"/>
      <w:szCs w:val="24"/>
      <w:lang w:eastAsia="en-US"/>
    </w:rPr>
  </w:style>
  <w:style w:type="paragraph" w:customStyle="1" w:styleId="31">
    <w:name w:val="刘思远正文"/>
    <w:basedOn w:val="1"/>
    <w:autoRedefine/>
    <w:qFormat/>
    <w:uiPriority w:val="0"/>
    <w:pPr>
      <w:widowControl/>
      <w:spacing w:line="360" w:lineRule="auto"/>
      <w:ind w:firstLine="200" w:firstLineChars="200"/>
    </w:pPr>
    <w:rPr>
      <w:rFonts w:hint="eastAsia" w:ascii="宋体" w:hAnsi="宋体" w:eastAsia="宋体" w:cs="Times New Roman"/>
      <w:bCs/>
      <w:sz w:val="28"/>
      <w:szCs w:val="24"/>
    </w:rPr>
  </w:style>
  <w:style w:type="paragraph" w:customStyle="1" w:styleId="32">
    <w:name w:val="样式 样式 样式 四号 左侧:  1.53 厘米 + 首行缩进:  2 字符 + 居中 左侧:  2 字符 首行缩进:  2..."/>
    <w:basedOn w:val="33"/>
    <w:autoRedefine/>
    <w:qFormat/>
    <w:uiPriority w:val="0"/>
    <w:pPr>
      <w:ind w:firstLine="0" w:firstLineChars="0"/>
      <w:jc w:val="center"/>
    </w:pPr>
  </w:style>
  <w:style w:type="paragraph" w:customStyle="1" w:styleId="33">
    <w:name w:val="样式 样式 四号 左侧:  1.53 厘米 + 首行缩进:  2 字符"/>
    <w:basedOn w:val="34"/>
    <w:autoRedefine/>
    <w:qFormat/>
    <w:uiPriority w:val="0"/>
    <w:pPr>
      <w:ind w:left="200" w:leftChars="200"/>
    </w:pPr>
    <w:rPr>
      <w:szCs w:val="20"/>
    </w:rPr>
  </w:style>
  <w:style w:type="paragraph" w:customStyle="1" w:styleId="34">
    <w:name w:val="样式 四号 左侧:  1.53 厘米"/>
    <w:basedOn w:val="1"/>
    <w:autoRedefine/>
    <w:qFormat/>
    <w:uiPriority w:val="0"/>
    <w:pPr>
      <w:adjustRightInd w:val="0"/>
    </w:pPr>
    <w:rPr>
      <w:w w:val="90"/>
      <w:sz w:val="28"/>
      <w:szCs w:val="28"/>
    </w:rPr>
  </w:style>
  <w:style w:type="paragraph" w:customStyle="1" w:styleId="35">
    <w:name w:val="15正文"/>
    <w:autoRedefine/>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36">
    <w:name w:val="引用2"/>
    <w:next w:val="1"/>
    <w:autoRedefine/>
    <w:qFormat/>
    <w:uiPriority w:val="29"/>
    <w:pPr>
      <w:spacing w:line="240" w:lineRule="atLeast"/>
      <w:jc w:val="center"/>
    </w:pPr>
    <w:rPr>
      <w:rFonts w:ascii="Times New Roman" w:hAnsi="Times New Roman" w:eastAsia="宋体" w:cs="Times New Roman"/>
      <w:iCs/>
      <w:kern w:val="2"/>
      <w:sz w:val="21"/>
      <w:szCs w:val="21"/>
      <w:lang w:val="en-US" w:eastAsia="zh-CN" w:bidi="ar-SA"/>
    </w:rPr>
  </w:style>
  <w:style w:type="paragraph" w:customStyle="1" w:styleId="37">
    <w:name w:val="正"/>
    <w:basedOn w:val="1"/>
    <w:qFormat/>
    <w:uiPriority w:val="0"/>
    <w:pPr>
      <w:spacing w:line="480" w:lineRule="exact"/>
      <w:ind w:firstLine="200" w:firstLineChars="200"/>
    </w:pPr>
    <w:rPr>
      <w:kern w:val="0"/>
      <w:sz w:val="24"/>
      <w:szCs w:val="20"/>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46.png"/><Relationship Id="rId96" Type="http://schemas.openxmlformats.org/officeDocument/2006/relationships/image" Target="media/image45.png"/><Relationship Id="rId95" Type="http://schemas.openxmlformats.org/officeDocument/2006/relationships/image" Target="media/image44.png"/><Relationship Id="rId94" Type="http://schemas.openxmlformats.org/officeDocument/2006/relationships/image" Target="media/image43.png"/><Relationship Id="rId93" Type="http://schemas.openxmlformats.org/officeDocument/2006/relationships/image" Target="media/image42.png"/><Relationship Id="rId92" Type="http://schemas.openxmlformats.org/officeDocument/2006/relationships/image" Target="media/image41.png"/><Relationship Id="rId91" Type="http://schemas.openxmlformats.org/officeDocument/2006/relationships/chart" Target="charts/chart4.xml"/><Relationship Id="rId90" Type="http://schemas.openxmlformats.org/officeDocument/2006/relationships/chart" Target="charts/chart3.xml"/><Relationship Id="rId9" Type="http://schemas.openxmlformats.org/officeDocument/2006/relationships/footer" Target="footer4.xml"/><Relationship Id="rId89" Type="http://schemas.openxmlformats.org/officeDocument/2006/relationships/image" Target="media/image40.wmf"/><Relationship Id="rId88" Type="http://schemas.openxmlformats.org/officeDocument/2006/relationships/oleObject" Target="embeddings/oleObject19.bin"/><Relationship Id="rId87" Type="http://schemas.openxmlformats.org/officeDocument/2006/relationships/chart" Target="charts/chart2.xml"/><Relationship Id="rId86" Type="http://schemas.openxmlformats.org/officeDocument/2006/relationships/chart" Target="charts/chart1.xml"/><Relationship Id="rId85" Type="http://schemas.openxmlformats.org/officeDocument/2006/relationships/image" Target="media/image39.wmf"/><Relationship Id="rId84" Type="http://schemas.openxmlformats.org/officeDocument/2006/relationships/oleObject" Target="embeddings/oleObject18.bin"/><Relationship Id="rId83" Type="http://schemas.openxmlformats.org/officeDocument/2006/relationships/image" Target="media/image38.wmf"/><Relationship Id="rId82" Type="http://schemas.openxmlformats.org/officeDocument/2006/relationships/oleObject" Target="embeddings/oleObject17.bin"/><Relationship Id="rId81" Type="http://schemas.openxmlformats.org/officeDocument/2006/relationships/image" Target="media/image37.wmf"/><Relationship Id="rId80" Type="http://schemas.openxmlformats.org/officeDocument/2006/relationships/oleObject" Target="embeddings/oleObject16.bin"/><Relationship Id="rId8" Type="http://schemas.openxmlformats.org/officeDocument/2006/relationships/header" Target="header3.xml"/><Relationship Id="rId79" Type="http://schemas.openxmlformats.org/officeDocument/2006/relationships/image" Target="media/image36.wmf"/><Relationship Id="rId78" Type="http://schemas.openxmlformats.org/officeDocument/2006/relationships/oleObject" Target="embeddings/oleObject15.bin"/><Relationship Id="rId77" Type="http://schemas.openxmlformats.org/officeDocument/2006/relationships/image" Target="media/image35.wmf"/><Relationship Id="rId76" Type="http://schemas.openxmlformats.org/officeDocument/2006/relationships/oleObject" Target="embeddings/oleObject14.bin"/><Relationship Id="rId75" Type="http://schemas.openxmlformats.org/officeDocument/2006/relationships/image" Target="media/image34.wmf"/><Relationship Id="rId74" Type="http://schemas.openxmlformats.org/officeDocument/2006/relationships/oleObject" Target="embeddings/oleObject13.bin"/><Relationship Id="rId73" Type="http://schemas.openxmlformats.org/officeDocument/2006/relationships/image" Target="media/image33.wmf"/><Relationship Id="rId72" Type="http://schemas.openxmlformats.org/officeDocument/2006/relationships/oleObject" Target="embeddings/oleObject12.bin"/><Relationship Id="rId71" Type="http://schemas.openxmlformats.org/officeDocument/2006/relationships/image" Target="media/image32.wmf"/><Relationship Id="rId70" Type="http://schemas.openxmlformats.org/officeDocument/2006/relationships/oleObject" Target="embeddings/oleObject11.bin"/><Relationship Id="rId7" Type="http://schemas.openxmlformats.org/officeDocument/2006/relationships/header" Target="header2.xml"/><Relationship Id="rId69" Type="http://schemas.openxmlformats.org/officeDocument/2006/relationships/image" Target="media/image31.wmf"/><Relationship Id="rId68" Type="http://schemas.openxmlformats.org/officeDocument/2006/relationships/oleObject" Target="embeddings/oleObject10.bin"/><Relationship Id="rId67" Type="http://schemas.openxmlformats.org/officeDocument/2006/relationships/image" Target="media/image30.wmf"/><Relationship Id="rId66" Type="http://schemas.openxmlformats.org/officeDocument/2006/relationships/oleObject" Target="embeddings/oleObject9.bin"/><Relationship Id="rId65" Type="http://schemas.openxmlformats.org/officeDocument/2006/relationships/image" Target="media/image29.wmf"/><Relationship Id="rId64" Type="http://schemas.openxmlformats.org/officeDocument/2006/relationships/oleObject" Target="embeddings/oleObject8.bin"/><Relationship Id="rId63" Type="http://schemas.openxmlformats.org/officeDocument/2006/relationships/image" Target="media/image28.png"/><Relationship Id="rId62" Type="http://schemas.openxmlformats.org/officeDocument/2006/relationships/image" Target="media/image27.wmf"/><Relationship Id="rId61" Type="http://schemas.openxmlformats.org/officeDocument/2006/relationships/oleObject" Target="embeddings/oleObject7.bin"/><Relationship Id="rId60" Type="http://schemas.openxmlformats.org/officeDocument/2006/relationships/image" Target="media/image26.wmf"/><Relationship Id="rId6" Type="http://schemas.openxmlformats.org/officeDocument/2006/relationships/footer" Target="footer3.xml"/><Relationship Id="rId59" Type="http://schemas.openxmlformats.org/officeDocument/2006/relationships/oleObject" Target="embeddings/oleObject6.bin"/><Relationship Id="rId58" Type="http://schemas.openxmlformats.org/officeDocument/2006/relationships/image" Target="media/image25.wmf"/><Relationship Id="rId57" Type="http://schemas.openxmlformats.org/officeDocument/2006/relationships/oleObject" Target="embeddings/oleObject5.bin"/><Relationship Id="rId56" Type="http://schemas.openxmlformats.org/officeDocument/2006/relationships/image" Target="media/image24.wmf"/><Relationship Id="rId55" Type="http://schemas.openxmlformats.org/officeDocument/2006/relationships/oleObject" Target="embeddings/oleObject4.bin"/><Relationship Id="rId54" Type="http://schemas.openxmlformats.org/officeDocument/2006/relationships/image" Target="media/image23.wmf"/><Relationship Id="rId53" Type="http://schemas.openxmlformats.org/officeDocument/2006/relationships/oleObject" Target="embeddings/oleObject3.bin"/><Relationship Id="rId52" Type="http://schemas.openxmlformats.org/officeDocument/2006/relationships/image" Target="media/image22.jpeg"/><Relationship Id="rId51" Type="http://schemas.openxmlformats.org/officeDocument/2006/relationships/image" Target="media/image21.wmf"/><Relationship Id="rId50" Type="http://schemas.openxmlformats.org/officeDocument/2006/relationships/image" Target="media/image20.wmf"/><Relationship Id="rId5" Type="http://schemas.openxmlformats.org/officeDocument/2006/relationships/footer" Target="footer2.xml"/><Relationship Id="rId49" Type="http://schemas.openxmlformats.org/officeDocument/2006/relationships/oleObject" Target="embeddings/oleObject2.bin"/><Relationship Id="rId48" Type="http://schemas.openxmlformats.org/officeDocument/2006/relationships/image" Target="media/image19.wmf"/><Relationship Id="rId47" Type="http://schemas.openxmlformats.org/officeDocument/2006/relationships/oleObject" Target="embeddings/oleObject1.bin"/><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footer" Target="footer1.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0" Type="http://schemas.openxmlformats.org/officeDocument/2006/relationships/fontTable" Target="fontTable.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6410;&#19969;&#36132;\2_&#26368;&#26032;&#39044;&#279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6410;&#19969;&#36132;\2_&#26368;&#26032;&#39044;&#279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6410;&#19969;&#36132;\2_&#26368;&#26032;&#39044;&#279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6410;&#19969;&#36132;\2_&#26368;&#26032;&#39044;&#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56944444444444"/>
          <c:y val="0.0776667212846141"/>
          <c:w val="0.883611111111111"/>
          <c:h val="0.779780435851221"/>
        </c:manualLayout>
      </c:layout>
      <c:lineChart>
        <c:grouping val="standard"/>
        <c:varyColors val="0"/>
        <c:ser>
          <c:idx val="0"/>
          <c:order val="0"/>
          <c:tx>
            <c:strRef>
              <c:f>[2_最新预测.xlsx]Sheet5!$B$1</c:f>
              <c:strCache>
                <c:ptCount val="1"/>
                <c:pt idx="0">
                  <c:v>1.5m高处电场水平分量(kV/m)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[2_最新预测.xlsx]Sheet5!$B$2:$B$102</c:f>
              <c:numCache>
                <c:formatCode>General</c:formatCode>
                <c:ptCount val="101"/>
                <c:pt idx="0">
                  <c:v>0.007</c:v>
                </c:pt>
                <c:pt idx="1">
                  <c:v>0.007</c:v>
                </c:pt>
                <c:pt idx="2">
                  <c:v>0.008</c:v>
                </c:pt>
                <c:pt idx="3">
                  <c:v>0.009</c:v>
                </c:pt>
                <c:pt idx="4">
                  <c:v>0.009</c:v>
                </c:pt>
                <c:pt idx="5">
                  <c:v>0.01</c:v>
                </c:pt>
                <c:pt idx="6">
                  <c:v>0.011</c:v>
                </c:pt>
                <c:pt idx="7">
                  <c:v>0.012</c:v>
                </c:pt>
                <c:pt idx="8">
                  <c:v>0.013</c:v>
                </c:pt>
                <c:pt idx="9">
                  <c:v>0.014</c:v>
                </c:pt>
                <c:pt idx="10">
                  <c:v>0.015</c:v>
                </c:pt>
                <c:pt idx="11">
                  <c:v>0.017</c:v>
                </c:pt>
                <c:pt idx="12">
                  <c:v>0.018</c:v>
                </c:pt>
                <c:pt idx="13">
                  <c:v>0.02</c:v>
                </c:pt>
                <c:pt idx="14">
                  <c:v>0.022</c:v>
                </c:pt>
                <c:pt idx="15">
                  <c:v>0.025</c:v>
                </c:pt>
                <c:pt idx="16">
                  <c:v>0.027</c:v>
                </c:pt>
                <c:pt idx="17">
                  <c:v>0.03</c:v>
                </c:pt>
                <c:pt idx="18">
                  <c:v>0.034</c:v>
                </c:pt>
                <c:pt idx="19">
                  <c:v>0.037</c:v>
                </c:pt>
                <c:pt idx="20">
                  <c:v>0.042</c:v>
                </c:pt>
                <c:pt idx="21">
                  <c:v>0.047</c:v>
                </c:pt>
                <c:pt idx="22">
                  <c:v>0.053</c:v>
                </c:pt>
                <c:pt idx="23">
                  <c:v>0.059</c:v>
                </c:pt>
                <c:pt idx="24">
                  <c:v>0.066</c:v>
                </c:pt>
                <c:pt idx="25">
                  <c:v>0.075</c:v>
                </c:pt>
                <c:pt idx="26">
                  <c:v>0.084</c:v>
                </c:pt>
                <c:pt idx="27">
                  <c:v>0.095</c:v>
                </c:pt>
                <c:pt idx="28">
                  <c:v>0.107</c:v>
                </c:pt>
                <c:pt idx="29">
                  <c:v>0.12</c:v>
                </c:pt>
                <c:pt idx="30">
                  <c:v>0.134</c:v>
                </c:pt>
                <c:pt idx="31">
                  <c:v>0.149</c:v>
                </c:pt>
                <c:pt idx="32">
                  <c:v>0.164</c:v>
                </c:pt>
                <c:pt idx="33">
                  <c:v>0.179</c:v>
                </c:pt>
                <c:pt idx="34">
                  <c:v>0.192</c:v>
                </c:pt>
                <c:pt idx="35">
                  <c:v>0.201</c:v>
                </c:pt>
                <c:pt idx="36">
                  <c:v>0.204</c:v>
                </c:pt>
                <c:pt idx="37">
                  <c:v>0.198</c:v>
                </c:pt>
                <c:pt idx="38">
                  <c:v>0.18</c:v>
                </c:pt>
                <c:pt idx="39">
                  <c:v>0.147</c:v>
                </c:pt>
                <c:pt idx="40">
                  <c:v>0.099</c:v>
                </c:pt>
                <c:pt idx="41">
                  <c:v>0.043</c:v>
                </c:pt>
                <c:pt idx="42">
                  <c:v>0.066</c:v>
                </c:pt>
                <c:pt idx="43">
                  <c:v>0.15</c:v>
                </c:pt>
                <c:pt idx="44">
                  <c:v>0.237</c:v>
                </c:pt>
                <c:pt idx="45">
                  <c:v>0.318</c:v>
                </c:pt>
                <c:pt idx="46">
                  <c:v>0.387</c:v>
                </c:pt>
                <c:pt idx="47">
                  <c:v>0.439</c:v>
                </c:pt>
                <c:pt idx="48">
                  <c:v>0.476</c:v>
                </c:pt>
                <c:pt idx="49">
                  <c:v>0.496</c:v>
                </c:pt>
                <c:pt idx="50">
                  <c:v>0.503</c:v>
                </c:pt>
                <c:pt idx="51">
                  <c:v>0.496</c:v>
                </c:pt>
                <c:pt idx="52">
                  <c:v>0.476</c:v>
                </c:pt>
                <c:pt idx="53">
                  <c:v>0.439</c:v>
                </c:pt>
                <c:pt idx="54">
                  <c:v>0.387</c:v>
                </c:pt>
                <c:pt idx="55">
                  <c:v>0.318</c:v>
                </c:pt>
                <c:pt idx="56">
                  <c:v>0.237</c:v>
                </c:pt>
                <c:pt idx="57">
                  <c:v>0.15</c:v>
                </c:pt>
                <c:pt idx="58">
                  <c:v>0.066</c:v>
                </c:pt>
                <c:pt idx="59">
                  <c:v>0.043</c:v>
                </c:pt>
                <c:pt idx="60">
                  <c:v>0.099</c:v>
                </c:pt>
                <c:pt idx="61">
                  <c:v>0.147</c:v>
                </c:pt>
                <c:pt idx="62">
                  <c:v>0.18</c:v>
                </c:pt>
                <c:pt idx="63">
                  <c:v>0.198</c:v>
                </c:pt>
                <c:pt idx="64">
                  <c:v>0.204</c:v>
                </c:pt>
                <c:pt idx="65">
                  <c:v>0.201</c:v>
                </c:pt>
                <c:pt idx="66">
                  <c:v>0.192</c:v>
                </c:pt>
                <c:pt idx="67">
                  <c:v>0.179</c:v>
                </c:pt>
                <c:pt idx="68">
                  <c:v>0.164</c:v>
                </c:pt>
                <c:pt idx="69">
                  <c:v>0.149</c:v>
                </c:pt>
                <c:pt idx="70">
                  <c:v>0.134</c:v>
                </c:pt>
                <c:pt idx="71">
                  <c:v>0.12</c:v>
                </c:pt>
                <c:pt idx="72">
                  <c:v>0.107</c:v>
                </c:pt>
                <c:pt idx="73">
                  <c:v>0.095</c:v>
                </c:pt>
                <c:pt idx="74">
                  <c:v>0.084</c:v>
                </c:pt>
                <c:pt idx="75">
                  <c:v>0.075</c:v>
                </c:pt>
                <c:pt idx="76">
                  <c:v>0.066</c:v>
                </c:pt>
                <c:pt idx="77">
                  <c:v>0.059</c:v>
                </c:pt>
                <c:pt idx="78">
                  <c:v>0.053</c:v>
                </c:pt>
                <c:pt idx="79">
                  <c:v>0.047</c:v>
                </c:pt>
                <c:pt idx="80">
                  <c:v>0.042</c:v>
                </c:pt>
                <c:pt idx="81">
                  <c:v>0.037</c:v>
                </c:pt>
                <c:pt idx="82">
                  <c:v>0.034</c:v>
                </c:pt>
                <c:pt idx="83">
                  <c:v>0.03</c:v>
                </c:pt>
                <c:pt idx="84">
                  <c:v>0.027</c:v>
                </c:pt>
                <c:pt idx="85">
                  <c:v>0.025</c:v>
                </c:pt>
                <c:pt idx="86">
                  <c:v>0.022</c:v>
                </c:pt>
                <c:pt idx="87">
                  <c:v>0.02</c:v>
                </c:pt>
                <c:pt idx="88">
                  <c:v>0.018</c:v>
                </c:pt>
                <c:pt idx="89">
                  <c:v>0.017</c:v>
                </c:pt>
                <c:pt idx="90">
                  <c:v>0.015</c:v>
                </c:pt>
                <c:pt idx="91">
                  <c:v>0.014</c:v>
                </c:pt>
                <c:pt idx="92">
                  <c:v>0.013</c:v>
                </c:pt>
                <c:pt idx="93">
                  <c:v>0.012</c:v>
                </c:pt>
                <c:pt idx="94">
                  <c:v>0.011</c:v>
                </c:pt>
                <c:pt idx="95">
                  <c:v>0.01</c:v>
                </c:pt>
                <c:pt idx="96">
                  <c:v>0.009</c:v>
                </c:pt>
                <c:pt idx="97">
                  <c:v>0.009</c:v>
                </c:pt>
                <c:pt idx="98">
                  <c:v>0.008</c:v>
                </c:pt>
                <c:pt idx="99">
                  <c:v>0.007</c:v>
                </c:pt>
                <c:pt idx="100">
                  <c:v>0.007</c:v>
                </c:pt>
              </c:numCache>
            </c:numRef>
          </c:val>
          <c:smooth val="0"/>
        </c:ser>
        <c:ser>
          <c:idx val="1"/>
          <c:order val="1"/>
          <c:tx>
            <c:strRef>
              <c:f>[2_最新预测.xlsx]Sheet5!$C$1</c:f>
              <c:strCache>
                <c:ptCount val="1"/>
                <c:pt idx="0">
                  <c:v>1.5m高处电场垂直分量(kV/m)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[2_最新预测.xlsx]Sheet5!$C$2:$C$102</c:f>
              <c:numCache>
                <c:formatCode>General</c:formatCode>
                <c:ptCount val="101"/>
                <c:pt idx="0">
                  <c:v>0.092</c:v>
                </c:pt>
                <c:pt idx="1">
                  <c:v>0.096</c:v>
                </c:pt>
                <c:pt idx="2">
                  <c:v>0.101</c:v>
                </c:pt>
                <c:pt idx="3">
                  <c:v>0.106</c:v>
                </c:pt>
                <c:pt idx="4">
                  <c:v>0.112</c:v>
                </c:pt>
                <c:pt idx="5">
                  <c:v>0.118</c:v>
                </c:pt>
                <c:pt idx="6">
                  <c:v>0.124</c:v>
                </c:pt>
                <c:pt idx="7">
                  <c:v>0.131</c:v>
                </c:pt>
                <c:pt idx="8">
                  <c:v>0.139</c:v>
                </c:pt>
                <c:pt idx="9">
                  <c:v>0.147</c:v>
                </c:pt>
                <c:pt idx="10">
                  <c:v>0.156</c:v>
                </c:pt>
                <c:pt idx="11">
                  <c:v>0.166</c:v>
                </c:pt>
                <c:pt idx="12">
                  <c:v>0.177</c:v>
                </c:pt>
                <c:pt idx="13">
                  <c:v>0.189</c:v>
                </c:pt>
                <c:pt idx="14">
                  <c:v>0.202</c:v>
                </c:pt>
                <c:pt idx="15">
                  <c:v>0.217</c:v>
                </c:pt>
                <c:pt idx="16">
                  <c:v>0.233</c:v>
                </c:pt>
                <c:pt idx="17">
                  <c:v>0.251</c:v>
                </c:pt>
                <c:pt idx="18">
                  <c:v>0.271</c:v>
                </c:pt>
                <c:pt idx="19">
                  <c:v>0.293</c:v>
                </c:pt>
                <c:pt idx="20">
                  <c:v>0.318</c:v>
                </c:pt>
                <c:pt idx="21">
                  <c:v>0.346</c:v>
                </c:pt>
                <c:pt idx="22">
                  <c:v>0.377</c:v>
                </c:pt>
                <c:pt idx="23">
                  <c:v>0.412</c:v>
                </c:pt>
                <c:pt idx="24">
                  <c:v>0.452</c:v>
                </c:pt>
                <c:pt idx="25">
                  <c:v>0.496</c:v>
                </c:pt>
                <c:pt idx="26">
                  <c:v>0.547</c:v>
                </c:pt>
                <c:pt idx="27">
                  <c:v>0.604</c:v>
                </c:pt>
                <c:pt idx="28">
                  <c:v>0.668</c:v>
                </c:pt>
                <c:pt idx="29">
                  <c:v>0.74</c:v>
                </c:pt>
                <c:pt idx="30">
                  <c:v>0.822</c:v>
                </c:pt>
                <c:pt idx="31">
                  <c:v>0.913</c:v>
                </c:pt>
                <c:pt idx="32">
                  <c:v>1.015</c:v>
                </c:pt>
                <c:pt idx="33">
                  <c:v>1.127</c:v>
                </c:pt>
                <c:pt idx="34">
                  <c:v>1.249</c:v>
                </c:pt>
                <c:pt idx="35">
                  <c:v>1.38</c:v>
                </c:pt>
                <c:pt idx="36">
                  <c:v>1.516</c:v>
                </c:pt>
                <c:pt idx="37">
                  <c:v>1.653</c:v>
                </c:pt>
                <c:pt idx="38">
                  <c:v>1.784</c:v>
                </c:pt>
                <c:pt idx="39">
                  <c:v>1.899</c:v>
                </c:pt>
                <c:pt idx="40">
                  <c:v>1.986</c:v>
                </c:pt>
                <c:pt idx="41">
                  <c:v>2.034</c:v>
                </c:pt>
                <c:pt idx="42">
                  <c:v>2.029</c:v>
                </c:pt>
                <c:pt idx="43">
                  <c:v>1.965</c:v>
                </c:pt>
                <c:pt idx="44">
                  <c:v>1.837</c:v>
                </c:pt>
                <c:pt idx="45">
                  <c:v>1.65</c:v>
                </c:pt>
                <c:pt idx="46">
                  <c:v>1.414</c:v>
                </c:pt>
                <c:pt idx="47">
                  <c:v>1.143</c:v>
                </c:pt>
                <c:pt idx="48">
                  <c:v>0.862</c:v>
                </c:pt>
                <c:pt idx="49">
                  <c:v>0.613</c:v>
                </c:pt>
                <c:pt idx="50">
                  <c:v>0.499</c:v>
                </c:pt>
                <c:pt idx="51">
                  <c:v>0.613</c:v>
                </c:pt>
                <c:pt idx="52">
                  <c:v>0.862</c:v>
                </c:pt>
                <c:pt idx="53">
                  <c:v>1.143</c:v>
                </c:pt>
                <c:pt idx="54">
                  <c:v>1.414</c:v>
                </c:pt>
                <c:pt idx="55">
                  <c:v>1.65</c:v>
                </c:pt>
                <c:pt idx="56">
                  <c:v>1.837</c:v>
                </c:pt>
                <c:pt idx="57">
                  <c:v>1.965</c:v>
                </c:pt>
                <c:pt idx="58">
                  <c:v>2.029</c:v>
                </c:pt>
                <c:pt idx="59">
                  <c:v>2.034</c:v>
                </c:pt>
                <c:pt idx="60">
                  <c:v>1.986</c:v>
                </c:pt>
                <c:pt idx="61">
                  <c:v>1.899</c:v>
                </c:pt>
                <c:pt idx="62">
                  <c:v>1.784</c:v>
                </c:pt>
                <c:pt idx="63">
                  <c:v>1.653</c:v>
                </c:pt>
                <c:pt idx="64">
                  <c:v>1.516</c:v>
                </c:pt>
                <c:pt idx="65">
                  <c:v>1.38</c:v>
                </c:pt>
                <c:pt idx="66">
                  <c:v>1.249</c:v>
                </c:pt>
                <c:pt idx="67">
                  <c:v>1.127</c:v>
                </c:pt>
                <c:pt idx="68">
                  <c:v>1.015</c:v>
                </c:pt>
                <c:pt idx="69">
                  <c:v>0.913</c:v>
                </c:pt>
                <c:pt idx="70">
                  <c:v>0.822</c:v>
                </c:pt>
                <c:pt idx="71">
                  <c:v>0.74</c:v>
                </c:pt>
                <c:pt idx="72">
                  <c:v>0.668</c:v>
                </c:pt>
                <c:pt idx="73">
                  <c:v>0.604</c:v>
                </c:pt>
                <c:pt idx="74">
                  <c:v>0.547</c:v>
                </c:pt>
                <c:pt idx="75">
                  <c:v>0.496</c:v>
                </c:pt>
                <c:pt idx="76">
                  <c:v>0.452</c:v>
                </c:pt>
                <c:pt idx="77">
                  <c:v>0.412</c:v>
                </c:pt>
                <c:pt idx="78">
                  <c:v>0.377</c:v>
                </c:pt>
                <c:pt idx="79">
                  <c:v>0.346</c:v>
                </c:pt>
                <c:pt idx="80">
                  <c:v>0.318</c:v>
                </c:pt>
                <c:pt idx="81">
                  <c:v>0.293</c:v>
                </c:pt>
                <c:pt idx="82">
                  <c:v>0.271</c:v>
                </c:pt>
                <c:pt idx="83">
                  <c:v>0.251</c:v>
                </c:pt>
                <c:pt idx="84">
                  <c:v>0.233</c:v>
                </c:pt>
                <c:pt idx="85">
                  <c:v>0.217</c:v>
                </c:pt>
                <c:pt idx="86">
                  <c:v>0.202</c:v>
                </c:pt>
                <c:pt idx="87">
                  <c:v>0.189</c:v>
                </c:pt>
                <c:pt idx="88">
                  <c:v>0.177</c:v>
                </c:pt>
                <c:pt idx="89">
                  <c:v>0.166</c:v>
                </c:pt>
                <c:pt idx="90">
                  <c:v>0.156</c:v>
                </c:pt>
                <c:pt idx="91">
                  <c:v>0.147</c:v>
                </c:pt>
                <c:pt idx="92">
                  <c:v>0.139</c:v>
                </c:pt>
                <c:pt idx="93">
                  <c:v>0.131</c:v>
                </c:pt>
                <c:pt idx="94">
                  <c:v>0.124</c:v>
                </c:pt>
                <c:pt idx="95">
                  <c:v>0.118</c:v>
                </c:pt>
                <c:pt idx="96">
                  <c:v>0.112</c:v>
                </c:pt>
                <c:pt idx="97">
                  <c:v>0.106</c:v>
                </c:pt>
                <c:pt idx="98">
                  <c:v>0.101</c:v>
                </c:pt>
                <c:pt idx="99">
                  <c:v>0.096</c:v>
                </c:pt>
                <c:pt idx="100">
                  <c:v>0.092</c:v>
                </c:pt>
              </c:numCache>
            </c:numRef>
          </c:val>
          <c:smooth val="0"/>
        </c:ser>
        <c:ser>
          <c:idx val="2"/>
          <c:order val="2"/>
          <c:tx>
            <c:strRef>
              <c:f>[2_最新预测.xlsx]Sheet5!$D$1</c:f>
              <c:strCache>
                <c:ptCount val="1"/>
                <c:pt idx="0">
                  <c:v>1.5m高处电场综合量(kV/m)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[2_最新预测.xlsx]Sheet5!$D$2:$D$102</c:f>
              <c:numCache>
                <c:formatCode>General</c:formatCode>
                <c:ptCount val="101"/>
                <c:pt idx="0">
                  <c:v>0.092</c:v>
                </c:pt>
                <c:pt idx="1">
                  <c:v>0.097</c:v>
                </c:pt>
                <c:pt idx="2">
                  <c:v>0.102</c:v>
                </c:pt>
                <c:pt idx="3">
                  <c:v>0.107</c:v>
                </c:pt>
                <c:pt idx="4">
                  <c:v>0.112</c:v>
                </c:pt>
                <c:pt idx="5">
                  <c:v>0.118</c:v>
                </c:pt>
                <c:pt idx="6">
                  <c:v>0.125</c:v>
                </c:pt>
                <c:pt idx="7">
                  <c:v>0.132</c:v>
                </c:pt>
                <c:pt idx="8">
                  <c:v>0.14</c:v>
                </c:pt>
                <c:pt idx="9">
                  <c:v>0.148</c:v>
                </c:pt>
                <c:pt idx="10">
                  <c:v>0.157</c:v>
                </c:pt>
                <c:pt idx="11">
                  <c:v>0.167</c:v>
                </c:pt>
                <c:pt idx="12">
                  <c:v>0.178</c:v>
                </c:pt>
                <c:pt idx="13">
                  <c:v>0.19</c:v>
                </c:pt>
                <c:pt idx="14">
                  <c:v>0.204</c:v>
                </c:pt>
                <c:pt idx="15">
                  <c:v>0.218</c:v>
                </c:pt>
                <c:pt idx="16">
                  <c:v>0.235</c:v>
                </c:pt>
                <c:pt idx="17">
                  <c:v>0.253</c:v>
                </c:pt>
                <c:pt idx="18">
                  <c:v>0.273</c:v>
                </c:pt>
                <c:pt idx="19">
                  <c:v>0.295</c:v>
                </c:pt>
                <c:pt idx="20">
                  <c:v>0.321</c:v>
                </c:pt>
                <c:pt idx="21">
                  <c:v>0.349</c:v>
                </c:pt>
                <c:pt idx="22">
                  <c:v>0.381</c:v>
                </c:pt>
                <c:pt idx="23">
                  <c:v>0.416</c:v>
                </c:pt>
                <c:pt idx="24">
                  <c:v>0.456</c:v>
                </c:pt>
                <c:pt idx="25">
                  <c:v>0.502</c:v>
                </c:pt>
                <c:pt idx="26">
                  <c:v>0.553</c:v>
                </c:pt>
                <c:pt idx="27">
                  <c:v>0.611</c:v>
                </c:pt>
                <c:pt idx="28">
                  <c:v>0.676</c:v>
                </c:pt>
                <c:pt idx="29">
                  <c:v>0.75</c:v>
                </c:pt>
                <c:pt idx="30">
                  <c:v>0.833</c:v>
                </c:pt>
                <c:pt idx="31">
                  <c:v>0.925</c:v>
                </c:pt>
                <c:pt idx="32">
                  <c:v>1.028</c:v>
                </c:pt>
                <c:pt idx="33">
                  <c:v>1.141</c:v>
                </c:pt>
                <c:pt idx="34">
                  <c:v>1.264</c:v>
                </c:pt>
                <c:pt idx="35">
                  <c:v>1.394</c:v>
                </c:pt>
                <c:pt idx="36">
                  <c:v>1.53</c:v>
                </c:pt>
                <c:pt idx="37">
                  <c:v>1.665</c:v>
                </c:pt>
                <c:pt idx="38">
                  <c:v>1.793</c:v>
                </c:pt>
                <c:pt idx="39">
                  <c:v>1.905</c:v>
                </c:pt>
                <c:pt idx="40">
                  <c:v>1.989</c:v>
                </c:pt>
                <c:pt idx="41">
                  <c:v>2.034</c:v>
                </c:pt>
                <c:pt idx="42">
                  <c:v>2.03</c:v>
                </c:pt>
                <c:pt idx="43">
                  <c:v>1.97</c:v>
                </c:pt>
                <c:pt idx="44">
                  <c:v>1.852</c:v>
                </c:pt>
                <c:pt idx="45">
                  <c:v>1.681</c:v>
                </c:pt>
                <c:pt idx="46">
                  <c:v>1.466</c:v>
                </c:pt>
                <c:pt idx="47">
                  <c:v>1.225</c:v>
                </c:pt>
                <c:pt idx="48">
                  <c:v>0.984</c:v>
                </c:pt>
                <c:pt idx="49">
                  <c:v>0.789</c:v>
                </c:pt>
                <c:pt idx="50">
                  <c:v>0.708</c:v>
                </c:pt>
                <c:pt idx="51">
                  <c:v>0.789</c:v>
                </c:pt>
                <c:pt idx="52">
                  <c:v>0.984</c:v>
                </c:pt>
                <c:pt idx="53">
                  <c:v>1.225</c:v>
                </c:pt>
                <c:pt idx="54">
                  <c:v>1.466</c:v>
                </c:pt>
                <c:pt idx="55">
                  <c:v>1.681</c:v>
                </c:pt>
                <c:pt idx="56">
                  <c:v>1.852</c:v>
                </c:pt>
                <c:pt idx="57">
                  <c:v>1.97</c:v>
                </c:pt>
                <c:pt idx="58">
                  <c:v>2.03</c:v>
                </c:pt>
                <c:pt idx="59">
                  <c:v>2.034</c:v>
                </c:pt>
                <c:pt idx="60">
                  <c:v>1.989</c:v>
                </c:pt>
                <c:pt idx="61">
                  <c:v>1.905</c:v>
                </c:pt>
                <c:pt idx="62">
                  <c:v>1.793</c:v>
                </c:pt>
                <c:pt idx="63">
                  <c:v>1.665</c:v>
                </c:pt>
                <c:pt idx="64">
                  <c:v>1.53</c:v>
                </c:pt>
                <c:pt idx="65">
                  <c:v>1.394</c:v>
                </c:pt>
                <c:pt idx="66">
                  <c:v>1.264</c:v>
                </c:pt>
                <c:pt idx="67">
                  <c:v>1.141</c:v>
                </c:pt>
                <c:pt idx="68">
                  <c:v>1.028</c:v>
                </c:pt>
                <c:pt idx="69">
                  <c:v>0.925</c:v>
                </c:pt>
                <c:pt idx="70">
                  <c:v>0.833</c:v>
                </c:pt>
                <c:pt idx="71">
                  <c:v>0.75</c:v>
                </c:pt>
                <c:pt idx="72">
                  <c:v>0.676</c:v>
                </c:pt>
                <c:pt idx="73">
                  <c:v>0.611</c:v>
                </c:pt>
                <c:pt idx="74">
                  <c:v>0.553</c:v>
                </c:pt>
                <c:pt idx="75">
                  <c:v>0.502</c:v>
                </c:pt>
                <c:pt idx="76">
                  <c:v>0.456</c:v>
                </c:pt>
                <c:pt idx="77">
                  <c:v>0.416</c:v>
                </c:pt>
                <c:pt idx="78">
                  <c:v>0.381</c:v>
                </c:pt>
                <c:pt idx="79">
                  <c:v>0.349</c:v>
                </c:pt>
                <c:pt idx="80">
                  <c:v>0.321</c:v>
                </c:pt>
                <c:pt idx="81">
                  <c:v>0.295</c:v>
                </c:pt>
                <c:pt idx="82">
                  <c:v>0.273</c:v>
                </c:pt>
                <c:pt idx="83">
                  <c:v>0.253</c:v>
                </c:pt>
                <c:pt idx="84">
                  <c:v>0.235</c:v>
                </c:pt>
                <c:pt idx="85">
                  <c:v>0.218</c:v>
                </c:pt>
                <c:pt idx="86">
                  <c:v>0.204</c:v>
                </c:pt>
                <c:pt idx="87">
                  <c:v>0.19</c:v>
                </c:pt>
                <c:pt idx="88">
                  <c:v>0.178</c:v>
                </c:pt>
                <c:pt idx="89">
                  <c:v>0.167</c:v>
                </c:pt>
                <c:pt idx="90">
                  <c:v>0.157</c:v>
                </c:pt>
                <c:pt idx="91">
                  <c:v>0.148</c:v>
                </c:pt>
                <c:pt idx="92">
                  <c:v>0.14</c:v>
                </c:pt>
                <c:pt idx="93">
                  <c:v>0.132</c:v>
                </c:pt>
                <c:pt idx="94">
                  <c:v>0.125</c:v>
                </c:pt>
                <c:pt idx="95">
                  <c:v>0.118</c:v>
                </c:pt>
                <c:pt idx="96">
                  <c:v>0.112</c:v>
                </c:pt>
                <c:pt idx="97">
                  <c:v>0.107</c:v>
                </c:pt>
                <c:pt idx="98">
                  <c:v>0.102</c:v>
                </c:pt>
                <c:pt idx="99">
                  <c:v>0.097</c:v>
                </c:pt>
                <c:pt idx="100">
                  <c:v>0.092</c:v>
                </c:pt>
              </c:numCache>
            </c:numRef>
          </c:val>
          <c:smooth val="0"/>
        </c:ser>
        <c:dLbls>
          <c:showLegendKey val="0"/>
          <c:showVal val="0"/>
          <c:showCatName val="0"/>
          <c:showSerName val="0"/>
          <c:showPercent val="0"/>
          <c:showBubbleSize val="0"/>
        </c:dLbls>
        <c:marker val="1"/>
        <c:smooth val="0"/>
        <c:axId val="78478720"/>
        <c:axId val="78501376"/>
      </c:lineChart>
      <c:catAx>
        <c:axId val="7847872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测点到线路中心线投影的距离（</a:t>
                </a:r>
                <a:r>
                  <a:rPr lang="en-US" altLang="zh-CN" sz="1000" b="1" i="0" baseline="0"/>
                  <a:t>m</a:t>
                </a:r>
                <a:r>
                  <a:rPr lang="zh-CN" altLang="zh-CN" sz="1000" b="1" i="0" baseline="0"/>
                  <a:t>）</a:t>
                </a:r>
                <a:endParaRPr lang="zh-CN" altLang="zh-CN" sz="1000" b="1" i="0" baseline="0"/>
              </a:p>
            </c:rich>
          </c:tx>
          <c:layout>
            <c:manualLayout>
              <c:xMode val="edge"/>
              <c:yMode val="edge"/>
              <c:x val="0.298994203849518"/>
              <c:y val="0.93069647215457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501376"/>
        <c:crosses val="autoZero"/>
        <c:auto val="1"/>
        <c:lblAlgn val="ctr"/>
        <c:lblOffset val="100"/>
        <c:tickLblSkip val="5"/>
        <c:noMultiLvlLbl val="0"/>
      </c:catAx>
      <c:valAx>
        <c:axId val="78501376"/>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电场强度（</a:t>
                </a:r>
                <a:r>
                  <a:rPr lang="en-US" altLang="zh-CN" sz="1000" b="1" i="0" baseline="0"/>
                  <a:t>kV/m</a:t>
                </a:r>
                <a:r>
                  <a:rPr lang="zh-CN" altLang="zh-CN" sz="1000" b="1" i="0" baseline="0"/>
                  <a:t>）</a:t>
                </a:r>
                <a:endParaRPr lang="zh-CN" altLang="zh-CN" sz="1000" b="1" i="0" baseline="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478720"/>
        <c:crosses val="autoZero"/>
        <c:crossBetween val="midCat"/>
      </c:valAx>
    </c:plotArea>
    <c:legend>
      <c:legendPos val="t"/>
      <c:layout>
        <c:manualLayout>
          <c:xMode val="edge"/>
          <c:yMode val="edge"/>
          <c:x val="0.564583333333333"/>
          <c:y val="0.0165168304411457"/>
          <c:w val="0.43125"/>
          <c:h val="0.14614258833368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56944444444444"/>
          <c:y val="0.0776667212846141"/>
          <c:w val="0.883611111111111"/>
          <c:h val="0.779780435851221"/>
        </c:manualLayout>
      </c:layout>
      <c:lineChart>
        <c:grouping val="standard"/>
        <c:varyColors val="0"/>
        <c:ser>
          <c:idx val="0"/>
          <c:order val="0"/>
          <c:tx>
            <c:strRef>
              <c:f>[2_最新预测.xlsx]Sheet5!$B$1</c:f>
              <c:strCache>
                <c:ptCount val="1"/>
                <c:pt idx="0">
                  <c:v>1.5m高处电场水平分量(kV/m)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[2_最新预测.xlsx]Sheet5!$B$2:$B$102</c:f>
              <c:numCache>
                <c:formatCode>General</c:formatCode>
                <c:ptCount val="101"/>
                <c:pt idx="0">
                  <c:v>0.005</c:v>
                </c:pt>
                <c:pt idx="1">
                  <c:v>0.005</c:v>
                </c:pt>
                <c:pt idx="2">
                  <c:v>0.005</c:v>
                </c:pt>
                <c:pt idx="3">
                  <c:v>0.005</c:v>
                </c:pt>
                <c:pt idx="4">
                  <c:v>0.005</c:v>
                </c:pt>
                <c:pt idx="5">
                  <c:v>0.005</c:v>
                </c:pt>
                <c:pt idx="6">
                  <c:v>0.005</c:v>
                </c:pt>
                <c:pt idx="7">
                  <c:v>0.005</c:v>
                </c:pt>
                <c:pt idx="8">
                  <c:v>0.004</c:v>
                </c:pt>
                <c:pt idx="9">
                  <c:v>0.005</c:v>
                </c:pt>
                <c:pt idx="10">
                  <c:v>0.005</c:v>
                </c:pt>
                <c:pt idx="11">
                  <c:v>0.005</c:v>
                </c:pt>
                <c:pt idx="12">
                  <c:v>0.006</c:v>
                </c:pt>
                <c:pt idx="13">
                  <c:v>0.007</c:v>
                </c:pt>
                <c:pt idx="14">
                  <c:v>0.009</c:v>
                </c:pt>
                <c:pt idx="15">
                  <c:v>0.011</c:v>
                </c:pt>
                <c:pt idx="16">
                  <c:v>0.013</c:v>
                </c:pt>
                <c:pt idx="17">
                  <c:v>0.016</c:v>
                </c:pt>
                <c:pt idx="18">
                  <c:v>0.019</c:v>
                </c:pt>
                <c:pt idx="19">
                  <c:v>0.023</c:v>
                </c:pt>
                <c:pt idx="20">
                  <c:v>0.028</c:v>
                </c:pt>
                <c:pt idx="21">
                  <c:v>0.033</c:v>
                </c:pt>
                <c:pt idx="22">
                  <c:v>0.04</c:v>
                </c:pt>
                <c:pt idx="23">
                  <c:v>0.047</c:v>
                </c:pt>
                <c:pt idx="24">
                  <c:v>0.056</c:v>
                </c:pt>
                <c:pt idx="25">
                  <c:v>0.066</c:v>
                </c:pt>
                <c:pt idx="26">
                  <c:v>0.077</c:v>
                </c:pt>
                <c:pt idx="27">
                  <c:v>0.091</c:v>
                </c:pt>
                <c:pt idx="28">
                  <c:v>0.106</c:v>
                </c:pt>
                <c:pt idx="29">
                  <c:v>0.123</c:v>
                </c:pt>
                <c:pt idx="30">
                  <c:v>0.143</c:v>
                </c:pt>
                <c:pt idx="31">
                  <c:v>0.165</c:v>
                </c:pt>
                <c:pt idx="32">
                  <c:v>0.189</c:v>
                </c:pt>
                <c:pt idx="33">
                  <c:v>0.214</c:v>
                </c:pt>
                <c:pt idx="34">
                  <c:v>0.24</c:v>
                </c:pt>
                <c:pt idx="35">
                  <c:v>0.264</c:v>
                </c:pt>
                <c:pt idx="36">
                  <c:v>0.285</c:v>
                </c:pt>
                <c:pt idx="37">
                  <c:v>0.3</c:v>
                </c:pt>
                <c:pt idx="38">
                  <c:v>0.305</c:v>
                </c:pt>
                <c:pt idx="39">
                  <c:v>0.298</c:v>
                </c:pt>
                <c:pt idx="40">
                  <c:v>0.276</c:v>
                </c:pt>
                <c:pt idx="41">
                  <c:v>0.24</c:v>
                </c:pt>
                <c:pt idx="42">
                  <c:v>0.193</c:v>
                </c:pt>
                <c:pt idx="43">
                  <c:v>0.14</c:v>
                </c:pt>
                <c:pt idx="44">
                  <c:v>0.088</c:v>
                </c:pt>
                <c:pt idx="45">
                  <c:v>0.045</c:v>
                </c:pt>
                <c:pt idx="46">
                  <c:v>0.017</c:v>
                </c:pt>
                <c:pt idx="47">
                  <c:v>0.01</c:v>
                </c:pt>
                <c:pt idx="48">
                  <c:v>0.009</c:v>
                </c:pt>
                <c:pt idx="49">
                  <c:v>0.003</c:v>
                </c:pt>
                <c:pt idx="50">
                  <c:v>0.005</c:v>
                </c:pt>
                <c:pt idx="51">
                  <c:v>0.01</c:v>
                </c:pt>
                <c:pt idx="52">
                  <c:v>0.01</c:v>
                </c:pt>
                <c:pt idx="53">
                  <c:v>0.023</c:v>
                </c:pt>
                <c:pt idx="54">
                  <c:v>0.056</c:v>
                </c:pt>
                <c:pt idx="55">
                  <c:v>0.103</c:v>
                </c:pt>
                <c:pt idx="56">
                  <c:v>0.156</c:v>
                </c:pt>
                <c:pt idx="57">
                  <c:v>0.208</c:v>
                </c:pt>
                <c:pt idx="58">
                  <c:v>0.253</c:v>
                </c:pt>
                <c:pt idx="59">
                  <c:v>0.284</c:v>
                </c:pt>
                <c:pt idx="60">
                  <c:v>0.302</c:v>
                </c:pt>
                <c:pt idx="61">
                  <c:v>0.305</c:v>
                </c:pt>
                <c:pt idx="62">
                  <c:v>0.296</c:v>
                </c:pt>
                <c:pt idx="63">
                  <c:v>0.279</c:v>
                </c:pt>
                <c:pt idx="64">
                  <c:v>0.257</c:v>
                </c:pt>
                <c:pt idx="65">
                  <c:v>0.232</c:v>
                </c:pt>
                <c:pt idx="66">
                  <c:v>0.206</c:v>
                </c:pt>
                <c:pt idx="67">
                  <c:v>0.181</c:v>
                </c:pt>
                <c:pt idx="68">
                  <c:v>0.158</c:v>
                </c:pt>
                <c:pt idx="69">
                  <c:v>0.137</c:v>
                </c:pt>
                <c:pt idx="70">
                  <c:v>0.118</c:v>
                </c:pt>
                <c:pt idx="71">
                  <c:v>0.101</c:v>
                </c:pt>
                <c:pt idx="72">
                  <c:v>0.086</c:v>
                </c:pt>
                <c:pt idx="73">
                  <c:v>0.074</c:v>
                </c:pt>
                <c:pt idx="74">
                  <c:v>0.062</c:v>
                </c:pt>
                <c:pt idx="75">
                  <c:v>0.053</c:v>
                </c:pt>
                <c:pt idx="76">
                  <c:v>0.045</c:v>
                </c:pt>
                <c:pt idx="77">
                  <c:v>0.038</c:v>
                </c:pt>
                <c:pt idx="78">
                  <c:v>0.031</c:v>
                </c:pt>
                <c:pt idx="79">
                  <c:v>0.026</c:v>
                </c:pt>
                <c:pt idx="80">
                  <c:v>0.022</c:v>
                </c:pt>
                <c:pt idx="81">
                  <c:v>0.018</c:v>
                </c:pt>
                <c:pt idx="82">
                  <c:v>0.015</c:v>
                </c:pt>
                <c:pt idx="83">
                  <c:v>0.012</c:v>
                </c:pt>
                <c:pt idx="84">
                  <c:v>0.01</c:v>
                </c:pt>
                <c:pt idx="85">
                  <c:v>0.008</c:v>
                </c:pt>
                <c:pt idx="86">
                  <c:v>0.007</c:v>
                </c:pt>
                <c:pt idx="87">
                  <c:v>0.006</c:v>
                </c:pt>
                <c:pt idx="88">
                  <c:v>0.005</c:v>
                </c:pt>
                <c:pt idx="89">
                  <c:v>0.005</c:v>
                </c:pt>
                <c:pt idx="90">
                  <c:v>0.004</c:v>
                </c:pt>
                <c:pt idx="91">
                  <c:v>0.004</c:v>
                </c:pt>
                <c:pt idx="92">
                  <c:v>0.005</c:v>
                </c:pt>
                <c:pt idx="93">
                  <c:v>0.005</c:v>
                </c:pt>
                <c:pt idx="94">
                  <c:v>0.005</c:v>
                </c:pt>
                <c:pt idx="95">
                  <c:v>0.005</c:v>
                </c:pt>
                <c:pt idx="96">
                  <c:v>0.005</c:v>
                </c:pt>
                <c:pt idx="97">
                  <c:v>0.005</c:v>
                </c:pt>
                <c:pt idx="98">
                  <c:v>0.005</c:v>
                </c:pt>
                <c:pt idx="99">
                  <c:v>0.005</c:v>
                </c:pt>
                <c:pt idx="100">
                  <c:v>0.005</c:v>
                </c:pt>
              </c:numCache>
            </c:numRef>
          </c:val>
          <c:smooth val="0"/>
        </c:ser>
        <c:ser>
          <c:idx val="1"/>
          <c:order val="1"/>
          <c:tx>
            <c:strRef>
              <c:f>[2_最新预测.xlsx]Sheet5!$C$1</c:f>
              <c:strCache>
                <c:ptCount val="1"/>
                <c:pt idx="0">
                  <c:v>1.5m高处电场垂直分量(kV/m)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[2_最新预测.xlsx]Sheet5!$C$2:$C$102</c:f>
              <c:numCache>
                <c:formatCode>General</c:formatCode>
                <c:ptCount val="101"/>
                <c:pt idx="0">
                  <c:v>0.185</c:v>
                </c:pt>
                <c:pt idx="1">
                  <c:v>0.188</c:v>
                </c:pt>
                <c:pt idx="2">
                  <c:v>0.191</c:v>
                </c:pt>
                <c:pt idx="3">
                  <c:v>0.194</c:v>
                </c:pt>
                <c:pt idx="4">
                  <c:v>0.197</c:v>
                </c:pt>
                <c:pt idx="5">
                  <c:v>0.2</c:v>
                </c:pt>
                <c:pt idx="6">
                  <c:v>0.202</c:v>
                </c:pt>
                <c:pt idx="7">
                  <c:v>0.204</c:v>
                </c:pt>
                <c:pt idx="8">
                  <c:v>0.206</c:v>
                </c:pt>
                <c:pt idx="9">
                  <c:v>0.207</c:v>
                </c:pt>
                <c:pt idx="10">
                  <c:v>0.208</c:v>
                </c:pt>
                <c:pt idx="11">
                  <c:v>0.208</c:v>
                </c:pt>
                <c:pt idx="12">
                  <c:v>0.208</c:v>
                </c:pt>
                <c:pt idx="13">
                  <c:v>0.206</c:v>
                </c:pt>
                <c:pt idx="14">
                  <c:v>0.204</c:v>
                </c:pt>
                <c:pt idx="15">
                  <c:v>0.201</c:v>
                </c:pt>
                <c:pt idx="16">
                  <c:v>0.196</c:v>
                </c:pt>
                <c:pt idx="17">
                  <c:v>0.189</c:v>
                </c:pt>
                <c:pt idx="18">
                  <c:v>0.181</c:v>
                </c:pt>
                <c:pt idx="19">
                  <c:v>0.171</c:v>
                </c:pt>
                <c:pt idx="20">
                  <c:v>0.159</c:v>
                </c:pt>
                <c:pt idx="21">
                  <c:v>0.144</c:v>
                </c:pt>
                <c:pt idx="22">
                  <c:v>0.128</c:v>
                </c:pt>
                <c:pt idx="23">
                  <c:v>0.111</c:v>
                </c:pt>
                <c:pt idx="24">
                  <c:v>0.095</c:v>
                </c:pt>
                <c:pt idx="25">
                  <c:v>0.089</c:v>
                </c:pt>
                <c:pt idx="26">
                  <c:v>0.101</c:v>
                </c:pt>
                <c:pt idx="27">
                  <c:v>0.135</c:v>
                </c:pt>
                <c:pt idx="28">
                  <c:v>0.186</c:v>
                </c:pt>
                <c:pt idx="29">
                  <c:v>0.252</c:v>
                </c:pt>
                <c:pt idx="30">
                  <c:v>0.333</c:v>
                </c:pt>
                <c:pt idx="31">
                  <c:v>0.429</c:v>
                </c:pt>
                <c:pt idx="32">
                  <c:v>0.541</c:v>
                </c:pt>
                <c:pt idx="33">
                  <c:v>0.67</c:v>
                </c:pt>
                <c:pt idx="34">
                  <c:v>0.816</c:v>
                </c:pt>
                <c:pt idx="35">
                  <c:v>0.981</c:v>
                </c:pt>
                <c:pt idx="36">
                  <c:v>1.162</c:v>
                </c:pt>
                <c:pt idx="37">
                  <c:v>1.356</c:v>
                </c:pt>
                <c:pt idx="38">
                  <c:v>1.56</c:v>
                </c:pt>
                <c:pt idx="39">
                  <c:v>1.764</c:v>
                </c:pt>
                <c:pt idx="40">
                  <c:v>1.96</c:v>
                </c:pt>
                <c:pt idx="41">
                  <c:v>2.137</c:v>
                </c:pt>
                <c:pt idx="42">
                  <c:v>2.284</c:v>
                </c:pt>
                <c:pt idx="43">
                  <c:v>2.395</c:v>
                </c:pt>
                <c:pt idx="44">
                  <c:v>2.468</c:v>
                </c:pt>
                <c:pt idx="45">
                  <c:v>2.507</c:v>
                </c:pt>
                <c:pt idx="46">
                  <c:v>2.519</c:v>
                </c:pt>
                <c:pt idx="47">
                  <c:v>2.515</c:v>
                </c:pt>
                <c:pt idx="48">
                  <c:v>2.507</c:v>
                </c:pt>
                <c:pt idx="49">
                  <c:v>2.501</c:v>
                </c:pt>
                <c:pt idx="50">
                  <c:v>2.502</c:v>
                </c:pt>
                <c:pt idx="51">
                  <c:v>2.509</c:v>
                </c:pt>
                <c:pt idx="52">
                  <c:v>2.517</c:v>
                </c:pt>
                <c:pt idx="53">
                  <c:v>2.517</c:v>
                </c:pt>
                <c:pt idx="54">
                  <c:v>2.498</c:v>
                </c:pt>
                <c:pt idx="55">
                  <c:v>2.45</c:v>
                </c:pt>
                <c:pt idx="56">
                  <c:v>2.366</c:v>
                </c:pt>
                <c:pt idx="57">
                  <c:v>2.243</c:v>
                </c:pt>
                <c:pt idx="58">
                  <c:v>2.086</c:v>
                </c:pt>
                <c:pt idx="59">
                  <c:v>1.903</c:v>
                </c:pt>
                <c:pt idx="60">
                  <c:v>1.703</c:v>
                </c:pt>
                <c:pt idx="61">
                  <c:v>1.498</c:v>
                </c:pt>
                <c:pt idx="62">
                  <c:v>1.297</c:v>
                </c:pt>
                <c:pt idx="63">
                  <c:v>1.106</c:v>
                </c:pt>
                <c:pt idx="64">
                  <c:v>0.93</c:v>
                </c:pt>
                <c:pt idx="65">
                  <c:v>0.771</c:v>
                </c:pt>
                <c:pt idx="66">
                  <c:v>0.629</c:v>
                </c:pt>
                <c:pt idx="67">
                  <c:v>0.505</c:v>
                </c:pt>
                <c:pt idx="68">
                  <c:v>0.398</c:v>
                </c:pt>
                <c:pt idx="69">
                  <c:v>0.307</c:v>
                </c:pt>
                <c:pt idx="70">
                  <c:v>0.231</c:v>
                </c:pt>
                <c:pt idx="71">
                  <c:v>0.169</c:v>
                </c:pt>
                <c:pt idx="72">
                  <c:v>0.123</c:v>
                </c:pt>
                <c:pt idx="73">
                  <c:v>0.095</c:v>
                </c:pt>
                <c:pt idx="74">
                  <c:v>0.09</c:v>
                </c:pt>
                <c:pt idx="75">
                  <c:v>0.099</c:v>
                </c:pt>
                <c:pt idx="76">
                  <c:v>0.116</c:v>
                </c:pt>
                <c:pt idx="77">
                  <c:v>0.133</c:v>
                </c:pt>
                <c:pt idx="78">
                  <c:v>0.149</c:v>
                </c:pt>
                <c:pt idx="79">
                  <c:v>0.163</c:v>
                </c:pt>
                <c:pt idx="80">
                  <c:v>0.174</c:v>
                </c:pt>
                <c:pt idx="81">
                  <c:v>0.184</c:v>
                </c:pt>
                <c:pt idx="82">
                  <c:v>0.191</c:v>
                </c:pt>
                <c:pt idx="83">
                  <c:v>0.197</c:v>
                </c:pt>
                <c:pt idx="84">
                  <c:v>0.202</c:v>
                </c:pt>
                <c:pt idx="85">
                  <c:v>0.205</c:v>
                </c:pt>
                <c:pt idx="86">
                  <c:v>0.207</c:v>
                </c:pt>
                <c:pt idx="87">
                  <c:v>0.208</c:v>
                </c:pt>
                <c:pt idx="88">
                  <c:v>0.208</c:v>
                </c:pt>
                <c:pt idx="89">
                  <c:v>0.208</c:v>
                </c:pt>
                <c:pt idx="90">
                  <c:v>0.207</c:v>
                </c:pt>
                <c:pt idx="91">
                  <c:v>0.205</c:v>
                </c:pt>
                <c:pt idx="92">
                  <c:v>0.204</c:v>
                </c:pt>
                <c:pt idx="93">
                  <c:v>0.201</c:v>
                </c:pt>
                <c:pt idx="94">
                  <c:v>0.199</c:v>
                </c:pt>
                <c:pt idx="95">
                  <c:v>0.196</c:v>
                </c:pt>
                <c:pt idx="96">
                  <c:v>0.193</c:v>
                </c:pt>
                <c:pt idx="97">
                  <c:v>0.19</c:v>
                </c:pt>
                <c:pt idx="98">
                  <c:v>0.187</c:v>
                </c:pt>
                <c:pt idx="99">
                  <c:v>0.184</c:v>
                </c:pt>
                <c:pt idx="100">
                  <c:v>0.18</c:v>
                </c:pt>
              </c:numCache>
            </c:numRef>
          </c:val>
          <c:smooth val="0"/>
        </c:ser>
        <c:ser>
          <c:idx val="2"/>
          <c:order val="2"/>
          <c:tx>
            <c:strRef>
              <c:f>[2_最新预测.xlsx]Sheet5!$D$1</c:f>
              <c:strCache>
                <c:ptCount val="1"/>
                <c:pt idx="0">
                  <c:v>1.5m高处电场综合量(kV/m)</c:v>
                </c:pt>
              </c:strCache>
            </c:strRef>
          </c:tx>
          <c:dLbls>
            <c:delete val="1"/>
          </c:dLbls>
          <c:cat>
            <c:numRef>
              <c:f>[2_最新预测.xlsx]Sheet5!$A$2:$A$102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[2_最新预测.xlsx]Sheet5!$D$2:$D$102</c:f>
              <c:numCache>
                <c:formatCode>General</c:formatCode>
                <c:ptCount val="101"/>
                <c:pt idx="0">
                  <c:v>0.185</c:v>
                </c:pt>
                <c:pt idx="1">
                  <c:v>0.188</c:v>
                </c:pt>
                <c:pt idx="2">
                  <c:v>0.191</c:v>
                </c:pt>
                <c:pt idx="3">
                  <c:v>0.194</c:v>
                </c:pt>
                <c:pt idx="4">
                  <c:v>0.197</c:v>
                </c:pt>
                <c:pt idx="5">
                  <c:v>0.2</c:v>
                </c:pt>
                <c:pt idx="6">
                  <c:v>0.202</c:v>
                </c:pt>
                <c:pt idx="7">
                  <c:v>0.204</c:v>
                </c:pt>
                <c:pt idx="8">
                  <c:v>0.206</c:v>
                </c:pt>
                <c:pt idx="9">
                  <c:v>0.207</c:v>
                </c:pt>
                <c:pt idx="10">
                  <c:v>0.208</c:v>
                </c:pt>
                <c:pt idx="11">
                  <c:v>0.208</c:v>
                </c:pt>
                <c:pt idx="12">
                  <c:v>0.208</c:v>
                </c:pt>
                <c:pt idx="13">
                  <c:v>0.207</c:v>
                </c:pt>
                <c:pt idx="14">
                  <c:v>0.204</c:v>
                </c:pt>
                <c:pt idx="15">
                  <c:v>0.201</c:v>
                </c:pt>
                <c:pt idx="16">
                  <c:v>0.196</c:v>
                </c:pt>
                <c:pt idx="17">
                  <c:v>0.19</c:v>
                </c:pt>
                <c:pt idx="18">
                  <c:v>0.182</c:v>
                </c:pt>
                <c:pt idx="19">
                  <c:v>0.173</c:v>
                </c:pt>
                <c:pt idx="20">
                  <c:v>0.161</c:v>
                </c:pt>
                <c:pt idx="21">
                  <c:v>0.148</c:v>
                </c:pt>
                <c:pt idx="22">
                  <c:v>0.134</c:v>
                </c:pt>
                <c:pt idx="23">
                  <c:v>0.12</c:v>
                </c:pt>
                <c:pt idx="24">
                  <c:v>0.11</c:v>
                </c:pt>
                <c:pt idx="25">
                  <c:v>0.111</c:v>
                </c:pt>
                <c:pt idx="26">
                  <c:v>0.127</c:v>
                </c:pt>
                <c:pt idx="27">
                  <c:v>0.162</c:v>
                </c:pt>
                <c:pt idx="28">
                  <c:v>0.214</c:v>
                </c:pt>
                <c:pt idx="29">
                  <c:v>0.281</c:v>
                </c:pt>
                <c:pt idx="30">
                  <c:v>0.362</c:v>
                </c:pt>
                <c:pt idx="31">
                  <c:v>0.46</c:v>
                </c:pt>
                <c:pt idx="32">
                  <c:v>0.573</c:v>
                </c:pt>
                <c:pt idx="33">
                  <c:v>0.703</c:v>
                </c:pt>
                <c:pt idx="34">
                  <c:v>0.851</c:v>
                </c:pt>
                <c:pt idx="35">
                  <c:v>1.016</c:v>
                </c:pt>
                <c:pt idx="36">
                  <c:v>1.196</c:v>
                </c:pt>
                <c:pt idx="37">
                  <c:v>1.389</c:v>
                </c:pt>
                <c:pt idx="38">
                  <c:v>1.589</c:v>
                </c:pt>
                <c:pt idx="39">
                  <c:v>1.789</c:v>
                </c:pt>
                <c:pt idx="40">
                  <c:v>1.979</c:v>
                </c:pt>
                <c:pt idx="41">
                  <c:v>2.15</c:v>
                </c:pt>
                <c:pt idx="42">
                  <c:v>2.292</c:v>
                </c:pt>
                <c:pt idx="43">
                  <c:v>2.399</c:v>
                </c:pt>
                <c:pt idx="44">
                  <c:v>2.47</c:v>
                </c:pt>
                <c:pt idx="45">
                  <c:v>2.507</c:v>
                </c:pt>
                <c:pt idx="46">
                  <c:v>2.519</c:v>
                </c:pt>
                <c:pt idx="47">
                  <c:v>2.515</c:v>
                </c:pt>
                <c:pt idx="48">
                  <c:v>2.507</c:v>
                </c:pt>
                <c:pt idx="49">
                  <c:v>2.501</c:v>
                </c:pt>
                <c:pt idx="50">
                  <c:v>2.502</c:v>
                </c:pt>
                <c:pt idx="51">
                  <c:v>2.509</c:v>
                </c:pt>
                <c:pt idx="52">
                  <c:v>2.517</c:v>
                </c:pt>
                <c:pt idx="53">
                  <c:v>2.517</c:v>
                </c:pt>
                <c:pt idx="54">
                  <c:v>2.499</c:v>
                </c:pt>
                <c:pt idx="55">
                  <c:v>2.452</c:v>
                </c:pt>
                <c:pt idx="56">
                  <c:v>2.371</c:v>
                </c:pt>
                <c:pt idx="57">
                  <c:v>2.253</c:v>
                </c:pt>
                <c:pt idx="58">
                  <c:v>2.102</c:v>
                </c:pt>
                <c:pt idx="59">
                  <c:v>1.924</c:v>
                </c:pt>
                <c:pt idx="60">
                  <c:v>1.73</c:v>
                </c:pt>
                <c:pt idx="61">
                  <c:v>1.529</c:v>
                </c:pt>
                <c:pt idx="62">
                  <c:v>1.33</c:v>
                </c:pt>
                <c:pt idx="63">
                  <c:v>1.141</c:v>
                </c:pt>
                <c:pt idx="64">
                  <c:v>0.965</c:v>
                </c:pt>
                <c:pt idx="65">
                  <c:v>0.805</c:v>
                </c:pt>
                <c:pt idx="66">
                  <c:v>0.662</c:v>
                </c:pt>
                <c:pt idx="67">
                  <c:v>0.537</c:v>
                </c:pt>
                <c:pt idx="68">
                  <c:v>0.429</c:v>
                </c:pt>
                <c:pt idx="69">
                  <c:v>0.336</c:v>
                </c:pt>
                <c:pt idx="70">
                  <c:v>0.259</c:v>
                </c:pt>
                <c:pt idx="71">
                  <c:v>0.197</c:v>
                </c:pt>
                <c:pt idx="72">
                  <c:v>0.15</c:v>
                </c:pt>
                <c:pt idx="73">
                  <c:v>0.121</c:v>
                </c:pt>
                <c:pt idx="74">
                  <c:v>0.109</c:v>
                </c:pt>
                <c:pt idx="75">
                  <c:v>0.113</c:v>
                </c:pt>
                <c:pt idx="76">
                  <c:v>0.124</c:v>
                </c:pt>
                <c:pt idx="77">
                  <c:v>0.138</c:v>
                </c:pt>
                <c:pt idx="78">
                  <c:v>0.152</c:v>
                </c:pt>
                <c:pt idx="79">
                  <c:v>0.165</c:v>
                </c:pt>
                <c:pt idx="80">
                  <c:v>0.176</c:v>
                </c:pt>
                <c:pt idx="81">
                  <c:v>0.185</c:v>
                </c:pt>
                <c:pt idx="82">
                  <c:v>0.192</c:v>
                </c:pt>
                <c:pt idx="83">
                  <c:v>0.198</c:v>
                </c:pt>
                <c:pt idx="84">
                  <c:v>0.202</c:v>
                </c:pt>
                <c:pt idx="85">
                  <c:v>0.205</c:v>
                </c:pt>
                <c:pt idx="86">
                  <c:v>0.207</c:v>
                </c:pt>
                <c:pt idx="87">
                  <c:v>0.208</c:v>
                </c:pt>
                <c:pt idx="88">
                  <c:v>0.208</c:v>
                </c:pt>
                <c:pt idx="89">
                  <c:v>0.208</c:v>
                </c:pt>
                <c:pt idx="90">
                  <c:v>0.207</c:v>
                </c:pt>
                <c:pt idx="91">
                  <c:v>0.205</c:v>
                </c:pt>
                <c:pt idx="92">
                  <c:v>0.204</c:v>
                </c:pt>
                <c:pt idx="93">
                  <c:v>0.201</c:v>
                </c:pt>
                <c:pt idx="94">
                  <c:v>0.199</c:v>
                </c:pt>
                <c:pt idx="95">
                  <c:v>0.196</c:v>
                </c:pt>
                <c:pt idx="96">
                  <c:v>0.193</c:v>
                </c:pt>
                <c:pt idx="97">
                  <c:v>0.19</c:v>
                </c:pt>
                <c:pt idx="98">
                  <c:v>0.187</c:v>
                </c:pt>
                <c:pt idx="99">
                  <c:v>0.184</c:v>
                </c:pt>
                <c:pt idx="100">
                  <c:v>0.18</c:v>
                </c:pt>
              </c:numCache>
            </c:numRef>
          </c:val>
          <c:smooth val="0"/>
        </c:ser>
        <c:dLbls>
          <c:showLegendKey val="0"/>
          <c:showVal val="0"/>
          <c:showCatName val="0"/>
          <c:showSerName val="0"/>
          <c:showPercent val="0"/>
          <c:showBubbleSize val="0"/>
        </c:dLbls>
        <c:marker val="1"/>
        <c:smooth val="0"/>
        <c:axId val="78478720"/>
        <c:axId val="78501376"/>
      </c:lineChart>
      <c:catAx>
        <c:axId val="7847872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测点到线路中心线投影的距离（</a:t>
                </a:r>
                <a:r>
                  <a:rPr lang="en-US" altLang="zh-CN" sz="1000" b="1" i="0" baseline="0"/>
                  <a:t>m</a:t>
                </a:r>
                <a:r>
                  <a:rPr lang="zh-CN" altLang="zh-CN" sz="1000" b="1" i="0" baseline="0"/>
                  <a:t>）</a:t>
                </a:r>
                <a:endParaRPr lang="zh-CN" altLang="zh-CN" sz="1000" b="1" i="0" baseline="0"/>
              </a:p>
            </c:rich>
          </c:tx>
          <c:layout>
            <c:manualLayout>
              <c:xMode val="edge"/>
              <c:yMode val="edge"/>
              <c:x val="0.298994203849518"/>
              <c:y val="0.93069647215457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501376"/>
        <c:crosses val="autoZero"/>
        <c:auto val="1"/>
        <c:lblAlgn val="ctr"/>
        <c:lblOffset val="100"/>
        <c:tickLblSkip val="5"/>
        <c:noMultiLvlLbl val="0"/>
      </c:catAx>
      <c:valAx>
        <c:axId val="78501376"/>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电场强度（</a:t>
                </a:r>
                <a:r>
                  <a:rPr lang="en-US" altLang="zh-CN" sz="1000" b="1" i="0" baseline="0"/>
                  <a:t>kV/m</a:t>
                </a:r>
                <a:r>
                  <a:rPr lang="zh-CN" altLang="zh-CN" sz="1000" b="1" i="0" baseline="0"/>
                  <a:t>）</a:t>
                </a:r>
                <a:endParaRPr lang="zh-CN" altLang="zh-CN" sz="1000" b="1" i="0" baseline="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478720"/>
        <c:crosses val="autoZero"/>
        <c:crossBetween val="midCat"/>
      </c:valAx>
    </c:plotArea>
    <c:legend>
      <c:legendPos val="t"/>
      <c:layout>
        <c:manualLayout>
          <c:xMode val="edge"/>
          <c:yMode val="edge"/>
          <c:x val="0.564583333333333"/>
          <c:y val="0.0165168304411457"/>
          <c:w val="0.43125"/>
          <c:h val="0.14614258833368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87541318427"/>
          <c:y val="0.152402983525365"/>
          <c:w val="0.824186217337167"/>
          <c:h val="0.701485238074055"/>
        </c:manualLayout>
      </c:layout>
      <c:lineChart>
        <c:grouping val="standard"/>
        <c:varyColors val="0"/>
        <c:ser>
          <c:idx val="0"/>
          <c:order val="0"/>
          <c:tx>
            <c:strRef>
              <c:f>[2_最新预测.xlsx]Sheet6!$B$1</c:f>
              <c:strCache>
                <c:ptCount val="1"/>
                <c:pt idx="0">
                  <c:v>1.5m高处磁感应强度水平分量(μT)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[2_最新预测.xlsx]Sheet6!$B$2:$B$102</c:f>
              <c:numCache>
                <c:formatCode>General</c:formatCode>
                <c:ptCount val="101"/>
                <c:pt idx="0">
                  <c:v>0.682</c:v>
                </c:pt>
                <c:pt idx="1">
                  <c:v>0.713</c:v>
                </c:pt>
                <c:pt idx="2">
                  <c:v>0.746</c:v>
                </c:pt>
                <c:pt idx="3">
                  <c:v>0.781</c:v>
                </c:pt>
                <c:pt idx="4">
                  <c:v>0.819</c:v>
                </c:pt>
                <c:pt idx="5">
                  <c:v>0.859</c:v>
                </c:pt>
                <c:pt idx="6">
                  <c:v>0.902</c:v>
                </c:pt>
                <c:pt idx="7">
                  <c:v>0.947</c:v>
                </c:pt>
                <c:pt idx="8">
                  <c:v>0.997</c:v>
                </c:pt>
                <c:pt idx="9">
                  <c:v>1.05</c:v>
                </c:pt>
                <c:pt idx="10">
                  <c:v>1.107</c:v>
                </c:pt>
                <c:pt idx="11">
                  <c:v>1.168</c:v>
                </c:pt>
                <c:pt idx="12">
                  <c:v>1.235</c:v>
                </c:pt>
                <c:pt idx="13">
                  <c:v>1.307</c:v>
                </c:pt>
                <c:pt idx="14">
                  <c:v>1.384</c:v>
                </c:pt>
                <c:pt idx="15">
                  <c:v>1.469</c:v>
                </c:pt>
                <c:pt idx="16">
                  <c:v>1.561</c:v>
                </c:pt>
                <c:pt idx="17">
                  <c:v>1.662</c:v>
                </c:pt>
                <c:pt idx="18">
                  <c:v>1.772</c:v>
                </c:pt>
                <c:pt idx="19">
                  <c:v>1.893</c:v>
                </c:pt>
                <c:pt idx="20">
                  <c:v>2.025</c:v>
                </c:pt>
                <c:pt idx="21">
                  <c:v>2.171</c:v>
                </c:pt>
                <c:pt idx="22">
                  <c:v>2.333</c:v>
                </c:pt>
                <c:pt idx="23">
                  <c:v>2.511</c:v>
                </c:pt>
                <c:pt idx="24">
                  <c:v>2.71</c:v>
                </c:pt>
                <c:pt idx="25">
                  <c:v>2.93</c:v>
                </c:pt>
                <c:pt idx="26">
                  <c:v>3.176</c:v>
                </c:pt>
                <c:pt idx="27">
                  <c:v>3.451</c:v>
                </c:pt>
                <c:pt idx="28">
                  <c:v>3.759</c:v>
                </c:pt>
                <c:pt idx="29">
                  <c:v>4.103</c:v>
                </c:pt>
                <c:pt idx="30">
                  <c:v>4.49</c:v>
                </c:pt>
                <c:pt idx="31">
                  <c:v>4.923</c:v>
                </c:pt>
                <c:pt idx="32">
                  <c:v>5.408</c:v>
                </c:pt>
                <c:pt idx="33">
                  <c:v>5.948</c:v>
                </c:pt>
                <c:pt idx="34">
                  <c:v>6.547</c:v>
                </c:pt>
                <c:pt idx="35">
                  <c:v>7.203</c:v>
                </c:pt>
                <c:pt idx="36">
                  <c:v>7.914</c:v>
                </c:pt>
                <c:pt idx="37">
                  <c:v>8.668</c:v>
                </c:pt>
                <c:pt idx="38">
                  <c:v>9.445</c:v>
                </c:pt>
                <c:pt idx="39">
                  <c:v>10.219</c:v>
                </c:pt>
                <c:pt idx="40">
                  <c:v>10.952</c:v>
                </c:pt>
                <c:pt idx="41">
                  <c:v>11.601</c:v>
                </c:pt>
                <c:pt idx="42">
                  <c:v>12.128</c:v>
                </c:pt>
                <c:pt idx="43">
                  <c:v>12.506</c:v>
                </c:pt>
                <c:pt idx="44">
                  <c:v>12.727</c:v>
                </c:pt>
                <c:pt idx="45">
                  <c:v>12.807</c:v>
                </c:pt>
                <c:pt idx="46">
                  <c:v>12.78</c:v>
                </c:pt>
                <c:pt idx="47">
                  <c:v>12.693</c:v>
                </c:pt>
                <c:pt idx="48">
                  <c:v>12.591</c:v>
                </c:pt>
                <c:pt idx="49">
                  <c:v>12.514</c:v>
                </c:pt>
                <c:pt idx="50">
                  <c:v>12.485</c:v>
                </c:pt>
                <c:pt idx="51">
                  <c:v>12.514</c:v>
                </c:pt>
                <c:pt idx="52">
                  <c:v>12.591</c:v>
                </c:pt>
                <c:pt idx="53">
                  <c:v>12.693</c:v>
                </c:pt>
                <c:pt idx="54">
                  <c:v>12.78</c:v>
                </c:pt>
                <c:pt idx="55">
                  <c:v>12.807</c:v>
                </c:pt>
                <c:pt idx="56">
                  <c:v>12.727</c:v>
                </c:pt>
                <c:pt idx="57">
                  <c:v>12.506</c:v>
                </c:pt>
                <c:pt idx="58">
                  <c:v>12.128</c:v>
                </c:pt>
                <c:pt idx="59">
                  <c:v>11.601</c:v>
                </c:pt>
                <c:pt idx="60">
                  <c:v>10.952</c:v>
                </c:pt>
                <c:pt idx="61">
                  <c:v>10.219</c:v>
                </c:pt>
                <c:pt idx="62">
                  <c:v>9.445</c:v>
                </c:pt>
                <c:pt idx="63">
                  <c:v>8.668</c:v>
                </c:pt>
                <c:pt idx="64">
                  <c:v>7.914</c:v>
                </c:pt>
                <c:pt idx="65">
                  <c:v>7.203</c:v>
                </c:pt>
                <c:pt idx="66">
                  <c:v>6.547</c:v>
                </c:pt>
                <c:pt idx="67">
                  <c:v>5.948</c:v>
                </c:pt>
                <c:pt idx="68">
                  <c:v>5.408</c:v>
                </c:pt>
                <c:pt idx="69">
                  <c:v>4.923</c:v>
                </c:pt>
                <c:pt idx="70">
                  <c:v>4.49</c:v>
                </c:pt>
                <c:pt idx="71">
                  <c:v>4.103</c:v>
                </c:pt>
                <c:pt idx="72">
                  <c:v>3.759</c:v>
                </c:pt>
                <c:pt idx="73">
                  <c:v>3.451</c:v>
                </c:pt>
                <c:pt idx="74">
                  <c:v>3.176</c:v>
                </c:pt>
                <c:pt idx="75">
                  <c:v>2.93</c:v>
                </c:pt>
                <c:pt idx="76">
                  <c:v>2.71</c:v>
                </c:pt>
                <c:pt idx="77">
                  <c:v>2.511</c:v>
                </c:pt>
                <c:pt idx="78">
                  <c:v>2.333</c:v>
                </c:pt>
                <c:pt idx="79">
                  <c:v>2.171</c:v>
                </c:pt>
                <c:pt idx="80">
                  <c:v>2.025</c:v>
                </c:pt>
                <c:pt idx="81">
                  <c:v>1.893</c:v>
                </c:pt>
                <c:pt idx="82">
                  <c:v>1.772</c:v>
                </c:pt>
                <c:pt idx="83">
                  <c:v>1.662</c:v>
                </c:pt>
                <c:pt idx="84">
                  <c:v>1.561</c:v>
                </c:pt>
                <c:pt idx="85">
                  <c:v>1.469</c:v>
                </c:pt>
                <c:pt idx="86">
                  <c:v>1.384</c:v>
                </c:pt>
                <c:pt idx="87">
                  <c:v>1.307</c:v>
                </c:pt>
                <c:pt idx="88">
                  <c:v>1.235</c:v>
                </c:pt>
                <c:pt idx="89">
                  <c:v>1.168</c:v>
                </c:pt>
                <c:pt idx="90">
                  <c:v>1.107</c:v>
                </c:pt>
                <c:pt idx="91">
                  <c:v>1.05</c:v>
                </c:pt>
                <c:pt idx="92">
                  <c:v>0.997</c:v>
                </c:pt>
                <c:pt idx="93">
                  <c:v>0.947</c:v>
                </c:pt>
                <c:pt idx="94">
                  <c:v>0.902</c:v>
                </c:pt>
                <c:pt idx="95">
                  <c:v>0.859</c:v>
                </c:pt>
                <c:pt idx="96">
                  <c:v>0.819</c:v>
                </c:pt>
                <c:pt idx="97">
                  <c:v>0.781</c:v>
                </c:pt>
                <c:pt idx="98">
                  <c:v>0.746</c:v>
                </c:pt>
                <c:pt idx="99">
                  <c:v>0.713</c:v>
                </c:pt>
                <c:pt idx="100">
                  <c:v>0.682</c:v>
                </c:pt>
              </c:numCache>
            </c:numRef>
          </c:val>
          <c:smooth val="0"/>
        </c:ser>
        <c:ser>
          <c:idx val="1"/>
          <c:order val="1"/>
          <c:tx>
            <c:strRef>
              <c:f>[2_最新预测.xlsx]Sheet6!$C$1</c:f>
              <c:strCache>
                <c:ptCount val="1"/>
                <c:pt idx="0">
                  <c:v>1.5m高处磁感应强度垂直分量(μT)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[2_最新预测.xlsx]Sheet6!$C$2:$C$102</c:f>
              <c:numCache>
                <c:formatCode>General</c:formatCode>
                <c:ptCount val="101"/>
                <c:pt idx="0">
                  <c:v>3.641</c:v>
                </c:pt>
                <c:pt idx="1">
                  <c:v>3.711</c:v>
                </c:pt>
                <c:pt idx="2">
                  <c:v>3.784</c:v>
                </c:pt>
                <c:pt idx="3">
                  <c:v>3.86</c:v>
                </c:pt>
                <c:pt idx="4">
                  <c:v>3.939</c:v>
                </c:pt>
                <c:pt idx="5">
                  <c:v>4.021</c:v>
                </c:pt>
                <c:pt idx="6">
                  <c:v>4.107</c:v>
                </c:pt>
                <c:pt idx="7">
                  <c:v>4.195</c:v>
                </c:pt>
                <c:pt idx="8">
                  <c:v>4.288</c:v>
                </c:pt>
                <c:pt idx="9">
                  <c:v>4.384</c:v>
                </c:pt>
                <c:pt idx="10">
                  <c:v>4.485</c:v>
                </c:pt>
                <c:pt idx="11">
                  <c:v>4.589</c:v>
                </c:pt>
                <c:pt idx="12">
                  <c:v>4.698</c:v>
                </c:pt>
                <c:pt idx="13">
                  <c:v>4.812</c:v>
                </c:pt>
                <c:pt idx="14">
                  <c:v>4.932</c:v>
                </c:pt>
                <c:pt idx="15">
                  <c:v>5.056</c:v>
                </c:pt>
                <c:pt idx="16">
                  <c:v>5.186</c:v>
                </c:pt>
                <c:pt idx="17">
                  <c:v>5.321</c:v>
                </c:pt>
                <c:pt idx="18">
                  <c:v>5.463</c:v>
                </c:pt>
                <c:pt idx="19">
                  <c:v>5.611</c:v>
                </c:pt>
                <c:pt idx="20">
                  <c:v>5.765</c:v>
                </c:pt>
                <c:pt idx="21">
                  <c:v>5.926</c:v>
                </c:pt>
                <c:pt idx="22">
                  <c:v>6.093</c:v>
                </c:pt>
                <c:pt idx="23">
                  <c:v>6.267</c:v>
                </c:pt>
                <c:pt idx="24">
                  <c:v>6.447</c:v>
                </c:pt>
                <c:pt idx="25">
                  <c:v>6.632</c:v>
                </c:pt>
                <c:pt idx="26">
                  <c:v>6.822</c:v>
                </c:pt>
                <c:pt idx="27">
                  <c:v>7.015</c:v>
                </c:pt>
                <c:pt idx="28">
                  <c:v>7.209</c:v>
                </c:pt>
                <c:pt idx="29">
                  <c:v>7.4</c:v>
                </c:pt>
                <c:pt idx="30">
                  <c:v>7.586</c:v>
                </c:pt>
                <c:pt idx="31">
                  <c:v>7.76</c:v>
                </c:pt>
                <c:pt idx="32">
                  <c:v>7.914</c:v>
                </c:pt>
                <c:pt idx="33">
                  <c:v>8.038</c:v>
                </c:pt>
                <c:pt idx="34">
                  <c:v>8.12</c:v>
                </c:pt>
                <c:pt idx="35">
                  <c:v>8.143</c:v>
                </c:pt>
                <c:pt idx="36">
                  <c:v>8.089</c:v>
                </c:pt>
                <c:pt idx="37">
                  <c:v>7.938</c:v>
                </c:pt>
                <c:pt idx="38">
                  <c:v>7.67</c:v>
                </c:pt>
                <c:pt idx="39">
                  <c:v>7.269</c:v>
                </c:pt>
                <c:pt idx="40">
                  <c:v>6.728</c:v>
                </c:pt>
                <c:pt idx="41">
                  <c:v>6.057</c:v>
                </c:pt>
                <c:pt idx="42">
                  <c:v>5.282</c:v>
                </c:pt>
                <c:pt idx="43">
                  <c:v>4.444</c:v>
                </c:pt>
                <c:pt idx="44">
                  <c:v>3.597</c:v>
                </c:pt>
                <c:pt idx="45">
                  <c:v>2.79</c:v>
                </c:pt>
                <c:pt idx="46">
                  <c:v>2.061</c:v>
                </c:pt>
                <c:pt idx="47">
                  <c:v>1.429</c:v>
                </c:pt>
                <c:pt idx="48">
                  <c:v>0.891</c:v>
                </c:pt>
                <c:pt idx="49">
                  <c:v>0.426</c:v>
                </c:pt>
                <c:pt idx="50">
                  <c:v>0</c:v>
                </c:pt>
                <c:pt idx="51">
                  <c:v>0.426</c:v>
                </c:pt>
                <c:pt idx="52">
                  <c:v>0.891</c:v>
                </c:pt>
                <c:pt idx="53">
                  <c:v>1.429</c:v>
                </c:pt>
                <c:pt idx="54">
                  <c:v>2.061</c:v>
                </c:pt>
                <c:pt idx="55">
                  <c:v>2.79</c:v>
                </c:pt>
                <c:pt idx="56">
                  <c:v>3.597</c:v>
                </c:pt>
                <c:pt idx="57">
                  <c:v>4.444</c:v>
                </c:pt>
                <c:pt idx="58">
                  <c:v>5.282</c:v>
                </c:pt>
                <c:pt idx="59">
                  <c:v>6.057</c:v>
                </c:pt>
                <c:pt idx="60">
                  <c:v>6.728</c:v>
                </c:pt>
                <c:pt idx="61">
                  <c:v>7.269</c:v>
                </c:pt>
                <c:pt idx="62">
                  <c:v>7.67</c:v>
                </c:pt>
                <c:pt idx="63">
                  <c:v>7.938</c:v>
                </c:pt>
                <c:pt idx="64">
                  <c:v>8.089</c:v>
                </c:pt>
                <c:pt idx="65">
                  <c:v>8.143</c:v>
                </c:pt>
                <c:pt idx="66">
                  <c:v>8.12</c:v>
                </c:pt>
                <c:pt idx="67">
                  <c:v>8.038</c:v>
                </c:pt>
                <c:pt idx="68">
                  <c:v>7.914</c:v>
                </c:pt>
                <c:pt idx="69">
                  <c:v>7.76</c:v>
                </c:pt>
                <c:pt idx="70">
                  <c:v>7.586</c:v>
                </c:pt>
                <c:pt idx="71">
                  <c:v>7.4</c:v>
                </c:pt>
                <c:pt idx="72">
                  <c:v>7.209</c:v>
                </c:pt>
                <c:pt idx="73">
                  <c:v>7.015</c:v>
                </c:pt>
                <c:pt idx="74">
                  <c:v>6.822</c:v>
                </c:pt>
                <c:pt idx="75">
                  <c:v>6.632</c:v>
                </c:pt>
                <c:pt idx="76">
                  <c:v>6.447</c:v>
                </c:pt>
                <c:pt idx="77">
                  <c:v>6.267</c:v>
                </c:pt>
                <c:pt idx="78">
                  <c:v>6.093</c:v>
                </c:pt>
                <c:pt idx="79">
                  <c:v>5.926</c:v>
                </c:pt>
                <c:pt idx="80">
                  <c:v>5.765</c:v>
                </c:pt>
                <c:pt idx="81">
                  <c:v>5.611</c:v>
                </c:pt>
                <c:pt idx="82">
                  <c:v>5.463</c:v>
                </c:pt>
                <c:pt idx="83">
                  <c:v>5.321</c:v>
                </c:pt>
                <c:pt idx="84">
                  <c:v>5.186</c:v>
                </c:pt>
                <c:pt idx="85">
                  <c:v>5.056</c:v>
                </c:pt>
                <c:pt idx="86">
                  <c:v>4.932</c:v>
                </c:pt>
                <c:pt idx="87">
                  <c:v>4.812</c:v>
                </c:pt>
                <c:pt idx="88">
                  <c:v>4.698</c:v>
                </c:pt>
                <c:pt idx="89">
                  <c:v>4.589</c:v>
                </c:pt>
                <c:pt idx="90">
                  <c:v>4.485</c:v>
                </c:pt>
                <c:pt idx="91">
                  <c:v>4.384</c:v>
                </c:pt>
                <c:pt idx="92">
                  <c:v>4.288</c:v>
                </c:pt>
                <c:pt idx="93">
                  <c:v>4.195</c:v>
                </c:pt>
                <c:pt idx="94">
                  <c:v>4.107</c:v>
                </c:pt>
                <c:pt idx="95">
                  <c:v>4.021</c:v>
                </c:pt>
                <c:pt idx="96">
                  <c:v>3.939</c:v>
                </c:pt>
                <c:pt idx="97">
                  <c:v>3.86</c:v>
                </c:pt>
                <c:pt idx="98">
                  <c:v>3.784</c:v>
                </c:pt>
                <c:pt idx="99">
                  <c:v>3.711</c:v>
                </c:pt>
                <c:pt idx="100">
                  <c:v>3.641</c:v>
                </c:pt>
              </c:numCache>
            </c:numRef>
          </c:val>
          <c:smooth val="0"/>
        </c:ser>
        <c:ser>
          <c:idx val="2"/>
          <c:order val="2"/>
          <c:tx>
            <c:strRef>
              <c:f>[2_最新预测.xlsx]Sheet6!$D$1</c:f>
              <c:strCache>
                <c:ptCount val="1"/>
                <c:pt idx="0">
                  <c:v>1.5m高处磁感应强度综合量(μT)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[2_最新预测.xlsx]Sheet6!$D$2:$D$102</c:f>
              <c:numCache>
                <c:formatCode>General</c:formatCode>
                <c:ptCount val="101"/>
                <c:pt idx="0">
                  <c:v>3.704</c:v>
                </c:pt>
                <c:pt idx="1">
                  <c:v>3.779</c:v>
                </c:pt>
                <c:pt idx="2">
                  <c:v>3.857</c:v>
                </c:pt>
                <c:pt idx="3">
                  <c:v>3.939</c:v>
                </c:pt>
                <c:pt idx="4">
                  <c:v>4.023</c:v>
                </c:pt>
                <c:pt idx="5">
                  <c:v>4.112</c:v>
                </c:pt>
                <c:pt idx="6">
                  <c:v>4.204</c:v>
                </c:pt>
                <c:pt idx="7">
                  <c:v>4.301</c:v>
                </c:pt>
                <c:pt idx="8">
                  <c:v>4.402</c:v>
                </c:pt>
                <c:pt idx="9">
                  <c:v>4.508</c:v>
                </c:pt>
                <c:pt idx="10">
                  <c:v>4.619</c:v>
                </c:pt>
                <c:pt idx="11">
                  <c:v>4.736</c:v>
                </c:pt>
                <c:pt idx="12">
                  <c:v>4.858</c:v>
                </c:pt>
                <c:pt idx="13">
                  <c:v>4.987</c:v>
                </c:pt>
                <c:pt idx="14">
                  <c:v>5.122</c:v>
                </c:pt>
                <c:pt idx="15">
                  <c:v>5.265</c:v>
                </c:pt>
                <c:pt idx="16">
                  <c:v>5.416</c:v>
                </c:pt>
                <c:pt idx="17">
                  <c:v>5.575</c:v>
                </c:pt>
                <c:pt idx="18">
                  <c:v>5.743</c:v>
                </c:pt>
                <c:pt idx="19">
                  <c:v>5.922</c:v>
                </c:pt>
                <c:pt idx="20">
                  <c:v>6.111</c:v>
                </c:pt>
                <c:pt idx="21">
                  <c:v>6.311</c:v>
                </c:pt>
                <c:pt idx="22">
                  <c:v>6.525</c:v>
                </c:pt>
                <c:pt idx="23">
                  <c:v>6.752</c:v>
                </c:pt>
                <c:pt idx="24">
                  <c:v>6.993</c:v>
                </c:pt>
                <c:pt idx="25">
                  <c:v>7.251</c:v>
                </c:pt>
                <c:pt idx="26">
                  <c:v>7.525</c:v>
                </c:pt>
                <c:pt idx="27">
                  <c:v>7.818</c:v>
                </c:pt>
                <c:pt idx="28">
                  <c:v>8.13</c:v>
                </c:pt>
                <c:pt idx="29">
                  <c:v>8.462</c:v>
                </c:pt>
                <c:pt idx="30">
                  <c:v>8.815</c:v>
                </c:pt>
                <c:pt idx="31">
                  <c:v>9.19</c:v>
                </c:pt>
                <c:pt idx="32">
                  <c:v>9.585</c:v>
                </c:pt>
                <c:pt idx="33">
                  <c:v>10</c:v>
                </c:pt>
                <c:pt idx="34">
                  <c:v>10.43</c:v>
                </c:pt>
                <c:pt idx="35">
                  <c:v>10.872</c:v>
                </c:pt>
                <c:pt idx="36">
                  <c:v>11.317</c:v>
                </c:pt>
                <c:pt idx="37">
                  <c:v>11.753</c:v>
                </c:pt>
                <c:pt idx="38">
                  <c:v>12.167</c:v>
                </c:pt>
                <c:pt idx="39">
                  <c:v>12.54</c:v>
                </c:pt>
                <c:pt idx="40">
                  <c:v>12.853</c:v>
                </c:pt>
                <c:pt idx="41">
                  <c:v>13.087</c:v>
                </c:pt>
                <c:pt idx="42">
                  <c:v>13.229</c:v>
                </c:pt>
                <c:pt idx="43">
                  <c:v>13.272</c:v>
                </c:pt>
                <c:pt idx="44">
                  <c:v>13.226</c:v>
                </c:pt>
                <c:pt idx="45">
                  <c:v>13.107</c:v>
                </c:pt>
                <c:pt idx="46">
                  <c:v>12.945</c:v>
                </c:pt>
                <c:pt idx="47">
                  <c:v>12.773</c:v>
                </c:pt>
                <c:pt idx="48">
                  <c:v>12.623</c:v>
                </c:pt>
                <c:pt idx="49">
                  <c:v>12.521</c:v>
                </c:pt>
                <c:pt idx="50">
                  <c:v>12.485</c:v>
                </c:pt>
                <c:pt idx="51">
                  <c:v>12.521</c:v>
                </c:pt>
                <c:pt idx="52">
                  <c:v>12.623</c:v>
                </c:pt>
                <c:pt idx="53">
                  <c:v>12.773</c:v>
                </c:pt>
                <c:pt idx="54">
                  <c:v>12.945</c:v>
                </c:pt>
                <c:pt idx="55">
                  <c:v>13.107</c:v>
                </c:pt>
                <c:pt idx="56">
                  <c:v>13.226</c:v>
                </c:pt>
                <c:pt idx="57">
                  <c:v>13.272</c:v>
                </c:pt>
                <c:pt idx="58">
                  <c:v>13.229</c:v>
                </c:pt>
                <c:pt idx="59">
                  <c:v>13.087</c:v>
                </c:pt>
                <c:pt idx="60">
                  <c:v>12.853</c:v>
                </c:pt>
                <c:pt idx="61">
                  <c:v>12.54</c:v>
                </c:pt>
                <c:pt idx="62">
                  <c:v>12.167</c:v>
                </c:pt>
                <c:pt idx="63">
                  <c:v>11.753</c:v>
                </c:pt>
                <c:pt idx="64">
                  <c:v>11.317</c:v>
                </c:pt>
                <c:pt idx="65">
                  <c:v>10.872</c:v>
                </c:pt>
                <c:pt idx="66">
                  <c:v>10.43</c:v>
                </c:pt>
                <c:pt idx="67">
                  <c:v>10</c:v>
                </c:pt>
                <c:pt idx="68">
                  <c:v>9.585</c:v>
                </c:pt>
                <c:pt idx="69">
                  <c:v>9.19</c:v>
                </c:pt>
                <c:pt idx="70">
                  <c:v>8.815</c:v>
                </c:pt>
                <c:pt idx="71">
                  <c:v>8.462</c:v>
                </c:pt>
                <c:pt idx="72">
                  <c:v>8.13</c:v>
                </c:pt>
                <c:pt idx="73">
                  <c:v>7.818</c:v>
                </c:pt>
                <c:pt idx="74">
                  <c:v>7.525</c:v>
                </c:pt>
                <c:pt idx="75">
                  <c:v>7.251</c:v>
                </c:pt>
                <c:pt idx="76">
                  <c:v>6.993</c:v>
                </c:pt>
                <c:pt idx="77">
                  <c:v>6.752</c:v>
                </c:pt>
                <c:pt idx="78">
                  <c:v>6.525</c:v>
                </c:pt>
                <c:pt idx="79">
                  <c:v>6.311</c:v>
                </c:pt>
                <c:pt idx="80">
                  <c:v>6.111</c:v>
                </c:pt>
                <c:pt idx="81">
                  <c:v>5.922</c:v>
                </c:pt>
                <c:pt idx="82">
                  <c:v>5.743</c:v>
                </c:pt>
                <c:pt idx="83">
                  <c:v>5.575</c:v>
                </c:pt>
                <c:pt idx="84">
                  <c:v>5.416</c:v>
                </c:pt>
                <c:pt idx="85">
                  <c:v>5.265</c:v>
                </c:pt>
                <c:pt idx="86">
                  <c:v>5.122</c:v>
                </c:pt>
                <c:pt idx="87">
                  <c:v>4.987</c:v>
                </c:pt>
                <c:pt idx="88">
                  <c:v>4.858</c:v>
                </c:pt>
                <c:pt idx="89">
                  <c:v>4.736</c:v>
                </c:pt>
                <c:pt idx="90">
                  <c:v>4.619</c:v>
                </c:pt>
                <c:pt idx="91">
                  <c:v>4.508</c:v>
                </c:pt>
                <c:pt idx="92">
                  <c:v>4.402</c:v>
                </c:pt>
                <c:pt idx="93">
                  <c:v>4.301</c:v>
                </c:pt>
                <c:pt idx="94">
                  <c:v>4.204</c:v>
                </c:pt>
                <c:pt idx="95">
                  <c:v>4.112</c:v>
                </c:pt>
                <c:pt idx="96">
                  <c:v>4.023</c:v>
                </c:pt>
                <c:pt idx="97">
                  <c:v>3.939</c:v>
                </c:pt>
                <c:pt idx="98">
                  <c:v>3.857</c:v>
                </c:pt>
                <c:pt idx="99">
                  <c:v>3.779</c:v>
                </c:pt>
                <c:pt idx="100">
                  <c:v>3.704</c:v>
                </c:pt>
              </c:numCache>
            </c:numRef>
          </c:val>
          <c:smooth val="0"/>
        </c:ser>
        <c:dLbls>
          <c:showLegendKey val="0"/>
          <c:showVal val="0"/>
          <c:showCatName val="0"/>
          <c:showSerName val="0"/>
          <c:showPercent val="0"/>
          <c:showBubbleSize val="0"/>
        </c:dLbls>
        <c:marker val="1"/>
        <c:smooth val="0"/>
        <c:axId val="78347264"/>
        <c:axId val="78357632"/>
      </c:lineChart>
      <c:catAx>
        <c:axId val="7834726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测点到线路中心线投影的距离（</a:t>
                </a:r>
                <a:r>
                  <a:rPr lang="en-US" altLang="zh-CN" sz="1000" b="1" i="0" baseline="0"/>
                  <a:t>m</a:t>
                </a:r>
                <a:r>
                  <a:rPr lang="zh-CN" altLang="zh-CN" sz="1000" b="1" i="0" baseline="0"/>
                  <a:t>）</a:t>
                </a:r>
                <a:endParaRPr lang="zh-CN" altLang="zh-CN" sz="1000" b="1" i="0" baseline="0"/>
              </a:p>
            </c:rich>
          </c:tx>
          <c:layout>
            <c:manualLayout>
              <c:xMode val="edge"/>
              <c:yMode val="edge"/>
              <c:x val="0.359839921886896"/>
              <c:y val="0.9262096352023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57632"/>
        <c:crosses val="autoZero"/>
        <c:auto val="1"/>
        <c:lblAlgn val="ctr"/>
        <c:lblOffset val="100"/>
        <c:tickLblSkip val="5"/>
        <c:noMultiLvlLbl val="0"/>
      </c:catAx>
      <c:valAx>
        <c:axId val="7835763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磁感应强度（</a:t>
                </a:r>
                <a:r>
                  <a:rPr lang="en-US" altLang="zh-CN" sz="1000" b="1" i="0" baseline="0"/>
                  <a:t>μT</a:t>
                </a:r>
                <a:r>
                  <a:rPr lang="zh-CN" altLang="zh-CN" sz="1000" b="1" i="0" baseline="0"/>
                  <a:t>）</a:t>
                </a:r>
                <a:endParaRPr lang="zh-CN" altLang="zh-CN" sz="1000" b="1" i="0" baseline="0"/>
              </a:p>
            </c:rich>
          </c:tx>
          <c:layout>
            <c:manualLayout>
              <c:xMode val="edge"/>
              <c:yMode val="edge"/>
              <c:x val="0.0378131914398072"/>
              <c:y val="0.28431306256209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47264"/>
        <c:crosses val="autoZero"/>
        <c:crossBetween val="midCat"/>
      </c:valAx>
    </c:plotArea>
    <c:legend>
      <c:legendPos val="t"/>
      <c:layout>
        <c:manualLayout>
          <c:xMode val="edge"/>
          <c:yMode val="edge"/>
          <c:x val="0.575801397927211"/>
          <c:y val="0.0151605824855376"/>
          <c:w val="0.414919257652446"/>
          <c:h val="0.17634151206862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107587541318427"/>
          <c:y val="0.152402983525365"/>
          <c:w val="0.824186217337167"/>
          <c:h val="0.701485238074055"/>
        </c:manualLayout>
      </c:layout>
      <c:lineChart>
        <c:grouping val="standard"/>
        <c:varyColors val="0"/>
        <c:ser>
          <c:idx val="0"/>
          <c:order val="0"/>
          <c:tx>
            <c:strRef>
              <c:f>[2_最新预测.xlsx]Sheet6!$B$1</c:f>
              <c:strCache>
                <c:ptCount val="1"/>
                <c:pt idx="0">
                  <c:v>1.5m高处磁感应强度水平分量(μT)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[2_最新预测.xlsx]Sheet6!$B$2:$B$102</c:f>
              <c:numCache>
                <c:formatCode>General</c:formatCode>
                <c:ptCount val="101"/>
                <c:pt idx="0">
                  <c:v>2.197</c:v>
                </c:pt>
                <c:pt idx="1">
                  <c:v>2.281</c:v>
                </c:pt>
                <c:pt idx="2">
                  <c:v>2.369</c:v>
                </c:pt>
                <c:pt idx="3">
                  <c:v>2.462</c:v>
                </c:pt>
                <c:pt idx="4">
                  <c:v>2.56</c:v>
                </c:pt>
                <c:pt idx="5">
                  <c:v>2.664</c:v>
                </c:pt>
                <c:pt idx="6">
                  <c:v>2.773</c:v>
                </c:pt>
                <c:pt idx="7">
                  <c:v>2.888</c:v>
                </c:pt>
                <c:pt idx="8">
                  <c:v>3.01</c:v>
                </c:pt>
                <c:pt idx="9">
                  <c:v>3.14</c:v>
                </c:pt>
                <c:pt idx="10">
                  <c:v>3.276</c:v>
                </c:pt>
                <c:pt idx="11">
                  <c:v>3.421</c:v>
                </c:pt>
                <c:pt idx="12">
                  <c:v>3.575</c:v>
                </c:pt>
                <c:pt idx="13">
                  <c:v>3.739</c:v>
                </c:pt>
                <c:pt idx="14">
                  <c:v>3.913</c:v>
                </c:pt>
                <c:pt idx="15">
                  <c:v>4.098</c:v>
                </c:pt>
                <c:pt idx="16">
                  <c:v>4.296</c:v>
                </c:pt>
                <c:pt idx="17">
                  <c:v>4.507</c:v>
                </c:pt>
                <c:pt idx="18">
                  <c:v>4.732</c:v>
                </c:pt>
                <c:pt idx="19">
                  <c:v>4.973</c:v>
                </c:pt>
                <c:pt idx="20">
                  <c:v>5.231</c:v>
                </c:pt>
                <c:pt idx="21">
                  <c:v>5.508</c:v>
                </c:pt>
                <c:pt idx="22">
                  <c:v>5.805</c:v>
                </c:pt>
                <c:pt idx="23">
                  <c:v>6.126</c:v>
                </c:pt>
                <c:pt idx="24">
                  <c:v>6.471</c:v>
                </c:pt>
                <c:pt idx="25">
                  <c:v>6.844</c:v>
                </c:pt>
                <c:pt idx="26">
                  <c:v>7.247</c:v>
                </c:pt>
                <c:pt idx="27">
                  <c:v>7.685</c:v>
                </c:pt>
                <c:pt idx="28">
                  <c:v>8.16</c:v>
                </c:pt>
                <c:pt idx="29">
                  <c:v>8.676</c:v>
                </c:pt>
                <c:pt idx="30">
                  <c:v>9.238</c:v>
                </c:pt>
                <c:pt idx="31">
                  <c:v>9.849</c:v>
                </c:pt>
                <c:pt idx="32">
                  <c:v>10.515</c:v>
                </c:pt>
                <c:pt idx="33">
                  <c:v>11.238</c:v>
                </c:pt>
                <c:pt idx="34">
                  <c:v>12.021</c:v>
                </c:pt>
                <c:pt idx="35">
                  <c:v>12.862</c:v>
                </c:pt>
                <c:pt idx="36">
                  <c:v>13.756</c:v>
                </c:pt>
                <c:pt idx="37">
                  <c:v>14.691</c:v>
                </c:pt>
                <c:pt idx="38">
                  <c:v>15.648</c:v>
                </c:pt>
                <c:pt idx="39">
                  <c:v>16.597</c:v>
                </c:pt>
                <c:pt idx="40">
                  <c:v>17.5</c:v>
                </c:pt>
                <c:pt idx="41">
                  <c:v>18.315</c:v>
                </c:pt>
                <c:pt idx="42">
                  <c:v>19.002</c:v>
                </c:pt>
                <c:pt idx="43">
                  <c:v>19.532</c:v>
                </c:pt>
                <c:pt idx="44">
                  <c:v>19.897</c:v>
                </c:pt>
                <c:pt idx="45">
                  <c:v>20.112</c:v>
                </c:pt>
                <c:pt idx="46">
                  <c:v>20.209</c:v>
                </c:pt>
                <c:pt idx="47">
                  <c:v>20.231</c:v>
                </c:pt>
                <c:pt idx="48">
                  <c:v>20.22</c:v>
                </c:pt>
                <c:pt idx="49">
                  <c:v>20.208</c:v>
                </c:pt>
                <c:pt idx="50">
                  <c:v>20.21</c:v>
                </c:pt>
                <c:pt idx="51">
                  <c:v>20.225</c:v>
                </c:pt>
                <c:pt idx="52">
                  <c:v>20.229</c:v>
                </c:pt>
                <c:pt idx="53">
                  <c:v>20.19</c:v>
                </c:pt>
                <c:pt idx="54">
                  <c:v>20.062</c:v>
                </c:pt>
                <c:pt idx="55">
                  <c:v>19.805</c:v>
                </c:pt>
                <c:pt idx="56">
                  <c:v>19.39</c:v>
                </c:pt>
                <c:pt idx="57">
                  <c:v>18.811</c:v>
                </c:pt>
                <c:pt idx="58">
                  <c:v>18.083</c:v>
                </c:pt>
                <c:pt idx="59">
                  <c:v>17.237</c:v>
                </c:pt>
                <c:pt idx="60">
                  <c:v>16.315</c:v>
                </c:pt>
                <c:pt idx="61">
                  <c:v>15.36</c:v>
                </c:pt>
                <c:pt idx="62">
                  <c:v>14.407</c:v>
                </c:pt>
                <c:pt idx="63">
                  <c:v>13.482</c:v>
                </c:pt>
                <c:pt idx="64">
                  <c:v>12.604</c:v>
                </c:pt>
                <c:pt idx="65">
                  <c:v>11.78</c:v>
                </c:pt>
                <c:pt idx="66">
                  <c:v>11.015</c:v>
                </c:pt>
                <c:pt idx="67">
                  <c:v>10.31</c:v>
                </c:pt>
                <c:pt idx="68">
                  <c:v>9.66</c:v>
                </c:pt>
                <c:pt idx="69">
                  <c:v>9.064</c:v>
                </c:pt>
                <c:pt idx="70">
                  <c:v>8.516</c:v>
                </c:pt>
                <c:pt idx="71">
                  <c:v>8.013</c:v>
                </c:pt>
                <c:pt idx="72">
                  <c:v>7.55</c:v>
                </c:pt>
                <c:pt idx="73">
                  <c:v>7.123</c:v>
                </c:pt>
                <c:pt idx="74">
                  <c:v>6.729</c:v>
                </c:pt>
                <c:pt idx="75">
                  <c:v>6.365</c:v>
                </c:pt>
                <c:pt idx="76">
                  <c:v>6.027</c:v>
                </c:pt>
                <c:pt idx="77">
                  <c:v>5.714</c:v>
                </c:pt>
                <c:pt idx="78">
                  <c:v>5.423</c:v>
                </c:pt>
                <c:pt idx="79">
                  <c:v>5.151</c:v>
                </c:pt>
                <c:pt idx="80">
                  <c:v>4.899</c:v>
                </c:pt>
                <c:pt idx="81">
                  <c:v>4.663</c:v>
                </c:pt>
                <c:pt idx="82">
                  <c:v>4.442</c:v>
                </c:pt>
                <c:pt idx="83">
                  <c:v>4.235</c:v>
                </c:pt>
                <c:pt idx="84">
                  <c:v>4.042</c:v>
                </c:pt>
                <c:pt idx="85">
                  <c:v>3.86</c:v>
                </c:pt>
                <c:pt idx="86">
                  <c:v>3.689</c:v>
                </c:pt>
                <c:pt idx="87">
                  <c:v>3.528</c:v>
                </c:pt>
                <c:pt idx="88">
                  <c:v>3.377</c:v>
                </c:pt>
                <c:pt idx="89">
                  <c:v>3.234</c:v>
                </c:pt>
                <c:pt idx="90">
                  <c:v>3.1</c:v>
                </c:pt>
                <c:pt idx="91">
                  <c:v>2.973</c:v>
                </c:pt>
                <c:pt idx="92">
                  <c:v>2.853</c:v>
                </c:pt>
                <c:pt idx="93">
                  <c:v>2.739</c:v>
                </c:pt>
                <c:pt idx="94">
                  <c:v>2.632</c:v>
                </c:pt>
                <c:pt idx="95">
                  <c:v>2.53</c:v>
                </c:pt>
                <c:pt idx="96">
                  <c:v>2.434</c:v>
                </c:pt>
                <c:pt idx="97">
                  <c:v>2.342</c:v>
                </c:pt>
                <c:pt idx="98">
                  <c:v>2.255</c:v>
                </c:pt>
                <c:pt idx="99">
                  <c:v>2.173</c:v>
                </c:pt>
                <c:pt idx="100">
                  <c:v>2.094</c:v>
                </c:pt>
              </c:numCache>
            </c:numRef>
          </c:val>
          <c:smooth val="0"/>
        </c:ser>
        <c:ser>
          <c:idx val="1"/>
          <c:order val="1"/>
          <c:tx>
            <c:strRef>
              <c:f>[2_最新预测.xlsx]Sheet6!$C$1</c:f>
              <c:strCache>
                <c:ptCount val="1"/>
                <c:pt idx="0">
                  <c:v>1.5m高处磁感应强度垂直分量(μT)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[2_最新预测.xlsx]Sheet6!$C$2:$C$102</c:f>
              <c:numCache>
                <c:formatCode>General</c:formatCode>
                <c:ptCount val="101"/>
                <c:pt idx="0">
                  <c:v>6.669</c:v>
                </c:pt>
                <c:pt idx="1">
                  <c:v>6.776</c:v>
                </c:pt>
                <c:pt idx="2">
                  <c:v>6.885</c:v>
                </c:pt>
                <c:pt idx="3">
                  <c:v>6.997</c:v>
                </c:pt>
                <c:pt idx="4">
                  <c:v>7.113</c:v>
                </c:pt>
                <c:pt idx="5">
                  <c:v>7.231</c:v>
                </c:pt>
                <c:pt idx="6">
                  <c:v>7.353</c:v>
                </c:pt>
                <c:pt idx="7">
                  <c:v>7.478</c:v>
                </c:pt>
                <c:pt idx="8">
                  <c:v>7.606</c:v>
                </c:pt>
                <c:pt idx="9">
                  <c:v>7.738</c:v>
                </c:pt>
                <c:pt idx="10">
                  <c:v>7.873</c:v>
                </c:pt>
                <c:pt idx="11">
                  <c:v>8.012</c:v>
                </c:pt>
                <c:pt idx="12">
                  <c:v>8.155</c:v>
                </c:pt>
                <c:pt idx="13">
                  <c:v>8.301</c:v>
                </c:pt>
                <c:pt idx="14">
                  <c:v>8.451</c:v>
                </c:pt>
                <c:pt idx="15">
                  <c:v>8.604</c:v>
                </c:pt>
                <c:pt idx="16">
                  <c:v>8.761</c:v>
                </c:pt>
                <c:pt idx="17">
                  <c:v>8.921</c:v>
                </c:pt>
                <c:pt idx="18">
                  <c:v>9.085</c:v>
                </c:pt>
                <c:pt idx="19">
                  <c:v>9.252</c:v>
                </c:pt>
                <c:pt idx="20">
                  <c:v>9.421</c:v>
                </c:pt>
                <c:pt idx="21">
                  <c:v>9.593</c:v>
                </c:pt>
                <c:pt idx="22">
                  <c:v>9.767</c:v>
                </c:pt>
                <c:pt idx="23">
                  <c:v>9.943</c:v>
                </c:pt>
                <c:pt idx="24">
                  <c:v>10.118</c:v>
                </c:pt>
                <c:pt idx="25">
                  <c:v>10.293</c:v>
                </c:pt>
                <c:pt idx="26">
                  <c:v>10.466</c:v>
                </c:pt>
                <c:pt idx="27">
                  <c:v>10.633</c:v>
                </c:pt>
                <c:pt idx="28">
                  <c:v>10.793</c:v>
                </c:pt>
                <c:pt idx="29">
                  <c:v>10.942</c:v>
                </c:pt>
                <c:pt idx="30">
                  <c:v>11.075</c:v>
                </c:pt>
                <c:pt idx="31">
                  <c:v>11.185</c:v>
                </c:pt>
                <c:pt idx="32">
                  <c:v>11.265</c:v>
                </c:pt>
                <c:pt idx="33">
                  <c:v>11.302</c:v>
                </c:pt>
                <c:pt idx="34">
                  <c:v>11.285</c:v>
                </c:pt>
                <c:pt idx="35">
                  <c:v>11.196</c:v>
                </c:pt>
                <c:pt idx="36">
                  <c:v>11.017</c:v>
                </c:pt>
                <c:pt idx="37">
                  <c:v>10.726</c:v>
                </c:pt>
                <c:pt idx="38">
                  <c:v>10.304</c:v>
                </c:pt>
                <c:pt idx="39">
                  <c:v>9.735</c:v>
                </c:pt>
                <c:pt idx="40">
                  <c:v>9.012</c:v>
                </c:pt>
                <c:pt idx="41">
                  <c:v>8.143</c:v>
                </c:pt>
                <c:pt idx="42">
                  <c:v>7.155</c:v>
                </c:pt>
                <c:pt idx="43">
                  <c:v>6.089</c:v>
                </c:pt>
                <c:pt idx="44">
                  <c:v>4.996</c:v>
                </c:pt>
                <c:pt idx="45">
                  <c:v>3.925</c:v>
                </c:pt>
                <c:pt idx="46">
                  <c:v>2.913</c:v>
                </c:pt>
                <c:pt idx="47">
                  <c:v>1.975</c:v>
                </c:pt>
                <c:pt idx="48">
                  <c:v>1.106</c:v>
                </c:pt>
                <c:pt idx="49">
                  <c:v>0.283</c:v>
                </c:pt>
                <c:pt idx="50">
                  <c:v>0.527</c:v>
                </c:pt>
                <c:pt idx="51">
                  <c:v>1.36</c:v>
                </c:pt>
                <c:pt idx="52">
                  <c:v>2.248</c:v>
                </c:pt>
                <c:pt idx="53">
                  <c:v>3.209</c:v>
                </c:pt>
                <c:pt idx="54">
                  <c:v>4.242</c:v>
                </c:pt>
                <c:pt idx="55">
                  <c:v>5.324</c:v>
                </c:pt>
                <c:pt idx="56">
                  <c:v>6.414</c:v>
                </c:pt>
                <c:pt idx="57">
                  <c:v>7.462</c:v>
                </c:pt>
                <c:pt idx="58">
                  <c:v>8.418</c:v>
                </c:pt>
                <c:pt idx="59">
                  <c:v>9.245</c:v>
                </c:pt>
                <c:pt idx="60">
                  <c:v>9.922</c:v>
                </c:pt>
                <c:pt idx="61">
                  <c:v>10.445</c:v>
                </c:pt>
                <c:pt idx="62">
                  <c:v>10.826</c:v>
                </c:pt>
                <c:pt idx="63">
                  <c:v>11.081</c:v>
                </c:pt>
                <c:pt idx="64">
                  <c:v>11.231</c:v>
                </c:pt>
                <c:pt idx="65">
                  <c:v>11.297</c:v>
                </c:pt>
                <c:pt idx="66">
                  <c:v>11.296</c:v>
                </c:pt>
                <c:pt idx="67">
                  <c:v>11.245</c:v>
                </c:pt>
                <c:pt idx="68">
                  <c:v>11.155</c:v>
                </c:pt>
                <c:pt idx="69">
                  <c:v>11.037</c:v>
                </c:pt>
                <c:pt idx="70">
                  <c:v>10.899</c:v>
                </c:pt>
                <c:pt idx="71">
                  <c:v>10.746</c:v>
                </c:pt>
                <c:pt idx="72">
                  <c:v>10.584</c:v>
                </c:pt>
                <c:pt idx="73">
                  <c:v>10.414</c:v>
                </c:pt>
                <c:pt idx="74">
                  <c:v>10.241</c:v>
                </c:pt>
                <c:pt idx="75">
                  <c:v>10.066</c:v>
                </c:pt>
                <c:pt idx="76">
                  <c:v>9.89</c:v>
                </c:pt>
                <c:pt idx="77">
                  <c:v>9.715</c:v>
                </c:pt>
                <c:pt idx="78">
                  <c:v>9.541</c:v>
                </c:pt>
                <c:pt idx="79">
                  <c:v>9.37</c:v>
                </c:pt>
                <c:pt idx="80">
                  <c:v>9.201</c:v>
                </c:pt>
                <c:pt idx="81">
                  <c:v>9.035</c:v>
                </c:pt>
                <c:pt idx="82">
                  <c:v>8.873</c:v>
                </c:pt>
                <c:pt idx="83">
                  <c:v>8.713</c:v>
                </c:pt>
                <c:pt idx="84">
                  <c:v>8.557</c:v>
                </c:pt>
                <c:pt idx="85">
                  <c:v>8.405</c:v>
                </c:pt>
                <c:pt idx="86">
                  <c:v>8.257</c:v>
                </c:pt>
                <c:pt idx="87">
                  <c:v>8.112</c:v>
                </c:pt>
                <c:pt idx="88">
                  <c:v>7.97</c:v>
                </c:pt>
                <c:pt idx="89">
                  <c:v>7.832</c:v>
                </c:pt>
                <c:pt idx="90">
                  <c:v>7.698</c:v>
                </c:pt>
                <c:pt idx="91">
                  <c:v>7.567</c:v>
                </c:pt>
                <c:pt idx="92">
                  <c:v>7.44</c:v>
                </c:pt>
                <c:pt idx="93">
                  <c:v>7.316</c:v>
                </c:pt>
                <c:pt idx="94">
                  <c:v>7.195</c:v>
                </c:pt>
                <c:pt idx="95">
                  <c:v>7.078</c:v>
                </c:pt>
                <c:pt idx="96">
                  <c:v>6.963</c:v>
                </c:pt>
                <c:pt idx="97">
                  <c:v>6.852</c:v>
                </c:pt>
                <c:pt idx="98">
                  <c:v>6.743</c:v>
                </c:pt>
                <c:pt idx="99">
                  <c:v>6.638</c:v>
                </c:pt>
                <c:pt idx="100">
                  <c:v>6.535</c:v>
                </c:pt>
              </c:numCache>
            </c:numRef>
          </c:val>
          <c:smooth val="0"/>
        </c:ser>
        <c:ser>
          <c:idx val="2"/>
          <c:order val="2"/>
          <c:tx>
            <c:strRef>
              <c:f>[2_最新预测.xlsx]Sheet6!$D$1</c:f>
              <c:strCache>
                <c:ptCount val="1"/>
                <c:pt idx="0">
                  <c:v>1.5m高处磁感应强度综合量(μT)</c:v>
                </c:pt>
              </c:strCache>
            </c:strRef>
          </c:tx>
          <c:dLbls>
            <c:delete val="1"/>
          </c:dLbls>
          <c:cat>
            <c:numRef>
              <c:f>[2_最新预测.xlsx]Sheet6!$A$2:$A$102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[2_最新预测.xlsx]Sheet6!$D$2:$D$102</c:f>
              <c:numCache>
                <c:formatCode>General</c:formatCode>
                <c:ptCount val="101"/>
                <c:pt idx="0">
                  <c:v>7.022</c:v>
                </c:pt>
                <c:pt idx="1">
                  <c:v>7.149</c:v>
                </c:pt>
                <c:pt idx="2">
                  <c:v>7.281</c:v>
                </c:pt>
                <c:pt idx="3">
                  <c:v>7.418</c:v>
                </c:pt>
                <c:pt idx="4">
                  <c:v>7.559</c:v>
                </c:pt>
                <c:pt idx="5">
                  <c:v>7.706</c:v>
                </c:pt>
                <c:pt idx="6">
                  <c:v>7.858</c:v>
                </c:pt>
                <c:pt idx="7">
                  <c:v>8.016</c:v>
                </c:pt>
                <c:pt idx="8">
                  <c:v>8.18</c:v>
                </c:pt>
                <c:pt idx="9">
                  <c:v>8.351</c:v>
                </c:pt>
                <c:pt idx="10">
                  <c:v>8.528</c:v>
                </c:pt>
                <c:pt idx="11">
                  <c:v>8.712</c:v>
                </c:pt>
                <c:pt idx="12">
                  <c:v>8.904</c:v>
                </c:pt>
                <c:pt idx="13">
                  <c:v>9.104</c:v>
                </c:pt>
                <c:pt idx="14">
                  <c:v>9.313</c:v>
                </c:pt>
                <c:pt idx="15">
                  <c:v>9.53</c:v>
                </c:pt>
                <c:pt idx="16">
                  <c:v>9.757</c:v>
                </c:pt>
                <c:pt idx="17">
                  <c:v>9.995</c:v>
                </c:pt>
                <c:pt idx="18">
                  <c:v>10.243</c:v>
                </c:pt>
                <c:pt idx="19">
                  <c:v>10.503</c:v>
                </c:pt>
                <c:pt idx="20">
                  <c:v>10.776</c:v>
                </c:pt>
                <c:pt idx="21">
                  <c:v>11.062</c:v>
                </c:pt>
                <c:pt idx="22">
                  <c:v>11.362</c:v>
                </c:pt>
                <c:pt idx="23">
                  <c:v>11.678</c:v>
                </c:pt>
                <c:pt idx="24">
                  <c:v>12.011</c:v>
                </c:pt>
                <c:pt idx="25">
                  <c:v>12.361</c:v>
                </c:pt>
                <c:pt idx="26">
                  <c:v>12.73</c:v>
                </c:pt>
                <c:pt idx="27">
                  <c:v>13.119</c:v>
                </c:pt>
                <c:pt idx="28">
                  <c:v>13.53</c:v>
                </c:pt>
                <c:pt idx="29">
                  <c:v>13.964</c:v>
                </c:pt>
                <c:pt idx="30">
                  <c:v>14.422</c:v>
                </c:pt>
                <c:pt idx="31">
                  <c:v>14.904</c:v>
                </c:pt>
                <c:pt idx="32">
                  <c:v>15.41</c:v>
                </c:pt>
                <c:pt idx="33">
                  <c:v>15.939</c:v>
                </c:pt>
                <c:pt idx="34">
                  <c:v>16.488</c:v>
                </c:pt>
                <c:pt idx="35">
                  <c:v>17.052</c:v>
                </c:pt>
                <c:pt idx="36">
                  <c:v>17.623</c:v>
                </c:pt>
                <c:pt idx="37">
                  <c:v>18.19</c:v>
                </c:pt>
                <c:pt idx="38">
                  <c:v>18.736</c:v>
                </c:pt>
                <c:pt idx="39">
                  <c:v>19.241</c:v>
                </c:pt>
                <c:pt idx="40">
                  <c:v>19.684</c:v>
                </c:pt>
                <c:pt idx="41">
                  <c:v>20.044</c:v>
                </c:pt>
                <c:pt idx="42">
                  <c:v>20.304</c:v>
                </c:pt>
                <c:pt idx="43">
                  <c:v>20.459</c:v>
                </c:pt>
                <c:pt idx="44">
                  <c:v>20.515</c:v>
                </c:pt>
                <c:pt idx="45">
                  <c:v>20.491</c:v>
                </c:pt>
                <c:pt idx="46">
                  <c:v>20.418</c:v>
                </c:pt>
                <c:pt idx="47">
                  <c:v>20.327</c:v>
                </c:pt>
                <c:pt idx="48">
                  <c:v>20.25</c:v>
                </c:pt>
                <c:pt idx="49">
                  <c:v>20.21</c:v>
                </c:pt>
                <c:pt idx="50">
                  <c:v>20.217</c:v>
                </c:pt>
                <c:pt idx="51">
                  <c:v>20.27</c:v>
                </c:pt>
                <c:pt idx="52">
                  <c:v>20.354</c:v>
                </c:pt>
                <c:pt idx="53">
                  <c:v>20.443</c:v>
                </c:pt>
                <c:pt idx="54">
                  <c:v>20.505</c:v>
                </c:pt>
                <c:pt idx="55">
                  <c:v>20.508</c:v>
                </c:pt>
                <c:pt idx="56">
                  <c:v>20.424</c:v>
                </c:pt>
                <c:pt idx="57">
                  <c:v>20.237</c:v>
                </c:pt>
                <c:pt idx="58">
                  <c:v>19.946</c:v>
                </c:pt>
                <c:pt idx="59">
                  <c:v>19.559</c:v>
                </c:pt>
                <c:pt idx="60">
                  <c:v>19.095</c:v>
                </c:pt>
                <c:pt idx="61">
                  <c:v>18.575</c:v>
                </c:pt>
                <c:pt idx="62">
                  <c:v>18.021</c:v>
                </c:pt>
                <c:pt idx="63">
                  <c:v>17.452</c:v>
                </c:pt>
                <c:pt idx="64">
                  <c:v>16.882</c:v>
                </c:pt>
                <c:pt idx="65">
                  <c:v>16.321</c:v>
                </c:pt>
                <c:pt idx="66">
                  <c:v>15.778</c:v>
                </c:pt>
                <c:pt idx="67">
                  <c:v>15.255</c:v>
                </c:pt>
                <c:pt idx="68">
                  <c:v>14.757</c:v>
                </c:pt>
                <c:pt idx="69">
                  <c:v>14.282</c:v>
                </c:pt>
                <c:pt idx="70">
                  <c:v>13.832</c:v>
                </c:pt>
                <c:pt idx="71">
                  <c:v>13.405</c:v>
                </c:pt>
                <c:pt idx="72">
                  <c:v>13</c:v>
                </c:pt>
                <c:pt idx="73">
                  <c:v>12.617</c:v>
                </c:pt>
                <c:pt idx="74">
                  <c:v>12.254</c:v>
                </c:pt>
                <c:pt idx="75">
                  <c:v>11.909</c:v>
                </c:pt>
                <c:pt idx="76">
                  <c:v>11.582</c:v>
                </c:pt>
                <c:pt idx="77">
                  <c:v>11.271</c:v>
                </c:pt>
                <c:pt idx="78">
                  <c:v>10.975</c:v>
                </c:pt>
                <c:pt idx="79">
                  <c:v>10.693</c:v>
                </c:pt>
                <c:pt idx="80">
                  <c:v>10.424</c:v>
                </c:pt>
                <c:pt idx="81">
                  <c:v>10.167</c:v>
                </c:pt>
                <c:pt idx="82">
                  <c:v>9.922</c:v>
                </c:pt>
                <c:pt idx="83">
                  <c:v>9.688</c:v>
                </c:pt>
                <c:pt idx="84">
                  <c:v>9.464</c:v>
                </c:pt>
                <c:pt idx="85">
                  <c:v>9.249</c:v>
                </c:pt>
                <c:pt idx="86">
                  <c:v>9.043</c:v>
                </c:pt>
                <c:pt idx="87">
                  <c:v>8.846</c:v>
                </c:pt>
                <c:pt idx="88">
                  <c:v>8.656</c:v>
                </c:pt>
                <c:pt idx="89">
                  <c:v>8.474</c:v>
                </c:pt>
                <c:pt idx="90">
                  <c:v>8.299</c:v>
                </c:pt>
                <c:pt idx="91">
                  <c:v>8.131</c:v>
                </c:pt>
                <c:pt idx="92">
                  <c:v>7.968</c:v>
                </c:pt>
                <c:pt idx="93">
                  <c:v>7.812</c:v>
                </c:pt>
                <c:pt idx="94">
                  <c:v>7.662</c:v>
                </c:pt>
                <c:pt idx="95">
                  <c:v>7.516</c:v>
                </c:pt>
                <c:pt idx="96">
                  <c:v>7.376</c:v>
                </c:pt>
                <c:pt idx="97">
                  <c:v>7.241</c:v>
                </c:pt>
                <c:pt idx="98">
                  <c:v>7.111</c:v>
                </c:pt>
                <c:pt idx="99">
                  <c:v>6.984</c:v>
                </c:pt>
                <c:pt idx="100">
                  <c:v>6.862</c:v>
                </c:pt>
              </c:numCache>
            </c:numRef>
          </c:val>
          <c:smooth val="0"/>
        </c:ser>
        <c:dLbls>
          <c:showLegendKey val="0"/>
          <c:showVal val="0"/>
          <c:showCatName val="0"/>
          <c:showSerName val="0"/>
          <c:showPercent val="0"/>
          <c:showBubbleSize val="0"/>
        </c:dLbls>
        <c:marker val="1"/>
        <c:smooth val="0"/>
        <c:axId val="78347264"/>
        <c:axId val="78357632"/>
      </c:lineChart>
      <c:catAx>
        <c:axId val="78347264"/>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测点到线路中心线投影的距离（</a:t>
                </a:r>
                <a:r>
                  <a:rPr lang="en-US" altLang="zh-CN" sz="1000" b="1" i="0" baseline="0"/>
                  <a:t>m</a:t>
                </a:r>
                <a:r>
                  <a:rPr lang="zh-CN" altLang="zh-CN" sz="1000" b="1" i="0" baseline="0"/>
                  <a:t>）</a:t>
                </a:r>
                <a:endParaRPr lang="zh-CN" altLang="zh-CN" sz="1000" b="1" i="0" baseline="0"/>
              </a:p>
            </c:rich>
          </c:tx>
          <c:layout>
            <c:manualLayout>
              <c:xMode val="edge"/>
              <c:yMode val="edge"/>
              <c:x val="0.359839921886896"/>
              <c:y val="0.92620963520233"/>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57632"/>
        <c:crosses val="autoZero"/>
        <c:auto val="1"/>
        <c:lblAlgn val="ctr"/>
        <c:lblOffset val="100"/>
        <c:tickLblSkip val="5"/>
        <c:noMultiLvlLbl val="0"/>
      </c:catAx>
      <c:valAx>
        <c:axId val="7835763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zh-CN" sz="1000" b="1" i="0" baseline="0"/>
                  <a:t>磁感应强度（</a:t>
                </a:r>
                <a:r>
                  <a:rPr lang="en-US" altLang="zh-CN" sz="1000" b="1" i="0" baseline="0"/>
                  <a:t>μT</a:t>
                </a:r>
                <a:r>
                  <a:rPr lang="zh-CN" altLang="zh-CN" sz="1000" b="1" i="0" baseline="0"/>
                  <a:t>）</a:t>
                </a:r>
                <a:endParaRPr lang="zh-CN" altLang="zh-CN" sz="1000" b="1" i="0" baseline="0"/>
              </a:p>
            </c:rich>
          </c:tx>
          <c:layout>
            <c:manualLayout>
              <c:xMode val="edge"/>
              <c:yMode val="edge"/>
              <c:x val="0.0378131914398072"/>
              <c:y val="0.28431306256209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8347264"/>
        <c:crosses val="autoZero"/>
        <c:crossBetween val="midCat"/>
      </c:valAx>
    </c:plotArea>
    <c:legend>
      <c:legendPos val="t"/>
      <c:layout>
        <c:manualLayout>
          <c:xMode val="edge"/>
          <c:yMode val="edge"/>
          <c:x val="0.551699204627621"/>
          <c:y val="0.0151605824855376"/>
          <c:w val="0.439021450952037"/>
          <c:h val="0.23897865549571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213</Pages>
  <Words>0</Words>
  <Characters>0</Characters>
  <Lines>0</Lines>
  <Paragraphs>0</Paragraphs>
  <TotalTime>2</TotalTime>
  <ScaleCrop>false</ScaleCrop>
  <LinksUpToDate>false</LinksUpToDate>
  <CharactersWithSpaces>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2024-11-13T00:54:00Z</dcterms:created>
  <dc:creator>蜗牛</dc:creator>
  <cp:lastModifiedBy>蜗牛</cp:lastModifiedBy>
  <dcterms:modified xsi:type="dcterms:W3CDTF">2024-11-13T01:03:08Z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5542E7108DD24A0DAB634DB547F9A1A6_11</vt:lpwstr>
  </property>
</Properties>
</file>