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9A007">
      <w:pPr>
        <w:rPr>
          <w:rFonts w:ascii="仿宋_GB2312" w:hAnsi="仿宋_GB2312" w:eastAsia="仿宋_GB2312" w:cs="仿宋_GB2312"/>
          <w:color w:val="auto"/>
          <w:sz w:val="36"/>
          <w:szCs w:val="36"/>
          <w:highlight w:val="none"/>
        </w:rPr>
      </w:pPr>
    </w:p>
    <w:p w14:paraId="6A97F3C9">
      <w:pPr>
        <w:rPr>
          <w:rFonts w:hint="eastAsia" w:ascii="仿宋_GB2312" w:hAnsi="仿宋_GB2312" w:eastAsia="仿宋_GB2312" w:cs="仿宋_GB2312"/>
          <w:color w:val="auto"/>
          <w:sz w:val="36"/>
          <w:szCs w:val="36"/>
          <w:highlight w:val="none"/>
        </w:rPr>
      </w:pPr>
    </w:p>
    <w:p w14:paraId="2F35917A">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10829EC5">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4C573F76">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14:paraId="66BFFD8E">
      <w:pPr>
        <w:ind w:firstLine="1040"/>
        <w:rPr>
          <w:rFonts w:eastAsia="仿宋"/>
          <w:color w:val="auto"/>
          <w:sz w:val="44"/>
          <w:szCs w:val="44"/>
          <w:highlight w:val="none"/>
        </w:rPr>
      </w:pPr>
    </w:p>
    <w:p w14:paraId="5C1383A9">
      <w:pPr>
        <w:ind w:firstLine="1040"/>
        <w:rPr>
          <w:rFonts w:eastAsia="仿宋"/>
          <w:color w:val="auto"/>
          <w:sz w:val="44"/>
          <w:szCs w:val="44"/>
          <w:highlight w:val="none"/>
        </w:rPr>
      </w:pPr>
    </w:p>
    <w:p w14:paraId="4D136E10">
      <w:pPr>
        <w:pStyle w:val="2"/>
        <w:rPr>
          <w:color w:val="auto"/>
          <w:highlight w:val="none"/>
        </w:rPr>
      </w:pPr>
    </w:p>
    <w:p w14:paraId="2AAE7554">
      <w:pPr>
        <w:ind w:firstLine="1040"/>
        <w:rPr>
          <w:rFonts w:eastAsia="仿宋"/>
          <w:color w:val="auto"/>
          <w:sz w:val="44"/>
          <w:szCs w:val="44"/>
          <w:highlight w:val="none"/>
        </w:rPr>
      </w:pPr>
    </w:p>
    <w:p w14:paraId="5574C6BF">
      <w:pPr>
        <w:keepNext w:val="0"/>
        <w:keepLines w:val="0"/>
        <w:pageBreakBefore w:val="0"/>
        <w:widowControl w:val="0"/>
        <w:kinsoku/>
        <w:wordWrap/>
        <w:overflowPunct/>
        <w:topLinePunct w:val="0"/>
        <w:autoSpaceDE/>
        <w:autoSpaceDN/>
        <w:bidi w:val="0"/>
        <w:adjustRightInd w:val="0"/>
        <w:snapToGrid w:val="0"/>
        <w:spacing w:line="700" w:lineRule="exact"/>
        <w:ind w:firstLine="1280" w:firstLineChars="400"/>
        <w:jc w:val="left"/>
        <w:textAlignment w:val="auto"/>
        <w:rPr>
          <w:rFonts w:hint="eastAsia" w:ascii="宋体" w:hAnsi="宋体" w:eastAsia="宋体" w:cs="宋体"/>
          <w:color w:val="auto"/>
          <w:sz w:val="32"/>
          <w:szCs w:val="32"/>
          <w:highlight w:val="none"/>
          <w:u w:val="single"/>
          <w:lang w:eastAsia="zh-CN"/>
        </w:rPr>
      </w:pPr>
      <w:r>
        <w:rPr>
          <w:rFonts w:hint="eastAsia" w:ascii="宋体" w:hAnsi="宋体" w:eastAsia="宋体" w:cs="宋体"/>
          <w:color w:val="auto"/>
          <w:sz w:val="32"/>
          <w:szCs w:val="32"/>
          <w:highlight w:val="none"/>
        </w:rPr>
        <w:t>项</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目</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名</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称：</w:t>
      </w:r>
      <w:r>
        <w:rPr>
          <w:rFonts w:hint="eastAsia" w:ascii="宋体" w:hAnsi="宋体" w:eastAsia="宋体" w:cs="宋体"/>
          <w:color w:val="auto"/>
          <w:sz w:val="32"/>
          <w:szCs w:val="32"/>
          <w:highlight w:val="none"/>
          <w:u w:val="single"/>
          <w:lang w:eastAsia="zh-CN"/>
        </w:rPr>
        <w:t>宽城双兴矿山设备制造有限公司</w:t>
      </w:r>
    </w:p>
    <w:p w14:paraId="4804147B">
      <w:pPr>
        <w:keepNext w:val="0"/>
        <w:keepLines w:val="0"/>
        <w:pageBreakBefore w:val="0"/>
        <w:widowControl w:val="0"/>
        <w:kinsoku/>
        <w:wordWrap/>
        <w:overflowPunct/>
        <w:topLinePunct w:val="0"/>
        <w:autoSpaceDE/>
        <w:autoSpaceDN/>
        <w:bidi w:val="0"/>
        <w:adjustRightInd w:val="0"/>
        <w:snapToGrid w:val="0"/>
        <w:spacing w:line="700" w:lineRule="exact"/>
        <w:ind w:left="0" w:leftChars="0" w:firstLine="4000" w:firstLineChars="1250"/>
        <w:jc w:val="left"/>
        <w:textAlignment w:val="auto"/>
        <w:rPr>
          <w:rFonts w:hint="default" w:ascii="宋体" w:hAnsi="宋体" w:eastAsia="宋体" w:cs="宋体"/>
          <w:color w:val="auto"/>
          <w:sz w:val="32"/>
          <w:szCs w:val="32"/>
          <w:highlight w:val="none"/>
          <w:u w:val="single"/>
          <w:lang w:val="en-US"/>
        </w:rPr>
      </w:pPr>
      <w:r>
        <w:rPr>
          <w:rFonts w:hint="eastAsia" w:ascii="宋体" w:hAnsi="宋体" w:eastAsia="宋体" w:cs="宋体"/>
          <w:color w:val="auto"/>
          <w:sz w:val="32"/>
          <w:szCs w:val="32"/>
          <w:highlight w:val="none"/>
          <w:u w:val="single"/>
          <w:lang w:eastAsia="zh-CN"/>
        </w:rPr>
        <w:t>矿山设备铸件扩建项目</w:t>
      </w:r>
      <w:r>
        <w:rPr>
          <w:rFonts w:hint="eastAsia" w:ascii="宋体" w:hAnsi="宋体" w:eastAsia="宋体" w:cs="宋体"/>
          <w:color w:val="auto"/>
          <w:sz w:val="32"/>
          <w:szCs w:val="32"/>
          <w:highlight w:val="none"/>
          <w:u w:val="single"/>
          <w:lang w:val="en-US" w:eastAsia="zh-CN"/>
        </w:rPr>
        <w:t xml:space="preserve">        </w:t>
      </w:r>
    </w:p>
    <w:p w14:paraId="3003F655">
      <w:pPr>
        <w:keepNext w:val="0"/>
        <w:keepLines w:val="0"/>
        <w:pageBreakBefore w:val="0"/>
        <w:widowControl w:val="0"/>
        <w:kinsoku/>
        <w:wordWrap/>
        <w:overflowPunct/>
        <w:topLinePunct w:val="0"/>
        <w:autoSpaceDE/>
        <w:autoSpaceDN/>
        <w:bidi w:val="0"/>
        <w:adjustRightInd w:val="0"/>
        <w:snapToGrid w:val="0"/>
        <w:spacing w:line="700" w:lineRule="exact"/>
        <w:ind w:firstLine="1280" w:firstLineChars="400"/>
        <w:jc w:val="left"/>
        <w:textAlignment w:val="auto"/>
        <w:rPr>
          <w:rFonts w:hint="eastAsia" w:ascii="宋体" w:hAnsi="宋体" w:eastAsia="宋体" w:cs="宋体"/>
          <w:color w:val="auto"/>
          <w:sz w:val="32"/>
          <w:szCs w:val="32"/>
          <w:highlight w:val="none"/>
          <w:u w:val="single"/>
          <w:lang w:val="en-US" w:eastAsia="zh-CN"/>
        </w:rPr>
      </w:pPr>
      <w:r>
        <w:rPr>
          <w:rFonts w:hint="eastAsia" w:ascii="宋体" w:hAnsi="宋体" w:eastAsia="宋体" w:cs="宋体"/>
          <w:color w:val="auto"/>
          <w:sz w:val="32"/>
          <w:szCs w:val="32"/>
          <w:highlight w:val="none"/>
        </w:rPr>
        <w:t>建设单位（盖章）</w:t>
      </w:r>
      <w:r>
        <w:rPr>
          <w:rFonts w:hint="eastAsia" w:ascii="宋体" w:hAnsi="宋体" w:eastAsia="宋体" w:cs="宋体"/>
          <w:color w:val="auto"/>
          <w:sz w:val="32"/>
          <w:szCs w:val="32"/>
          <w:highlight w:val="none"/>
          <w:u w:val="single"/>
        </w:rPr>
        <w:t>：</w:t>
      </w:r>
      <w:r>
        <w:rPr>
          <w:rFonts w:hint="eastAsia" w:ascii="宋体" w:hAnsi="宋体" w:eastAsia="宋体" w:cs="宋体"/>
          <w:color w:val="auto"/>
          <w:sz w:val="32"/>
          <w:szCs w:val="32"/>
          <w:highlight w:val="none"/>
          <w:u w:val="single"/>
          <w:lang w:eastAsia="zh-CN"/>
        </w:rPr>
        <w:t>宽城双兴矿山设备制造有限</w:t>
      </w:r>
      <w:r>
        <w:rPr>
          <w:rFonts w:hint="eastAsia" w:ascii="宋体" w:hAnsi="宋体" w:eastAsia="宋体" w:cs="宋体"/>
          <w:color w:val="auto"/>
          <w:sz w:val="32"/>
          <w:szCs w:val="32"/>
          <w:highlight w:val="none"/>
          <w:u w:val="single"/>
        </w:rPr>
        <w:t>公司</w:t>
      </w:r>
    </w:p>
    <w:p w14:paraId="25C535C6">
      <w:pPr>
        <w:keepNext w:val="0"/>
        <w:keepLines w:val="0"/>
        <w:pageBreakBefore w:val="0"/>
        <w:widowControl w:val="0"/>
        <w:kinsoku/>
        <w:wordWrap/>
        <w:overflowPunct/>
        <w:topLinePunct w:val="0"/>
        <w:autoSpaceDE/>
        <w:autoSpaceDN/>
        <w:bidi w:val="0"/>
        <w:adjustRightInd w:val="0"/>
        <w:snapToGrid w:val="0"/>
        <w:spacing w:line="700" w:lineRule="exact"/>
        <w:ind w:firstLine="1280" w:firstLineChars="400"/>
        <w:jc w:val="left"/>
        <w:textAlignment w:val="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编</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制</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日</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期：</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eastAsia="zh-CN"/>
        </w:rPr>
        <w:t>二零二四年十</w:t>
      </w:r>
      <w:r>
        <w:rPr>
          <w:rFonts w:hint="eastAsia" w:ascii="宋体" w:hAnsi="宋体" w:eastAsia="宋体" w:cs="宋体"/>
          <w:color w:val="auto"/>
          <w:sz w:val="32"/>
          <w:szCs w:val="32"/>
          <w:highlight w:val="none"/>
          <w:u w:val="single"/>
          <w:lang w:val="en-US" w:eastAsia="zh-CN"/>
        </w:rPr>
        <w:t>一</w:t>
      </w:r>
      <w:r>
        <w:rPr>
          <w:rFonts w:hint="eastAsia" w:ascii="宋体" w:hAnsi="宋体" w:eastAsia="宋体" w:cs="宋体"/>
          <w:color w:val="auto"/>
          <w:sz w:val="32"/>
          <w:szCs w:val="32"/>
          <w:highlight w:val="none"/>
          <w:u w:val="single"/>
          <w:lang w:eastAsia="zh-CN"/>
        </w:rPr>
        <w:t>月</w:t>
      </w:r>
      <w:r>
        <w:rPr>
          <w:rFonts w:hint="eastAsia" w:ascii="宋体" w:hAnsi="宋体" w:eastAsia="宋体" w:cs="宋体"/>
          <w:color w:val="auto"/>
          <w:sz w:val="32"/>
          <w:szCs w:val="32"/>
          <w:highlight w:val="none"/>
          <w:u w:val="single"/>
        </w:rPr>
        <w:t xml:space="preserve">        </w:t>
      </w:r>
    </w:p>
    <w:p w14:paraId="66893A01">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756B9B64">
      <w:pPr>
        <w:adjustRightInd w:val="0"/>
        <w:snapToGrid w:val="0"/>
        <w:spacing w:line="288" w:lineRule="auto"/>
        <w:ind w:firstLine="1040"/>
        <w:rPr>
          <w:rFonts w:ascii="仿宋_GB2312" w:eastAsia="仿宋_GB2312"/>
          <w:color w:val="auto"/>
          <w:sz w:val="36"/>
          <w:szCs w:val="36"/>
          <w:highlight w:val="none"/>
        </w:rPr>
      </w:pPr>
    </w:p>
    <w:p w14:paraId="7073BD11">
      <w:pPr>
        <w:adjustRightInd w:val="0"/>
        <w:snapToGrid w:val="0"/>
        <w:spacing w:line="288" w:lineRule="auto"/>
        <w:ind w:firstLine="1040"/>
        <w:rPr>
          <w:rFonts w:ascii="仿宋_GB2312" w:eastAsia="仿宋_GB2312"/>
          <w:color w:val="auto"/>
          <w:sz w:val="36"/>
          <w:szCs w:val="36"/>
          <w:highlight w:val="none"/>
        </w:rPr>
      </w:pPr>
    </w:p>
    <w:p w14:paraId="7488B0FA">
      <w:pPr>
        <w:adjustRightInd w:val="0"/>
        <w:snapToGrid w:val="0"/>
        <w:spacing w:line="288" w:lineRule="auto"/>
        <w:ind w:firstLine="1040"/>
        <w:rPr>
          <w:rFonts w:hint="eastAsia" w:ascii="仿宋_GB2312" w:eastAsia="仿宋_GB2312"/>
          <w:color w:val="auto"/>
          <w:sz w:val="36"/>
          <w:szCs w:val="36"/>
          <w:highlight w:val="none"/>
        </w:rPr>
      </w:pPr>
    </w:p>
    <w:p w14:paraId="43D81788">
      <w:pPr>
        <w:pStyle w:val="2"/>
        <w:rPr>
          <w:rFonts w:hint="eastAsia" w:ascii="仿宋_GB2312" w:eastAsia="仿宋_GB2312"/>
          <w:color w:val="auto"/>
          <w:sz w:val="36"/>
          <w:szCs w:val="36"/>
          <w:highlight w:val="none"/>
        </w:rPr>
      </w:pPr>
    </w:p>
    <w:p w14:paraId="5F73AA89">
      <w:pPr>
        <w:rPr>
          <w:rFonts w:hint="eastAsia"/>
          <w:color w:val="auto"/>
          <w:highlight w:val="none"/>
        </w:rPr>
      </w:pPr>
    </w:p>
    <w:p w14:paraId="21DBB110">
      <w:pPr>
        <w:adjustRightInd w:val="0"/>
        <w:snapToGrid w:val="0"/>
        <w:spacing w:line="288" w:lineRule="auto"/>
        <w:ind w:firstLine="1040"/>
        <w:rPr>
          <w:rFonts w:hint="eastAsia" w:ascii="仿宋_GB2312" w:eastAsia="仿宋_GB2312"/>
          <w:color w:val="auto"/>
          <w:sz w:val="36"/>
          <w:szCs w:val="36"/>
          <w:highlight w:val="none"/>
        </w:rPr>
      </w:pPr>
    </w:p>
    <w:bookmarkEnd w:id="0"/>
    <w:p w14:paraId="05A26ABC">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bookmarkStart w:id="6" w:name="_GoBack"/>
      <w:bookmarkEnd w:id="6"/>
    </w:p>
    <w:p w14:paraId="0C9C3AD6">
      <w:pPr>
        <w:pStyle w:val="2"/>
        <w:rPr>
          <w:rFonts w:hint="eastAsia" w:ascii="楷体_GB2312" w:eastAsia="楷体_GB2312"/>
          <w:color w:val="auto"/>
          <w:sz w:val="36"/>
          <w:szCs w:val="36"/>
          <w:highlight w:val="none"/>
        </w:rPr>
      </w:pPr>
    </w:p>
    <w:p w14:paraId="1438062E">
      <w:pPr>
        <w:rPr>
          <w:rFonts w:hint="eastAsia"/>
          <w:color w:val="auto"/>
          <w:highlight w:val="none"/>
        </w:rPr>
      </w:pPr>
    </w:p>
    <w:p w14:paraId="140FE03B">
      <w:pPr>
        <w:adjustRightInd w:val="0"/>
        <w:snapToGrid w:val="0"/>
        <w:spacing w:line="288" w:lineRule="auto"/>
        <w:ind w:firstLine="1040"/>
        <w:rPr>
          <w:rFonts w:ascii="仿宋_GB2312" w:eastAsia="仿宋_GB2312"/>
          <w:color w:val="auto"/>
          <w:sz w:val="36"/>
          <w:szCs w:val="36"/>
          <w:highlight w:val="none"/>
        </w:rPr>
        <w:sectPr>
          <w:footerReference r:id="rId3" w:type="even"/>
          <w:pgSz w:w="11906" w:h="16838"/>
          <w:pgMar w:top="1701" w:right="1531" w:bottom="1701" w:left="1531" w:header="851" w:footer="1077" w:gutter="0"/>
          <w:pgNumType w:start="3"/>
          <w:cols w:space="720" w:num="1"/>
          <w:docGrid w:linePitch="312" w:charSpace="0"/>
        </w:sectPr>
      </w:pPr>
    </w:p>
    <w:p w14:paraId="450C20E3">
      <w:pPr>
        <w:pStyle w:val="14"/>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3"/>
        <w:gridCol w:w="3326"/>
        <w:gridCol w:w="2212"/>
        <w:gridCol w:w="2639"/>
      </w:tblGrid>
      <w:tr w14:paraId="07A7E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0EE80F4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8177" w:type="dxa"/>
            <w:gridSpan w:val="3"/>
            <w:noWrap w:val="0"/>
            <w:vAlign w:val="center"/>
          </w:tcPr>
          <w:p w14:paraId="747154A9">
            <w:pPr>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宽城双兴矿山设备制造有限公司矿山设备铸件扩建项目</w:t>
            </w:r>
          </w:p>
        </w:tc>
      </w:tr>
      <w:tr w14:paraId="5CDA8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2F96462A">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8177" w:type="dxa"/>
            <w:gridSpan w:val="3"/>
            <w:noWrap w:val="0"/>
            <w:vAlign w:val="center"/>
          </w:tcPr>
          <w:p w14:paraId="22D65AEC">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2409-130827-89-02-953524</w:t>
            </w:r>
          </w:p>
        </w:tc>
      </w:tr>
      <w:tr w14:paraId="18C69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018AE46F">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建设单位联系人</w:t>
            </w:r>
          </w:p>
        </w:tc>
        <w:tc>
          <w:tcPr>
            <w:tcW w:w="3326" w:type="dxa"/>
            <w:noWrap w:val="0"/>
            <w:vAlign w:val="center"/>
          </w:tcPr>
          <w:p w14:paraId="6F48D260">
            <w:pPr>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高宏宝</w:t>
            </w:r>
          </w:p>
        </w:tc>
        <w:tc>
          <w:tcPr>
            <w:tcW w:w="2212" w:type="dxa"/>
            <w:noWrap w:val="0"/>
            <w:vAlign w:val="center"/>
          </w:tcPr>
          <w:p w14:paraId="14BCF573">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2639" w:type="dxa"/>
            <w:noWrap w:val="0"/>
            <w:vAlign w:val="center"/>
          </w:tcPr>
          <w:p w14:paraId="19367C61">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18395755897</w:t>
            </w:r>
          </w:p>
        </w:tc>
      </w:tr>
      <w:tr w14:paraId="2EC46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16C4C05A">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8177" w:type="dxa"/>
            <w:gridSpan w:val="3"/>
            <w:noWrap w:val="0"/>
            <w:vAlign w:val="center"/>
          </w:tcPr>
          <w:p w14:paraId="508523A1">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u w:val="single"/>
                <w:lang w:eastAsia="zh-CN"/>
              </w:rPr>
              <w:t>河北</w:t>
            </w:r>
            <w:r>
              <w:rPr>
                <w:rFonts w:hint="eastAsia" w:ascii="宋体" w:hAnsi="宋体" w:cs="宋体"/>
                <w:color w:val="auto"/>
                <w:szCs w:val="21"/>
                <w:highlight w:val="none"/>
                <w:u w:val="single"/>
              </w:rPr>
              <w:t>省</w:t>
            </w:r>
            <w:r>
              <w:rPr>
                <w:rFonts w:hint="eastAsia" w:ascii="宋体" w:hAnsi="宋体" w:cs="宋体"/>
                <w:color w:val="auto"/>
                <w:szCs w:val="21"/>
                <w:highlight w:val="none"/>
                <w:u w:val="single"/>
                <w:lang w:eastAsia="zh-CN"/>
              </w:rPr>
              <w:t>承德</w:t>
            </w:r>
            <w:r>
              <w:rPr>
                <w:rFonts w:hint="eastAsia" w:ascii="宋体" w:hAnsi="宋体" w:cs="宋体"/>
                <w:color w:val="auto"/>
                <w:szCs w:val="21"/>
                <w:highlight w:val="none"/>
                <w:u w:val="single"/>
              </w:rPr>
              <w:t>市</w:t>
            </w:r>
            <w:r>
              <w:rPr>
                <w:rFonts w:hint="eastAsia" w:ascii="宋体" w:hAnsi="宋体" w:cs="宋体"/>
                <w:color w:val="auto"/>
                <w:szCs w:val="21"/>
                <w:highlight w:val="none"/>
                <w:u w:val="single"/>
                <w:lang w:eastAsia="zh-CN"/>
              </w:rPr>
              <w:t>宽城满族自治县松岭镇木匠屯村</w:t>
            </w:r>
          </w:p>
        </w:tc>
      </w:tr>
      <w:tr w14:paraId="198A1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0A1B1C41">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8177" w:type="dxa"/>
            <w:gridSpan w:val="3"/>
            <w:noWrap w:val="0"/>
            <w:vAlign w:val="center"/>
          </w:tcPr>
          <w:p w14:paraId="3EB9772F">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lang w:val="en-US" w:eastAsia="zh-CN"/>
              </w:rPr>
              <w:t>118</w:t>
            </w:r>
            <w:r>
              <w:rPr>
                <w:rFonts w:hint="eastAsia" w:ascii="宋体" w:hAnsi="宋体" w:cs="宋体"/>
                <w:color w:val="auto"/>
                <w:szCs w:val="21"/>
                <w:highlight w:val="none"/>
              </w:rPr>
              <w:t>度</w:t>
            </w:r>
            <w:r>
              <w:rPr>
                <w:rFonts w:hint="eastAsia" w:ascii="宋体" w:hAnsi="宋体" w:cs="宋体"/>
                <w:color w:val="auto"/>
                <w:szCs w:val="21"/>
                <w:highlight w:val="none"/>
                <w:u w:val="single"/>
                <w:lang w:val="en-US" w:eastAsia="zh-CN"/>
              </w:rPr>
              <w:t>33</w:t>
            </w:r>
            <w:r>
              <w:rPr>
                <w:rFonts w:hint="eastAsia" w:ascii="宋体" w:hAnsi="宋体" w:cs="宋体"/>
                <w:color w:val="auto"/>
                <w:szCs w:val="21"/>
                <w:highlight w:val="none"/>
              </w:rPr>
              <w:t>分</w:t>
            </w:r>
            <w:r>
              <w:rPr>
                <w:rFonts w:hint="eastAsia" w:ascii="宋体" w:hAnsi="宋体" w:cs="宋体"/>
                <w:color w:val="auto"/>
                <w:szCs w:val="21"/>
                <w:highlight w:val="none"/>
                <w:u w:val="single"/>
                <w:lang w:val="en-US" w:eastAsia="zh-CN"/>
              </w:rPr>
              <w:t>47.615</w:t>
            </w:r>
            <w:r>
              <w:rPr>
                <w:rFonts w:hint="eastAsia" w:ascii="宋体" w:hAnsi="宋体" w:cs="宋体"/>
                <w:color w:val="auto"/>
                <w:szCs w:val="21"/>
                <w:highlight w:val="none"/>
              </w:rPr>
              <w:t>秒，</w:t>
            </w:r>
            <w:r>
              <w:rPr>
                <w:rFonts w:hint="eastAsia" w:ascii="宋体" w:hAnsi="宋体" w:cs="宋体"/>
                <w:color w:val="auto"/>
                <w:szCs w:val="21"/>
                <w:highlight w:val="none"/>
                <w:u w:val="single"/>
                <w:lang w:val="en-US" w:eastAsia="zh-CN"/>
              </w:rPr>
              <w:t>40</w:t>
            </w:r>
            <w:r>
              <w:rPr>
                <w:rFonts w:hint="eastAsia" w:ascii="宋体" w:hAnsi="宋体" w:cs="宋体"/>
                <w:color w:val="auto"/>
                <w:szCs w:val="21"/>
                <w:highlight w:val="none"/>
              </w:rPr>
              <w:t>度</w:t>
            </w:r>
            <w:r>
              <w:rPr>
                <w:rFonts w:hint="eastAsia" w:ascii="宋体" w:hAnsi="宋体" w:cs="宋体"/>
                <w:color w:val="auto"/>
                <w:szCs w:val="21"/>
                <w:highlight w:val="none"/>
                <w:u w:val="single"/>
                <w:lang w:val="en-US" w:eastAsia="zh-CN"/>
              </w:rPr>
              <w:t>26</w:t>
            </w:r>
            <w:r>
              <w:rPr>
                <w:rFonts w:hint="eastAsia" w:ascii="宋体" w:hAnsi="宋体" w:cs="宋体"/>
                <w:color w:val="auto"/>
                <w:szCs w:val="21"/>
                <w:highlight w:val="none"/>
              </w:rPr>
              <w:t>分</w:t>
            </w:r>
            <w:r>
              <w:rPr>
                <w:rFonts w:hint="eastAsia" w:ascii="宋体" w:hAnsi="宋体" w:cs="宋体"/>
                <w:color w:val="auto"/>
                <w:szCs w:val="21"/>
                <w:highlight w:val="none"/>
                <w:u w:val="single"/>
                <w:lang w:val="en-US" w:eastAsia="zh-CN"/>
              </w:rPr>
              <w:t>5.408</w:t>
            </w:r>
            <w:r>
              <w:rPr>
                <w:rFonts w:hint="eastAsia" w:ascii="宋体" w:hAnsi="宋体" w:cs="宋体"/>
                <w:color w:val="auto"/>
                <w:szCs w:val="21"/>
                <w:highlight w:val="none"/>
              </w:rPr>
              <w:t>秒）</w:t>
            </w:r>
          </w:p>
        </w:tc>
      </w:tr>
      <w:tr w14:paraId="5F53E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93" w:type="dxa"/>
            <w:noWrap w:val="0"/>
            <w:tcMar>
              <w:top w:w="16" w:type="dxa"/>
              <w:left w:w="16" w:type="dxa"/>
              <w:right w:w="16" w:type="dxa"/>
            </w:tcMar>
            <w:vAlign w:val="center"/>
          </w:tcPr>
          <w:p w14:paraId="7E993E82">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国民经济</w:t>
            </w:r>
          </w:p>
          <w:p w14:paraId="690160F4">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3326" w:type="dxa"/>
            <w:noWrap w:val="0"/>
            <w:vAlign w:val="center"/>
          </w:tcPr>
          <w:p w14:paraId="29772507">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C3391黑色金属铸造</w:t>
            </w:r>
          </w:p>
        </w:tc>
        <w:tc>
          <w:tcPr>
            <w:tcW w:w="2212" w:type="dxa"/>
            <w:noWrap w:val="0"/>
            <w:vAlign w:val="center"/>
          </w:tcPr>
          <w:p w14:paraId="03C055CC">
            <w:pPr>
              <w:adjustRightInd w:val="0"/>
              <w:snapToGrid w:val="0"/>
              <w:jc w:val="center"/>
              <w:rPr>
                <w:rFonts w:ascii="宋体" w:hAnsi="宋体" w:cs="宋体"/>
                <w:color w:val="auto"/>
                <w:szCs w:val="21"/>
                <w:highlight w:val="none"/>
              </w:rPr>
            </w:pPr>
            <w:bookmarkStart w:id="1" w:name="_Hlk49843745"/>
            <w:r>
              <w:rPr>
                <w:rFonts w:hint="eastAsia" w:ascii="宋体" w:hAnsi="宋体" w:cs="宋体"/>
                <w:color w:val="auto"/>
                <w:szCs w:val="21"/>
                <w:highlight w:val="none"/>
              </w:rPr>
              <w:t>建设项目</w:t>
            </w:r>
          </w:p>
          <w:p w14:paraId="5886B4C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bookmarkEnd w:id="1"/>
          </w:p>
        </w:tc>
        <w:tc>
          <w:tcPr>
            <w:tcW w:w="2639" w:type="dxa"/>
            <w:noWrap w:val="0"/>
            <w:vAlign w:val="center"/>
          </w:tcPr>
          <w:p w14:paraId="4F5671FD">
            <w:pPr>
              <w:adjustRightInd w:val="0"/>
              <w:snapToGrid w:val="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三十、金属制品业68.铸造及其他金属制品制造</w:t>
            </w:r>
            <w:r>
              <w:rPr>
                <w:rFonts w:hint="eastAsia" w:ascii="宋体" w:hAnsi="宋体" w:cs="宋体"/>
                <w:color w:val="auto"/>
                <w:szCs w:val="21"/>
                <w:highlight w:val="none"/>
                <w:lang w:val="en-US" w:eastAsia="zh-CN"/>
              </w:rPr>
              <w:t>-其他</w:t>
            </w:r>
          </w:p>
        </w:tc>
      </w:tr>
      <w:tr w14:paraId="6CA22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93" w:type="dxa"/>
            <w:noWrap w:val="0"/>
            <w:tcMar>
              <w:top w:w="16" w:type="dxa"/>
              <w:left w:w="16" w:type="dxa"/>
              <w:right w:w="16" w:type="dxa"/>
            </w:tcMar>
            <w:vAlign w:val="center"/>
          </w:tcPr>
          <w:p w14:paraId="5F6932D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3326" w:type="dxa"/>
            <w:noWrap w:val="0"/>
            <w:vAlign w:val="center"/>
          </w:tcPr>
          <w:p w14:paraId="6F898F5E">
            <w:pPr>
              <w:jc w:val="left"/>
              <w:rPr>
                <w:rFonts w:ascii="宋体" w:hAnsi="宋体" w:cs="宋体"/>
                <w:color w:val="auto"/>
                <w:szCs w:val="21"/>
                <w:highlight w:val="none"/>
              </w:rPr>
            </w:pPr>
            <w:r>
              <w:rPr>
                <w:rFonts w:hint="eastAsia" w:ascii="宋体" w:hAnsi="宋体" w:cs="宋体"/>
                <w:color w:val="auto"/>
                <w:szCs w:val="21"/>
                <w:highlight w:val="none"/>
              </w:rPr>
              <w:t>□新建（迁建）</w:t>
            </w:r>
          </w:p>
          <w:p w14:paraId="1A7C9FD1">
            <w:pPr>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改建</w:t>
            </w:r>
          </w:p>
          <w:p w14:paraId="613A46AB">
            <w:pPr>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扩建</w:t>
            </w:r>
          </w:p>
          <w:p w14:paraId="21F92217">
            <w:pPr>
              <w:jc w:val="lef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技术改造</w:t>
            </w:r>
          </w:p>
        </w:tc>
        <w:tc>
          <w:tcPr>
            <w:tcW w:w="2212" w:type="dxa"/>
            <w:noWrap w:val="0"/>
            <w:vAlign w:val="center"/>
          </w:tcPr>
          <w:p w14:paraId="0104D033">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建设项目</w:t>
            </w:r>
          </w:p>
          <w:p w14:paraId="37AF609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639" w:type="dxa"/>
            <w:noWrap w:val="0"/>
            <w:vAlign w:val="center"/>
          </w:tcPr>
          <w:p w14:paraId="34DA4524">
            <w:pPr>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首次申报项目</w:t>
            </w:r>
            <w:r>
              <w:rPr>
                <w:rFonts w:ascii="宋体" w:hAnsi="宋体" w:cs="宋体"/>
                <w:color w:val="auto"/>
                <w:szCs w:val="21"/>
                <w:highlight w:val="none"/>
              </w:rPr>
              <w:t xml:space="preserve">             </w:t>
            </w:r>
          </w:p>
          <w:p w14:paraId="31D5254E">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14:paraId="0BDE81E7">
            <w:pPr>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超五年重新审核项目</w:t>
            </w:r>
            <w:r>
              <w:rPr>
                <w:rFonts w:ascii="宋体" w:hAnsi="宋体" w:cs="宋体"/>
                <w:color w:val="auto"/>
                <w:szCs w:val="21"/>
                <w:highlight w:val="none"/>
              </w:rPr>
              <w:t xml:space="preserve">     </w:t>
            </w:r>
          </w:p>
          <w:p w14:paraId="39A0D822">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14:paraId="7B0AC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693" w:type="dxa"/>
            <w:noWrap w:val="0"/>
            <w:tcMar>
              <w:top w:w="16" w:type="dxa"/>
              <w:left w:w="16" w:type="dxa"/>
              <w:right w:w="16" w:type="dxa"/>
            </w:tcMar>
            <w:vAlign w:val="center"/>
          </w:tcPr>
          <w:p w14:paraId="24DAB1C4">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74D09000">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3326" w:type="dxa"/>
            <w:noWrap w:val="0"/>
            <w:vAlign w:val="center"/>
          </w:tcPr>
          <w:p w14:paraId="2B4053A6">
            <w:pPr>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宽城满族自治县数据和政务服务局</w:t>
            </w:r>
          </w:p>
        </w:tc>
        <w:tc>
          <w:tcPr>
            <w:tcW w:w="2212" w:type="dxa"/>
            <w:noWrap w:val="0"/>
            <w:vAlign w:val="center"/>
          </w:tcPr>
          <w:p w14:paraId="21570265">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37C1B8B1">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备案）文号（选填）</w:t>
            </w:r>
          </w:p>
        </w:tc>
        <w:tc>
          <w:tcPr>
            <w:tcW w:w="2639" w:type="dxa"/>
            <w:noWrap w:val="0"/>
            <w:vAlign w:val="center"/>
          </w:tcPr>
          <w:p w14:paraId="4211EEC8">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宽数政投备字</w:t>
            </w:r>
            <w:r>
              <w:rPr>
                <w:rFonts w:hint="eastAsia" w:ascii="宋体" w:hAnsi="宋体" w:cs="宋体"/>
                <w:color w:val="auto"/>
                <w:szCs w:val="21"/>
                <w:highlight w:val="none"/>
                <w:lang w:val="en-US" w:eastAsia="zh-CN"/>
              </w:rPr>
              <w:t>[2024]193号</w:t>
            </w:r>
          </w:p>
        </w:tc>
      </w:tr>
      <w:tr w14:paraId="5991A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6452BF62">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3326" w:type="dxa"/>
            <w:noWrap w:val="0"/>
            <w:vAlign w:val="center"/>
          </w:tcPr>
          <w:p w14:paraId="7F99A905">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670</w:t>
            </w:r>
          </w:p>
        </w:tc>
        <w:tc>
          <w:tcPr>
            <w:tcW w:w="2212" w:type="dxa"/>
            <w:noWrap w:val="0"/>
            <w:tcMar>
              <w:top w:w="16" w:type="dxa"/>
              <w:left w:w="16" w:type="dxa"/>
              <w:right w:w="16" w:type="dxa"/>
            </w:tcMar>
            <w:vAlign w:val="center"/>
          </w:tcPr>
          <w:p w14:paraId="68BEC5E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环保投资（万元）</w:t>
            </w:r>
          </w:p>
        </w:tc>
        <w:tc>
          <w:tcPr>
            <w:tcW w:w="2639" w:type="dxa"/>
            <w:noWrap w:val="0"/>
            <w:vAlign w:val="center"/>
          </w:tcPr>
          <w:p w14:paraId="114549E0">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90</w:t>
            </w:r>
          </w:p>
        </w:tc>
      </w:tr>
      <w:tr w14:paraId="5E4AF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23868D3B">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3326" w:type="dxa"/>
            <w:noWrap w:val="0"/>
            <w:vAlign w:val="center"/>
          </w:tcPr>
          <w:p w14:paraId="45F8EEC9">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13.4</w:t>
            </w:r>
          </w:p>
        </w:tc>
        <w:tc>
          <w:tcPr>
            <w:tcW w:w="2212" w:type="dxa"/>
            <w:noWrap w:val="0"/>
            <w:tcMar>
              <w:top w:w="16" w:type="dxa"/>
              <w:left w:w="16" w:type="dxa"/>
              <w:right w:w="16" w:type="dxa"/>
            </w:tcMar>
            <w:vAlign w:val="center"/>
          </w:tcPr>
          <w:p w14:paraId="0E8D67DA">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施工工期</w:t>
            </w:r>
          </w:p>
        </w:tc>
        <w:tc>
          <w:tcPr>
            <w:tcW w:w="2639" w:type="dxa"/>
            <w:noWrap w:val="0"/>
            <w:vAlign w:val="center"/>
          </w:tcPr>
          <w:p w14:paraId="4F5C30EB">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r>
      <w:tr w14:paraId="454C4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93" w:type="dxa"/>
            <w:noWrap w:val="0"/>
            <w:tcMar>
              <w:top w:w="16" w:type="dxa"/>
              <w:left w:w="16" w:type="dxa"/>
              <w:right w:w="16" w:type="dxa"/>
            </w:tcMar>
            <w:vAlign w:val="center"/>
          </w:tcPr>
          <w:p w14:paraId="397DBF4C">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是否开工建设</w:t>
            </w:r>
          </w:p>
        </w:tc>
        <w:tc>
          <w:tcPr>
            <w:tcW w:w="3326" w:type="dxa"/>
            <w:noWrap w:val="0"/>
            <w:vAlign w:val="center"/>
          </w:tcPr>
          <w:p w14:paraId="64E8F466">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否</w:t>
            </w:r>
          </w:p>
          <w:p w14:paraId="4B64AEAE">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s="宋体"/>
                <w:color w:val="auto"/>
                <w:szCs w:val="21"/>
                <w:highlight w:val="none"/>
                <w:u w:val="single"/>
              </w:rPr>
              <w:t xml:space="preserve">             </w:t>
            </w:r>
          </w:p>
        </w:tc>
        <w:tc>
          <w:tcPr>
            <w:tcW w:w="2212" w:type="dxa"/>
            <w:noWrap w:val="0"/>
            <w:tcMar>
              <w:top w:w="16" w:type="dxa"/>
              <w:left w:w="16" w:type="dxa"/>
              <w:right w:w="16" w:type="dxa"/>
            </w:tcMar>
            <w:vAlign w:val="center"/>
          </w:tcPr>
          <w:p w14:paraId="21D18EDE">
            <w:pPr>
              <w:adjustRightInd w:val="0"/>
              <w:snapToGrid w:val="0"/>
              <w:jc w:val="center"/>
              <w:rPr>
                <w:rFonts w:ascii="宋体" w:hAnsi="宋体" w:cs="宋体"/>
                <w:color w:val="auto"/>
                <w:spacing w:val="-6"/>
                <w:szCs w:val="21"/>
                <w:highlight w:val="none"/>
              </w:rPr>
            </w:pPr>
            <w:r>
              <w:rPr>
                <w:rFonts w:hint="eastAsia" w:ascii="宋体" w:hAnsi="宋体" w:cs="宋体"/>
                <w:color w:val="auto"/>
                <w:spacing w:val="-6"/>
                <w:szCs w:val="21"/>
                <w:highlight w:val="none"/>
              </w:rPr>
              <w:t>用地（用海）</w:t>
            </w:r>
          </w:p>
          <w:p w14:paraId="43844510">
            <w:pPr>
              <w:adjustRightInd w:val="0"/>
              <w:snapToGrid w:val="0"/>
              <w:jc w:val="center"/>
              <w:rPr>
                <w:rFonts w:hint="eastAsia" w:ascii="宋体" w:hAnsi="宋体" w:cs="宋体"/>
                <w:color w:val="auto"/>
                <w:szCs w:val="21"/>
                <w:highlight w:val="none"/>
              </w:rPr>
            </w:pPr>
            <w:r>
              <w:rPr>
                <w:rFonts w:hint="eastAsia" w:ascii="宋体" w:hAnsi="宋体" w:cs="宋体"/>
                <w:color w:val="auto"/>
                <w:spacing w:val="-6"/>
                <w:szCs w:val="21"/>
                <w:highlight w:val="none"/>
              </w:rPr>
              <w:t>面积（</w:t>
            </w:r>
            <w:r>
              <w:rPr>
                <w:rFonts w:ascii="宋体" w:hAnsi="宋体" w:cs="宋体"/>
                <w:color w:val="auto"/>
                <w:spacing w:val="-6"/>
                <w:szCs w:val="21"/>
                <w:highlight w:val="none"/>
              </w:rPr>
              <w:t>m</w:t>
            </w:r>
            <w:r>
              <w:rPr>
                <w:rFonts w:ascii="宋体" w:hAnsi="宋体" w:cs="宋体"/>
                <w:color w:val="auto"/>
                <w:spacing w:val="-6"/>
                <w:szCs w:val="21"/>
                <w:highlight w:val="none"/>
                <w:vertAlign w:val="superscript"/>
              </w:rPr>
              <w:t>2</w:t>
            </w:r>
            <w:r>
              <w:rPr>
                <w:rFonts w:hint="eastAsia" w:ascii="宋体" w:hAnsi="宋体" w:cs="宋体"/>
                <w:color w:val="auto"/>
                <w:spacing w:val="-6"/>
                <w:szCs w:val="21"/>
                <w:highlight w:val="none"/>
              </w:rPr>
              <w:t>）</w:t>
            </w:r>
          </w:p>
        </w:tc>
        <w:tc>
          <w:tcPr>
            <w:tcW w:w="2639" w:type="dxa"/>
            <w:noWrap w:val="0"/>
            <w:vAlign w:val="center"/>
          </w:tcPr>
          <w:p w14:paraId="278C5DBD">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1404</w:t>
            </w:r>
          </w:p>
        </w:tc>
      </w:tr>
      <w:tr w14:paraId="4341B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693" w:type="dxa"/>
            <w:noWrap w:val="0"/>
            <w:vAlign w:val="center"/>
          </w:tcPr>
          <w:p w14:paraId="7C995A64">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8177" w:type="dxa"/>
            <w:gridSpan w:val="3"/>
            <w:noWrap w:val="0"/>
            <w:vAlign w:val="center"/>
          </w:tcPr>
          <w:p w14:paraId="0E509E99">
            <w:pPr>
              <w:autoSpaceDE w:val="0"/>
              <w:autoSpaceDN w:val="0"/>
              <w:adjustRightInd w:val="0"/>
              <w:snapToGrid w:val="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无</w:t>
            </w:r>
          </w:p>
        </w:tc>
      </w:tr>
      <w:tr w14:paraId="22471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693" w:type="dxa"/>
            <w:noWrap w:val="0"/>
            <w:vAlign w:val="center"/>
          </w:tcPr>
          <w:p w14:paraId="1A98A93B">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8177" w:type="dxa"/>
            <w:gridSpan w:val="3"/>
            <w:noWrap w:val="0"/>
            <w:vAlign w:val="center"/>
          </w:tcPr>
          <w:p w14:paraId="3EDB0CFE">
            <w:pPr>
              <w:autoSpaceDE w:val="0"/>
              <w:autoSpaceDN w:val="0"/>
              <w:adjustRightInd w:val="0"/>
              <w:snapToGrid w:val="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无</w:t>
            </w:r>
          </w:p>
        </w:tc>
      </w:tr>
      <w:tr w14:paraId="2984E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693" w:type="dxa"/>
            <w:noWrap w:val="0"/>
            <w:vAlign w:val="center"/>
          </w:tcPr>
          <w:p w14:paraId="56A28A73">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14:paraId="0DCB68C9">
            <w:pPr>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评价情况</w:t>
            </w:r>
          </w:p>
        </w:tc>
        <w:tc>
          <w:tcPr>
            <w:tcW w:w="8177" w:type="dxa"/>
            <w:gridSpan w:val="3"/>
            <w:noWrap w:val="0"/>
            <w:vAlign w:val="center"/>
          </w:tcPr>
          <w:p w14:paraId="7FE6681A">
            <w:pPr>
              <w:autoSpaceDE w:val="0"/>
              <w:autoSpaceDN w:val="0"/>
              <w:adjustRightInd w:val="0"/>
              <w:snapToGrid w:val="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无</w:t>
            </w:r>
          </w:p>
        </w:tc>
      </w:tr>
      <w:tr w14:paraId="63743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693" w:type="dxa"/>
            <w:noWrap w:val="0"/>
            <w:vAlign w:val="center"/>
          </w:tcPr>
          <w:p w14:paraId="156B05A2">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规划及规划环境影响评价符合性分析</w:t>
            </w:r>
          </w:p>
        </w:tc>
        <w:tc>
          <w:tcPr>
            <w:tcW w:w="8177" w:type="dxa"/>
            <w:gridSpan w:val="3"/>
            <w:noWrap w:val="0"/>
            <w:vAlign w:val="center"/>
          </w:tcPr>
          <w:p w14:paraId="5A2561A0">
            <w:pPr>
              <w:autoSpaceDE w:val="0"/>
              <w:autoSpaceDN w:val="0"/>
              <w:adjustRightInd w:val="0"/>
              <w:snapToGrid w:val="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无</w:t>
            </w:r>
          </w:p>
        </w:tc>
      </w:tr>
      <w:tr w14:paraId="200D4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1" w:hRule="atLeast"/>
          <w:jc w:val="center"/>
        </w:trPr>
        <w:tc>
          <w:tcPr>
            <w:tcW w:w="693" w:type="dxa"/>
            <w:noWrap w:val="0"/>
            <w:vAlign w:val="center"/>
          </w:tcPr>
          <w:p w14:paraId="2DA01BAC">
            <w:pPr>
              <w:autoSpaceDE w:val="0"/>
              <w:autoSpaceDN w:val="0"/>
              <w:adjustRightInd w:val="0"/>
              <w:snapToGrid w:val="0"/>
              <w:jc w:val="both"/>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8177" w:type="dxa"/>
            <w:gridSpan w:val="3"/>
            <w:noWrap w:val="0"/>
            <w:vAlign w:val="center"/>
          </w:tcPr>
          <w:p w14:paraId="63A887BF">
            <w:pPr>
              <w:keepNext w:val="0"/>
              <w:keepLines w:val="0"/>
              <w:pageBreakBefore w:val="0"/>
              <w:kinsoku/>
              <w:wordWrap/>
              <w:overflowPunct/>
              <w:topLinePunct w:val="0"/>
              <w:autoSpaceDE/>
              <w:autoSpaceDN/>
              <w:bidi w:val="0"/>
              <w:adjustRightInd/>
              <w:snapToGrid w:val="0"/>
              <w:spacing w:line="480" w:lineRule="exac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1.1</w:t>
            </w:r>
            <w:r>
              <w:rPr>
                <w:rFonts w:hint="default" w:ascii="Times New Roman" w:hAnsi="Times New Roman" w:eastAsia="宋体" w:cs="Times New Roman"/>
                <w:b/>
                <w:bCs/>
                <w:color w:val="auto"/>
                <w:sz w:val="24"/>
                <w:szCs w:val="24"/>
                <w:highlight w:val="none"/>
              </w:rPr>
              <w:t>产业政策符合性分析</w:t>
            </w:r>
          </w:p>
          <w:p w14:paraId="031E24DA">
            <w:pPr>
              <w:pStyle w:val="14"/>
              <w:keepNext w:val="0"/>
              <w:keepLines w:val="0"/>
              <w:pageBreakBefore w:val="0"/>
              <w:kinsoku/>
              <w:wordWrap/>
              <w:overflowPunct/>
              <w:topLinePunct w:val="0"/>
              <w:autoSpaceDE/>
              <w:autoSpaceDN/>
              <w:bidi w:val="0"/>
              <w:adjustRightInd/>
              <w:spacing w:before="0" w:beforeAutospacing="0" w:after="0" w:afterAutospacing="0"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rPr>
            </w:pPr>
            <w:bookmarkStart w:id="2" w:name="_Toc107302817"/>
            <w:r>
              <w:rPr>
                <w:rFonts w:hint="eastAsia" w:ascii="Times New Roman" w:hAnsi="Times New Roman" w:eastAsia="宋体" w:cs="Times New Roman"/>
                <w:b w:val="0"/>
                <w:bCs w:val="0"/>
                <w:color w:val="auto"/>
                <w:sz w:val="24"/>
                <w:szCs w:val="24"/>
                <w:highlight w:val="none"/>
                <w:lang w:eastAsia="zh-CN"/>
              </w:rPr>
              <w:t>（一）</w:t>
            </w:r>
            <w:r>
              <w:rPr>
                <w:rFonts w:hint="default" w:ascii="Times New Roman" w:hAnsi="Times New Roman" w:eastAsia="宋体" w:cs="Times New Roman"/>
                <w:b w:val="0"/>
                <w:bCs w:val="0"/>
                <w:color w:val="auto"/>
                <w:sz w:val="24"/>
                <w:szCs w:val="24"/>
                <w:highlight w:val="none"/>
              </w:rPr>
              <w:t>《市场准入负面清单（2022年版）》符合性分析</w:t>
            </w:r>
            <w:bookmarkEnd w:id="2"/>
          </w:p>
          <w:p w14:paraId="31897852">
            <w:pPr>
              <w:pStyle w:val="14"/>
              <w:keepNext w:val="0"/>
              <w:keepLines w:val="0"/>
              <w:pageBreakBefore w:val="0"/>
              <w:kinsoku/>
              <w:wordWrap/>
              <w:overflowPunct/>
              <w:topLinePunct w:val="0"/>
              <w:autoSpaceDE/>
              <w:autoSpaceDN/>
              <w:bidi w:val="0"/>
              <w:adjustRightIn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国家发展改革委商务部关于印发《市场准入负面清单（2022年版）》的通知（发改体改规[2022]397号）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，应严格落实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全国一张清单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13C168FF">
            <w:pPr>
              <w:pStyle w:val="14"/>
              <w:keepNext w:val="0"/>
              <w:keepLines w:val="0"/>
              <w:pageBreakBefore w:val="0"/>
              <w:kinsoku/>
              <w:wordWrap/>
              <w:overflowPunct/>
              <w:topLinePunct w:val="0"/>
              <w:autoSpaceDE/>
              <w:autoSpaceDN/>
              <w:bidi w:val="0"/>
              <w:adjustRightInd/>
              <w:spacing w:before="0" w:beforeAutospacing="0" w:after="0" w:afterAutospacing="0" w:line="480" w:lineRule="exact"/>
              <w:ind w:firstLine="480" w:firstLineChars="200"/>
              <w:jc w:val="both"/>
              <w:textAlignment w:val="auto"/>
              <w:rPr>
                <w:rFonts w:ascii="Times New Roman" w:hAnsi="Times New Roman"/>
                <w:color w:val="auto"/>
                <w:sz w:val="21"/>
                <w:szCs w:val="21"/>
                <w:highlight w:val="none"/>
              </w:rPr>
            </w:pPr>
            <w:r>
              <w:rPr>
                <w:rFonts w:hint="default" w:ascii="Times New Roman" w:hAnsi="Times New Roman" w:eastAsia="宋体" w:cs="Times New Roman"/>
                <w:color w:val="auto"/>
                <w:sz w:val="24"/>
                <w:szCs w:val="24"/>
                <w:highlight w:val="none"/>
              </w:rPr>
              <w:t>根据《市场准入负面清单（2022年版）》，禁止准入类共6项，涉及生态环境保护的3项，如下表所示。</w:t>
            </w:r>
          </w:p>
          <w:p w14:paraId="4E11F0A5">
            <w:pPr>
              <w:pStyle w:val="14"/>
              <w:keepNext w:val="0"/>
              <w:keepLines w:val="0"/>
              <w:pageBreakBefore w:val="0"/>
              <w:kinsoku/>
              <w:wordWrap/>
              <w:overflowPunct/>
              <w:topLinePunct w:val="0"/>
              <w:autoSpaceDE/>
              <w:autoSpaceDN/>
              <w:bidi w:val="0"/>
              <w:adjustRightInd/>
              <w:spacing w:before="0" w:beforeAutospacing="0" w:after="0" w:afterAutospacing="0" w:line="480" w:lineRule="exact"/>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表1-1《市场准入负面清单（2022年版）》禁止准入类事项</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258"/>
              <w:gridCol w:w="1118"/>
              <w:gridCol w:w="3587"/>
            </w:tblGrid>
            <w:tr w14:paraId="2149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noWrap w:val="0"/>
                  <w:vAlign w:val="center"/>
                </w:tcPr>
                <w:p w14:paraId="1306CAB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项目号</w:t>
                  </w:r>
                </w:p>
              </w:tc>
              <w:tc>
                <w:tcPr>
                  <w:tcW w:w="1420" w:type="pct"/>
                  <w:tcBorders>
                    <w:tl2br w:val="nil"/>
                    <w:tr2bl w:val="nil"/>
                  </w:tcBorders>
                  <w:noWrap w:val="0"/>
                  <w:vAlign w:val="center"/>
                </w:tcPr>
                <w:p w14:paraId="0287AA5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禁止或许可事项</w:t>
                  </w:r>
                </w:p>
              </w:tc>
              <w:tc>
                <w:tcPr>
                  <w:tcW w:w="703" w:type="pct"/>
                  <w:tcBorders>
                    <w:tl2br w:val="nil"/>
                    <w:tr2bl w:val="nil"/>
                  </w:tcBorders>
                  <w:noWrap w:val="0"/>
                  <w:vAlign w:val="center"/>
                </w:tcPr>
                <w:p w14:paraId="5885CDB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事项编码</w:t>
                  </w:r>
                </w:p>
              </w:tc>
              <w:tc>
                <w:tcPr>
                  <w:tcW w:w="2254" w:type="pct"/>
                  <w:tcBorders>
                    <w:tl2br w:val="nil"/>
                    <w:tr2bl w:val="nil"/>
                  </w:tcBorders>
                  <w:noWrap w:val="0"/>
                  <w:vAlign w:val="center"/>
                </w:tcPr>
                <w:p w14:paraId="1CA1F18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禁止或许可准入措施描述</w:t>
                  </w:r>
                </w:p>
              </w:tc>
            </w:tr>
            <w:tr w14:paraId="74FA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65F30FD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一、禁止准入类</w:t>
                  </w:r>
                </w:p>
              </w:tc>
            </w:tr>
            <w:tr w14:paraId="1F23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1" w:type="pct"/>
                  <w:tcBorders>
                    <w:tl2br w:val="nil"/>
                    <w:tr2bl w:val="nil"/>
                  </w:tcBorders>
                  <w:noWrap w:val="0"/>
                  <w:vAlign w:val="center"/>
                </w:tcPr>
                <w:p w14:paraId="14D0560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20" w:type="pct"/>
                  <w:tcBorders>
                    <w:tl2br w:val="nil"/>
                    <w:tr2bl w:val="nil"/>
                  </w:tcBorders>
                  <w:noWrap w:val="0"/>
                  <w:vAlign w:val="center"/>
                </w:tcPr>
                <w:p w14:paraId="2A74FF6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法律、法规、国务院决定等明确设立且与市场准入相关的禁止性规定</w:t>
                  </w:r>
                </w:p>
              </w:tc>
              <w:tc>
                <w:tcPr>
                  <w:tcW w:w="703" w:type="pct"/>
                  <w:tcBorders>
                    <w:tl2br w:val="nil"/>
                    <w:tr2bl w:val="nil"/>
                  </w:tcBorders>
                  <w:noWrap w:val="0"/>
                  <w:vAlign w:val="center"/>
                </w:tcPr>
                <w:p w14:paraId="0568179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100001</w:t>
                  </w:r>
                </w:p>
              </w:tc>
              <w:tc>
                <w:tcPr>
                  <w:tcW w:w="2254" w:type="pct"/>
                  <w:tcBorders>
                    <w:tl2br w:val="nil"/>
                    <w:tr2bl w:val="nil"/>
                  </w:tcBorders>
                  <w:noWrap w:val="0"/>
                  <w:vAlign w:val="center"/>
                </w:tcPr>
                <w:p w14:paraId="4A77968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法律、法规、国务院决定等明确设立，且与市场准入相关的禁止性规定</w:t>
                  </w:r>
                </w:p>
              </w:tc>
            </w:tr>
            <w:tr w14:paraId="1AAB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noWrap w:val="0"/>
                  <w:vAlign w:val="center"/>
                </w:tcPr>
                <w:p w14:paraId="4DA7F10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20" w:type="pct"/>
                  <w:tcBorders>
                    <w:tl2br w:val="nil"/>
                    <w:tr2bl w:val="nil"/>
                  </w:tcBorders>
                  <w:noWrap w:val="0"/>
                  <w:vAlign w:val="center"/>
                </w:tcPr>
                <w:p w14:paraId="2C1B08E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国家产业政策明令淘汰和限制的产品、技术、工艺、设备及行为</w:t>
                  </w:r>
                </w:p>
              </w:tc>
              <w:tc>
                <w:tcPr>
                  <w:tcW w:w="703" w:type="pct"/>
                  <w:tcBorders>
                    <w:tl2br w:val="nil"/>
                    <w:tr2bl w:val="nil"/>
                  </w:tcBorders>
                  <w:noWrap w:val="0"/>
                  <w:vAlign w:val="center"/>
                </w:tcPr>
                <w:p w14:paraId="3FA2723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100002</w:t>
                  </w:r>
                </w:p>
              </w:tc>
              <w:tc>
                <w:tcPr>
                  <w:tcW w:w="2254" w:type="pct"/>
                  <w:tcBorders>
                    <w:tl2br w:val="nil"/>
                    <w:tr2bl w:val="nil"/>
                  </w:tcBorders>
                  <w:noWrap w:val="0"/>
                  <w:vAlign w:val="center"/>
                </w:tcPr>
                <w:p w14:paraId="023EAC1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《产业结构调整指导目录》中的淘汰类项目，禁止投资；限制类项目，禁止新建</w:t>
                  </w:r>
                </w:p>
                <w:p w14:paraId="2B3E48F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禁止投资建设《汽车产业投资管理规定》所列的汽车投资禁止类事项</w:t>
                  </w:r>
                </w:p>
              </w:tc>
            </w:tr>
            <w:tr w14:paraId="6C79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noWrap w:val="0"/>
                  <w:vAlign w:val="center"/>
                </w:tcPr>
                <w:p w14:paraId="2280AE8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20" w:type="pct"/>
                  <w:tcBorders>
                    <w:tl2br w:val="nil"/>
                    <w:tr2bl w:val="nil"/>
                  </w:tcBorders>
                  <w:noWrap w:val="0"/>
                  <w:vAlign w:val="center"/>
                </w:tcPr>
                <w:p w14:paraId="6982161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不符合主体功能区建设要求的各类开发活动</w:t>
                  </w:r>
                </w:p>
              </w:tc>
              <w:tc>
                <w:tcPr>
                  <w:tcW w:w="703" w:type="pct"/>
                  <w:tcBorders>
                    <w:tl2br w:val="nil"/>
                    <w:tr2bl w:val="nil"/>
                  </w:tcBorders>
                  <w:noWrap w:val="0"/>
                  <w:vAlign w:val="center"/>
                </w:tcPr>
                <w:p w14:paraId="58D1B67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100003</w:t>
                  </w:r>
                </w:p>
              </w:tc>
              <w:tc>
                <w:tcPr>
                  <w:tcW w:w="2254" w:type="pct"/>
                  <w:tcBorders>
                    <w:tl2br w:val="nil"/>
                    <w:tr2bl w:val="nil"/>
                  </w:tcBorders>
                  <w:noWrap w:val="0"/>
                  <w:vAlign w:val="center"/>
                </w:tcPr>
                <w:p w14:paraId="3DD04A8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地方国家重点生态功能区产业准入负面清单（或禁止限制目录）、农产品主产区产业准入负面清单（或禁止限制目录）所列有关事项</w:t>
                  </w:r>
                </w:p>
              </w:tc>
            </w:tr>
          </w:tbl>
          <w:p w14:paraId="318117A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20" w:firstLineChars="200"/>
              <w:jc w:val="both"/>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注：该表只列出涉及生态环境保护的3项禁止准入类事项。</w:t>
            </w:r>
          </w:p>
          <w:p w14:paraId="2381FA7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下面分别对上述三项禁止准入类事项进行分析判定。</w:t>
            </w:r>
          </w:p>
          <w:p w14:paraId="357EF87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（1）法律、法规、国务院决定等明确设立且与市场准入相关的禁止性规定的分析</w:t>
            </w:r>
          </w:p>
          <w:p w14:paraId="6711CAA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民经济行业分类》（GB/T4754-2017），本项目行业属于C3391黑色金属铸造，根据《市场准入负面清单（2022年版）》与市场准入相关的禁止性规定，制造业禁止措施共9项，涉及生态环境保护的2项，如下表所示。</w:t>
            </w:r>
          </w:p>
          <w:p w14:paraId="6415BF2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表1-2与市场准入相关的禁止性规定（制造业禁止措施）分析判断情况</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992"/>
              <w:gridCol w:w="2208"/>
              <w:gridCol w:w="1947"/>
            </w:tblGrid>
            <w:tr w14:paraId="1CBB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l2br w:val="nil"/>
                    <w:tr2bl w:val="nil"/>
                  </w:tcBorders>
                  <w:noWrap w:val="0"/>
                  <w:vAlign w:val="center"/>
                </w:tcPr>
                <w:p w14:paraId="1DC7BF28">
                  <w:pPr>
                    <w:pStyle w:val="14"/>
                    <w:spacing w:before="0" w:beforeAutospacing="0" w:after="0" w:afterAutospacing="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881" w:type="pct"/>
                  <w:tcBorders>
                    <w:tl2br w:val="nil"/>
                    <w:tr2bl w:val="nil"/>
                  </w:tcBorders>
                  <w:noWrap w:val="0"/>
                  <w:vAlign w:val="center"/>
                </w:tcPr>
                <w:p w14:paraId="051ABE99">
                  <w:pPr>
                    <w:pStyle w:val="14"/>
                    <w:spacing w:before="0" w:beforeAutospacing="0" w:after="0" w:afterAutospacing="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禁止措施</w:t>
                  </w:r>
                </w:p>
              </w:tc>
              <w:tc>
                <w:tcPr>
                  <w:tcW w:w="1388" w:type="pct"/>
                  <w:tcBorders>
                    <w:tl2br w:val="nil"/>
                    <w:tr2bl w:val="nil"/>
                  </w:tcBorders>
                  <w:noWrap w:val="0"/>
                  <w:vAlign w:val="center"/>
                </w:tcPr>
                <w:p w14:paraId="2B0CCB95">
                  <w:pPr>
                    <w:pStyle w:val="14"/>
                    <w:spacing w:before="0" w:beforeAutospacing="0" w:after="0" w:afterAutospacing="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设立依据</w:t>
                  </w:r>
                </w:p>
              </w:tc>
              <w:tc>
                <w:tcPr>
                  <w:tcW w:w="1224" w:type="pct"/>
                  <w:tcBorders>
                    <w:tl2br w:val="nil"/>
                    <w:tr2bl w:val="nil"/>
                  </w:tcBorders>
                  <w:noWrap w:val="0"/>
                  <w:vAlign w:val="center"/>
                </w:tcPr>
                <w:p w14:paraId="792C424F">
                  <w:pPr>
                    <w:pStyle w:val="14"/>
                    <w:spacing w:before="0" w:beforeAutospacing="0" w:after="0" w:afterAutospacing="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符合性分析</w:t>
                  </w:r>
                </w:p>
              </w:tc>
            </w:tr>
            <w:tr w14:paraId="0829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l2br w:val="nil"/>
                    <w:tr2bl w:val="nil"/>
                  </w:tcBorders>
                  <w:noWrap w:val="0"/>
                  <w:vAlign w:val="center"/>
                </w:tcPr>
                <w:p w14:paraId="2542A384">
                  <w:pPr>
                    <w:pStyle w:val="14"/>
                    <w:spacing w:before="0" w:beforeAutospacing="0" w:after="0" w:afterAutospacing="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81" w:type="pct"/>
                  <w:tcBorders>
                    <w:tl2br w:val="nil"/>
                    <w:tr2bl w:val="nil"/>
                  </w:tcBorders>
                  <w:noWrap w:val="0"/>
                  <w:vAlign w:val="center"/>
                </w:tcPr>
                <w:p w14:paraId="161040E5">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禁止生产、销售和使用有毒、有害物质超过国家标准的建筑和装修材料</w:t>
                  </w:r>
                </w:p>
              </w:tc>
              <w:tc>
                <w:tcPr>
                  <w:tcW w:w="1388" w:type="pct"/>
                  <w:tcBorders>
                    <w:tl2br w:val="nil"/>
                    <w:tr2bl w:val="nil"/>
                  </w:tcBorders>
                  <w:noWrap w:val="0"/>
                  <w:vAlign w:val="center"/>
                </w:tcPr>
                <w:p w14:paraId="68902DA6">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《中华人民共和国清洁生产促进法》</w:t>
                  </w:r>
                </w:p>
              </w:tc>
              <w:tc>
                <w:tcPr>
                  <w:tcW w:w="1224" w:type="pct"/>
                  <w:tcBorders>
                    <w:tl2br w:val="nil"/>
                    <w:tr2bl w:val="nil"/>
                  </w:tcBorders>
                  <w:noWrap w:val="0"/>
                  <w:vAlign w:val="center"/>
                </w:tcPr>
                <w:p w14:paraId="7FA22516">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cs="Times New Roman"/>
                      <w:color w:val="auto"/>
                      <w:sz w:val="21"/>
                      <w:szCs w:val="21"/>
                      <w:highlight w:val="none"/>
                      <w:lang w:eastAsia="zh-CN"/>
                    </w:rPr>
                    <w:t>生产线在已有厂房内进行建设，生产渣浆泵过流件</w:t>
                  </w:r>
                  <w:r>
                    <w:rPr>
                      <w:rFonts w:hint="eastAsia" w:ascii="Times New Roman" w:hAnsi="Times New Roman" w:cs="Times New Roman"/>
                      <w:color w:val="auto"/>
                      <w:sz w:val="21"/>
                      <w:szCs w:val="21"/>
                      <w:highlight w:val="none"/>
                      <w:lang w:val="en-US" w:eastAsia="zh-CN"/>
                    </w:rPr>
                    <w:t>，不涉及有毒有害物质，</w:t>
                  </w:r>
                  <w:r>
                    <w:rPr>
                      <w:rFonts w:hint="eastAsia" w:ascii="Times New Roman" w:hAnsi="Times New Roman" w:cs="Times New Roman"/>
                      <w:color w:val="auto"/>
                      <w:sz w:val="21"/>
                      <w:szCs w:val="21"/>
                      <w:highlight w:val="none"/>
                      <w:lang w:eastAsia="zh-CN"/>
                    </w:rPr>
                    <w:t>符合</w:t>
                  </w:r>
                  <w:r>
                    <w:rPr>
                      <w:rFonts w:hint="default" w:ascii="Times New Roman" w:hAnsi="Times New Roman" w:eastAsia="宋体" w:cs="Times New Roman"/>
                      <w:color w:val="auto"/>
                      <w:sz w:val="21"/>
                      <w:szCs w:val="21"/>
                      <w:highlight w:val="none"/>
                    </w:rPr>
                    <w:t>国家相应标准要求</w:t>
                  </w:r>
                </w:p>
              </w:tc>
            </w:tr>
            <w:tr w14:paraId="265C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Borders>
                    <w:tl2br w:val="nil"/>
                    <w:tr2bl w:val="nil"/>
                  </w:tcBorders>
                  <w:noWrap w:val="0"/>
                  <w:vAlign w:val="center"/>
                </w:tcPr>
                <w:p w14:paraId="5E4C4ACD">
                  <w:pPr>
                    <w:pStyle w:val="14"/>
                    <w:spacing w:before="0" w:beforeAutospacing="0" w:after="0" w:afterAutospacing="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81" w:type="pct"/>
                  <w:tcBorders>
                    <w:tl2br w:val="nil"/>
                    <w:tr2bl w:val="nil"/>
                  </w:tcBorders>
                  <w:noWrap w:val="0"/>
                  <w:vAlign w:val="center"/>
                </w:tcPr>
                <w:p w14:paraId="3E8E301B">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重点区域严禁新增钢铁、焦化、水泥熟料、平板玻璃、电解铝、氧化铝、煤化工产能</w:t>
                  </w:r>
                </w:p>
              </w:tc>
              <w:tc>
                <w:tcPr>
                  <w:tcW w:w="1388" w:type="pct"/>
                  <w:tcBorders>
                    <w:tl2br w:val="nil"/>
                    <w:tr2bl w:val="nil"/>
                  </w:tcBorders>
                  <w:noWrap w:val="0"/>
                  <w:vAlign w:val="center"/>
                </w:tcPr>
                <w:p w14:paraId="1D346E5C">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《中共中央国务院关于深入打好污染防治攻坚战的意见》</w:t>
                  </w:r>
                </w:p>
              </w:tc>
              <w:tc>
                <w:tcPr>
                  <w:tcW w:w="1224" w:type="pct"/>
                  <w:tcBorders>
                    <w:tl2br w:val="nil"/>
                    <w:tr2bl w:val="nil"/>
                  </w:tcBorders>
                  <w:noWrap w:val="0"/>
                  <w:vAlign w:val="center"/>
                </w:tcPr>
                <w:p w14:paraId="20E7F183">
                  <w:pPr>
                    <w:pStyle w:val="14"/>
                    <w:spacing w:before="0" w:beforeAutospacing="0" w:after="0" w:afterAutospacing="0"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本项目属于金属制品业，不涉及禁止类的7类行业类别。</w:t>
                  </w:r>
                </w:p>
              </w:tc>
            </w:tr>
          </w:tbl>
          <w:p w14:paraId="10CB7A38">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由以上分析可知，本项目不属于《市场准入负面清单（2022年版）》禁止准入类中法律、法规、国务院决定等明确设立且与市场准入相关的禁止性事项。</w:t>
            </w:r>
          </w:p>
          <w:p w14:paraId="5EB937DB">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（2）国家产业政策明令淘汰和限制的产品、技术、工艺、设备及行为的分析</w:t>
            </w:r>
          </w:p>
          <w:p w14:paraId="281DEBF7">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①根据《产业结构调整指导目录（</w:t>
            </w:r>
            <w:r>
              <w:rPr>
                <w:rFonts w:hint="eastAsia"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年本）》，项目属于</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w:t>
            </w:r>
            <w:r>
              <w:rPr>
                <w:rFonts w:hint="eastAsia" w:ascii="Times New Roman" w:hAnsi="Times New Roman" w:eastAsia="宋体" w:cs="Times New Roman"/>
                <w:color w:val="auto"/>
                <w:sz w:val="24"/>
                <w:szCs w:val="24"/>
                <w:highlight w:val="none"/>
                <w:lang w:eastAsia="zh-CN"/>
              </w:rPr>
              <w:t>一</w:t>
            </w:r>
            <w:r>
              <w:rPr>
                <w:rFonts w:hint="default" w:ascii="Times New Roman" w:hAnsi="Times New Roman" w:eastAsia="宋体" w:cs="Times New Roman"/>
                <w:color w:val="auto"/>
                <w:sz w:val="24"/>
                <w:szCs w:val="24"/>
                <w:highlight w:val="none"/>
              </w:rPr>
              <w:t>类</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鼓励类</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十四、机械</w:t>
            </w:r>
            <w:r>
              <w:rPr>
                <w:rFonts w:hint="eastAsia" w:ascii="Times New Roman" w:hAnsi="Times New Roman" w:eastAsia="宋体" w:cs="Times New Roman"/>
                <w:color w:val="auto"/>
                <w:sz w:val="24"/>
                <w:szCs w:val="24"/>
                <w:highlight w:val="none"/>
                <w:lang w:val="en-US" w:eastAsia="zh-CN"/>
              </w:rPr>
              <w:t>11.高强钢锻件，耐高温、耐低温、耐腐蚀、耐磨损等高性能轻量化新材料铸件、锻件</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，符合国家产业政策；</w:t>
            </w:r>
          </w:p>
          <w:p w14:paraId="6CA446E2">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②项目不属于《</w:t>
            </w:r>
            <w:r>
              <w:rPr>
                <w:rFonts w:ascii="宋体" w:hAnsi="宋体" w:eastAsia="宋体" w:cs="宋体"/>
                <w:color w:val="auto"/>
                <w:sz w:val="24"/>
                <w:szCs w:val="24"/>
                <w:highlight w:val="none"/>
              </w:rPr>
              <w:t>工业和信息化部 国家发展和改革委员会 生态环境部关于推动铸造和锻压行业高质量发展的指导意见</w:t>
            </w:r>
            <w:r>
              <w:rPr>
                <w:rFonts w:hint="default" w:ascii="Times New Roman" w:hAnsi="Times New Roman" w:eastAsia="宋体" w:cs="Times New Roman"/>
                <w:color w:val="auto"/>
                <w:sz w:val="24"/>
                <w:szCs w:val="24"/>
                <w:highlight w:val="none"/>
              </w:rPr>
              <w:t>》（</w:t>
            </w:r>
            <w:r>
              <w:rPr>
                <w:rFonts w:ascii="宋体" w:hAnsi="宋体" w:eastAsia="宋体" w:cs="宋体"/>
                <w:color w:val="auto"/>
                <w:sz w:val="24"/>
                <w:szCs w:val="24"/>
                <w:highlight w:val="none"/>
              </w:rPr>
              <w:t>工信部联通装[2023]40号</w:t>
            </w:r>
            <w:r>
              <w:rPr>
                <w:rFonts w:hint="default" w:ascii="Times New Roman" w:hAnsi="Times New Roman" w:eastAsia="宋体" w:cs="Times New Roman"/>
                <w:color w:val="auto"/>
                <w:sz w:val="24"/>
                <w:szCs w:val="24"/>
                <w:highlight w:val="none"/>
              </w:rPr>
              <w:t>）规定的重点区域范围内。</w:t>
            </w:r>
          </w:p>
          <w:p w14:paraId="7F0BEACE">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③经查阅《高耗能落后机电设备（产品）淘汰目录》（第一批至第四批），项目所用设备和产品不在上述目录内。</w:t>
            </w:r>
          </w:p>
          <w:p w14:paraId="515EEACA">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④对照《限期淘汰产生严重污染环境的工业固体废物的落后生产工艺设备名录》，项目生产工艺及所用设备不属于该名录中淘汰类工艺及设备。</w:t>
            </w:r>
          </w:p>
          <w:p w14:paraId="0DA10715">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⑤本项目已在宽城满族自治县</w:t>
            </w:r>
            <w:r>
              <w:rPr>
                <w:rFonts w:hint="eastAsia" w:ascii="Times New Roman" w:hAnsi="Times New Roman" w:eastAsia="宋体" w:cs="Times New Roman"/>
                <w:color w:val="auto"/>
                <w:sz w:val="24"/>
                <w:szCs w:val="24"/>
                <w:highlight w:val="none"/>
                <w:lang w:eastAsia="zh-CN"/>
              </w:rPr>
              <w:t>数据和政务服务局</w:t>
            </w:r>
            <w:r>
              <w:rPr>
                <w:rFonts w:hint="default" w:ascii="Times New Roman" w:hAnsi="Times New Roman" w:eastAsia="宋体" w:cs="Times New Roman"/>
                <w:color w:val="auto"/>
                <w:sz w:val="24"/>
                <w:szCs w:val="24"/>
                <w:highlight w:val="none"/>
              </w:rPr>
              <w:t>备案，备案信息表编号为</w:t>
            </w:r>
            <w:r>
              <w:rPr>
                <w:rFonts w:hint="eastAsia" w:ascii="Times New Roman" w:hAnsi="Times New Roman" w:eastAsia="宋体" w:cs="Times New Roman"/>
                <w:color w:val="auto"/>
                <w:sz w:val="24"/>
                <w:szCs w:val="24"/>
                <w:highlight w:val="none"/>
                <w:lang w:eastAsia="zh-CN"/>
              </w:rPr>
              <w:t>“宽数政投备字</w:t>
            </w:r>
            <w:r>
              <w:rPr>
                <w:rFonts w:hint="eastAsia" w:ascii="Times New Roman" w:hAnsi="Times New Roman" w:eastAsia="宋体" w:cs="Times New Roman"/>
                <w:color w:val="auto"/>
                <w:sz w:val="24"/>
                <w:szCs w:val="24"/>
                <w:highlight w:val="none"/>
                <w:lang w:val="en-US" w:eastAsia="zh-CN"/>
              </w:rPr>
              <w:t>[2024]</w:t>
            </w:r>
            <w:r>
              <w:rPr>
                <w:rFonts w:hint="eastAsia" w:ascii="Times New Roman" w:hAnsi="Times New Roman" w:cs="Times New Roman"/>
                <w:color w:val="auto"/>
                <w:sz w:val="24"/>
                <w:szCs w:val="24"/>
                <w:highlight w:val="none"/>
                <w:lang w:val="en-US" w:eastAsia="zh-CN"/>
              </w:rPr>
              <w:t>193</w:t>
            </w:r>
            <w:r>
              <w:rPr>
                <w:rFonts w:hint="eastAsia"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9C64065">
            <w:pPr>
              <w:pStyle w:val="14"/>
              <w:keepNext w:val="0"/>
              <w:keepLines w:val="0"/>
              <w:pageBreakBefore w:val="0"/>
              <w:kinsoku/>
              <w:wordWrap/>
              <w:overflowPunct/>
              <w:topLinePunct w:val="0"/>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由以上分析可知，本项目不属于《市场准入负面清单（2022年版）》禁止准入类中国家产业政策明令淘汰和限制的产品、技术、工艺、设备及行为。</w:t>
            </w:r>
          </w:p>
          <w:p w14:paraId="190E89A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4"/>
                <w:szCs w:val="24"/>
                <w:highlight w:val="none"/>
              </w:rPr>
              <w:t>（3）禁止不符合主体功能区建设要求的各类开发活动要求的分析</w:t>
            </w:r>
          </w:p>
          <w:p w14:paraId="78A9DAE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根据《河北省主体功能区规划》、《承德市城市总体规划》（2016－2030）中生态环境功能区划，本项目符合宽城满族自治县总体规划要求，且符合《承德市重点水源涵养生态功能保护区规划》的相关要求。</w:t>
            </w:r>
            <w:r>
              <w:rPr>
                <w:rFonts w:hint="default" w:ascii="Times New Roman" w:hAnsi="Times New Roman" w:eastAsia="宋体" w:cs="Times New Roman"/>
                <w:color w:val="auto"/>
                <w:kern w:val="2"/>
                <w:sz w:val="24"/>
                <w:szCs w:val="24"/>
                <w:highlight w:val="none"/>
              </w:rPr>
              <w:t>对照河北省发展和改革委员会关于印发《灵寿县等22县（区）国家重点生态功能区产业准入负面清单（试行）》的通知（冀发改规[2018]920号），本项目未列入宽城满族自治县产业准入负面清单。</w:t>
            </w:r>
          </w:p>
          <w:p w14:paraId="669DE55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综上所述，本项目不属于《市场准入负面清单（2022年版）》禁止准入类项目，同时，经查阅《市场准入负面清单（2022年版）》，本项目不属于许可准入类项目。因此，项目符合相关政策要求。</w:t>
            </w:r>
          </w:p>
          <w:p w14:paraId="753A064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rPr>
              <w:t>综上，本项目建设</w:t>
            </w:r>
            <w:r>
              <w:rPr>
                <w:rFonts w:hint="default" w:ascii="Times New Roman" w:hAnsi="Times New Roman" w:eastAsia="宋体" w:cs="Times New Roman"/>
                <w:color w:val="auto"/>
                <w:sz w:val="24"/>
                <w:szCs w:val="24"/>
                <w:highlight w:val="none"/>
                <w:lang w:val="en-GB"/>
              </w:rPr>
              <w:t>符合国家产业政策</w:t>
            </w:r>
            <w:r>
              <w:rPr>
                <w:rFonts w:hint="default" w:ascii="Times New Roman" w:hAnsi="Times New Roman" w:eastAsia="宋体" w:cs="Times New Roman"/>
                <w:color w:val="auto"/>
                <w:sz w:val="24"/>
                <w:szCs w:val="24"/>
                <w:highlight w:val="none"/>
              </w:rPr>
              <w:t>及地方产业发展规划</w:t>
            </w:r>
            <w:r>
              <w:rPr>
                <w:rFonts w:hint="default" w:ascii="Times New Roman" w:hAnsi="Times New Roman" w:eastAsia="宋体" w:cs="Times New Roman"/>
                <w:color w:val="auto"/>
                <w:sz w:val="24"/>
                <w:szCs w:val="24"/>
                <w:highlight w:val="none"/>
                <w:lang w:val="en-GB"/>
              </w:rPr>
              <w:t>。</w:t>
            </w:r>
          </w:p>
          <w:p w14:paraId="0DBBDB8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lang w:val="en-GB"/>
              </w:rPr>
            </w:pPr>
            <w:r>
              <w:rPr>
                <w:rFonts w:hint="eastAsia" w:ascii="Times New Roman" w:hAnsi="Times New Roman" w:eastAsia="宋体" w:cs="Times New Roman"/>
                <w:b w:val="0"/>
                <w:bCs w:val="0"/>
                <w:color w:val="auto"/>
                <w:sz w:val="24"/>
                <w:szCs w:val="24"/>
                <w:highlight w:val="none"/>
                <w:lang w:val="en-GB" w:eastAsia="zh-CN"/>
              </w:rPr>
              <w:t>（二）</w:t>
            </w:r>
            <w:r>
              <w:rPr>
                <w:rFonts w:hint="default" w:ascii="Times New Roman" w:hAnsi="Times New Roman" w:eastAsia="宋体" w:cs="Times New Roman"/>
                <w:b w:val="0"/>
                <w:bCs w:val="0"/>
                <w:color w:val="auto"/>
                <w:sz w:val="24"/>
                <w:szCs w:val="24"/>
                <w:highlight w:val="none"/>
                <w:lang w:val="en-GB"/>
              </w:rPr>
              <w:t>项目选址符合性分析</w:t>
            </w:r>
          </w:p>
          <w:p w14:paraId="0BC8587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eastAsia"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rPr>
              <w:t>项目位</w:t>
            </w:r>
            <w:r>
              <w:rPr>
                <w:rFonts w:hint="eastAsia" w:ascii="Times New Roman" w:hAnsi="Times New Roman" w:eastAsia="宋体" w:cs="Times New Roman"/>
                <w:color w:val="auto"/>
                <w:sz w:val="24"/>
                <w:szCs w:val="24"/>
                <w:highlight w:val="none"/>
                <w:lang w:val="en-GB" w:eastAsia="zh-CN"/>
              </w:rPr>
              <w:t>于宽城满族自治县松岭镇木匠屯村</w:t>
            </w:r>
            <w:r>
              <w:rPr>
                <w:rFonts w:hint="eastAsia"/>
                <w:b w:val="0"/>
                <w:bCs w:val="0"/>
                <w:color w:val="auto"/>
                <w:sz w:val="24"/>
                <w:szCs w:val="24"/>
                <w:highlight w:val="none"/>
                <w:u w:val="none"/>
              </w:rPr>
              <w:t>宽城双兴矿山设备制造有限公司</w:t>
            </w:r>
            <w:r>
              <w:rPr>
                <w:rFonts w:hint="eastAsia"/>
                <w:b w:val="0"/>
                <w:bCs w:val="0"/>
                <w:color w:val="auto"/>
                <w:sz w:val="24"/>
                <w:szCs w:val="24"/>
                <w:highlight w:val="none"/>
                <w:u w:val="none"/>
                <w:lang w:eastAsia="zh-CN"/>
              </w:rPr>
              <w:t>厂区内</w:t>
            </w:r>
            <w:r>
              <w:rPr>
                <w:rFonts w:hint="default" w:ascii="Times New Roman" w:hAnsi="Times New Roman" w:eastAsia="宋体" w:cs="Times New Roman"/>
                <w:color w:val="auto"/>
                <w:sz w:val="24"/>
                <w:szCs w:val="24"/>
                <w:highlight w:val="none"/>
                <w:lang w:val="en-GB"/>
              </w:rPr>
              <w:t>。对照项目选址位置的土地利用情况，项目选厂占地区域属于工业用地。经调查，项目选址不占用</w:t>
            </w:r>
            <w:r>
              <w:rPr>
                <w:rFonts w:hint="eastAsia" w:ascii="Times New Roman" w:hAnsi="Times New Roman" w:eastAsia="宋体" w:cs="Times New Roman"/>
                <w:color w:val="auto"/>
                <w:sz w:val="24"/>
                <w:szCs w:val="24"/>
                <w:highlight w:val="none"/>
                <w:lang w:val="en-GB" w:eastAsia="zh-CN"/>
              </w:rPr>
              <w:t>宽城满族自治县</w:t>
            </w:r>
            <w:r>
              <w:rPr>
                <w:rFonts w:hint="default" w:ascii="Times New Roman" w:hAnsi="Times New Roman" w:eastAsia="宋体" w:cs="Times New Roman"/>
                <w:color w:val="auto"/>
                <w:sz w:val="24"/>
                <w:szCs w:val="24"/>
                <w:highlight w:val="none"/>
                <w:lang w:val="en-GB"/>
              </w:rPr>
              <w:t>生态保护红线范围，项目评价范围内无</w:t>
            </w:r>
            <w:r>
              <w:rPr>
                <w:rFonts w:hint="eastAsia" w:ascii="Times New Roman" w:hAnsi="Times New Roman" w:eastAsia="宋体" w:cs="Times New Roman"/>
                <w:color w:val="auto"/>
                <w:sz w:val="24"/>
                <w:szCs w:val="24"/>
                <w:highlight w:val="none"/>
                <w:lang w:val="en-GB" w:eastAsia="zh-CN"/>
              </w:rPr>
              <w:t>自然保护区、</w:t>
            </w:r>
            <w:r>
              <w:rPr>
                <w:rFonts w:hint="default" w:ascii="Times New Roman" w:hAnsi="Times New Roman" w:eastAsia="宋体" w:cs="Times New Roman"/>
                <w:color w:val="auto"/>
                <w:sz w:val="24"/>
                <w:szCs w:val="24"/>
                <w:highlight w:val="none"/>
                <w:lang w:val="en-GB"/>
              </w:rPr>
              <w:t>风景名胜区、重要自然和文化遗产保护地及海洋特别保护区等需要特殊保护的环境保护对象</w:t>
            </w:r>
            <w:r>
              <w:rPr>
                <w:rFonts w:hint="eastAsia" w:ascii="Times New Roman" w:hAnsi="Times New Roman" w:eastAsia="宋体" w:cs="Times New Roman"/>
                <w:color w:val="auto"/>
                <w:sz w:val="24"/>
                <w:szCs w:val="24"/>
                <w:highlight w:val="none"/>
                <w:lang w:val="en-GB" w:eastAsia="zh-CN"/>
              </w:rPr>
              <w:t>。</w:t>
            </w:r>
          </w:p>
          <w:p w14:paraId="2A41FAF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本项目为</w:t>
            </w:r>
            <w:r>
              <w:rPr>
                <w:rFonts w:hint="eastAsia" w:ascii="Times New Roman" w:hAnsi="Times New Roman" w:eastAsia="宋体" w:cs="Times New Roman"/>
                <w:color w:val="auto"/>
                <w:sz w:val="24"/>
                <w:szCs w:val="24"/>
                <w:highlight w:val="none"/>
                <w:lang w:val="en-GB" w:eastAsia="zh-CN"/>
              </w:rPr>
              <w:t>利用树脂砂铸造工艺</w:t>
            </w:r>
            <w:r>
              <w:rPr>
                <w:rFonts w:hint="default" w:ascii="Times New Roman" w:hAnsi="Times New Roman" w:eastAsia="宋体" w:cs="Times New Roman"/>
                <w:color w:val="auto"/>
                <w:sz w:val="24"/>
                <w:szCs w:val="24"/>
                <w:highlight w:val="none"/>
                <w:lang w:val="en-GB"/>
              </w:rPr>
              <w:t>，</w:t>
            </w:r>
            <w:r>
              <w:rPr>
                <w:rFonts w:hint="eastAsia" w:ascii="Times New Roman" w:hAnsi="Times New Roman" w:eastAsia="宋体" w:cs="Times New Roman"/>
                <w:color w:val="auto"/>
                <w:sz w:val="24"/>
                <w:szCs w:val="24"/>
                <w:highlight w:val="none"/>
                <w:lang w:val="en-GB" w:eastAsia="zh-CN"/>
              </w:rPr>
              <w:t>生产高铬合金</w:t>
            </w:r>
            <w:r>
              <w:rPr>
                <w:rFonts w:hint="eastAsia" w:ascii="Times New Roman" w:hAnsi="Times New Roman" w:eastAsia="宋体" w:cs="Times New Roman"/>
                <w:color w:val="auto"/>
                <w:sz w:val="24"/>
                <w:szCs w:val="24"/>
                <w:highlight w:val="none"/>
                <w:lang w:val="en-US" w:eastAsia="zh-CN"/>
              </w:rPr>
              <w:t>2000吨，主要产品为渣浆泵过流件。经过除尘器、生产废水循环利用、基础降噪和厂房隔声等措施后，本项目</w:t>
            </w:r>
            <w:r>
              <w:rPr>
                <w:rFonts w:hint="default" w:ascii="Times New Roman" w:hAnsi="Times New Roman" w:eastAsia="宋体" w:cs="Times New Roman"/>
                <w:color w:val="auto"/>
                <w:sz w:val="24"/>
                <w:szCs w:val="24"/>
                <w:highlight w:val="none"/>
                <w:lang w:val="en-GB"/>
              </w:rPr>
              <w:t>对大气环境、水环境和声环境影响较小；因此项目区域无明显的环境制约因素，项目的建设符合相关规划。</w:t>
            </w:r>
          </w:p>
          <w:p w14:paraId="25C84E3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经上述分析，项目选址合理。</w:t>
            </w:r>
          </w:p>
          <w:p w14:paraId="1E5E2AA2">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val="en-US" w:eastAsia="zh-CN"/>
              </w:rPr>
              <w:t xml:space="preserve">1.2 </w:t>
            </w:r>
            <w:r>
              <w:rPr>
                <w:rFonts w:hint="default" w:ascii="Times New Roman" w:hAnsi="Times New Roman" w:cs="Times New Roman"/>
                <w:b w:val="0"/>
                <w:bCs w:val="0"/>
                <w:color w:val="auto"/>
                <w:sz w:val="24"/>
                <w:szCs w:val="24"/>
                <w:highlight w:val="none"/>
              </w:rPr>
              <w:t>三线一单符合性分析</w:t>
            </w:r>
          </w:p>
          <w:p w14:paraId="556CE310">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根据环保部发布的《关于以改善环境质量为核心加强环境影响评价管理的通知》（环境保护部文件∶</w:t>
            </w:r>
            <w:r>
              <w:rPr>
                <w:rFonts w:hint="eastAsia" w:ascii="Times New Roman" w:hAnsi="Times New Roman" w:cs="Times New Roman"/>
                <w:color w:val="auto"/>
                <w:sz w:val="24"/>
                <w:szCs w:val="24"/>
                <w:highlight w:val="none"/>
                <w:lang w:eastAsia="zh-CN"/>
              </w:rPr>
              <w:t>环</w:t>
            </w:r>
            <w:r>
              <w:rPr>
                <w:rFonts w:hint="default" w:ascii="Times New Roman" w:hAnsi="Times New Roman" w:cs="Times New Roman"/>
                <w:color w:val="auto"/>
                <w:sz w:val="24"/>
                <w:szCs w:val="24"/>
                <w:highlight w:val="none"/>
              </w:rPr>
              <w:t>环评[2016]150号），切实加强环境影响评价管理，落实“生态保护红线、环境质量底线、资源利用上线和生态环境准入清单”约束，本工程“三线一单”符合性分析如下：</w:t>
            </w:r>
          </w:p>
          <w:p w14:paraId="30128F24">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（一）生态红线</w:t>
            </w:r>
          </w:p>
          <w:p w14:paraId="741894D4">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4B62B3E4">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本项目建设于河北省承德市宽城满族自治县</w:t>
            </w:r>
            <w:r>
              <w:rPr>
                <w:rFonts w:hint="eastAsia" w:ascii="Times New Roman" w:hAnsi="Times New Roman" w:cs="Times New Roman"/>
                <w:color w:val="auto"/>
                <w:sz w:val="24"/>
                <w:szCs w:val="24"/>
                <w:highlight w:val="none"/>
                <w:lang w:eastAsia="zh-CN"/>
              </w:rPr>
              <w:t>松岭镇木匠屯村</w:t>
            </w:r>
            <w:r>
              <w:rPr>
                <w:rFonts w:hint="default" w:ascii="Times New Roman" w:hAnsi="Times New Roman" w:cs="Times New Roman"/>
                <w:color w:val="auto"/>
                <w:sz w:val="24"/>
                <w:szCs w:val="24"/>
                <w:highlight w:val="none"/>
              </w:rPr>
              <w:t>，根据《河北省人民政府关于发布&lt;河北省生态保护红线&gt;的通知》及承德市生态保护红线成果，本工程占地不在生态红线范围内，不穿越生态敏感区域，满足生态保护红线要求。项目</w:t>
            </w:r>
            <w:r>
              <w:rPr>
                <w:rFonts w:hint="eastAsia" w:ascii="Times New Roman" w:hAnsi="Times New Roman" w:cs="Times New Roman"/>
                <w:color w:val="auto"/>
                <w:sz w:val="24"/>
                <w:szCs w:val="24"/>
                <w:highlight w:val="none"/>
                <w:lang w:eastAsia="zh-CN"/>
              </w:rPr>
              <w:t>与最近的</w:t>
            </w:r>
            <w:r>
              <w:rPr>
                <w:rFonts w:hint="default" w:ascii="Times New Roman" w:hAnsi="Times New Roman" w:cs="Times New Roman"/>
                <w:color w:val="auto"/>
                <w:sz w:val="24"/>
                <w:szCs w:val="24"/>
                <w:highlight w:val="none"/>
              </w:rPr>
              <w:t>生态保护红线</w:t>
            </w:r>
            <w:r>
              <w:rPr>
                <w:rFonts w:hint="eastAsia" w:ascii="Times New Roman" w:hAnsi="Times New Roman" w:cs="Times New Roman"/>
                <w:color w:val="auto"/>
                <w:sz w:val="24"/>
                <w:szCs w:val="24"/>
                <w:highlight w:val="none"/>
                <w:lang w:eastAsia="zh-CN"/>
              </w:rPr>
              <w:t>相距</w:t>
            </w:r>
            <w:r>
              <w:rPr>
                <w:rFonts w:hint="eastAsia" w:ascii="Times New Roman" w:hAnsi="Times New Roman" w:cs="Times New Roman"/>
                <w:color w:val="auto"/>
                <w:sz w:val="24"/>
                <w:szCs w:val="24"/>
                <w:highlight w:val="none"/>
                <w:lang w:val="en-US" w:eastAsia="zh-CN"/>
              </w:rPr>
              <w:t>104m。</w:t>
            </w:r>
          </w:p>
          <w:p w14:paraId="4CD93012">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ascii="Times New Roman" w:hAnsi="Times New Roman" w:cs="Times New Roman"/>
                <w:color w:val="auto"/>
                <w:sz w:val="24"/>
                <w:szCs w:val="24"/>
                <w:highlight w:val="none"/>
                <w:lang w:val="en-US" w:eastAsia="zh-CN"/>
              </w:rPr>
            </w:pPr>
          </w:p>
          <w:p w14:paraId="465D1156">
            <w:pPr>
              <w:pStyle w:val="2"/>
              <w:rPr>
                <w:rFonts w:hint="eastAsia" w:ascii="Times New Roman" w:hAnsi="Times New Roman" w:cs="Times New Roman"/>
                <w:color w:val="auto"/>
                <w:sz w:val="24"/>
                <w:szCs w:val="24"/>
                <w:highlight w:val="none"/>
                <w:lang w:val="en-US" w:eastAsia="zh-CN"/>
              </w:rPr>
            </w:pPr>
          </w:p>
          <w:p w14:paraId="52032C19">
            <w:pPr>
              <w:pStyle w:val="11"/>
              <w:rPr>
                <w:rFonts w:hint="eastAsia" w:ascii="Times New Roman" w:hAnsi="Times New Roman" w:cs="Times New Roman"/>
                <w:color w:val="auto"/>
                <w:sz w:val="24"/>
                <w:szCs w:val="24"/>
                <w:highlight w:val="none"/>
                <w:lang w:val="en-US" w:eastAsia="zh-CN"/>
              </w:rPr>
            </w:pPr>
          </w:p>
          <w:p w14:paraId="722BC252">
            <w:pPr>
              <w:rPr>
                <w:rFonts w:hint="eastAsia"/>
                <w:color w:val="auto"/>
                <w:highlight w:val="none"/>
                <w:lang w:val="en-US" w:eastAsia="zh-CN"/>
              </w:rPr>
            </w:pPr>
          </w:p>
          <w:p w14:paraId="793ED958">
            <w:pPr>
              <w:autoSpaceDE w:val="0"/>
              <w:autoSpaceDN w:val="0"/>
              <w:adjustRightInd w:val="0"/>
              <w:snapToGrid w:val="0"/>
              <w:spacing w:line="360" w:lineRule="auto"/>
              <w:rPr>
                <w:rFonts w:hint="eastAsia" w:ascii="Times New Roman" w:hAnsi="Times New Roman" w:cs="Times New Roman"/>
                <w:color w:val="auto"/>
                <w:sz w:val="24"/>
                <w:szCs w:val="24"/>
                <w:highlight w:val="none"/>
                <w:lang w:val="en-US" w:eastAsia="zh-CN"/>
              </w:rPr>
            </w:pPr>
          </w:p>
          <w:p w14:paraId="353CD051">
            <w:pPr>
              <w:pStyle w:val="2"/>
              <w:rPr>
                <w:rFonts w:hint="eastAsia" w:ascii="Times New Roman" w:hAnsi="Times New Roman" w:cs="Times New Roman"/>
                <w:color w:val="auto"/>
                <w:sz w:val="24"/>
                <w:szCs w:val="24"/>
                <w:highlight w:val="none"/>
                <w:lang w:val="en-US" w:eastAsia="zh-CN"/>
              </w:rPr>
            </w:pPr>
          </w:p>
          <w:p w14:paraId="5E0D4615">
            <w:pPr>
              <w:pStyle w:val="11"/>
              <w:rPr>
                <w:rFonts w:hint="eastAsia"/>
                <w:color w:val="auto"/>
                <w:highlight w:val="none"/>
                <w:lang w:val="en-US" w:eastAsia="zh-CN"/>
              </w:rPr>
            </w:pPr>
          </w:p>
          <w:p w14:paraId="0B431150">
            <w:pP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drawing>
                <wp:anchor distT="0" distB="0" distL="114300" distR="114300" simplePos="0" relativeHeight="251662336" behindDoc="1" locked="0" layoutInCell="1" allowOverlap="1">
                  <wp:simplePos x="0" y="0"/>
                  <wp:positionH relativeFrom="column">
                    <wp:posOffset>66675</wp:posOffset>
                  </wp:positionH>
                  <wp:positionV relativeFrom="paragraph">
                    <wp:posOffset>56515</wp:posOffset>
                  </wp:positionV>
                  <wp:extent cx="4791075" cy="3286125"/>
                  <wp:effectExtent l="9525" t="9525" r="19050" b="19050"/>
                  <wp:wrapNone/>
                  <wp:docPr id="20" name="图片 2" descr="生态保护红线10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生态保护红线104m"/>
                          <pic:cNvPicPr>
                            <a:picLocks noChangeAspect="1"/>
                          </pic:cNvPicPr>
                        </pic:nvPicPr>
                        <pic:blipFill>
                          <a:blip r:embed="rId7"/>
                          <a:stretch>
                            <a:fillRect/>
                          </a:stretch>
                        </pic:blipFill>
                        <pic:spPr>
                          <a:xfrm>
                            <a:off x="0" y="0"/>
                            <a:ext cx="4791075" cy="328612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1A2405ED">
            <w:pPr>
              <w:pStyle w:val="2"/>
              <w:rPr>
                <w:rFonts w:hint="eastAsia" w:ascii="宋体" w:hAnsi="宋体" w:eastAsia="宋体" w:cs="宋体"/>
                <w:color w:val="auto"/>
                <w:kern w:val="0"/>
                <w:szCs w:val="21"/>
                <w:highlight w:val="none"/>
                <w:lang w:eastAsia="zh-CN"/>
              </w:rPr>
            </w:pPr>
          </w:p>
          <w:p w14:paraId="5D14E4F0">
            <w:pPr>
              <w:rPr>
                <w:rFonts w:hint="eastAsia" w:ascii="宋体" w:hAnsi="宋体" w:eastAsia="宋体" w:cs="宋体"/>
                <w:color w:val="auto"/>
                <w:kern w:val="0"/>
                <w:szCs w:val="21"/>
                <w:highlight w:val="none"/>
                <w:lang w:eastAsia="zh-CN"/>
              </w:rPr>
            </w:pPr>
          </w:p>
          <w:p w14:paraId="2467B8D0">
            <w:pPr>
              <w:pStyle w:val="2"/>
              <w:rPr>
                <w:rFonts w:hint="eastAsia" w:ascii="宋体" w:hAnsi="宋体" w:eastAsia="宋体" w:cs="宋体"/>
                <w:color w:val="auto"/>
                <w:kern w:val="0"/>
                <w:szCs w:val="21"/>
                <w:highlight w:val="none"/>
                <w:lang w:eastAsia="zh-CN"/>
              </w:rPr>
            </w:pPr>
          </w:p>
          <w:p w14:paraId="65FB8FC6">
            <w:pPr>
              <w:rPr>
                <w:rFonts w:hint="eastAsia" w:ascii="宋体" w:hAnsi="宋体" w:eastAsia="宋体" w:cs="宋体"/>
                <w:color w:val="auto"/>
                <w:kern w:val="0"/>
                <w:szCs w:val="21"/>
                <w:highlight w:val="none"/>
                <w:lang w:eastAsia="zh-CN"/>
              </w:rPr>
            </w:pPr>
          </w:p>
          <w:p w14:paraId="1FC2AAF6">
            <w:pPr>
              <w:pStyle w:val="2"/>
              <w:rPr>
                <w:rFonts w:hint="eastAsia" w:ascii="宋体" w:hAnsi="宋体" w:eastAsia="宋体" w:cs="宋体"/>
                <w:color w:val="auto"/>
                <w:kern w:val="0"/>
                <w:szCs w:val="21"/>
                <w:highlight w:val="none"/>
                <w:lang w:eastAsia="zh-CN"/>
              </w:rPr>
            </w:pPr>
          </w:p>
          <w:p w14:paraId="2136B544">
            <w:pPr>
              <w:rPr>
                <w:rFonts w:hint="eastAsia" w:ascii="宋体" w:hAnsi="宋体" w:eastAsia="宋体" w:cs="宋体"/>
                <w:color w:val="auto"/>
                <w:kern w:val="0"/>
                <w:szCs w:val="21"/>
                <w:highlight w:val="none"/>
                <w:lang w:eastAsia="zh-CN"/>
              </w:rPr>
            </w:pPr>
          </w:p>
          <w:p w14:paraId="3614C3AD">
            <w:pPr>
              <w:pStyle w:val="2"/>
              <w:rPr>
                <w:rFonts w:hint="eastAsia" w:ascii="宋体" w:hAnsi="宋体" w:eastAsia="宋体" w:cs="宋体"/>
                <w:color w:val="auto"/>
                <w:kern w:val="0"/>
                <w:szCs w:val="21"/>
                <w:highlight w:val="none"/>
                <w:lang w:eastAsia="zh-CN"/>
              </w:rPr>
            </w:pPr>
            <w:r>
              <w:rPr>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1753870</wp:posOffset>
                      </wp:positionH>
                      <wp:positionV relativeFrom="paragraph">
                        <wp:posOffset>139700</wp:posOffset>
                      </wp:positionV>
                      <wp:extent cx="720090" cy="273685"/>
                      <wp:effectExtent l="0" t="0" r="0" b="0"/>
                      <wp:wrapNone/>
                      <wp:docPr id="23" name="文本框 23"/>
                      <wp:cNvGraphicFramePr/>
                      <a:graphic xmlns:a="http://schemas.openxmlformats.org/drawingml/2006/main">
                        <a:graphicData uri="http://schemas.microsoft.com/office/word/2010/wordprocessingShape">
                          <wps:wsp>
                            <wps:cNvSpPr txBox="1"/>
                            <wps:spPr>
                              <a:xfrm rot="-780000">
                                <a:off x="0" y="0"/>
                                <a:ext cx="720090" cy="273685"/>
                              </a:xfrm>
                              <a:prstGeom prst="rect">
                                <a:avLst/>
                              </a:prstGeom>
                              <a:noFill/>
                              <a:ln>
                                <a:noFill/>
                              </a:ln>
                            </wps:spPr>
                            <wps:txbx>
                              <w:txbxContent>
                                <w:p w14:paraId="413896D2">
                                  <w:pPr>
                                    <w:rPr>
                                      <w:rFonts w:hint="default" w:eastAsia="宋体"/>
                                      <w:color w:val="FF0000"/>
                                      <w:sz w:val="15"/>
                                      <w:szCs w:val="15"/>
                                      <w:lang w:val="en-US" w:eastAsia="zh-CN"/>
                                    </w:rPr>
                                  </w:pPr>
                                  <w:r>
                                    <w:rPr>
                                      <w:rFonts w:hint="eastAsia"/>
                                      <w:color w:val="FF0000"/>
                                      <w:sz w:val="15"/>
                                      <w:szCs w:val="15"/>
                                      <w:lang w:val="en-US" w:eastAsia="zh-CN"/>
                                    </w:rPr>
                                    <w:t>104m</w:t>
                                  </w:r>
                                </w:p>
                              </w:txbxContent>
                            </wps:txbx>
                            <wps:bodyPr upright="1"/>
                          </wps:wsp>
                        </a:graphicData>
                      </a:graphic>
                    </wp:anchor>
                  </w:drawing>
                </mc:Choice>
                <mc:Fallback>
                  <w:pict>
                    <v:shape id="_x0000_s1026" o:spid="_x0000_s1026" o:spt="202" type="#_x0000_t202" style="position:absolute;left:0pt;margin-left:138.1pt;margin-top:11pt;height:21.55pt;width:56.7pt;rotation:-851968f;z-index:251673600;mso-width-relative:page;mso-height-relative:page;" filled="f" stroked="f" coordsize="21600,21600" o:gfxdata="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iCP89sAAAAJAQAADwAAAAAAAAABACAAAAAiAAAAZHJzL2Rvd25yZXYueG1sUEsBAhQA&#10;FAAAAAgAh07iQJZOa0K2AQAAXQMAAA4AAAAAAAAAAQAgAAAAKgEAAGRycy9lMm9Eb2MueG1sUEsF&#10;BgAAAAAGAAYAWQEAAFIFAAAAAA==&#10;">
                      <v:fill on="f" focussize="0,0"/>
                      <v:stroke on="f"/>
                      <v:imagedata o:title=""/>
                      <o:lock v:ext="edit" aspectratio="f"/>
                      <v:textbox>
                        <w:txbxContent>
                          <w:p w14:paraId="413896D2">
                            <w:pPr>
                              <w:rPr>
                                <w:rFonts w:hint="default" w:eastAsia="宋体"/>
                                <w:color w:val="FF0000"/>
                                <w:sz w:val="15"/>
                                <w:szCs w:val="15"/>
                                <w:lang w:val="en-US" w:eastAsia="zh-CN"/>
                              </w:rPr>
                            </w:pPr>
                            <w:r>
                              <w:rPr>
                                <w:rFonts w:hint="eastAsia"/>
                                <w:color w:val="FF0000"/>
                                <w:sz w:val="15"/>
                                <w:szCs w:val="15"/>
                                <w:lang w:val="en-US" w:eastAsia="zh-CN"/>
                              </w:rPr>
                              <w:t>104m</w:t>
                            </w:r>
                          </w:p>
                        </w:txbxContent>
                      </v:textbox>
                    </v:shape>
                  </w:pict>
                </mc:Fallback>
              </mc:AlternateContent>
            </w:r>
          </w:p>
          <w:p w14:paraId="7DD14111">
            <w:pPr>
              <w:rPr>
                <w:rFonts w:hint="eastAsia" w:ascii="宋体" w:hAnsi="宋体" w:eastAsia="宋体" w:cs="宋体"/>
                <w:color w:val="auto"/>
                <w:kern w:val="0"/>
                <w:szCs w:val="21"/>
                <w:highlight w:val="none"/>
                <w:lang w:eastAsia="zh-CN"/>
              </w:rPr>
            </w:pPr>
            <w:r>
              <w:rPr>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1806575</wp:posOffset>
                      </wp:positionH>
                      <wp:positionV relativeFrom="paragraph">
                        <wp:posOffset>136525</wp:posOffset>
                      </wp:positionV>
                      <wp:extent cx="248920" cy="69215"/>
                      <wp:effectExtent l="0" t="4445" r="17780" b="40640"/>
                      <wp:wrapNone/>
                      <wp:docPr id="21" name="直接连接符 21"/>
                      <wp:cNvGraphicFramePr/>
                      <a:graphic xmlns:a="http://schemas.openxmlformats.org/drawingml/2006/main">
                        <a:graphicData uri="http://schemas.microsoft.com/office/word/2010/wordprocessingShape">
                          <wps:wsp>
                            <wps:cNvCnPr/>
                            <wps:spPr>
                              <a:xfrm flipH="1">
                                <a:off x="0" y="0"/>
                                <a:ext cx="248920" cy="69215"/>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42.25pt;margin-top:10.75pt;height:5.45pt;width:19.6pt;z-index:251672576;mso-width-relative:page;mso-height-relative:page;" filled="f" stroked="t" coordsize="21600,21600" o:gfxdata="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j/Sf1wAAAAkBAAAPAAAAAAAAAAEAIAAAACIAAABk&#10;cnMvZG93bnJldi54bWxQSwECFAAUAAAACACHTuJAl5qxtQcCAAD0AwAADgAAAAAAAAABACAAAAAm&#10;AQAAZHJzL2Uyb0RvYy54bWxQSwUGAAAAAAYABgBZAQAAnwUAAAAA&#10;">
                      <v:fill on="f" focussize="0,0"/>
                      <v:stroke color="#FF0000" joinstyle="round"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2050415</wp:posOffset>
                      </wp:positionH>
                      <wp:positionV relativeFrom="paragraph">
                        <wp:posOffset>22225</wp:posOffset>
                      </wp:positionV>
                      <wp:extent cx="1132205" cy="485140"/>
                      <wp:effectExtent l="4445" t="1270" r="6350" b="8890"/>
                      <wp:wrapNone/>
                      <wp:docPr id="24" name="任意多边形 24"/>
                      <wp:cNvGraphicFramePr/>
                      <a:graphic xmlns:a="http://schemas.openxmlformats.org/drawingml/2006/main">
                        <a:graphicData uri="http://schemas.microsoft.com/office/word/2010/wordprocessingShape">
                          <wps:wsp>
                            <wps:cNvSpPr/>
                            <wps:spPr>
                              <a:xfrm>
                                <a:off x="0" y="0"/>
                                <a:ext cx="1132205" cy="485140"/>
                              </a:xfrm>
                              <a:custGeom>
                                <a:avLst/>
                                <a:gdLst/>
                                <a:ahLst/>
                                <a:cxnLst/>
                                <a:pathLst>
                                  <a:path w="1783" h="764">
                                    <a:moveTo>
                                      <a:pt x="0" y="166"/>
                                    </a:moveTo>
                                    <a:cubicBezTo>
                                      <a:pt x="17" y="146"/>
                                      <a:pt x="56" y="92"/>
                                      <a:pt x="97" y="60"/>
                                    </a:cubicBezTo>
                                    <a:cubicBezTo>
                                      <a:pt x="138" y="28"/>
                                      <a:pt x="161" y="0"/>
                                      <a:pt x="203" y="7"/>
                                    </a:cubicBezTo>
                                    <a:cubicBezTo>
                                      <a:pt x="245" y="14"/>
                                      <a:pt x="267" y="69"/>
                                      <a:pt x="309" y="95"/>
                                    </a:cubicBezTo>
                                    <a:cubicBezTo>
                                      <a:pt x="351" y="121"/>
                                      <a:pt x="373" y="123"/>
                                      <a:pt x="415" y="139"/>
                                    </a:cubicBezTo>
                                    <a:cubicBezTo>
                                      <a:pt x="457" y="155"/>
                                      <a:pt x="479" y="168"/>
                                      <a:pt x="521" y="175"/>
                                    </a:cubicBezTo>
                                    <a:cubicBezTo>
                                      <a:pt x="563" y="182"/>
                                      <a:pt x="585" y="172"/>
                                      <a:pt x="627" y="175"/>
                                    </a:cubicBezTo>
                                    <a:cubicBezTo>
                                      <a:pt x="669" y="178"/>
                                      <a:pt x="691" y="187"/>
                                      <a:pt x="733" y="192"/>
                                    </a:cubicBezTo>
                                    <a:cubicBezTo>
                                      <a:pt x="775" y="197"/>
                                      <a:pt x="797" y="199"/>
                                      <a:pt x="839" y="201"/>
                                    </a:cubicBezTo>
                                    <a:cubicBezTo>
                                      <a:pt x="881" y="203"/>
                                      <a:pt x="902" y="201"/>
                                      <a:pt x="944" y="201"/>
                                    </a:cubicBezTo>
                                    <a:cubicBezTo>
                                      <a:pt x="986" y="201"/>
                                      <a:pt x="1008" y="201"/>
                                      <a:pt x="1050" y="201"/>
                                    </a:cubicBezTo>
                                    <a:cubicBezTo>
                                      <a:pt x="1092" y="201"/>
                                      <a:pt x="1114" y="201"/>
                                      <a:pt x="1156" y="201"/>
                                    </a:cubicBezTo>
                                    <a:cubicBezTo>
                                      <a:pt x="1198" y="201"/>
                                      <a:pt x="1220" y="206"/>
                                      <a:pt x="1262" y="201"/>
                                    </a:cubicBezTo>
                                    <a:cubicBezTo>
                                      <a:pt x="1304" y="196"/>
                                      <a:pt x="1326" y="189"/>
                                      <a:pt x="1368" y="175"/>
                                    </a:cubicBezTo>
                                    <a:cubicBezTo>
                                      <a:pt x="1410" y="161"/>
                                      <a:pt x="1432" y="149"/>
                                      <a:pt x="1474" y="131"/>
                                    </a:cubicBezTo>
                                    <a:cubicBezTo>
                                      <a:pt x="1516" y="113"/>
                                      <a:pt x="1538" y="103"/>
                                      <a:pt x="1580" y="87"/>
                                    </a:cubicBezTo>
                                    <a:cubicBezTo>
                                      <a:pt x="1622" y="71"/>
                                      <a:pt x="1647" y="37"/>
                                      <a:pt x="1686" y="51"/>
                                    </a:cubicBezTo>
                                    <a:cubicBezTo>
                                      <a:pt x="1725" y="65"/>
                                      <a:pt x="1765" y="115"/>
                                      <a:pt x="1774" y="157"/>
                                    </a:cubicBezTo>
                                    <a:cubicBezTo>
                                      <a:pt x="1783" y="199"/>
                                      <a:pt x="1746" y="221"/>
                                      <a:pt x="1730" y="263"/>
                                    </a:cubicBezTo>
                                    <a:cubicBezTo>
                                      <a:pt x="1714" y="305"/>
                                      <a:pt x="1703" y="327"/>
                                      <a:pt x="1694" y="369"/>
                                    </a:cubicBezTo>
                                    <a:cubicBezTo>
                                      <a:pt x="1685" y="411"/>
                                      <a:pt x="1689" y="433"/>
                                      <a:pt x="1686" y="475"/>
                                    </a:cubicBezTo>
                                    <a:cubicBezTo>
                                      <a:pt x="1683" y="517"/>
                                      <a:pt x="1686" y="539"/>
                                      <a:pt x="1677" y="581"/>
                                    </a:cubicBezTo>
                                    <a:cubicBezTo>
                                      <a:pt x="1668" y="623"/>
                                      <a:pt x="1669" y="652"/>
                                      <a:pt x="1641" y="687"/>
                                    </a:cubicBezTo>
                                    <a:cubicBezTo>
                                      <a:pt x="1613" y="722"/>
                                      <a:pt x="1578" y="750"/>
                                      <a:pt x="1536" y="757"/>
                                    </a:cubicBezTo>
                                    <a:cubicBezTo>
                                      <a:pt x="1494" y="764"/>
                                      <a:pt x="1472" y="731"/>
                                      <a:pt x="1430" y="722"/>
                                    </a:cubicBezTo>
                                    <a:cubicBezTo>
                                      <a:pt x="1388" y="713"/>
                                      <a:pt x="1366" y="715"/>
                                      <a:pt x="1324" y="713"/>
                                    </a:cubicBezTo>
                                    <a:cubicBezTo>
                                      <a:pt x="1282" y="711"/>
                                      <a:pt x="1260" y="717"/>
                                      <a:pt x="1218" y="713"/>
                                    </a:cubicBezTo>
                                    <a:cubicBezTo>
                                      <a:pt x="1176" y="709"/>
                                      <a:pt x="1154" y="707"/>
                                      <a:pt x="1112" y="695"/>
                                    </a:cubicBezTo>
                                    <a:cubicBezTo>
                                      <a:pt x="1070" y="683"/>
                                      <a:pt x="1048" y="669"/>
                                      <a:pt x="1006" y="651"/>
                                    </a:cubicBezTo>
                                    <a:cubicBezTo>
                                      <a:pt x="964" y="633"/>
                                      <a:pt x="942" y="621"/>
                                      <a:pt x="900" y="607"/>
                                    </a:cubicBezTo>
                                    <a:cubicBezTo>
                                      <a:pt x="858" y="593"/>
                                      <a:pt x="836" y="588"/>
                                      <a:pt x="794" y="581"/>
                                    </a:cubicBezTo>
                                    <a:cubicBezTo>
                                      <a:pt x="752" y="574"/>
                                      <a:pt x="731" y="577"/>
                                      <a:pt x="689" y="572"/>
                                    </a:cubicBezTo>
                                    <a:cubicBezTo>
                                      <a:pt x="647" y="567"/>
                                      <a:pt x="625" y="563"/>
                                      <a:pt x="583" y="554"/>
                                    </a:cubicBezTo>
                                    <a:cubicBezTo>
                                      <a:pt x="541" y="545"/>
                                      <a:pt x="519" y="544"/>
                                      <a:pt x="477" y="528"/>
                                    </a:cubicBezTo>
                                    <a:cubicBezTo>
                                      <a:pt x="435" y="512"/>
                                      <a:pt x="413" y="505"/>
                                      <a:pt x="371" y="475"/>
                                    </a:cubicBezTo>
                                    <a:cubicBezTo>
                                      <a:pt x="329" y="445"/>
                                      <a:pt x="307" y="412"/>
                                      <a:pt x="265" y="378"/>
                                    </a:cubicBezTo>
                                    <a:cubicBezTo>
                                      <a:pt x="223" y="344"/>
                                      <a:pt x="201" y="335"/>
                                      <a:pt x="159" y="307"/>
                                    </a:cubicBezTo>
                                    <a:cubicBezTo>
                                      <a:pt x="117" y="279"/>
                                      <a:pt x="85" y="265"/>
                                      <a:pt x="53" y="237"/>
                                    </a:cubicBezTo>
                                    <a:cubicBezTo>
                                      <a:pt x="21" y="209"/>
                                      <a:pt x="8" y="179"/>
                                      <a:pt x="0" y="166"/>
                                    </a:cubicBezTo>
                                    <a:close/>
                                  </a:path>
                                </a:pathLst>
                              </a:custGeom>
                              <a:noFill/>
                              <a:ln w="63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61.45pt;margin-top:1.75pt;height:38.2pt;width:89.15pt;z-index:251671552;mso-width-relative:page;mso-height-relative:page;" filled="f" stroked="t" coordsize="1783,764" o:gfxdata="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2roYatcAAAAIAQAADwAAAAAAAAAB&#10;ACAAAAAiAAAAZHJzL2Rvd25yZXYueG1sUEsBAhQAFAAAAAgAh07iQAoO2LehBQAAIRMAAA4AAAAA&#10;AAAAAQAgAAAAJgEAAGRycy9lMm9Eb2MueG1sUEsFBgAAAAAGAAYAWQEAADkJAAAAAA==&#10;" path="m0,166c17,146,56,92,97,60c138,28,161,0,203,7c245,14,267,69,309,95c351,121,373,123,415,139c457,155,479,168,521,175c563,182,585,172,627,175c669,178,691,187,733,192c775,197,797,199,839,201c881,203,902,201,944,201c986,201,1008,201,1050,201c1092,201,1114,201,1156,201c1198,201,1220,206,1262,201c1304,196,1326,189,1368,175c1410,161,1432,149,1474,131c1516,113,1538,103,1580,87c1622,71,1647,37,1686,51c1725,65,1765,115,1774,157c1783,199,1746,221,1730,263c1714,305,1703,327,1694,369c1685,411,1689,433,1686,475c1683,517,1686,539,1677,581c1668,623,1669,652,1641,687c1613,722,1578,750,1536,757c1494,764,1472,731,1430,722c1388,713,1366,715,1324,713c1282,711,1260,717,1218,713c1176,709,1154,707,1112,695c1070,683,1048,669,1006,651c964,633,942,621,900,607c858,593,836,588,794,581c752,574,731,577,689,572c647,567,625,563,583,554c541,545,519,544,477,528c435,512,413,505,371,475c329,445,307,412,265,378c223,344,201,335,159,307c117,279,85,265,53,237c21,209,8,179,0,166xe">
                      <v:fill on="f" focussize="0,0"/>
                      <v:stroke weight="0.5pt" color="#FF0000" joinstyle="round"/>
                      <v:imagedata o:title=""/>
                      <o:lock v:ext="edit" aspectratio="f"/>
                    </v:shape>
                  </w:pict>
                </mc:Fallback>
              </mc:AlternateContent>
            </w:r>
          </w:p>
          <w:p w14:paraId="49FB9DC0">
            <w:pPr>
              <w:pStyle w:val="2"/>
              <w:rPr>
                <w:rFonts w:hint="eastAsia" w:ascii="宋体" w:hAnsi="宋体" w:eastAsia="宋体" w:cs="宋体"/>
                <w:color w:val="auto"/>
                <w:kern w:val="0"/>
                <w:szCs w:val="21"/>
                <w:highlight w:val="none"/>
                <w:lang w:eastAsia="zh-CN"/>
              </w:rPr>
            </w:pPr>
          </w:p>
          <w:p w14:paraId="0D1B3AE9">
            <w:pPr>
              <w:rPr>
                <w:rFonts w:hint="eastAsia" w:ascii="宋体" w:hAnsi="宋体" w:eastAsia="宋体" w:cs="宋体"/>
                <w:color w:val="auto"/>
                <w:kern w:val="0"/>
                <w:szCs w:val="21"/>
                <w:highlight w:val="none"/>
                <w:lang w:eastAsia="zh-CN"/>
              </w:rPr>
            </w:pPr>
          </w:p>
          <w:p w14:paraId="2CC85B5D">
            <w:pPr>
              <w:pStyle w:val="2"/>
              <w:jc w:val="center"/>
              <w:rPr>
                <w:rFonts w:hint="eastAsia" w:ascii="宋体" w:hAnsi="宋体" w:cs="宋体"/>
                <w:color w:val="auto"/>
                <w:kern w:val="0"/>
                <w:szCs w:val="21"/>
                <w:highlight w:val="none"/>
                <w:lang w:eastAsia="zh-CN"/>
              </w:rPr>
            </w:pPr>
          </w:p>
          <w:p w14:paraId="6A24B984">
            <w:pPr>
              <w:pStyle w:val="2"/>
              <w:jc w:val="center"/>
              <w:rPr>
                <w:rFonts w:hint="eastAsia" w:ascii="宋体" w:hAnsi="宋体" w:cs="宋体"/>
                <w:color w:val="auto"/>
                <w:kern w:val="0"/>
                <w:szCs w:val="21"/>
                <w:highlight w:val="none"/>
                <w:lang w:eastAsia="zh-CN"/>
              </w:rPr>
            </w:pPr>
          </w:p>
          <w:p w14:paraId="1B1E72E1">
            <w:pPr>
              <w:pStyle w:val="2"/>
              <w:jc w:val="center"/>
              <w:rPr>
                <w:rFonts w:hint="eastAsia" w:ascii="宋体" w:hAnsi="宋体" w:cs="宋体"/>
                <w:color w:val="auto"/>
                <w:kern w:val="0"/>
                <w:szCs w:val="21"/>
                <w:highlight w:val="none"/>
                <w:lang w:eastAsia="zh-CN"/>
              </w:rPr>
            </w:pPr>
          </w:p>
          <w:p w14:paraId="0B097DFA">
            <w:pPr>
              <w:pStyle w:val="2"/>
              <w:jc w:val="center"/>
              <w:rPr>
                <w:rFonts w:hint="eastAsia" w:ascii="宋体" w:hAnsi="宋体" w:cs="宋体"/>
                <w:color w:val="auto"/>
                <w:kern w:val="0"/>
                <w:szCs w:val="21"/>
                <w:highlight w:val="none"/>
                <w:lang w:eastAsia="zh-CN"/>
              </w:rPr>
            </w:pPr>
          </w:p>
          <w:p w14:paraId="21F32245">
            <w:pPr>
              <w:pStyle w:val="2"/>
              <w:jc w:val="center"/>
              <w:rPr>
                <w:rFonts w:hint="eastAsia" w:ascii="宋体" w:hAnsi="宋体" w:cs="宋体"/>
                <w:color w:val="auto"/>
                <w:kern w:val="0"/>
                <w:szCs w:val="21"/>
                <w:highlight w:val="none"/>
                <w:lang w:eastAsia="zh-CN"/>
              </w:rPr>
            </w:pPr>
          </w:p>
          <w:p w14:paraId="2274AD9D">
            <w:pPr>
              <w:pStyle w:val="2"/>
              <w:jc w:val="center"/>
              <w:rPr>
                <w:rFonts w:hint="eastAsia" w:ascii="宋体" w:hAnsi="宋体" w:cs="宋体"/>
                <w:color w:val="auto"/>
                <w:kern w:val="0"/>
                <w:szCs w:val="21"/>
                <w:highlight w:val="none"/>
                <w:lang w:eastAsia="zh-CN"/>
              </w:rPr>
            </w:pPr>
          </w:p>
          <w:p w14:paraId="0E97011C">
            <w:pPr>
              <w:pStyle w:val="2"/>
              <w:jc w:val="center"/>
              <w:rPr>
                <w:rFonts w:hint="eastAsia" w:ascii="宋体" w:hAnsi="宋体" w:cs="宋体"/>
                <w:color w:val="auto"/>
                <w:kern w:val="0"/>
                <w:szCs w:val="21"/>
                <w:highlight w:val="none"/>
                <w:lang w:eastAsia="zh-CN"/>
              </w:rPr>
            </w:pPr>
          </w:p>
          <w:p w14:paraId="09808403">
            <w:pPr>
              <w:pStyle w:val="2"/>
              <w:jc w:val="center"/>
              <w:rPr>
                <w:rFonts w:hint="eastAsia" w:ascii="宋体" w:hAnsi="宋体" w:cs="宋体"/>
                <w:color w:val="auto"/>
                <w:kern w:val="0"/>
                <w:szCs w:val="21"/>
                <w:highlight w:val="none"/>
                <w:lang w:eastAsia="zh-CN"/>
              </w:rPr>
            </w:pPr>
          </w:p>
          <w:p w14:paraId="02C0C016">
            <w:pPr>
              <w:pStyle w:val="2"/>
              <w:ind w:left="0" w:leftChars="0" w:firstLine="0" w:firstLineChars="0"/>
              <w:jc w:val="both"/>
              <w:rPr>
                <w:rFonts w:hint="eastAsia" w:ascii="宋体" w:hAnsi="宋体" w:cs="宋体"/>
                <w:color w:val="auto"/>
                <w:kern w:val="0"/>
                <w:sz w:val="24"/>
                <w:szCs w:val="24"/>
                <w:highlight w:val="none"/>
                <w:lang w:eastAsia="zh-CN"/>
              </w:rPr>
            </w:pPr>
          </w:p>
          <w:p w14:paraId="7DFC568C">
            <w:pPr>
              <w:pStyle w:val="2"/>
              <w:keepNext w:val="0"/>
              <w:keepLines w:val="0"/>
              <w:pageBreakBefore w:val="0"/>
              <w:widowControl w:val="0"/>
              <w:kinsoku/>
              <w:wordWrap/>
              <w:overflowPunct/>
              <w:topLinePunct w:val="0"/>
              <w:bidi w:val="0"/>
              <w:spacing w:line="480" w:lineRule="exact"/>
              <w:ind w:left="0" w:leftChars="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eastAsia="zh-CN"/>
              </w:rPr>
              <w:t>图</w:t>
            </w:r>
            <w:r>
              <w:rPr>
                <w:rFonts w:hint="default" w:ascii="Times New Roman" w:hAnsi="Times New Roman" w:cs="Times New Roman"/>
                <w:color w:val="auto"/>
                <w:kern w:val="0"/>
                <w:sz w:val="24"/>
                <w:szCs w:val="24"/>
                <w:highlight w:val="none"/>
                <w:lang w:val="en-US" w:eastAsia="zh-CN"/>
              </w:rPr>
              <w:t>1-1 项目与生态保护红线位置关系图</w:t>
            </w:r>
          </w:p>
          <w:p w14:paraId="0873CB8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（二）环境质量底线</w:t>
            </w:r>
          </w:p>
          <w:p w14:paraId="2D7677AD">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00A2AE4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①环境空气：</w:t>
            </w:r>
            <w:r>
              <w:rPr>
                <w:rFonts w:hint="default" w:ascii="Times New Roman" w:hAnsi="Times New Roman" w:eastAsia="宋体" w:cs="Times New Roman"/>
                <w:color w:val="auto"/>
                <w:sz w:val="24"/>
                <w:szCs w:val="24"/>
                <w:highlight w:val="none"/>
              </w:rPr>
              <w:t>根据</w:t>
            </w:r>
            <w:r>
              <w:rPr>
                <w:rFonts w:hint="default" w:ascii="Times New Roman" w:hAnsi="Times New Roman" w:cs="Times New Roman"/>
                <w:color w:val="auto"/>
                <w:kern w:val="0"/>
                <w:sz w:val="24"/>
                <w:szCs w:val="24"/>
                <w:highlight w:val="none"/>
                <w:lang w:val="en-US" w:eastAsia="zh-CN"/>
              </w:rPr>
              <w:t>《关于2023年12月份全市空气质量预警监测结果的通报》</w:t>
            </w:r>
            <w:r>
              <w:rPr>
                <w:rFonts w:hint="default" w:ascii="Times New Roman" w:hAnsi="Times New Roman" w:eastAsia="宋体" w:cs="Times New Roman"/>
                <w:color w:val="auto"/>
                <w:sz w:val="24"/>
                <w:szCs w:val="24"/>
                <w:highlight w:val="none"/>
              </w:rPr>
              <w:t>监测数据可知</w:t>
            </w:r>
            <w:r>
              <w:rPr>
                <w:rFonts w:hint="default" w:ascii="Times New Roman" w:hAnsi="Times New Roman" w:eastAsia="宋体" w:cs="Times New Roman"/>
                <w:color w:val="auto"/>
                <w:sz w:val="24"/>
                <w:szCs w:val="24"/>
                <w:highlight w:val="none"/>
                <w:lang w:eastAsia="zh-CN"/>
              </w:rPr>
              <w:t>项目所在区域环境空气中</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、二氧化硫、氮氧化物、一氧化碳、满足《环境空气质量标准》（GB3095-2012）中二级标准，</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rPr>
              <w:t>不满足《环境空气质量标准》（GB3095-2012）中二级标准，所以项目所在区域为环境空气质量不达标区</w:t>
            </w:r>
            <w:r>
              <w:rPr>
                <w:rFonts w:hint="default" w:ascii="Times New Roman" w:hAnsi="Times New Roman" w:eastAsia="宋体" w:cs="Times New Roman"/>
                <w:color w:val="auto"/>
                <w:sz w:val="24"/>
                <w:szCs w:val="24"/>
                <w:highlight w:val="none"/>
                <w:lang w:eastAsia="zh-CN"/>
              </w:rPr>
              <w:t>。本项目运营期主要产生的污染物为颗粒物</w:t>
            </w:r>
            <w:r>
              <w:rPr>
                <w:rFonts w:hint="eastAsia" w:ascii="Times New Roman" w:hAnsi="Times New Roman" w:eastAsia="宋体" w:cs="Times New Roman"/>
                <w:color w:val="auto"/>
                <w:sz w:val="24"/>
                <w:szCs w:val="24"/>
                <w:highlight w:val="none"/>
                <w:lang w:eastAsia="zh-CN"/>
              </w:rPr>
              <w:t>和非甲烷总烃</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经过厂区除尘器收集处理后</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达标排放。本项目处于臭氧不达标区，</w:t>
            </w:r>
            <w:r>
              <w:rPr>
                <w:rFonts w:hint="eastAsia" w:cs="Times New Roman"/>
                <w:color w:val="auto"/>
                <w:sz w:val="24"/>
                <w:szCs w:val="24"/>
                <w:highlight w:val="none"/>
                <w:lang w:val="en-US" w:eastAsia="zh-CN"/>
              </w:rPr>
              <w:t>非甲烷总烃会对臭氧的生成起促进作用。因此企业与2024年11月1日向承德市生态环境局</w:t>
            </w:r>
            <w:r>
              <w:rPr>
                <w:rFonts w:hint="eastAsia" w:ascii="Times New Roman" w:hAnsi="Times New Roman" w:eastAsia="宋体" w:cs="Times New Roman"/>
                <w:color w:val="auto"/>
                <w:sz w:val="24"/>
                <w:szCs w:val="24"/>
                <w:highlight w:val="none"/>
                <w:lang w:eastAsia="zh-CN"/>
              </w:rPr>
              <w:t>宽城满族自治县生态环境局</w:t>
            </w:r>
            <w:r>
              <w:rPr>
                <w:rFonts w:hint="eastAsia" w:cs="Times New Roman"/>
                <w:color w:val="auto"/>
                <w:sz w:val="24"/>
                <w:szCs w:val="24"/>
                <w:highlight w:val="none"/>
                <w:lang w:val="en-US" w:eastAsia="zh-CN"/>
              </w:rPr>
              <w:t>申请</w:t>
            </w:r>
            <w:r>
              <w:rPr>
                <w:rFonts w:hint="eastAsia" w:ascii="Times New Roman" w:hAnsi="Times New Roman" w:eastAsia="宋体" w:cs="Times New Roman"/>
                <w:color w:val="auto"/>
                <w:sz w:val="24"/>
                <w:szCs w:val="24"/>
                <w:highlight w:val="none"/>
                <w:lang w:eastAsia="zh-CN"/>
              </w:rPr>
              <w:t>开具</w:t>
            </w:r>
            <w:r>
              <w:rPr>
                <w:rFonts w:hint="eastAsia" w:cs="Times New Roman"/>
                <w:color w:val="auto"/>
                <w:sz w:val="24"/>
                <w:szCs w:val="24"/>
                <w:highlight w:val="none"/>
                <w:lang w:val="en-US" w:eastAsia="zh-CN"/>
              </w:rPr>
              <w:t>了宽城双兴矿山制造有限公司扩建2000吨矿山设备铸件项目污染源代替削减源的说明（见附件16）</w:t>
            </w:r>
            <w:r>
              <w:rPr>
                <w:rFonts w:hint="eastAsia" w:ascii="Times New Roman" w:hAnsi="Times New Roman" w:eastAsia="宋体" w:cs="Times New Roman"/>
                <w:color w:val="auto"/>
                <w:sz w:val="24"/>
                <w:szCs w:val="24"/>
                <w:highlight w:val="none"/>
                <w:lang w:eastAsia="zh-CN"/>
              </w:rPr>
              <w:t>。经预测无组织颗粒物产生量较小，不会对周边环境产生影响</w:t>
            </w:r>
            <w:r>
              <w:rPr>
                <w:rFonts w:hint="default" w:ascii="Times New Roman" w:hAnsi="Times New Roman" w:eastAsia="宋体" w:cs="Times New Roman"/>
                <w:color w:val="auto"/>
                <w:sz w:val="24"/>
                <w:szCs w:val="24"/>
                <w:highlight w:val="none"/>
                <w:lang w:eastAsia="zh-CN"/>
              </w:rPr>
              <w:t>。符合环境空气质量底线要求。</w:t>
            </w:r>
          </w:p>
          <w:p w14:paraId="58A54670">
            <w:pPr>
              <w:pStyle w:val="2"/>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②水环境：</w:t>
            </w:r>
            <w:r>
              <w:rPr>
                <w:rFonts w:hint="eastAsia" w:ascii="Times New Roman" w:hAnsi="Times New Roman" w:eastAsia="宋体" w:cs="Times New Roman"/>
                <w:color w:val="auto"/>
                <w:sz w:val="24"/>
                <w:szCs w:val="24"/>
                <w:highlight w:val="none"/>
                <w:lang w:eastAsia="zh-CN"/>
              </w:rPr>
              <w:t>项目生产运行阶段</w:t>
            </w:r>
            <w:r>
              <w:rPr>
                <w:color w:val="auto"/>
                <w:sz w:val="24"/>
                <w:szCs w:val="24"/>
                <w:highlight w:val="none"/>
              </w:rPr>
              <w:t>冷却</w:t>
            </w:r>
            <w:r>
              <w:rPr>
                <w:rFonts w:hint="eastAsia"/>
                <w:color w:val="auto"/>
                <w:sz w:val="24"/>
                <w:szCs w:val="24"/>
                <w:highlight w:val="none"/>
                <w:lang w:eastAsia="zh-CN"/>
              </w:rPr>
              <w:t>水循环利用，</w:t>
            </w:r>
            <w:r>
              <w:rPr>
                <w:rFonts w:hint="eastAsia"/>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rPr>
              <w:t>职工生活</w:t>
            </w:r>
            <w:r>
              <w:rPr>
                <w:rFonts w:hint="eastAsia" w:ascii="Times New Roman" w:hAnsi="Times New Roman" w:eastAsia="宋体" w:cs="Times New Roman"/>
                <w:color w:val="auto"/>
                <w:sz w:val="24"/>
                <w:szCs w:val="24"/>
                <w:highlight w:val="none"/>
                <w:lang w:eastAsia="zh-CN"/>
              </w:rPr>
              <w:t>产生的生活污水、食堂废水</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4"/>
                <w:szCs w:val="24"/>
                <w:highlight w:val="none"/>
                <w:lang w:val="en-US" w:eastAsia="zh-CN"/>
              </w:rPr>
              <w:t>正常情况下，不会对地表水环境产生影响；根据《环境影响评价技术导则地下水环境》（HJ610-2016）防渗等级的划分依据，项目厂区进行分区防渗，正常情况下，不会对地下水环境产生影响。符合水环境质量底线的要求。</w:t>
            </w:r>
          </w:p>
          <w:p w14:paraId="79DEE8B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③声环境：项目所在区域</w:t>
            </w:r>
            <w:r>
              <w:rPr>
                <w:rFonts w:hint="eastAsia" w:ascii="Times New Roman" w:hAnsi="Times New Roman" w:eastAsia="宋体" w:cs="Times New Roman"/>
                <w:color w:val="auto"/>
                <w:sz w:val="24"/>
                <w:szCs w:val="24"/>
                <w:highlight w:val="none"/>
                <w:lang w:val="en-US" w:eastAsia="zh-CN"/>
              </w:rPr>
              <w:t>东、西、北侧</w:t>
            </w:r>
            <w:r>
              <w:rPr>
                <w:rFonts w:hint="default" w:ascii="Times New Roman" w:hAnsi="Times New Roman" w:eastAsia="宋体" w:cs="Times New Roman"/>
                <w:color w:val="auto"/>
                <w:sz w:val="24"/>
                <w:szCs w:val="24"/>
                <w:highlight w:val="none"/>
                <w:lang w:val="en-US" w:eastAsia="zh-CN"/>
              </w:rPr>
              <w:t>声环境执行《声环境质量标准》（GB3096-2008）2类标准，</w:t>
            </w:r>
            <w:r>
              <w:rPr>
                <w:rFonts w:hint="eastAsia" w:ascii="Times New Roman" w:hAnsi="Times New Roman" w:eastAsia="宋体" w:cs="Times New Roman"/>
                <w:color w:val="auto"/>
                <w:sz w:val="24"/>
                <w:szCs w:val="24"/>
                <w:highlight w:val="none"/>
                <w:lang w:val="en-US" w:eastAsia="zh-CN"/>
              </w:rPr>
              <w:t>南侧执行</w:t>
            </w:r>
            <w:r>
              <w:rPr>
                <w:rFonts w:hint="default" w:ascii="Times New Roman" w:hAnsi="Times New Roman" w:eastAsia="宋体" w:cs="Times New Roman"/>
                <w:color w:val="auto"/>
                <w:sz w:val="24"/>
                <w:szCs w:val="24"/>
                <w:highlight w:val="none"/>
                <w:lang w:val="en-US" w:eastAsia="zh-CN"/>
              </w:rPr>
              <w:t>声环境执行《声环境质量标准》（GB3096-2008）</w:t>
            </w:r>
            <w:r>
              <w:rPr>
                <w:rFonts w:hint="eastAsia" w:ascii="Times New Roman" w:hAnsi="Times New Roman" w:eastAsia="宋体" w:cs="Times New Roman"/>
                <w:color w:val="auto"/>
                <w:sz w:val="24"/>
                <w:szCs w:val="24"/>
                <w:highlight w:val="none"/>
                <w:lang w:val="en-US" w:eastAsia="zh-CN"/>
              </w:rPr>
              <w:t>4a类标准。</w:t>
            </w:r>
            <w:r>
              <w:rPr>
                <w:rFonts w:hint="default" w:ascii="Times New Roman" w:hAnsi="Times New Roman" w:eastAsia="宋体" w:cs="Times New Roman"/>
                <w:color w:val="auto"/>
                <w:sz w:val="24"/>
                <w:szCs w:val="24"/>
                <w:highlight w:val="none"/>
                <w:lang w:val="en-US" w:eastAsia="zh-CN"/>
              </w:rPr>
              <w:t>根据环境质量现状监测报告</w:t>
            </w:r>
            <w:r>
              <w:rPr>
                <w:rFonts w:hint="eastAsia" w:ascii="Times New Roman" w:hAnsi="Times New Roman" w:eastAsia="宋体" w:cs="Times New Roman"/>
                <w:color w:val="auto"/>
                <w:sz w:val="24"/>
                <w:szCs w:val="24"/>
                <w:highlight w:val="none"/>
                <w:lang w:val="en-US" w:eastAsia="zh-CN"/>
              </w:rPr>
              <w:t>（圣合（检）字WT2024-1456）</w:t>
            </w:r>
            <w:r>
              <w:rPr>
                <w:rFonts w:hint="default" w:ascii="Times New Roman" w:hAnsi="Times New Roman" w:eastAsia="宋体" w:cs="Times New Roman"/>
                <w:color w:val="auto"/>
                <w:sz w:val="24"/>
                <w:szCs w:val="24"/>
                <w:highlight w:val="none"/>
                <w:lang w:val="en-US" w:eastAsia="zh-CN"/>
              </w:rPr>
              <w:t>，项目所在区域声环境现状满足环境质量标准要求。项目主要噪声源优先选用低噪声设备，并置于车间内，设备采用基础减振、厂房隔声等措施，根据预测结果，厂界噪声贡献值满足《工业企业厂界环境噪声排放标准》(GB13248-2008)标准</w:t>
            </w:r>
            <w:r>
              <w:rPr>
                <w:rFonts w:hint="eastAsia" w:ascii="Times New Roman" w:hAnsi="Times New Roman" w:eastAsia="宋体" w:cs="Times New Roman"/>
                <w:color w:val="auto"/>
                <w:sz w:val="24"/>
                <w:szCs w:val="24"/>
                <w:highlight w:val="none"/>
                <w:lang w:val="en-US" w:eastAsia="zh-CN"/>
              </w:rPr>
              <w:t>的相关</w:t>
            </w:r>
            <w:r>
              <w:rPr>
                <w:rFonts w:hint="default" w:ascii="Times New Roman" w:hAnsi="Times New Roman" w:eastAsia="宋体" w:cs="Times New Roman"/>
                <w:color w:val="auto"/>
                <w:sz w:val="24"/>
                <w:szCs w:val="24"/>
                <w:highlight w:val="none"/>
                <w:lang w:val="en-US" w:eastAsia="zh-CN"/>
              </w:rPr>
              <w:t>要求，不会改变厂界现有功能的要求。</w:t>
            </w:r>
            <w:r>
              <w:rPr>
                <w:rFonts w:hint="default" w:ascii="Times New Roman" w:hAnsi="Times New Roman" w:eastAsia="宋体" w:cs="Times New Roman"/>
                <w:color w:val="auto"/>
                <w:sz w:val="24"/>
                <w:szCs w:val="24"/>
                <w:highlight w:val="none"/>
              </w:rPr>
              <w:t>因此项目不会突破</w:t>
            </w:r>
            <w:r>
              <w:rPr>
                <w:rFonts w:hint="eastAsia" w:ascii="Times New Roman" w:hAnsi="Times New Roman" w:eastAsia="宋体" w:cs="Times New Roman"/>
                <w:color w:val="auto"/>
                <w:sz w:val="24"/>
                <w:szCs w:val="24"/>
                <w:highlight w:val="none"/>
                <w:lang w:eastAsia="zh-CN"/>
              </w:rPr>
              <w:t>声</w:t>
            </w:r>
            <w:r>
              <w:rPr>
                <w:rFonts w:hint="default" w:ascii="Times New Roman" w:hAnsi="Times New Roman" w:eastAsia="宋体" w:cs="Times New Roman"/>
                <w:color w:val="auto"/>
                <w:sz w:val="24"/>
                <w:szCs w:val="24"/>
                <w:highlight w:val="none"/>
              </w:rPr>
              <w:t>环境质量底线要求。</w:t>
            </w:r>
          </w:p>
          <w:p w14:paraId="204B57D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（三）资源利用上线</w:t>
            </w:r>
          </w:p>
          <w:p w14:paraId="20F31BD2">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资源是环境的载体，资源利用上线是各地区能源、水、土地等资源消耗不得突破的</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天花板</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0F3A2555">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本项目生产设备采用国内较先进设备，原材料主要是</w:t>
            </w:r>
            <w:r>
              <w:rPr>
                <w:color w:val="auto"/>
                <w:sz w:val="24"/>
                <w:szCs w:val="24"/>
                <w:highlight w:val="none"/>
              </w:rPr>
              <w:t>废钢</w:t>
            </w:r>
            <w:r>
              <w:rPr>
                <w:rFonts w:hint="eastAsia" w:ascii="Times New Roman" w:hAnsi="Times New Roman" w:cs="Times New Roman"/>
                <w:color w:val="auto"/>
                <w:sz w:val="24"/>
                <w:szCs w:val="24"/>
                <w:highlight w:val="none"/>
                <w:lang w:val="en-US" w:eastAsia="zh-CN"/>
              </w:rPr>
              <w:t>、锰铁、铬铁、镍钨合金等</w:t>
            </w:r>
            <w:r>
              <w:rPr>
                <w:rFonts w:hint="default" w:ascii="Times New Roman" w:hAnsi="Times New Roman" w:eastAsia="宋体" w:cs="Times New Roman"/>
                <w:color w:val="auto"/>
                <w:sz w:val="24"/>
                <w:szCs w:val="24"/>
                <w:highlight w:val="none"/>
              </w:rPr>
              <w:t>，同时会消耗一定的水电资源，不属于《环境保护综合名录（2021年版）》高耗能、高环境风险项目，不会达到资源利用上限。</w:t>
            </w:r>
          </w:p>
          <w:p w14:paraId="1E6BBEA3">
            <w:pPr>
              <w:keepNext w:val="0"/>
              <w:keepLines w:val="0"/>
              <w:pageBreakBefore w:val="0"/>
              <w:widowControl w:val="0"/>
              <w:numPr>
                <w:ilvl w:val="0"/>
                <w:numId w:val="1"/>
              </w:numPr>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生态</w:t>
            </w:r>
            <w:r>
              <w:rPr>
                <w:rFonts w:hint="default" w:ascii="Times New Roman" w:hAnsi="Times New Roman" w:eastAsia="宋体" w:cs="Times New Roman"/>
                <w:color w:val="auto"/>
                <w:sz w:val="24"/>
                <w:szCs w:val="24"/>
                <w:highlight w:val="none"/>
              </w:rPr>
              <w:t>准入负面清单</w:t>
            </w:r>
          </w:p>
          <w:p w14:paraId="5C423FA2">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根据《承德</w:t>
            </w:r>
            <w:r>
              <w:rPr>
                <w:rFonts w:hint="eastAsia" w:ascii="Times New Roman" w:hAnsi="Times New Roman" w:eastAsia="宋体" w:cs="Times New Roman"/>
                <w:color w:val="auto"/>
                <w:sz w:val="24"/>
                <w:szCs w:val="24"/>
                <w:highlight w:val="none"/>
                <w:lang w:eastAsia="zh-CN"/>
              </w:rPr>
              <w:t>市</w:t>
            </w:r>
            <w:r>
              <w:rPr>
                <w:rFonts w:hint="default" w:ascii="Times New Roman" w:hAnsi="Times New Roman" w:eastAsia="宋体" w:cs="Times New Roman"/>
                <w:color w:val="auto"/>
                <w:sz w:val="24"/>
                <w:szCs w:val="24"/>
                <w:highlight w:val="none"/>
              </w:rPr>
              <w:t>生态环境准入清单》（202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年），项目的建设地点位于</w:t>
            </w:r>
            <w:r>
              <w:rPr>
                <w:rFonts w:hint="eastAsia" w:ascii="Times New Roman" w:hAnsi="Times New Roman" w:eastAsia="宋体" w:cs="Times New Roman"/>
                <w:color w:val="auto"/>
                <w:sz w:val="24"/>
                <w:szCs w:val="24"/>
                <w:highlight w:val="none"/>
                <w:lang w:eastAsia="zh-CN"/>
              </w:rPr>
              <w:t>宽城满族自治县松岭镇木匠屯村</w:t>
            </w:r>
            <w:r>
              <w:rPr>
                <w:rFonts w:hint="default" w:ascii="Times New Roman" w:hAnsi="Times New Roman" w:eastAsia="宋体" w:cs="Times New Roman"/>
                <w:color w:val="auto"/>
                <w:sz w:val="24"/>
                <w:szCs w:val="24"/>
                <w:highlight w:val="none"/>
              </w:rPr>
              <w:t>，项目区的管控类别属于一般管控单元。项目满足严格执行国家和省关于产业准入、总量控制和污染物排放标准等管控要求，同时，本项目未新增占地，因此项目建设满足承德市资源管控准入清单要求。</w:t>
            </w:r>
          </w:p>
          <w:p w14:paraId="3C9B361B">
            <w:pPr>
              <w:keepNext w:val="0"/>
              <w:keepLines w:val="0"/>
              <w:pageBreakBefore w:val="0"/>
              <w:widowControl w:val="0"/>
              <w:kinsoku/>
              <w:wordWrap/>
              <w:overflowPunct/>
              <w:topLinePunct w:val="0"/>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综上，项目满足承德市“三线一单”生态环境准入清单要求</w:t>
            </w:r>
            <w:r>
              <w:rPr>
                <w:rFonts w:hint="eastAsia" w:ascii="Times New Roman" w:hAnsi="Times New Roman" w:eastAsia="宋体" w:cs="Times New Roman"/>
                <w:color w:val="auto"/>
                <w:sz w:val="24"/>
                <w:szCs w:val="24"/>
                <w:highlight w:val="none"/>
                <w:lang w:eastAsia="zh-CN"/>
              </w:rPr>
              <w:t>。</w:t>
            </w:r>
          </w:p>
          <w:p w14:paraId="445920F7">
            <w:pPr>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（五）</w:t>
            </w:r>
            <w:r>
              <w:rPr>
                <w:rFonts w:hint="default" w:ascii="Times New Roman" w:hAnsi="Times New Roman" w:eastAsia="宋体" w:cs="Times New Roman"/>
                <w:color w:val="auto"/>
                <w:sz w:val="24"/>
                <w:szCs w:val="24"/>
                <w:highlight w:val="none"/>
              </w:rPr>
              <w:t>承德市人民政府关于加快实施“三线一单”生态环境分区管控的意见的符合性分析</w:t>
            </w:r>
          </w:p>
          <w:p w14:paraId="18BE615B">
            <w:pPr>
              <w:keepNext w:val="0"/>
              <w:keepLines w:val="0"/>
              <w:pageBreakBefore w:val="0"/>
              <w:widowControl w:val="0"/>
              <w:kinsoku/>
              <w:wordWrap/>
              <w:overflowPunct/>
              <w:topLinePunct w:val="0"/>
              <w:bidi w:val="0"/>
              <w:spacing w:line="480" w:lineRule="exact"/>
              <w:ind w:firstLine="480" w:firstLineChars="200"/>
              <w:jc w:val="left"/>
              <w:textAlignment w:val="auto"/>
              <w:rPr>
                <w:rFonts w:hint="eastAsia" w:ascii="宋体" w:hAnsi="宋体" w:eastAsia="宋体" w:cs="宋体"/>
                <w:color w:val="auto"/>
                <w:kern w:val="0"/>
                <w:szCs w:val="21"/>
                <w:highlight w:val="none"/>
                <w:lang w:eastAsia="zh-CN"/>
              </w:rPr>
            </w:pPr>
            <w:r>
              <w:rPr>
                <w:rFonts w:hint="default" w:ascii="Times New Roman" w:hAnsi="Times New Roman" w:eastAsia="宋体" w:cs="Times New Roman"/>
                <w:color w:val="auto"/>
                <w:sz w:val="24"/>
                <w:szCs w:val="24"/>
                <w:highlight w:val="none"/>
              </w:rPr>
              <w:t>本项目位于河北省承德市</w:t>
            </w:r>
            <w:r>
              <w:rPr>
                <w:rFonts w:hint="eastAsia" w:ascii="Times New Roman" w:hAnsi="Times New Roman" w:eastAsia="宋体" w:cs="Times New Roman"/>
                <w:color w:val="auto"/>
                <w:sz w:val="24"/>
                <w:szCs w:val="24"/>
                <w:highlight w:val="none"/>
                <w:lang w:eastAsia="zh-CN"/>
              </w:rPr>
              <w:t>宽城满族自治县松岭镇木匠屯村</w:t>
            </w:r>
            <w:r>
              <w:rPr>
                <w:rFonts w:hint="default" w:ascii="Times New Roman" w:hAnsi="Times New Roman" w:eastAsia="宋体" w:cs="Times New Roman"/>
                <w:color w:val="auto"/>
                <w:sz w:val="24"/>
                <w:szCs w:val="24"/>
                <w:highlight w:val="none"/>
              </w:rPr>
              <w:t>，管控单元属于一般管控单ZH1308</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30001。项目分析如图1-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所示：</w:t>
            </w:r>
          </w:p>
          <w:p w14:paraId="24FE3C01">
            <w:pPr>
              <w:rPr>
                <w:rFonts w:hint="eastAsia" w:ascii="宋体" w:hAnsi="宋体" w:eastAsia="宋体" w:cs="宋体"/>
                <w:color w:val="auto"/>
                <w:kern w:val="0"/>
                <w:szCs w:val="21"/>
                <w:highlight w:val="none"/>
                <w:lang w:eastAsia="zh-CN"/>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2549525</wp:posOffset>
                      </wp:positionH>
                      <wp:positionV relativeFrom="paragraph">
                        <wp:posOffset>2565400</wp:posOffset>
                      </wp:positionV>
                      <wp:extent cx="923925" cy="285750"/>
                      <wp:effectExtent l="4445" t="4445" r="5080" b="147955"/>
                      <wp:wrapNone/>
                      <wp:docPr id="19" name="矩形标注 19"/>
                      <wp:cNvGraphicFramePr/>
                      <a:graphic xmlns:a="http://schemas.openxmlformats.org/drawingml/2006/main">
                        <a:graphicData uri="http://schemas.microsoft.com/office/word/2010/wordprocessingShape">
                          <wps:wsp>
                            <wps:cNvSpPr/>
                            <wps:spPr>
                              <a:xfrm>
                                <a:off x="0" y="0"/>
                                <a:ext cx="923925" cy="285750"/>
                              </a:xfrm>
                              <a:prstGeom prst="wedgeRectCallout">
                                <a:avLst>
                                  <a:gd name="adj1" fmla="val -32338"/>
                                  <a:gd name="adj2" fmla="val 94222"/>
                                </a:avLst>
                              </a:prstGeom>
                              <a:noFill/>
                              <a:ln w="9525" cap="flat" cmpd="sng">
                                <a:solidFill>
                                  <a:srgbClr val="FF0000"/>
                                </a:solidFill>
                                <a:prstDash val="solid"/>
                                <a:miter/>
                                <a:headEnd type="none" w="med" len="med"/>
                                <a:tailEnd type="none" w="med" len="med"/>
                              </a:ln>
                            </wps:spPr>
                            <wps:txbx>
                              <w:txbxContent>
                                <w:p w14:paraId="50EAF4FC">
                                  <w:pPr>
                                    <w:rPr>
                                      <w:rFonts w:hint="eastAsia" w:eastAsia="宋体"/>
                                      <w:color w:val="FF0000"/>
                                      <w:sz w:val="18"/>
                                      <w:szCs w:val="18"/>
                                      <w:lang w:eastAsia="zh-CN"/>
                                    </w:rPr>
                                  </w:pPr>
                                  <w:r>
                                    <w:rPr>
                                      <w:rFonts w:hint="eastAsia"/>
                                      <w:color w:val="FF0000"/>
                                      <w:sz w:val="18"/>
                                      <w:szCs w:val="18"/>
                                      <w:lang w:eastAsia="zh-CN"/>
                                    </w:rPr>
                                    <w:t>本项目位置</w:t>
                                  </w:r>
                                </w:p>
                              </w:txbxContent>
                            </wps:txbx>
                            <wps:bodyPr upright="1"/>
                          </wps:wsp>
                        </a:graphicData>
                      </a:graphic>
                    </wp:anchor>
                  </w:drawing>
                </mc:Choice>
                <mc:Fallback>
                  <w:pict>
                    <v:shape id="_x0000_s1026" o:spid="_x0000_s1026" o:spt="61" type="#_x0000_t61" style="position:absolute;left:0pt;margin-left:200.75pt;margin-top:202pt;height:22.5pt;width:72.75pt;z-index:251668480;mso-width-relative:page;mso-height-relative:page;" filled="f" stroked="t" coordsize="21600,21600" o:gfxdata="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XLkktgAAAALAQAADwAAAAAAAAABACAAAAAiAAAAZHJzL2Rvd25yZXYu&#10;eG1sUEsBAhQAFAAAAAgAh07iQFuaQRA0AgAAZQQAAA4AAAAAAAAAAQAgAAAAJwEAAGRycy9lMm9E&#10;b2MueG1sUEsFBgAAAAAGAAYAWQEAAM0FAAAAAA==&#10;" adj="3815,31152">
                      <v:fill on="f" focussize="0,0"/>
                      <v:stroke color="#FF0000" joinstyle="miter"/>
                      <v:imagedata o:title=""/>
                      <o:lock v:ext="edit" aspectratio="f"/>
                      <v:textbox>
                        <w:txbxContent>
                          <w:p w14:paraId="50EAF4FC">
                            <w:pPr>
                              <w:rPr>
                                <w:rFonts w:hint="eastAsia" w:eastAsia="宋体"/>
                                <w:color w:val="FF0000"/>
                                <w:sz w:val="18"/>
                                <w:szCs w:val="18"/>
                                <w:lang w:eastAsia="zh-CN"/>
                              </w:rPr>
                            </w:pPr>
                            <w:r>
                              <w:rPr>
                                <w:rFonts w:hint="eastAsia"/>
                                <w:color w:val="FF0000"/>
                                <w:sz w:val="18"/>
                                <w:szCs w:val="18"/>
                                <w:lang w:eastAsia="zh-CN"/>
                              </w:rPr>
                              <w:t>本项目位置</w:t>
                            </w:r>
                          </w:p>
                        </w:txbxContent>
                      </v:textbox>
                    </v:shape>
                  </w:pict>
                </mc:Fallback>
              </mc:AlternateContent>
            </w: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2660015</wp:posOffset>
                      </wp:positionH>
                      <wp:positionV relativeFrom="paragraph">
                        <wp:posOffset>2958465</wp:posOffset>
                      </wp:positionV>
                      <wp:extent cx="93980" cy="99060"/>
                      <wp:effectExtent l="13335" t="17145" r="26035" b="17145"/>
                      <wp:wrapNone/>
                      <wp:docPr id="25" name="五角星 25"/>
                      <wp:cNvGraphicFramePr/>
                      <a:graphic xmlns:a="http://schemas.openxmlformats.org/drawingml/2006/main">
                        <a:graphicData uri="http://schemas.microsoft.com/office/word/2010/wordprocessingShape">
                          <wps:wsp>
                            <wps:cNvSpPr/>
                            <wps:spPr>
                              <a:xfrm>
                                <a:off x="0" y="0"/>
                                <a:ext cx="93980" cy="9906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209.45pt;margin-top:232.95pt;height:7.8pt;width:7.4pt;z-index:251667456;mso-width-relative:page;mso-height-relative:page;" fillcolor="#FF0000" filled="t" stroked="t" coordsize="93980,99060" o:gfxdata="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BnYFNgAAAALAQAADwAAAAAAAAABACAAAAAiAAAAZHJzL2Rvd25y&#10;ZXYueG1sUEsBAhQAFAAAAAgAh07iQKfZAfj+AQAAIQQAAA4AAAAAAAAAAQAgAAAAJwEAAGRycy9l&#10;Mm9Eb2MueG1sUEsFBgAAAAAGAAYAWQEAAJcFAAAAAA==&#10;" path="m0,37837l35897,37837,46990,0,58082,37837,93979,37837,64938,61222,76031,99059,46990,75674,17948,99059,29041,61222xe">
                      <v:path o:connectlocs="46990,0;0,37837;17948,99059;76031,99059;93979,37837" o:connectangles="247,164,82,82,0"/>
                      <v:fill on="t" focussize="0,0"/>
                      <v:stroke color="#FF0000" joinstyle="miter"/>
                      <v:imagedata o:title=""/>
                      <o:lock v:ext="edit" aspectratio="f"/>
                    </v:shape>
                  </w:pict>
                </mc:Fallback>
              </mc:AlternateContent>
            </w:r>
            <w:r>
              <w:rPr>
                <w:rFonts w:hint="eastAsia" w:ascii="宋体" w:hAnsi="宋体" w:eastAsia="宋体" w:cs="宋体"/>
                <w:color w:val="auto"/>
                <w:kern w:val="0"/>
                <w:szCs w:val="21"/>
                <w:highlight w:val="none"/>
                <w:lang w:eastAsia="zh-CN"/>
              </w:rPr>
              <w:drawing>
                <wp:inline distT="0" distB="0" distL="114300" distR="114300">
                  <wp:extent cx="5048250" cy="3569335"/>
                  <wp:effectExtent l="0" t="0" r="0" b="12065"/>
                  <wp:docPr id="22" name="图片 1" descr="管控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管控单元"/>
                          <pic:cNvPicPr>
                            <a:picLocks noChangeAspect="1"/>
                          </pic:cNvPicPr>
                        </pic:nvPicPr>
                        <pic:blipFill>
                          <a:blip r:embed="rId8"/>
                          <a:stretch>
                            <a:fillRect/>
                          </a:stretch>
                        </pic:blipFill>
                        <pic:spPr>
                          <a:xfrm>
                            <a:off x="0" y="0"/>
                            <a:ext cx="5048250" cy="3569335"/>
                          </a:xfrm>
                          <a:prstGeom prst="rect">
                            <a:avLst/>
                          </a:prstGeom>
                          <a:noFill/>
                          <a:ln>
                            <a:noFill/>
                          </a:ln>
                        </pic:spPr>
                      </pic:pic>
                    </a:graphicData>
                  </a:graphic>
                </wp:inline>
              </w:drawing>
            </w:r>
          </w:p>
          <w:p w14:paraId="05C17C74">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图</w:t>
            </w:r>
            <w:r>
              <w:rPr>
                <w:rFonts w:hint="default" w:ascii="Times New Roman" w:hAnsi="Times New Roman" w:cs="Times New Roman"/>
                <w:color w:val="auto"/>
                <w:kern w:val="0"/>
                <w:sz w:val="24"/>
                <w:szCs w:val="24"/>
                <w:highlight w:val="none"/>
                <w:lang w:val="en-US" w:eastAsia="zh-CN"/>
              </w:rPr>
              <w:t xml:space="preserve">1-2 </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eastAsia="zh-CN"/>
              </w:rPr>
              <w:t>承德市环境管控单元图</w:t>
            </w:r>
          </w:p>
          <w:p w14:paraId="111CE93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eastAsia="zh-CN"/>
              </w:rPr>
            </w:pPr>
            <w:r>
              <w:rPr>
                <w:rFonts w:hint="eastAsia"/>
                <w:color w:val="auto"/>
                <w:sz w:val="24"/>
                <w:szCs w:val="24"/>
                <w:highlight w:val="none"/>
                <w:lang w:eastAsia="zh-CN"/>
              </w:rPr>
              <w:t>判定内容如下表管控单元中：</w:t>
            </w:r>
          </w:p>
          <w:p w14:paraId="4618780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olor w:val="auto"/>
                <w:sz w:val="24"/>
                <w:szCs w:val="24"/>
                <w:highlight w:val="none"/>
                <w:lang w:eastAsia="zh-CN"/>
              </w:rPr>
            </w:pPr>
            <w:r>
              <w:rPr>
                <w:rFonts w:hint="eastAsia"/>
                <w:color w:val="auto"/>
                <w:sz w:val="24"/>
                <w:szCs w:val="24"/>
                <w:highlight w:val="none"/>
                <w:lang w:eastAsia="zh-CN"/>
              </w:rPr>
              <w:t>表1-</w:t>
            </w:r>
            <w:r>
              <w:rPr>
                <w:rFonts w:hint="eastAsia"/>
                <w:color w:val="auto"/>
                <w:sz w:val="24"/>
                <w:szCs w:val="24"/>
                <w:highlight w:val="none"/>
                <w:lang w:val="en-US" w:eastAsia="zh-CN"/>
              </w:rPr>
              <w:t>3</w:t>
            </w:r>
            <w:r>
              <w:rPr>
                <w:rFonts w:hint="eastAsia"/>
                <w:color w:val="auto"/>
                <w:sz w:val="24"/>
                <w:szCs w:val="24"/>
                <w:highlight w:val="none"/>
                <w:lang w:eastAsia="zh-CN"/>
              </w:rPr>
              <w:t xml:space="preserve"> 项目环境管控单元准入清单符合性分析表</w:t>
            </w:r>
          </w:p>
          <w:tbl>
            <w:tblPr>
              <w:tblStyle w:val="17"/>
              <w:tblpPr w:leftFromText="180" w:rightFromText="180"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538"/>
              <w:gridCol w:w="600"/>
              <w:gridCol w:w="510"/>
              <w:gridCol w:w="705"/>
              <w:gridCol w:w="555"/>
              <w:gridCol w:w="705"/>
              <w:gridCol w:w="780"/>
              <w:gridCol w:w="1031"/>
              <w:gridCol w:w="1107"/>
              <w:gridCol w:w="430"/>
              <w:gridCol w:w="421"/>
            </w:tblGrid>
            <w:tr w14:paraId="09BE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354" w:type="pct"/>
                  <w:noWrap w:val="0"/>
                  <w:vAlign w:val="center"/>
                </w:tcPr>
                <w:p w14:paraId="7B1A6E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338" w:type="pct"/>
                  <w:noWrap w:val="0"/>
                  <w:vAlign w:val="center"/>
                </w:tcPr>
                <w:p w14:paraId="02A1D19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w:t>
                  </w:r>
                </w:p>
              </w:tc>
              <w:tc>
                <w:tcPr>
                  <w:tcW w:w="377" w:type="pct"/>
                  <w:noWrap w:val="0"/>
                  <w:vAlign w:val="center"/>
                </w:tcPr>
                <w:p w14:paraId="2B1C89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市</w:t>
                  </w:r>
                </w:p>
              </w:tc>
              <w:tc>
                <w:tcPr>
                  <w:tcW w:w="320" w:type="pct"/>
                  <w:noWrap w:val="0"/>
                  <w:vAlign w:val="center"/>
                </w:tcPr>
                <w:p w14:paraId="34870D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县</w:t>
                  </w:r>
                </w:p>
              </w:tc>
              <w:tc>
                <w:tcPr>
                  <w:tcW w:w="443" w:type="pct"/>
                  <w:noWrap w:val="0"/>
                  <w:vAlign w:val="center"/>
                </w:tcPr>
                <w:p w14:paraId="0385F20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涉及乡镇</w:t>
                  </w:r>
                </w:p>
              </w:tc>
              <w:tc>
                <w:tcPr>
                  <w:tcW w:w="349" w:type="pct"/>
                  <w:noWrap w:val="0"/>
                  <w:vAlign w:val="center"/>
                </w:tcPr>
                <w:p w14:paraId="4C7BBC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管控类型</w:t>
                  </w:r>
                </w:p>
              </w:tc>
              <w:tc>
                <w:tcPr>
                  <w:tcW w:w="443" w:type="pct"/>
                  <w:noWrap w:val="0"/>
                  <w:vAlign w:val="center"/>
                </w:tcPr>
                <w:p w14:paraId="48F73B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环境要素类别</w:t>
                  </w:r>
                </w:p>
              </w:tc>
              <w:tc>
                <w:tcPr>
                  <w:tcW w:w="490" w:type="pct"/>
                  <w:noWrap w:val="0"/>
                  <w:vAlign w:val="center"/>
                </w:tcPr>
                <w:p w14:paraId="4ABACA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空间布局</w:t>
                  </w:r>
                </w:p>
              </w:tc>
              <w:tc>
                <w:tcPr>
                  <w:tcW w:w="648" w:type="pct"/>
                  <w:noWrap w:val="0"/>
                  <w:vAlign w:val="center"/>
                </w:tcPr>
                <w:p w14:paraId="29EFD0E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污染物排放管控</w:t>
                  </w:r>
                </w:p>
              </w:tc>
              <w:tc>
                <w:tcPr>
                  <w:tcW w:w="696" w:type="pct"/>
                  <w:noWrap w:val="0"/>
                  <w:vAlign w:val="center"/>
                </w:tcPr>
                <w:p w14:paraId="41EDCE9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环境风险防控</w:t>
                  </w:r>
                </w:p>
              </w:tc>
              <w:tc>
                <w:tcPr>
                  <w:tcW w:w="270" w:type="pct"/>
                  <w:noWrap w:val="0"/>
                  <w:vAlign w:val="center"/>
                </w:tcPr>
                <w:p w14:paraId="5DDCBE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资源利用效率</w:t>
                  </w:r>
                </w:p>
              </w:tc>
              <w:tc>
                <w:tcPr>
                  <w:tcW w:w="264" w:type="pct"/>
                  <w:noWrap w:val="0"/>
                  <w:vAlign w:val="center"/>
                </w:tcPr>
                <w:p w14:paraId="1AB876D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E6F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354" w:type="pct"/>
                  <w:noWrap w:val="0"/>
                  <w:vAlign w:val="center"/>
                </w:tcPr>
                <w:p w14:paraId="23B2AE7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ZH1308</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3000</w:t>
                  </w:r>
                  <w:r>
                    <w:rPr>
                      <w:rFonts w:hint="default" w:ascii="Times New Roman" w:hAnsi="Times New Roman" w:eastAsia="宋体" w:cs="Times New Roman"/>
                      <w:color w:val="auto"/>
                      <w:sz w:val="21"/>
                      <w:szCs w:val="21"/>
                      <w:highlight w:val="none"/>
                      <w:lang w:val="en-US" w:eastAsia="zh-CN"/>
                    </w:rPr>
                    <w:t>1</w:t>
                  </w:r>
                </w:p>
              </w:tc>
              <w:tc>
                <w:tcPr>
                  <w:tcW w:w="338" w:type="pct"/>
                  <w:noWrap w:val="0"/>
                  <w:vAlign w:val="center"/>
                </w:tcPr>
                <w:p w14:paraId="1308C4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河北省</w:t>
                  </w:r>
                </w:p>
              </w:tc>
              <w:tc>
                <w:tcPr>
                  <w:tcW w:w="377" w:type="pct"/>
                  <w:noWrap w:val="0"/>
                  <w:vAlign w:val="center"/>
                </w:tcPr>
                <w:p w14:paraId="3714AC2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承德市</w:t>
                  </w:r>
                </w:p>
              </w:tc>
              <w:tc>
                <w:tcPr>
                  <w:tcW w:w="320" w:type="pct"/>
                  <w:noWrap w:val="0"/>
                  <w:vAlign w:val="center"/>
                </w:tcPr>
                <w:p w14:paraId="02F1D4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宽城满族自治县</w:t>
                  </w:r>
                </w:p>
              </w:tc>
              <w:tc>
                <w:tcPr>
                  <w:tcW w:w="443" w:type="pct"/>
                  <w:noWrap w:val="0"/>
                  <w:vAlign w:val="center"/>
                </w:tcPr>
                <w:p w14:paraId="475568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大石柱子乡</w:t>
                  </w:r>
                </w:p>
                <w:p w14:paraId="0B00B1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汤道河镇</w:t>
                  </w:r>
                </w:p>
                <w:p w14:paraId="081D03F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苇子沟乡</w:t>
                  </w:r>
                </w:p>
                <w:p w14:paraId="3B4325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大字沟门乡</w:t>
                  </w:r>
                </w:p>
                <w:p w14:paraId="18511F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亮甲台镇</w:t>
                  </w:r>
                </w:p>
                <w:p w14:paraId="17026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东黄花川乡</w:t>
                  </w:r>
                </w:p>
                <w:p w14:paraId="635984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峪耳崖镇</w:t>
                  </w:r>
                </w:p>
                <w:p w14:paraId="004AD6F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碾子峪镇</w:t>
                  </w:r>
                </w:p>
                <w:p w14:paraId="28F48FE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松岭镇</w:t>
                  </w:r>
                </w:p>
                <w:p w14:paraId="14D71A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铧尖乡</w:t>
                  </w:r>
                </w:p>
              </w:tc>
              <w:tc>
                <w:tcPr>
                  <w:tcW w:w="349" w:type="pct"/>
                  <w:noWrap w:val="0"/>
                  <w:vAlign w:val="center"/>
                </w:tcPr>
                <w:p w14:paraId="2F4697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一般管控单元</w:t>
                  </w:r>
                </w:p>
              </w:tc>
              <w:tc>
                <w:tcPr>
                  <w:tcW w:w="443" w:type="pct"/>
                  <w:noWrap w:val="0"/>
                  <w:vAlign w:val="center"/>
                </w:tcPr>
                <w:p w14:paraId="6E65450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水环境其他</w:t>
                  </w:r>
                </w:p>
                <w:p w14:paraId="694CA1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区域 </w:t>
                  </w:r>
                </w:p>
                <w:p w14:paraId="337E07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p w14:paraId="306155B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一般管控区</w:t>
                  </w:r>
                </w:p>
              </w:tc>
              <w:tc>
                <w:tcPr>
                  <w:tcW w:w="490" w:type="pct"/>
                  <w:noWrap w:val="0"/>
                  <w:vAlign w:val="center"/>
                </w:tcPr>
                <w:p w14:paraId="79D8DE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1、贯彻实施国家、河北省大</w:t>
                  </w:r>
                </w:p>
                <w:p w14:paraId="248FC6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气污染物排放标准，完善脱</w:t>
                  </w:r>
                </w:p>
                <w:p w14:paraId="330D8F9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硫、脱硝、除尘等污染治理设</w:t>
                  </w:r>
                </w:p>
                <w:p w14:paraId="2F1932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施，实现达标排放</w:t>
                  </w:r>
                </w:p>
              </w:tc>
              <w:tc>
                <w:tcPr>
                  <w:tcW w:w="648" w:type="pct"/>
                  <w:noWrap w:val="0"/>
                  <w:vAlign w:val="center"/>
                </w:tcPr>
                <w:p w14:paraId="7990E50D">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w w:val="100"/>
                      <w:sz w:val="21"/>
                      <w:szCs w:val="21"/>
                      <w:highlight w:val="none"/>
                      <w:lang w:eastAsia="zh-CN"/>
                    </w:rPr>
                    <w:t>注重控制新增产能水环境污染物控制，实施水污染排放项目与污水处理设施同步规划、同步建设，严格控制水环境高风险类项目准入；执行通用型水环境准入管控清单</w:t>
                  </w:r>
                </w:p>
              </w:tc>
              <w:tc>
                <w:tcPr>
                  <w:tcW w:w="696" w:type="pct"/>
                  <w:noWrap w:val="0"/>
                  <w:vAlign w:val="center"/>
                </w:tcPr>
                <w:p w14:paraId="5C4239E6">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1、矿山企业应当依据国家有</w:t>
                  </w:r>
                </w:p>
                <w:p w14:paraId="2EA1C1A8">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关规定编制矿山生态环境保</w:t>
                  </w:r>
                </w:p>
                <w:p w14:paraId="7A4D4755">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护与恢复治理等方案，严格履</w:t>
                  </w:r>
                </w:p>
                <w:p w14:paraId="46FA01D5">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行责任义务，边开采、边治理、</w:t>
                  </w:r>
                </w:p>
                <w:p w14:paraId="5FB91687">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边恢复；依法依规有序退出的</w:t>
                  </w:r>
                </w:p>
                <w:p w14:paraId="35779713">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矿山及时进行生态评估并实</w:t>
                  </w:r>
                </w:p>
                <w:p w14:paraId="38601C2F">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施生态恢复。</w:t>
                  </w:r>
                </w:p>
                <w:p w14:paraId="737EBBF9">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2、推进企业建立健全尾矿库</w:t>
                  </w:r>
                </w:p>
                <w:p w14:paraId="04CB2DE2">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全生命周期风险防控和隐患</w:t>
                  </w:r>
                </w:p>
                <w:p w14:paraId="7FF57070">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rPr>
                  </w:pPr>
                  <w:r>
                    <w:rPr>
                      <w:rFonts w:hint="default" w:ascii="Times New Roman" w:hAnsi="Times New Roman" w:eastAsia="宋体" w:cs="Times New Roman"/>
                      <w:color w:val="auto"/>
                      <w:w w:val="100"/>
                      <w:sz w:val="21"/>
                      <w:szCs w:val="21"/>
                      <w:highlight w:val="none"/>
                    </w:rPr>
                    <w:t>治理机制，落实管控措施，确</w:t>
                  </w:r>
                </w:p>
                <w:p w14:paraId="25BF2602">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eastAsia" w:ascii="Times New Roman" w:hAnsi="Times New Roman" w:eastAsia="宋体" w:cs="Times New Roman"/>
                      <w:color w:val="auto"/>
                      <w:w w:val="100"/>
                      <w:sz w:val="21"/>
                      <w:szCs w:val="21"/>
                      <w:highlight w:val="none"/>
                      <w:lang w:eastAsia="zh-CN"/>
                    </w:rPr>
                  </w:pPr>
                  <w:r>
                    <w:rPr>
                      <w:rFonts w:hint="default" w:ascii="Times New Roman" w:hAnsi="Times New Roman" w:eastAsia="宋体" w:cs="Times New Roman"/>
                      <w:color w:val="auto"/>
                      <w:w w:val="100"/>
                      <w:sz w:val="21"/>
                      <w:szCs w:val="21"/>
                      <w:highlight w:val="none"/>
                    </w:rPr>
                    <w:t>保尾矿库安全运行、闭库。</w:t>
                  </w:r>
                </w:p>
              </w:tc>
              <w:tc>
                <w:tcPr>
                  <w:tcW w:w="270" w:type="pct"/>
                  <w:noWrap w:val="0"/>
                  <w:vAlign w:val="center"/>
                </w:tcPr>
                <w:p w14:paraId="665CC452">
                  <w:pPr>
                    <w:pStyle w:val="23"/>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jc w:val="center"/>
                    <w:textAlignment w:val="auto"/>
                    <w:rPr>
                      <w:rFonts w:hint="default" w:ascii="Times New Roman" w:hAnsi="Times New Roman" w:eastAsia="宋体" w:cs="Times New Roman"/>
                      <w:color w:val="auto"/>
                      <w:w w:val="100"/>
                      <w:sz w:val="21"/>
                      <w:szCs w:val="21"/>
                      <w:highlight w:val="none"/>
                      <w:lang w:val="en-US" w:eastAsia="zh-CN"/>
                    </w:rPr>
                  </w:pPr>
                  <w:r>
                    <w:rPr>
                      <w:rFonts w:hint="default" w:ascii="Times New Roman" w:hAnsi="Times New Roman" w:eastAsia="宋体" w:cs="Times New Roman"/>
                      <w:color w:val="auto"/>
                      <w:w w:val="100"/>
                      <w:sz w:val="21"/>
                      <w:szCs w:val="21"/>
                      <w:highlight w:val="none"/>
                      <w:lang w:val="en-US" w:eastAsia="zh-CN"/>
                    </w:rPr>
                    <w:t>/</w:t>
                  </w:r>
                </w:p>
              </w:tc>
              <w:tc>
                <w:tcPr>
                  <w:tcW w:w="264" w:type="pct"/>
                  <w:noWrap w:val="0"/>
                  <w:vAlign w:val="center"/>
                </w:tcPr>
                <w:p w14:paraId="72C3DF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790E1B5">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1.3《河北省主体功能区规划》符合性分析</w:t>
            </w:r>
          </w:p>
          <w:p w14:paraId="0969B60D">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河北省主体功能区规划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唐山市迁西；秦皇岛市抚宁、青龙满族自治县；承德市滦平、兴隆、承德县、宽城满族自治县；张家口市赤城、崇礼、阳原、蔚县、涿鹿、怀安、怀来、万全、宣化县，被划为省级重点生态功能区。省级重点生态功能区功能定位为：京津和冀东地区生态屏障，地表水源涵养区，河北林业和生物多样性保护的重点区，文化和生态旅游区，绿色农牧产品和生态产业基地，金属和非金属矿采选生产基地。</w:t>
            </w:r>
          </w:p>
          <w:p w14:paraId="7468FB0D">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省级重点生态功能区发展方向：</w:t>
            </w:r>
          </w:p>
          <w:p w14:paraId="19E36F06">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生态建设。加强永定河、潮白河和滦河流域综合治理，提升中游地区生态保护功能。重点建设水源涵养、水土保持、造林绿化、农田水利等工程，继续实施风沙源治理、退耕还林、三北防护林、首都水资源恢复和保护等重点生态工程。加快推进农业节水、稻改旱、禁牧舍饲等生态工程建设。</w:t>
            </w:r>
          </w:p>
          <w:p w14:paraId="61AC043A">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②产业发展：大力发展生态文化旅游和休闲度假产业。积极开发风能资源，有序开发煤铁等矿产资源，建设绿色农产品和生态产业基地，积极发展林业、果品业。加强节水工程建设和基本农田保护。</w:t>
            </w:r>
          </w:p>
          <w:p w14:paraId="4DFAA71D">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城镇建设和人口分布。实施据点式开发，促进集聚发展，加强骨干道路沿线小城镇和中心村建设。控制人口总量，积极引导农村人口向优化开发区域和重点开发区域转移；加快生态移民步伐，引导自然村人口向中心村和城镇转移。</w:t>
            </w:r>
          </w:p>
          <w:p w14:paraId="552707D3">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公共基础设施。加大财政转移支付力度，增加公共财政支出。加强公共交通、文化教育、医疗卫生等公共服务设施建设。大力实施饮水安全工程，有效解决山区农村人畜饮水困难。继续提高村村通配套水平、通达深度和保养能力，改善农村生产生活条件，增强农村养老、新农合等社会保障能力，提高公共服务水平。</w:t>
            </w:r>
          </w:p>
          <w:p w14:paraId="72A54F2D">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建设在</w:t>
            </w:r>
            <w:r>
              <w:rPr>
                <w:rFonts w:hint="eastAsia"/>
                <w:color w:val="auto"/>
                <w:sz w:val="24"/>
                <w:szCs w:val="24"/>
                <w:highlight w:val="none"/>
                <w:lang w:val="en-GB" w:eastAsia="zh-CN"/>
              </w:rPr>
              <w:t>宽城双兴矿山设备制造有限公司</w:t>
            </w:r>
            <w:r>
              <w:rPr>
                <w:rFonts w:hint="eastAsia" w:cs="Times New Roman"/>
                <w:color w:val="auto"/>
                <w:sz w:val="24"/>
                <w:szCs w:val="24"/>
                <w:highlight w:val="none"/>
                <w:lang w:eastAsia="zh-CN"/>
              </w:rPr>
              <w:t>现有厂区内，利用</w:t>
            </w:r>
            <w:r>
              <w:rPr>
                <w:rFonts w:hint="default" w:ascii="Times New Roman" w:hAnsi="Times New Roman" w:eastAsia="宋体" w:cs="Times New Roman"/>
                <w:color w:val="auto"/>
                <w:sz w:val="24"/>
                <w:szCs w:val="24"/>
                <w:highlight w:val="none"/>
              </w:rPr>
              <w:t>原有厂房</w:t>
            </w:r>
            <w:r>
              <w:rPr>
                <w:rFonts w:hint="eastAsia" w:ascii="Times New Roman" w:hAnsi="Times New Roman" w:eastAsia="宋体" w:cs="Times New Roman"/>
                <w:color w:val="auto"/>
                <w:sz w:val="24"/>
                <w:szCs w:val="24"/>
                <w:highlight w:val="none"/>
                <w:lang w:eastAsia="zh-CN"/>
              </w:rPr>
              <w:t>建设</w:t>
            </w:r>
            <w:r>
              <w:rPr>
                <w:rFonts w:hint="eastAsia" w:cs="Times New Roman"/>
                <w:color w:val="auto"/>
                <w:sz w:val="24"/>
                <w:szCs w:val="24"/>
                <w:highlight w:val="none"/>
                <w:lang w:eastAsia="zh-CN"/>
              </w:rPr>
              <w:t>铸造车间，且</w:t>
            </w:r>
            <w:r>
              <w:rPr>
                <w:rFonts w:hint="default" w:ascii="Times New Roman" w:hAnsi="Times New Roman" w:eastAsia="宋体" w:cs="Times New Roman"/>
                <w:color w:val="auto"/>
                <w:sz w:val="24"/>
                <w:szCs w:val="24"/>
                <w:highlight w:val="none"/>
              </w:rPr>
              <w:t>排放的污染物经过环保设施处理后能够达标排放，符合《河北省主体功能区规划》要求。</w:t>
            </w:r>
          </w:p>
          <w:p w14:paraId="080B9160">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1.4《河北省生态环境保护“十四五”规划》符合性分析</w:t>
            </w:r>
          </w:p>
          <w:p w14:paraId="0D0D2CCE">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根据《河北省生态环境保护“十四五”规划》“十四五”时期，铸造行业生态环境保护主要目标如下：</w:t>
            </w:r>
          </w:p>
          <w:p w14:paraId="7AD2BEB2">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推进重点行业绿色转型。以钢铁、焦化</w:t>
            </w:r>
            <w:r>
              <w:rPr>
                <w:rFonts w:hint="default" w:ascii="Times New Roman" w:hAnsi="Times New Roman" w:eastAsia="宋体" w:cs="Times New Roman"/>
                <w:b w:val="0"/>
                <w:bCs w:val="0"/>
                <w:color w:val="auto"/>
                <w:sz w:val="24"/>
                <w:szCs w:val="24"/>
                <w:highlight w:val="none"/>
              </w:rPr>
              <w:t>、铸造、建材、有色、石化、化工、工业涂装、包装印刷、电镀、制革、石油开采、造纸</w:t>
            </w:r>
            <w:r>
              <w:rPr>
                <w:rFonts w:hint="default" w:ascii="Times New Roman" w:hAnsi="Times New Roman" w:eastAsia="宋体" w:cs="Times New Roman"/>
                <w:color w:val="auto"/>
                <w:sz w:val="24"/>
                <w:szCs w:val="24"/>
                <w:highlight w:val="none"/>
              </w:rPr>
              <w:t>、纺织印染、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更好发挥电弧炉短流程炼钢企业绿色低碳、市场调节作用，有序引导电弧炉短流程炼钢发展。依法推进强制性清洁生产审核，行业、园区和产业集群探索开展整体审核。</w:t>
            </w:r>
          </w:p>
          <w:p w14:paraId="0B1AC1C0">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实施产</w:t>
            </w:r>
            <w:r>
              <w:rPr>
                <w:rFonts w:hint="default" w:ascii="Times New Roman" w:hAnsi="Times New Roman" w:eastAsia="宋体" w:cs="Times New Roman"/>
                <w:b w:val="0"/>
                <w:bCs w:val="0"/>
                <w:color w:val="auto"/>
                <w:sz w:val="24"/>
                <w:szCs w:val="24"/>
                <w:highlight w:val="none"/>
              </w:rPr>
              <w:t>业园区和产业集群升级改造。开展产业园区规划环境影响跟踪评价，推动优化园区在城市总体空间格局中的布局，促进园区绿色发展。深化国家级和省级循环经济示范园区的循环化改造，创建生态工业示范园区。推进建材、化工、铸造、印染、电镀、加工制造等传统制造业集群提升，提高产业集约化、绿色化发展水平。</w:t>
            </w:r>
          </w:p>
          <w:p w14:paraId="4AD5D3C8">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p w14:paraId="05AFEA32">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大气污染防治重点工程。深度治理工程。对钢铁、焦化、煤电、水泥、平板玻璃、陶瓷等行业实施工艺全流程深度治理，全面加强无组织排放管控。开展砖瓦、石灰、铸造、铁合金、耐火材料等重点行业污染深度治理。完成工业炉窑污染综合治理。到2025年</w:t>
            </w:r>
            <w:r>
              <w:rPr>
                <w:rFonts w:hint="default" w:ascii="Times New Roman" w:hAnsi="Times New Roman" w:eastAsia="宋体" w:cs="Times New Roman"/>
                <w:color w:val="auto"/>
                <w:sz w:val="24"/>
                <w:szCs w:val="24"/>
                <w:highlight w:val="none"/>
              </w:rPr>
              <w:t>全省电炉钢比例达到5%-10%。</w:t>
            </w:r>
          </w:p>
          <w:p w14:paraId="32B2F5F3">
            <w:pPr>
              <w:keepNext w:val="0"/>
              <w:keepLines w:val="0"/>
              <w:pageBreakBefore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本项目建设完成后，将利用厂区原有的</w:t>
            </w:r>
            <w:r>
              <w:rPr>
                <w:rFonts w:hint="eastAsia" w:ascii="Times New Roman" w:hAnsi="Times New Roman" w:eastAsia="宋体" w:cs="Times New Roman"/>
                <w:color w:val="auto"/>
                <w:sz w:val="24"/>
                <w:szCs w:val="24"/>
                <w:highlight w:val="none"/>
                <w:lang w:eastAsia="zh-CN"/>
              </w:rPr>
              <w:t>厂房建设</w:t>
            </w:r>
            <w:r>
              <w:rPr>
                <w:rFonts w:hint="default" w:ascii="Times New Roman" w:hAnsi="Times New Roman" w:eastAsia="宋体" w:cs="Times New Roman"/>
                <w:color w:val="auto"/>
                <w:sz w:val="24"/>
                <w:szCs w:val="24"/>
                <w:highlight w:val="none"/>
              </w:rPr>
              <w:t>一条</w:t>
            </w:r>
            <w:r>
              <w:rPr>
                <w:rFonts w:hint="eastAsia" w:ascii="Times New Roman" w:hAnsi="Times New Roman" w:eastAsia="宋体" w:cs="Times New Roman"/>
                <w:color w:val="auto"/>
                <w:sz w:val="24"/>
                <w:szCs w:val="24"/>
                <w:highlight w:val="none"/>
                <w:lang w:eastAsia="zh-CN"/>
              </w:rPr>
              <w:t>树脂砂消失模</w:t>
            </w:r>
            <w:r>
              <w:rPr>
                <w:rFonts w:hint="default" w:ascii="Times New Roman" w:hAnsi="Times New Roman" w:eastAsia="宋体" w:cs="Times New Roman"/>
                <w:color w:val="auto"/>
                <w:sz w:val="24"/>
                <w:szCs w:val="24"/>
                <w:highlight w:val="none"/>
              </w:rPr>
              <w:t>生产线，采用国内先进的环保治理设备，污染物经过治理后都能够达标排放</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符合《河北省生态环境保护“十四五”规划》相关要求。</w:t>
            </w:r>
          </w:p>
          <w:p w14:paraId="42C82AB9">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1.5《承德市城市总体规划》（2016－2030）中生态环境功能区划符合性分析</w:t>
            </w:r>
          </w:p>
          <w:p w14:paraId="339E56BB">
            <w:pPr>
              <w:pStyle w:val="5"/>
              <w:keepNext w:val="0"/>
              <w:keepLines w:val="0"/>
              <w:pageBreakBefore w:val="0"/>
              <w:kinsoku/>
              <w:wordWrap/>
              <w:overflowPunct/>
              <w:topLinePunct w:val="0"/>
              <w:bidi w:val="0"/>
              <w:spacing w:before="0" w:after="0" w:line="480" w:lineRule="exact"/>
              <w:ind w:right="0" w:firstLine="480" w:firstLineChars="200"/>
              <w:jc w:val="left"/>
              <w:textAlignment w:val="auto"/>
              <w:rPr>
                <w:rFonts w:hint="default" w:ascii="Times New Roman" w:hAnsi="Times New Roman" w:eastAsia="宋体" w:cs="Times New Roman"/>
                <w:b w:val="0"/>
                <w:bCs w:val="0"/>
                <w:color w:val="auto"/>
                <w:kern w:val="0"/>
                <w:sz w:val="24"/>
                <w:szCs w:val="24"/>
                <w:highlight w:val="none"/>
                <w:lang w:bidi="ar"/>
              </w:rPr>
            </w:pPr>
            <w:r>
              <w:rPr>
                <w:rFonts w:hint="default" w:ascii="Times New Roman" w:hAnsi="Times New Roman" w:eastAsia="宋体" w:cs="Times New Roman"/>
                <w:color w:val="auto"/>
                <w:sz w:val="24"/>
                <w:szCs w:val="24"/>
                <w:highlight w:val="none"/>
              </w:rPr>
              <w:t>《承德市城市总体规划》（2016－2030）中生态环境功能区划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各功能区必须在满足其环境保护要求的前提下开展城乡建设。生态功能区划分表如下：</w:t>
            </w:r>
          </w:p>
          <w:p w14:paraId="4DB0768B">
            <w:pPr>
              <w:keepNext w:val="0"/>
              <w:keepLines w:val="0"/>
              <w:pageBreakBefore w:val="0"/>
              <w:widowControl/>
              <w:kinsoku/>
              <w:wordWrap/>
              <w:overflowPunct/>
              <w:topLinePunct w:val="0"/>
              <w:bidi w:val="0"/>
              <w:spacing w:line="48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kern w:val="0"/>
                <w:sz w:val="24"/>
                <w:szCs w:val="24"/>
                <w:highlight w:val="none"/>
                <w:lang w:bidi="ar"/>
              </w:rPr>
              <w:t>表1</w:t>
            </w:r>
            <w:r>
              <w:rPr>
                <w:rFonts w:hint="default" w:ascii="Times New Roman" w:hAnsi="Times New Roman" w:eastAsia="宋体" w:cs="Times New Roman"/>
                <w:b w:val="0"/>
                <w:bCs w:val="0"/>
                <w:color w:val="auto"/>
                <w:kern w:val="0"/>
                <w:sz w:val="24"/>
                <w:szCs w:val="24"/>
                <w:highlight w:val="none"/>
                <w:lang w:val="en-US" w:eastAsia="zh-CN" w:bidi="ar"/>
              </w:rPr>
              <w:t xml:space="preserve">-4 </w:t>
            </w:r>
            <w:r>
              <w:rPr>
                <w:rFonts w:hint="default" w:ascii="Times New Roman" w:hAnsi="Times New Roman" w:eastAsia="宋体" w:cs="Times New Roman"/>
                <w:b w:val="0"/>
                <w:bCs w:val="0"/>
                <w:color w:val="auto"/>
                <w:kern w:val="0"/>
                <w:sz w:val="24"/>
                <w:szCs w:val="24"/>
                <w:highlight w:val="none"/>
                <w:lang w:bidi="ar"/>
              </w:rPr>
              <w:t>承德市生态功能区划分表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702"/>
              <w:gridCol w:w="5222"/>
            </w:tblGrid>
            <w:tr w14:paraId="1673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tcBorders>
                    <w:tl2br w:val="nil"/>
                    <w:tr2bl w:val="nil"/>
                  </w:tcBorders>
                  <w:noWrap w:val="0"/>
                  <w:vAlign w:val="center"/>
                </w:tcPr>
                <w:p w14:paraId="368D6B19">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承德坝上高原生态区I</w:t>
                  </w:r>
                </w:p>
              </w:tc>
              <w:tc>
                <w:tcPr>
                  <w:tcW w:w="1070" w:type="pct"/>
                  <w:vMerge w:val="restart"/>
                  <w:tcBorders>
                    <w:tl2br w:val="nil"/>
                    <w:tr2bl w:val="nil"/>
                  </w:tcBorders>
                  <w:noWrap w:val="0"/>
                  <w:vAlign w:val="center"/>
                </w:tcPr>
                <w:p w14:paraId="5A962CEA">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坝上高原西部草原生态亚区I-1</w:t>
                  </w:r>
                </w:p>
              </w:tc>
              <w:tc>
                <w:tcPr>
                  <w:tcW w:w="3284" w:type="pct"/>
                  <w:tcBorders>
                    <w:tl2br w:val="nil"/>
                    <w:tr2bl w:val="nil"/>
                  </w:tcBorders>
                  <w:noWrap w:val="0"/>
                  <w:vAlign w:val="center"/>
                </w:tcPr>
                <w:p w14:paraId="4BBB3E17">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承德坝上高原南部水源涵养、沙化防治功能区I-1-1</w:t>
                  </w:r>
                </w:p>
              </w:tc>
            </w:tr>
            <w:tr w14:paraId="654F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00DBBA2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57B75A8C">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4FEC3D73">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滦河源生物多样性保护、荒漠化控制功能区I-1-2</w:t>
                  </w:r>
                </w:p>
              </w:tc>
            </w:tr>
            <w:tr w14:paraId="6AB4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pct"/>
                  <w:vMerge w:val="continue"/>
                  <w:tcBorders>
                    <w:tl2br w:val="nil"/>
                    <w:tr2bl w:val="nil"/>
                  </w:tcBorders>
                  <w:noWrap w:val="0"/>
                  <w:vAlign w:val="center"/>
                </w:tcPr>
                <w:p w14:paraId="252E79D7">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restart"/>
                  <w:tcBorders>
                    <w:tl2br w:val="nil"/>
                    <w:tr2bl w:val="nil"/>
                  </w:tcBorders>
                  <w:noWrap w:val="0"/>
                  <w:vAlign w:val="center"/>
                </w:tcPr>
                <w:p w14:paraId="4CA36A5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坝上高原东部森林草原生态亚区I-2</w:t>
                  </w:r>
                </w:p>
              </w:tc>
              <w:tc>
                <w:tcPr>
                  <w:tcW w:w="3284" w:type="pct"/>
                  <w:tcBorders>
                    <w:tl2br w:val="nil"/>
                    <w:tr2bl w:val="nil"/>
                  </w:tcBorders>
                  <w:noWrap w:val="0"/>
                  <w:vAlign w:val="center"/>
                </w:tcPr>
                <w:p w14:paraId="43EC7002">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红松洼生物多样性、水土保持功能区I-2-1</w:t>
                  </w:r>
                </w:p>
              </w:tc>
            </w:tr>
            <w:tr w14:paraId="0B0C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78E4004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022E111C">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1D532073">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塞罕坝生物多样性保护、沙化防治功能区I-2-2</w:t>
                  </w:r>
                </w:p>
              </w:tc>
            </w:tr>
            <w:tr w14:paraId="7595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6F63B708">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5B8C9018">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27277F2C">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御道口东部生物多样性保护、水源涵养功能区I-2-3</w:t>
                  </w:r>
                </w:p>
              </w:tc>
            </w:tr>
            <w:tr w14:paraId="0CFF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tcBorders>
                    <w:tl2br w:val="nil"/>
                    <w:tr2bl w:val="nil"/>
                  </w:tcBorders>
                  <w:noWrap w:val="0"/>
                  <w:vAlign w:val="center"/>
                </w:tcPr>
                <w:p w14:paraId="442AE7AE">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冀北及燕山山地生态区II</w:t>
                  </w:r>
                </w:p>
              </w:tc>
              <w:tc>
                <w:tcPr>
                  <w:tcW w:w="1070" w:type="pct"/>
                  <w:vMerge w:val="restart"/>
                  <w:tcBorders>
                    <w:tl2br w:val="nil"/>
                    <w:tr2bl w:val="nil"/>
                  </w:tcBorders>
                  <w:noWrap w:val="0"/>
                  <w:vAlign w:val="center"/>
                </w:tcPr>
                <w:p w14:paraId="712E6DE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冀北山地森林生态亚区II-1</w:t>
                  </w:r>
                </w:p>
              </w:tc>
              <w:tc>
                <w:tcPr>
                  <w:tcW w:w="3284" w:type="pct"/>
                  <w:tcBorders>
                    <w:tl2br w:val="nil"/>
                    <w:tr2bl w:val="nil"/>
                  </w:tcBorders>
                  <w:noWrap w:val="0"/>
                  <w:vAlign w:val="center"/>
                </w:tcPr>
                <w:p w14:paraId="457A6F9B">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辽河北林牧、沙化防治功能区II-1-1</w:t>
                  </w:r>
                </w:p>
              </w:tc>
            </w:tr>
            <w:tr w14:paraId="10E5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CE7BA4F">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6F5C0D7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074A6ADA">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围场中部水源涵养、水资源保护与沙漠化防治功能区II-1-2</w:t>
                  </w:r>
                </w:p>
              </w:tc>
            </w:tr>
            <w:tr w14:paraId="16F6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7298BAD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0DDCE53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283B678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滦河上游生物多样性保护功能区II-1-3</w:t>
                  </w:r>
                </w:p>
              </w:tc>
            </w:tr>
            <w:tr w14:paraId="7A54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26A6F737">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0D9FD970">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6AF354E9">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滦河中上游水土保持、水源涵养功能区II-1-4</w:t>
                  </w:r>
                </w:p>
              </w:tc>
            </w:tr>
            <w:tr w14:paraId="5C34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7A0D4C5C">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4BC27C6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1BC3C35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潮河流域水源涵养、水资源保护功能区II-1-5</w:t>
                  </w:r>
                </w:p>
              </w:tc>
            </w:tr>
            <w:tr w14:paraId="179C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EE11A6E">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68AC281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39896D5A">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滦平、隆化水土保持、矿山环境综合整治功能区II-1-6</w:t>
                  </w:r>
                </w:p>
              </w:tc>
            </w:tr>
            <w:tr w14:paraId="7014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D8E735F">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restart"/>
                  <w:tcBorders>
                    <w:tl2br w:val="nil"/>
                    <w:tr2bl w:val="nil"/>
                  </w:tcBorders>
                  <w:noWrap w:val="0"/>
                  <w:vAlign w:val="center"/>
                </w:tcPr>
                <w:p w14:paraId="2D6EBFAB">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七老图山森林灌草生态亚区II-2</w:t>
                  </w:r>
                </w:p>
              </w:tc>
              <w:tc>
                <w:tcPr>
                  <w:tcW w:w="3284" w:type="pct"/>
                  <w:tcBorders>
                    <w:tl2br w:val="nil"/>
                    <w:tr2bl w:val="nil"/>
                  </w:tcBorders>
                  <w:noWrap w:val="0"/>
                  <w:vAlign w:val="center"/>
                </w:tcPr>
                <w:p w14:paraId="773BDA2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承德东部水资源保护、水源涵养与生物多样性保护功能区II-2-1</w:t>
                  </w:r>
                </w:p>
              </w:tc>
            </w:tr>
            <w:tr w14:paraId="414F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6C0D2A8A">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3780049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240D1C1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承德县水源涵养、水土流失重点治理区II-2-2</w:t>
                  </w:r>
                </w:p>
              </w:tc>
            </w:tr>
            <w:tr w14:paraId="0D95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1940C0AE">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0A29D1F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368B0262">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辽河源生物多样性保护、水土保持功能区II-2-353</w:t>
                  </w:r>
                </w:p>
              </w:tc>
            </w:tr>
            <w:tr w14:paraId="0AE4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pct"/>
                  <w:vMerge w:val="continue"/>
                  <w:tcBorders>
                    <w:tl2br w:val="nil"/>
                    <w:tr2bl w:val="nil"/>
                  </w:tcBorders>
                  <w:noWrap w:val="0"/>
                  <w:vAlign w:val="center"/>
                </w:tcPr>
                <w:p w14:paraId="584104E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156958C0">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6F196C4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平泉东部生态农业区II-2-4</w:t>
                  </w:r>
                </w:p>
              </w:tc>
            </w:tr>
            <w:tr w14:paraId="109E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0174850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restart"/>
                  <w:tcBorders>
                    <w:tl2br w:val="nil"/>
                    <w:tr2bl w:val="nil"/>
                  </w:tcBorders>
                  <w:noWrap w:val="0"/>
                  <w:vAlign w:val="center"/>
                </w:tcPr>
                <w:p w14:paraId="6BCE0890">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城市规划发展亚区II-3</w:t>
                  </w:r>
                </w:p>
              </w:tc>
              <w:tc>
                <w:tcPr>
                  <w:tcW w:w="3284" w:type="pct"/>
                  <w:tcBorders>
                    <w:tl2br w:val="nil"/>
                    <w:tr2bl w:val="nil"/>
                  </w:tcBorders>
                  <w:noWrap w:val="0"/>
                  <w:vAlign w:val="center"/>
                </w:tcPr>
                <w:p w14:paraId="50945FA0">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滦平东部矿山环境综合整治区II-3-1</w:t>
                  </w:r>
                </w:p>
              </w:tc>
            </w:tr>
            <w:tr w14:paraId="6A5B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4DC2C978">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594FD7DF">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51E6D7E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承德市生态城市建设区II-3-2</w:t>
                  </w:r>
                </w:p>
              </w:tc>
            </w:tr>
            <w:tr w14:paraId="59C1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402E8E7">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7712626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2EABB52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承德、平泉、宽城水源涵养、水土流失重点治理区II-3-3</w:t>
                  </w:r>
                </w:p>
              </w:tc>
            </w:tr>
            <w:tr w14:paraId="7E3B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12E4BC2">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3ED0FA6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6224068F">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鹰手营子矿区矿山环境综合整治区II-3-4</w:t>
                  </w:r>
                </w:p>
              </w:tc>
            </w:tr>
            <w:tr w14:paraId="1F59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5F42FF8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restart"/>
                  <w:tcBorders>
                    <w:tl2br w:val="nil"/>
                    <w:tr2bl w:val="nil"/>
                  </w:tcBorders>
                  <w:noWrap w:val="0"/>
                  <w:vAlign w:val="center"/>
                </w:tcPr>
                <w:p w14:paraId="649D4A6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燕山山地南部林果生态亚区II-4</w:t>
                  </w:r>
                </w:p>
              </w:tc>
              <w:tc>
                <w:tcPr>
                  <w:tcW w:w="3284" w:type="pct"/>
                  <w:tcBorders>
                    <w:tl2br w:val="nil"/>
                    <w:tr2bl w:val="nil"/>
                  </w:tcBorders>
                  <w:noWrap w:val="0"/>
                  <w:vAlign w:val="center"/>
                </w:tcPr>
                <w:p w14:paraId="66A69F4E">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白草洼生物多样性保护、水源涵养功能区II-4-1</w:t>
                  </w:r>
                </w:p>
              </w:tc>
            </w:tr>
            <w:tr w14:paraId="7D5B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19F45491">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4E0ED635">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43039922">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承德县西部水源涵养、水土保持功能区II-4-2</w:t>
                  </w:r>
                </w:p>
              </w:tc>
            </w:tr>
            <w:tr w14:paraId="6E3B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427AB989">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3FF6DE6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0E8FB1F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雾灵山生物多样性、长城历史遗产保护生态功能区II-4-3</w:t>
                  </w:r>
                </w:p>
              </w:tc>
            </w:tr>
            <w:tr w14:paraId="26BA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4CAB0EE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354019F7">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5DBB440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兴隆县西南部长城保护与地质灾害防治功能区II-4-4</w:t>
                  </w:r>
                </w:p>
              </w:tc>
            </w:tr>
            <w:tr w14:paraId="7B38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2638A918">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7E02FFDC">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00C654FB">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兴隆东部水源涵养、水土保持功能区II-4-5</w:t>
                  </w:r>
                </w:p>
              </w:tc>
            </w:tr>
            <w:tr w14:paraId="5FA4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5367FB24">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5637D9F8">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5C5214AF">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千鹤山生物多样性保护、水源涵养功能区II-4-6</w:t>
                  </w:r>
                </w:p>
              </w:tc>
            </w:tr>
            <w:tr w14:paraId="6565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395A50AE">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70F4228B">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63993766">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宽城南部矿山环境综合整治区II-4-7</w:t>
                  </w:r>
                </w:p>
              </w:tc>
            </w:tr>
            <w:tr w14:paraId="7FF7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tcBorders>
                    <w:tl2br w:val="nil"/>
                    <w:tr2bl w:val="nil"/>
                  </w:tcBorders>
                  <w:noWrap w:val="0"/>
                  <w:vAlign w:val="center"/>
                </w:tcPr>
                <w:p w14:paraId="02B9CFAD">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1070" w:type="pct"/>
                  <w:vMerge w:val="continue"/>
                  <w:tcBorders>
                    <w:tl2br w:val="nil"/>
                    <w:tr2bl w:val="nil"/>
                  </w:tcBorders>
                  <w:noWrap w:val="0"/>
                  <w:vAlign w:val="center"/>
                </w:tcPr>
                <w:p w14:paraId="2037C2DB">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p>
              </w:tc>
              <w:tc>
                <w:tcPr>
                  <w:tcW w:w="3284" w:type="pct"/>
                  <w:tcBorders>
                    <w:tl2br w:val="nil"/>
                    <w:tr2bl w:val="nil"/>
                  </w:tcBorders>
                  <w:noWrap w:val="0"/>
                  <w:vAlign w:val="center"/>
                </w:tcPr>
                <w:p w14:paraId="0EE35F32">
                  <w:pPr>
                    <w:pStyle w:val="5"/>
                    <w:keepNext w:val="0"/>
                    <w:keepLines w:val="0"/>
                    <w:pageBreakBefore w:val="0"/>
                    <w:widowControl/>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宽城都山生物多样性保护、水土保持功能区II-4-8</w:t>
                  </w:r>
                </w:p>
              </w:tc>
            </w:tr>
          </w:tbl>
          <w:p w14:paraId="25ECD65B">
            <w:pPr>
              <w:pStyle w:val="5"/>
              <w:keepNext w:val="0"/>
              <w:keepLines w:val="0"/>
              <w:pageBreakBefore w:val="0"/>
              <w:widowControl/>
              <w:kinsoku/>
              <w:wordWrap/>
              <w:overflowPunct/>
              <w:topLinePunct w:val="0"/>
              <w:autoSpaceDE/>
              <w:autoSpaceDN/>
              <w:bidi w:val="0"/>
              <w:adjustRightInd/>
              <w:snapToGrid w:val="0"/>
              <w:spacing w:before="0" w:after="0" w:line="480" w:lineRule="exact"/>
              <w:ind w:right="0" w:firstLine="480" w:firstLineChars="200"/>
              <w:jc w:val="left"/>
              <w:textAlignment w:val="auto"/>
              <w:rPr>
                <w:color w:val="auto"/>
                <w:sz w:val="24"/>
                <w:szCs w:val="24"/>
                <w:highlight w:val="none"/>
              </w:rPr>
            </w:pPr>
            <w:r>
              <w:rPr>
                <w:color w:val="auto"/>
                <w:sz w:val="24"/>
                <w:szCs w:val="24"/>
                <w:highlight w:val="none"/>
              </w:rPr>
              <w:t>承德市市域环境功能区划如下图所示：</w:t>
            </w:r>
          </w:p>
          <w:p w14:paraId="7163C1D1">
            <w:pPr>
              <w:rPr>
                <w:color w:val="auto"/>
                <w:sz w:val="24"/>
                <w:szCs w:val="24"/>
                <w:highlight w:val="none"/>
              </w:rPr>
            </w:pPr>
          </w:p>
          <w:p w14:paraId="3224295B">
            <w:pPr>
              <w:pStyle w:val="2"/>
              <w:rPr>
                <w:color w:val="auto"/>
                <w:sz w:val="24"/>
                <w:szCs w:val="24"/>
                <w:highlight w:val="none"/>
              </w:rPr>
            </w:pPr>
          </w:p>
          <w:p w14:paraId="6824F3AD">
            <w:pPr>
              <w:pStyle w:val="11"/>
              <w:rPr>
                <w:color w:val="auto"/>
                <w:sz w:val="24"/>
                <w:szCs w:val="24"/>
                <w:highlight w:val="none"/>
              </w:rPr>
            </w:pPr>
          </w:p>
          <w:p w14:paraId="213B38AE">
            <w:pPr>
              <w:rPr>
                <w:color w:val="auto"/>
                <w:sz w:val="24"/>
                <w:szCs w:val="24"/>
                <w:highlight w:val="none"/>
              </w:rPr>
            </w:pPr>
          </w:p>
          <w:p w14:paraId="157988DB">
            <w:pPr>
              <w:pStyle w:val="2"/>
              <w:rPr>
                <w:color w:val="auto"/>
                <w:sz w:val="24"/>
                <w:szCs w:val="24"/>
                <w:highlight w:val="none"/>
              </w:rPr>
            </w:pPr>
          </w:p>
          <w:p w14:paraId="71C863EE">
            <w:pPr>
              <w:pStyle w:val="11"/>
              <w:rPr>
                <w:color w:val="auto"/>
                <w:sz w:val="24"/>
                <w:szCs w:val="24"/>
                <w:highlight w:val="none"/>
              </w:rPr>
            </w:pPr>
          </w:p>
          <w:p w14:paraId="7C31C229">
            <w:pPr>
              <w:rPr>
                <w:color w:val="auto"/>
                <w:sz w:val="24"/>
                <w:szCs w:val="24"/>
                <w:highlight w:val="none"/>
              </w:rPr>
            </w:pPr>
          </w:p>
          <w:p w14:paraId="0D98CC81">
            <w:pPr>
              <w:pStyle w:val="11"/>
              <w:jc w:val="both"/>
              <w:rPr>
                <w:color w:val="auto"/>
                <w:sz w:val="24"/>
                <w:szCs w:val="24"/>
                <w:highlight w:val="none"/>
              </w:rPr>
            </w:pPr>
          </w:p>
          <w:p w14:paraId="36B26BF5">
            <w:pPr>
              <w:pStyle w:val="2"/>
              <w:ind w:left="0" w:leftChars="0" w:firstLine="0" w:firstLineChars="0"/>
              <w:rPr>
                <w:color w:val="auto"/>
                <w:highlight w:val="none"/>
              </w:rPr>
            </w:pPr>
          </w:p>
          <w:p w14:paraId="2E1658D2">
            <w:pPr>
              <w:rPr>
                <w:color w:val="auto"/>
                <w:sz w:val="24"/>
                <w:szCs w:val="24"/>
                <w:highlight w:val="none"/>
              </w:rPr>
            </w:pPr>
            <w:r>
              <w:rPr>
                <w:rFonts w:ascii="Times New Roman" w:hAnsi="Times New Roman"/>
                <w:color w:val="auto"/>
                <w:sz w:val="21"/>
                <w:szCs w:val="21"/>
                <w:highlight w:val="none"/>
              </w:rPr>
              <w:drawing>
                <wp:anchor distT="0" distB="0" distL="114300" distR="114300" simplePos="0" relativeHeight="251659264" behindDoc="1" locked="0" layoutInCell="1" allowOverlap="1">
                  <wp:simplePos x="0" y="0"/>
                  <wp:positionH relativeFrom="column">
                    <wp:posOffset>133985</wp:posOffset>
                  </wp:positionH>
                  <wp:positionV relativeFrom="paragraph">
                    <wp:posOffset>11430</wp:posOffset>
                  </wp:positionV>
                  <wp:extent cx="4582795" cy="5650230"/>
                  <wp:effectExtent l="9525" t="9525" r="17780" b="17145"/>
                  <wp:wrapNone/>
                  <wp:docPr id="44" name="图片 1368" descr="承德市城市总体规划图（20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68" descr="承德市城市总体规划图（2016-2030）"/>
                          <pic:cNvPicPr>
                            <a:picLocks noChangeAspect="1"/>
                          </pic:cNvPicPr>
                        </pic:nvPicPr>
                        <pic:blipFill>
                          <a:blip r:embed="rId9"/>
                          <a:srcRect t="3239" b="3563"/>
                          <a:stretch>
                            <a:fillRect/>
                          </a:stretch>
                        </pic:blipFill>
                        <pic:spPr>
                          <a:xfrm>
                            <a:off x="0" y="0"/>
                            <a:ext cx="4582795" cy="5650230"/>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3A3BD175">
            <w:pPr>
              <w:pStyle w:val="2"/>
              <w:rPr>
                <w:color w:val="auto"/>
                <w:highlight w:val="none"/>
              </w:rPr>
            </w:pPr>
          </w:p>
          <w:p w14:paraId="4E2F168C">
            <w:pPr>
              <w:rPr>
                <w:rFonts w:hint="eastAsia"/>
                <w:color w:val="auto"/>
                <w:highlight w:val="none"/>
                <w:lang w:eastAsia="zh-CN"/>
              </w:rPr>
            </w:pPr>
          </w:p>
          <w:p w14:paraId="6AF34AC5">
            <w:pPr>
              <w:pStyle w:val="2"/>
              <w:rPr>
                <w:rFonts w:hint="eastAsia"/>
                <w:color w:val="auto"/>
                <w:highlight w:val="none"/>
                <w:lang w:eastAsia="zh-CN"/>
              </w:rPr>
            </w:pPr>
          </w:p>
          <w:p w14:paraId="076A6FB7">
            <w:pPr>
              <w:rPr>
                <w:rFonts w:hint="eastAsia"/>
                <w:color w:val="auto"/>
                <w:highlight w:val="none"/>
                <w:lang w:eastAsia="zh-CN"/>
              </w:rPr>
            </w:pPr>
          </w:p>
          <w:p w14:paraId="434723F5">
            <w:pPr>
              <w:pStyle w:val="2"/>
              <w:rPr>
                <w:rFonts w:hint="eastAsia"/>
                <w:color w:val="auto"/>
                <w:highlight w:val="none"/>
                <w:lang w:eastAsia="zh-CN"/>
              </w:rPr>
            </w:pPr>
          </w:p>
          <w:p w14:paraId="2D99C75B">
            <w:pPr>
              <w:rPr>
                <w:rFonts w:hint="eastAsia"/>
                <w:color w:val="auto"/>
                <w:highlight w:val="none"/>
                <w:lang w:eastAsia="zh-CN"/>
              </w:rPr>
            </w:pPr>
          </w:p>
          <w:p w14:paraId="606F880B">
            <w:pPr>
              <w:pStyle w:val="2"/>
              <w:rPr>
                <w:rFonts w:hint="eastAsia"/>
                <w:color w:val="auto"/>
                <w:highlight w:val="none"/>
                <w:lang w:eastAsia="zh-CN"/>
              </w:rPr>
            </w:pPr>
          </w:p>
          <w:p w14:paraId="64CC6E12">
            <w:pPr>
              <w:rPr>
                <w:rFonts w:hint="eastAsia"/>
                <w:color w:val="auto"/>
                <w:highlight w:val="none"/>
                <w:lang w:eastAsia="zh-CN"/>
              </w:rPr>
            </w:pPr>
          </w:p>
          <w:p w14:paraId="2C24788F">
            <w:pPr>
              <w:pStyle w:val="2"/>
              <w:rPr>
                <w:rFonts w:hint="eastAsia"/>
                <w:color w:val="auto"/>
                <w:highlight w:val="none"/>
                <w:lang w:eastAsia="zh-CN"/>
              </w:rPr>
            </w:pPr>
          </w:p>
          <w:p w14:paraId="3C1D6D22">
            <w:pPr>
              <w:rPr>
                <w:rFonts w:hint="eastAsia"/>
                <w:color w:val="auto"/>
                <w:highlight w:val="none"/>
                <w:lang w:eastAsia="zh-CN"/>
              </w:rPr>
            </w:pPr>
          </w:p>
          <w:p w14:paraId="213172C5">
            <w:pPr>
              <w:pStyle w:val="2"/>
              <w:rPr>
                <w:rFonts w:hint="eastAsia"/>
                <w:color w:val="auto"/>
                <w:highlight w:val="none"/>
                <w:lang w:eastAsia="zh-CN"/>
              </w:rPr>
            </w:pPr>
          </w:p>
          <w:p w14:paraId="4BF055D4">
            <w:pPr>
              <w:rPr>
                <w:rFonts w:hint="eastAsia"/>
                <w:color w:val="auto"/>
                <w:highlight w:val="none"/>
                <w:lang w:eastAsia="zh-CN"/>
              </w:rPr>
            </w:pPr>
          </w:p>
          <w:p w14:paraId="02A05168">
            <w:pPr>
              <w:pStyle w:val="2"/>
              <w:rPr>
                <w:rFonts w:hint="eastAsia"/>
                <w:color w:val="auto"/>
                <w:highlight w:val="none"/>
                <w:lang w:eastAsia="zh-CN"/>
              </w:rPr>
            </w:pPr>
          </w:p>
          <w:p w14:paraId="1876301E">
            <w:pPr>
              <w:rPr>
                <w:rFonts w:hint="eastAsia"/>
                <w:color w:val="auto"/>
                <w:highlight w:val="none"/>
                <w:lang w:eastAsia="zh-CN"/>
              </w:rPr>
            </w:pPr>
          </w:p>
          <w:p w14:paraId="33DD4C41">
            <w:pPr>
              <w:pStyle w:val="2"/>
              <w:rPr>
                <w:rFonts w:hint="eastAsia"/>
                <w:color w:val="auto"/>
                <w:highlight w:val="none"/>
                <w:lang w:eastAsia="zh-CN"/>
              </w:rPr>
            </w:pPr>
          </w:p>
          <w:p w14:paraId="51AB29D6">
            <w:pPr>
              <w:rPr>
                <w:rFonts w:hint="eastAsia"/>
                <w:color w:val="auto"/>
                <w:highlight w:val="none"/>
                <w:lang w:eastAsia="zh-CN"/>
              </w:rPr>
            </w:pPr>
          </w:p>
          <w:p w14:paraId="50430A96">
            <w:pPr>
              <w:pStyle w:val="2"/>
              <w:rPr>
                <w:rFonts w:hint="eastAsia"/>
                <w:color w:val="auto"/>
                <w:highlight w:val="none"/>
                <w:lang w:eastAsia="zh-CN"/>
              </w:rPr>
            </w:pPr>
          </w:p>
          <w:p w14:paraId="7A8C94BD">
            <w:pPr>
              <w:rPr>
                <w:rFonts w:hint="eastAsia"/>
                <w:color w:val="auto"/>
                <w:highlight w:val="none"/>
                <w:lang w:eastAsia="zh-CN"/>
              </w:rPr>
            </w:pPr>
          </w:p>
          <w:p w14:paraId="3A75238E">
            <w:pPr>
              <w:pStyle w:val="2"/>
              <w:rPr>
                <w:rFonts w:hint="eastAsia"/>
                <w:color w:val="auto"/>
                <w:highlight w:val="none"/>
                <w:lang w:eastAsia="zh-CN"/>
              </w:rPr>
            </w:pPr>
          </w:p>
          <w:p w14:paraId="1AE5328D">
            <w:pPr>
              <w:rPr>
                <w:rFonts w:hint="eastAsia"/>
                <w:color w:val="auto"/>
                <w:highlight w:val="none"/>
                <w:lang w:eastAsia="zh-CN"/>
              </w:rPr>
            </w:pPr>
          </w:p>
          <w:p w14:paraId="4C3E89D3">
            <w:pPr>
              <w:pStyle w:val="2"/>
              <w:rPr>
                <w:rFonts w:hint="eastAsia"/>
                <w:color w:val="auto"/>
                <w:highlight w:val="none"/>
                <w:lang w:eastAsia="zh-CN"/>
              </w:rPr>
            </w:pPr>
          </w:p>
          <w:p w14:paraId="2A845C95">
            <w:pPr>
              <w:rPr>
                <w:rFonts w:hint="eastAsia"/>
                <w:color w:val="auto"/>
                <w:highlight w:val="none"/>
                <w:lang w:eastAsia="zh-CN"/>
              </w:rPr>
            </w:pPr>
          </w:p>
          <w:p w14:paraId="6A3CBC05">
            <w:pPr>
              <w:pStyle w:val="2"/>
              <w:rPr>
                <w:rFonts w:hint="eastAsia"/>
                <w:color w:val="auto"/>
                <w:highlight w:val="none"/>
                <w:lang w:eastAsia="zh-CN"/>
              </w:rPr>
            </w:pPr>
          </w:p>
          <w:p w14:paraId="75738A5C">
            <w:pPr>
              <w:rPr>
                <w:rFonts w:hint="eastAsia"/>
                <w:color w:val="auto"/>
                <w:highlight w:val="none"/>
                <w:lang w:eastAsia="zh-CN"/>
              </w:rPr>
            </w:pPr>
            <w:r>
              <w:rPr>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3693160</wp:posOffset>
                      </wp:positionH>
                      <wp:positionV relativeFrom="paragraph">
                        <wp:posOffset>104775</wp:posOffset>
                      </wp:positionV>
                      <wp:extent cx="819150" cy="266700"/>
                      <wp:effectExtent l="4445" t="4445" r="14605" b="71755"/>
                      <wp:wrapNone/>
                      <wp:docPr id="43" name="矩形标注 43"/>
                      <wp:cNvGraphicFramePr/>
                      <a:graphic xmlns:a="http://schemas.openxmlformats.org/drawingml/2006/main">
                        <a:graphicData uri="http://schemas.microsoft.com/office/word/2010/wordprocessingShape">
                          <wps:wsp>
                            <wps:cNvSpPr/>
                            <wps:spPr>
                              <a:xfrm>
                                <a:off x="0" y="0"/>
                                <a:ext cx="819150" cy="266700"/>
                              </a:xfrm>
                              <a:prstGeom prst="wedgeRectCallout">
                                <a:avLst>
                                  <a:gd name="adj1" fmla="val -43750"/>
                                  <a:gd name="adj2" fmla="val 70000"/>
                                </a:avLst>
                              </a:prstGeom>
                              <a:noFill/>
                              <a:ln w="9525" cap="flat" cmpd="sng">
                                <a:solidFill>
                                  <a:srgbClr val="000000"/>
                                </a:solidFill>
                                <a:prstDash val="solid"/>
                                <a:miter/>
                                <a:headEnd type="none" w="med" len="med"/>
                                <a:tailEnd type="none" w="med" len="med"/>
                              </a:ln>
                            </wps:spPr>
                            <wps:txbx>
                              <w:txbxContent>
                                <w:p w14:paraId="3204D12A">
                                  <w:pPr>
                                    <w:rPr>
                                      <w:rFonts w:hint="eastAsia" w:eastAsia="宋体"/>
                                      <w:sz w:val="18"/>
                                      <w:szCs w:val="18"/>
                                      <w:lang w:eastAsia="zh-CN"/>
                                    </w:rPr>
                                  </w:pPr>
                                  <w:r>
                                    <w:rPr>
                                      <w:rFonts w:hint="eastAsia"/>
                                      <w:sz w:val="18"/>
                                      <w:szCs w:val="18"/>
                                      <w:lang w:eastAsia="zh-CN"/>
                                    </w:rPr>
                                    <w:t>本项目位置</w:t>
                                  </w:r>
                                </w:p>
                              </w:txbxContent>
                            </wps:txbx>
                            <wps:bodyPr upright="1"/>
                          </wps:wsp>
                        </a:graphicData>
                      </a:graphic>
                    </wp:anchor>
                  </w:drawing>
                </mc:Choice>
                <mc:Fallback>
                  <w:pict>
                    <v:shape id="_x0000_s1026" o:spid="_x0000_s1026" o:spt="61" type="#_x0000_t61" style="position:absolute;left:0pt;margin-left:290.8pt;margin-top:8.25pt;height:21pt;width:64.5pt;z-index:251670528;mso-width-relative:page;mso-height-relative:page;" filled="f" stroked="t" coordsize="21600,21600" o:gfxdata="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8k5XvXAAAACQEAAA8AAAAAAAAAAQAgAAAAIgAAAGRycy9kb3ducmV2Lnht&#10;bFBLAQIUABQAAAAIAIdO4kBKviLTMwIAAGUEAAAOAAAAAAAAAAEAIAAAACYBAABkcnMvZTJvRG9j&#10;LnhtbFBLBQYAAAAABgAGAFkBAADLBQAAAAA=&#10;" adj="1350,25920">
                      <v:fill on="f" focussize="0,0"/>
                      <v:stroke color="#000000" joinstyle="miter"/>
                      <v:imagedata o:title=""/>
                      <o:lock v:ext="edit" aspectratio="f"/>
                      <v:textbox>
                        <w:txbxContent>
                          <w:p w14:paraId="3204D12A">
                            <w:pPr>
                              <w:rPr>
                                <w:rFonts w:hint="eastAsia" w:eastAsia="宋体"/>
                                <w:sz w:val="18"/>
                                <w:szCs w:val="18"/>
                                <w:lang w:eastAsia="zh-CN"/>
                              </w:rPr>
                            </w:pPr>
                            <w:r>
                              <w:rPr>
                                <w:rFonts w:hint="eastAsia"/>
                                <w:sz w:val="18"/>
                                <w:szCs w:val="18"/>
                                <w:lang w:eastAsia="zh-CN"/>
                              </w:rPr>
                              <w:t>本项目位置</w:t>
                            </w:r>
                          </w:p>
                        </w:txbxContent>
                      </v:textbox>
                    </v:shape>
                  </w:pict>
                </mc:Fallback>
              </mc:AlternateContent>
            </w:r>
          </w:p>
          <w:p w14:paraId="49C99614">
            <w:pPr>
              <w:pStyle w:val="2"/>
              <w:rPr>
                <w:rFonts w:hint="eastAsia"/>
                <w:color w:val="auto"/>
                <w:highlight w:val="none"/>
                <w:lang w:eastAsia="zh-CN"/>
              </w:rPr>
            </w:pPr>
          </w:p>
          <w:p w14:paraId="0C1A2D28">
            <w:pPr>
              <w:rPr>
                <w:rFonts w:hint="eastAsia"/>
                <w:color w:val="auto"/>
                <w:highlight w:val="none"/>
                <w:lang w:eastAsia="zh-CN"/>
              </w:rPr>
            </w:pP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3650615</wp:posOffset>
                      </wp:positionH>
                      <wp:positionV relativeFrom="paragraph">
                        <wp:posOffset>92710</wp:posOffset>
                      </wp:positionV>
                      <wp:extent cx="104775" cy="114300"/>
                      <wp:effectExtent l="13335" t="17780" r="15240" b="20320"/>
                      <wp:wrapNone/>
                      <wp:docPr id="35" name="五角星 35"/>
                      <wp:cNvGraphicFramePr/>
                      <a:graphic xmlns:a="http://schemas.openxmlformats.org/drawingml/2006/main">
                        <a:graphicData uri="http://schemas.microsoft.com/office/word/2010/wordprocessingShape">
                          <wps:wsp>
                            <wps:cNvSpPr/>
                            <wps:spPr>
                              <a:xfrm>
                                <a:off x="0" y="0"/>
                                <a:ext cx="104775" cy="11430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287.45pt;margin-top:7.3pt;height:9pt;width:8.25pt;z-index:251669504;mso-width-relative:page;mso-height-relative:page;" fillcolor="#FF0000" filled="t" stroked="t" coordsize="104775,114300" o:gfxdata="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&#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C/C/XAAAACQEAAA8AAAAAAAAAAQAgAAAAIgAAAGRy&#10;cy9kb3ducmV2LnhtbFBLAQIUABQAAAAIAIdO4kD7ZdulBgIAACMEAAAOAAAAAAAAAAEAIAAAACYB&#10;AABkcnMvZTJvRG9jLnhtbFBLBQYAAAAABgAGAFkBAACeBQAAAAA=&#10;" path="m0,43658l40020,43658,52387,0,64754,43658,104774,43658,72397,70640,84764,114299,52387,87316,20010,114299,32377,70640xe">
                      <v:path o:connectlocs="52387,0;0,43658;20010,114299;84764,114299;104774,43658" o:connectangles="247,164,82,82,0"/>
                      <v:fill on="t" focussize="0,0"/>
                      <v:stroke color="#000000" joinstyle="miter"/>
                      <v:imagedata o:title=""/>
                      <o:lock v:ext="edit" aspectratio="f"/>
                    </v:shape>
                  </w:pict>
                </mc:Fallback>
              </mc:AlternateContent>
            </w:r>
          </w:p>
          <w:p w14:paraId="16E84C8F">
            <w:pPr>
              <w:pStyle w:val="2"/>
              <w:rPr>
                <w:rFonts w:hint="eastAsia"/>
                <w:color w:val="auto"/>
                <w:highlight w:val="none"/>
                <w:lang w:eastAsia="zh-CN"/>
              </w:rPr>
            </w:pPr>
          </w:p>
          <w:p w14:paraId="5553C7A9">
            <w:pPr>
              <w:rPr>
                <w:rFonts w:hint="eastAsia"/>
                <w:color w:val="auto"/>
                <w:highlight w:val="none"/>
                <w:lang w:eastAsia="zh-CN"/>
              </w:rPr>
            </w:pPr>
          </w:p>
          <w:p w14:paraId="13089E12">
            <w:pPr>
              <w:pStyle w:val="2"/>
              <w:rPr>
                <w:rFonts w:hint="eastAsia"/>
                <w:color w:val="auto"/>
                <w:highlight w:val="none"/>
                <w:lang w:eastAsia="zh-CN"/>
              </w:rPr>
            </w:pPr>
          </w:p>
          <w:p w14:paraId="03D6D97E">
            <w:pPr>
              <w:rPr>
                <w:rFonts w:hint="eastAsia"/>
                <w:color w:val="auto"/>
                <w:highlight w:val="none"/>
                <w:lang w:eastAsia="zh-CN"/>
              </w:rPr>
            </w:pPr>
          </w:p>
          <w:p w14:paraId="682F039F">
            <w:pPr>
              <w:pStyle w:val="2"/>
              <w:rPr>
                <w:rFonts w:hint="eastAsia"/>
                <w:color w:val="auto"/>
                <w:highlight w:val="none"/>
                <w:lang w:eastAsia="zh-CN"/>
              </w:rPr>
            </w:pPr>
          </w:p>
          <w:p w14:paraId="526AA3AA">
            <w:pPr>
              <w:rPr>
                <w:rFonts w:hint="eastAsia"/>
                <w:color w:val="auto"/>
                <w:highlight w:val="none"/>
                <w:lang w:eastAsia="zh-CN"/>
              </w:rPr>
            </w:pPr>
          </w:p>
          <w:p w14:paraId="1B8739A9">
            <w:pPr>
              <w:pStyle w:val="2"/>
              <w:rPr>
                <w:rFonts w:hint="eastAsia"/>
                <w:color w:val="auto"/>
                <w:highlight w:val="none"/>
                <w:lang w:eastAsia="zh-CN"/>
              </w:rPr>
            </w:pPr>
          </w:p>
          <w:p w14:paraId="3DBB7A2D">
            <w:pPr>
              <w:rPr>
                <w:rFonts w:hint="eastAsia"/>
                <w:color w:val="auto"/>
                <w:highlight w:val="none"/>
                <w:lang w:eastAsia="zh-CN"/>
              </w:rPr>
            </w:pPr>
          </w:p>
          <w:p w14:paraId="3718088E">
            <w:pPr>
              <w:pStyle w:val="2"/>
              <w:rPr>
                <w:rFonts w:hint="eastAsia"/>
                <w:color w:val="auto"/>
                <w:highlight w:val="none"/>
                <w:lang w:eastAsia="zh-CN"/>
              </w:rPr>
            </w:pPr>
          </w:p>
          <w:p w14:paraId="741C2635">
            <w:pPr>
              <w:rPr>
                <w:rFonts w:hint="eastAsia"/>
                <w:color w:val="auto"/>
                <w:highlight w:val="none"/>
                <w:lang w:eastAsia="zh-CN"/>
              </w:rPr>
            </w:pPr>
          </w:p>
          <w:p w14:paraId="7F999769">
            <w:pPr>
              <w:keepNext w:val="0"/>
              <w:keepLines w:val="0"/>
              <w:pageBreakBefore w:val="0"/>
              <w:kinsoku/>
              <w:wordWrap/>
              <w:overflowPunct/>
              <w:topLinePunct w:val="0"/>
              <w:autoSpaceDE w:val="0"/>
              <w:autoSpaceDN w:val="0"/>
              <w:bidi w:val="0"/>
              <w:adjustRightInd w:val="0"/>
              <w:snapToGrid w:val="0"/>
              <w:spacing w:line="480" w:lineRule="exact"/>
              <w:jc w:val="center"/>
              <w:textAlignment w:val="auto"/>
              <w:rPr>
                <w:b w:val="0"/>
                <w:bCs w:val="0"/>
                <w:color w:val="auto"/>
                <w:kern w:val="2"/>
                <w:szCs w:val="24"/>
                <w:highlight w:val="none"/>
              </w:rPr>
            </w:pPr>
            <w:r>
              <w:rPr>
                <w:b w:val="0"/>
                <w:bCs w:val="0"/>
                <w:color w:val="auto"/>
                <w:sz w:val="24"/>
                <w:highlight w:val="none"/>
              </w:rPr>
              <w:t>图1-</w:t>
            </w:r>
            <w:r>
              <w:rPr>
                <w:rFonts w:hint="eastAsia"/>
                <w:b w:val="0"/>
                <w:bCs w:val="0"/>
                <w:color w:val="auto"/>
                <w:sz w:val="24"/>
                <w:highlight w:val="none"/>
                <w:lang w:val="en-US" w:eastAsia="zh-CN"/>
              </w:rPr>
              <w:t>3</w:t>
            </w:r>
            <w:r>
              <w:rPr>
                <w:b w:val="0"/>
                <w:bCs w:val="0"/>
                <w:color w:val="auto"/>
                <w:sz w:val="24"/>
                <w:highlight w:val="none"/>
              </w:rPr>
              <w:t xml:space="preserve"> </w:t>
            </w:r>
            <w:r>
              <w:rPr>
                <w:rFonts w:hint="eastAsia"/>
                <w:b w:val="0"/>
                <w:bCs w:val="0"/>
                <w:color w:val="auto"/>
                <w:sz w:val="24"/>
                <w:highlight w:val="none"/>
              </w:rPr>
              <w:t xml:space="preserve"> </w:t>
            </w:r>
            <w:r>
              <w:rPr>
                <w:b w:val="0"/>
                <w:bCs w:val="0"/>
                <w:color w:val="auto"/>
                <w:sz w:val="24"/>
                <w:highlight w:val="none"/>
              </w:rPr>
              <w:t>承德市市域环境功能区划图</w:t>
            </w:r>
          </w:p>
          <w:p w14:paraId="7F814941">
            <w:pPr>
              <w:pStyle w:val="5"/>
              <w:keepNext w:val="0"/>
              <w:keepLines w:val="0"/>
              <w:pageBreakBefore w:val="0"/>
              <w:kinsoku/>
              <w:wordWrap/>
              <w:overflowPunct/>
              <w:topLinePunct w:val="0"/>
              <w:bidi w:val="0"/>
              <w:spacing w:before="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本项目所属区域为属于“冀北及燕山山地生态区（II）——燕山山地南部林果生态亚区II-4——宽城南部矿山环境综合整治区II-4-7”。</w:t>
            </w:r>
          </w:p>
          <w:p w14:paraId="074A4366">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本项目利用原有厂房，建成后营运期</w:t>
            </w:r>
            <w:r>
              <w:rPr>
                <w:rFonts w:hint="default" w:ascii="Times New Roman" w:hAnsi="Times New Roman" w:eastAsia="宋体" w:cs="Times New Roman"/>
                <w:color w:val="auto"/>
                <w:sz w:val="24"/>
                <w:szCs w:val="24"/>
                <w:highlight w:val="none"/>
              </w:rPr>
              <w:t>所排放的污染物经过环保设施处理后能够达标排放，符合《承德市城市总体规划》（2016－2030）中生态环境功能区划要求。</w:t>
            </w:r>
          </w:p>
          <w:p w14:paraId="259ABFE2">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1.6《承德市重点水源涵养生态功能保护区规划》符合性分析</w:t>
            </w:r>
          </w:p>
          <w:p w14:paraId="7021D824">
            <w:pPr>
              <w:pStyle w:val="5"/>
              <w:keepNext w:val="0"/>
              <w:keepLines w:val="0"/>
              <w:pageBreakBefore w:val="0"/>
              <w:kinsoku/>
              <w:wordWrap/>
              <w:overflowPunct/>
              <w:topLinePunct w:val="0"/>
              <w:bidi w:val="0"/>
              <w:spacing w:before="0" w:after="0" w:line="480" w:lineRule="exact"/>
              <w:ind w:right="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8015.92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，占全市土地总面积的20.29%。保护区有7773.71km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的面积在承德市“燕山山地水源涵养重要区”内，占其总面积的26.84%；保护区中有4483.67km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的面积分布在承德市“京津水源地水源涵养重要区”内，占其总面积的30.18%。</w:t>
            </w:r>
          </w:p>
          <w:p w14:paraId="2BF9B1C2">
            <w:pPr>
              <w:pStyle w:val="5"/>
              <w:keepNext w:val="0"/>
              <w:keepLines w:val="0"/>
              <w:pageBreakBefore w:val="0"/>
              <w:kinsoku/>
              <w:wordWrap/>
              <w:overflowPunct/>
              <w:topLinePunct w:val="0"/>
              <w:bidi w:val="0"/>
              <w:spacing w:before="0" w:after="0" w:line="480" w:lineRule="exact"/>
              <w:ind w:right="0" w:firstLine="480" w:firstLineChars="200"/>
              <w:jc w:val="left"/>
              <w:textAlignment w:val="auto"/>
              <w:rPr>
                <w:rFonts w:hint="eastAsia"/>
                <w:color w:val="auto"/>
                <w:highlight w:val="none"/>
                <w:lang w:eastAsia="zh-CN"/>
              </w:rPr>
            </w:pPr>
            <w:r>
              <w:rPr>
                <w:rFonts w:hint="default" w:ascii="Times New Roman" w:hAnsi="Times New Roman" w:eastAsia="宋体" w:cs="Times New Roman"/>
                <w:color w:val="auto"/>
                <w:sz w:val="24"/>
                <w:szCs w:val="24"/>
                <w:highlight w:val="none"/>
              </w:rPr>
              <w:t>项目与承德市京津水源地水源涵养重要区和燕山山地水源涵养重要区的关系示意图详见下图</w:t>
            </w:r>
            <w:r>
              <w:rPr>
                <w:rFonts w:hint="eastAsia" w:ascii="Times New Roman" w:hAnsi="Times New Roman" w:eastAsia="宋体" w:cs="Times New Roman"/>
                <w:color w:val="auto"/>
                <w:sz w:val="24"/>
                <w:szCs w:val="24"/>
                <w:highlight w:val="none"/>
                <w:lang w:eastAsia="zh-CN"/>
              </w:rPr>
              <w:t>。</w:t>
            </w:r>
          </w:p>
          <w:p w14:paraId="2921A322">
            <w:pPr>
              <w:pStyle w:val="11"/>
              <w:rPr>
                <w:rFonts w:hint="eastAsia"/>
                <w:color w:val="auto"/>
                <w:highlight w:val="none"/>
                <w:lang w:eastAsia="zh-CN"/>
              </w:rPr>
            </w:pPr>
            <w:r>
              <w:rPr>
                <w:rFonts w:hint="eastAsia"/>
                <w:color w:val="auto"/>
                <w:highlight w:val="none"/>
                <w:lang w:eastAsia="zh-CN"/>
              </w:rPr>
              <w:drawing>
                <wp:anchor distT="0" distB="0" distL="114300" distR="114300" simplePos="0" relativeHeight="251660288" behindDoc="1" locked="0" layoutInCell="1" allowOverlap="1">
                  <wp:simplePos x="0" y="0"/>
                  <wp:positionH relativeFrom="column">
                    <wp:posOffset>521970</wp:posOffset>
                  </wp:positionH>
                  <wp:positionV relativeFrom="paragraph">
                    <wp:posOffset>-20320</wp:posOffset>
                  </wp:positionV>
                  <wp:extent cx="4174490" cy="5605780"/>
                  <wp:effectExtent l="0" t="0" r="16510" b="13970"/>
                  <wp:wrapNone/>
                  <wp:docPr id="38" name="图片 11" descr="承德市重点水源涵养生态功能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承德市重点水源涵养生态功能保护区分布图"/>
                          <pic:cNvPicPr>
                            <a:picLocks noChangeAspect="1"/>
                          </pic:cNvPicPr>
                        </pic:nvPicPr>
                        <pic:blipFill>
                          <a:blip r:embed="rId10"/>
                          <a:stretch>
                            <a:fillRect/>
                          </a:stretch>
                        </pic:blipFill>
                        <pic:spPr>
                          <a:xfrm>
                            <a:off x="0" y="0"/>
                            <a:ext cx="4174490" cy="5605780"/>
                          </a:xfrm>
                          <a:prstGeom prst="rect">
                            <a:avLst/>
                          </a:prstGeom>
                          <a:noFill/>
                          <a:ln>
                            <a:noFill/>
                          </a:ln>
                        </pic:spPr>
                      </pic:pic>
                    </a:graphicData>
                  </a:graphic>
                </wp:anchor>
              </w:drawing>
            </w:r>
          </w:p>
          <w:p w14:paraId="79EDBBF2">
            <w:pPr>
              <w:rPr>
                <w:rFonts w:hint="eastAsia"/>
                <w:color w:val="auto"/>
                <w:highlight w:val="none"/>
                <w:lang w:eastAsia="zh-CN"/>
              </w:rPr>
            </w:pPr>
          </w:p>
          <w:p w14:paraId="1AC7A296">
            <w:pPr>
              <w:pStyle w:val="2"/>
              <w:rPr>
                <w:rFonts w:hint="eastAsia"/>
                <w:color w:val="auto"/>
                <w:highlight w:val="none"/>
                <w:lang w:eastAsia="zh-CN"/>
              </w:rPr>
            </w:pPr>
          </w:p>
          <w:p w14:paraId="7F4500FF">
            <w:pPr>
              <w:pStyle w:val="11"/>
              <w:rPr>
                <w:rFonts w:hint="eastAsia"/>
                <w:color w:val="auto"/>
                <w:highlight w:val="none"/>
                <w:lang w:eastAsia="zh-CN"/>
              </w:rPr>
            </w:pPr>
          </w:p>
          <w:p w14:paraId="4F45F385">
            <w:pPr>
              <w:rPr>
                <w:rFonts w:hint="eastAsia"/>
                <w:color w:val="auto"/>
                <w:highlight w:val="none"/>
                <w:lang w:eastAsia="zh-CN"/>
              </w:rPr>
            </w:pPr>
          </w:p>
          <w:p w14:paraId="183AF996">
            <w:pPr>
              <w:pStyle w:val="2"/>
              <w:rPr>
                <w:rFonts w:hint="eastAsia"/>
                <w:color w:val="auto"/>
                <w:highlight w:val="none"/>
                <w:lang w:eastAsia="zh-CN"/>
              </w:rPr>
            </w:pPr>
          </w:p>
          <w:p w14:paraId="79A48021">
            <w:pPr>
              <w:pStyle w:val="11"/>
              <w:rPr>
                <w:rFonts w:hint="eastAsia"/>
                <w:color w:val="auto"/>
                <w:highlight w:val="none"/>
                <w:lang w:eastAsia="zh-CN"/>
              </w:rPr>
            </w:pPr>
          </w:p>
          <w:p w14:paraId="1D1307D3">
            <w:pPr>
              <w:rPr>
                <w:rFonts w:hint="eastAsia"/>
                <w:color w:val="auto"/>
                <w:highlight w:val="none"/>
                <w:lang w:eastAsia="zh-CN"/>
              </w:rPr>
            </w:pPr>
          </w:p>
          <w:p w14:paraId="10661688">
            <w:pPr>
              <w:pStyle w:val="2"/>
              <w:rPr>
                <w:rFonts w:hint="eastAsia"/>
                <w:color w:val="auto"/>
                <w:highlight w:val="none"/>
                <w:lang w:eastAsia="zh-CN"/>
              </w:rPr>
            </w:pPr>
          </w:p>
          <w:p w14:paraId="090734DB">
            <w:pPr>
              <w:pStyle w:val="11"/>
              <w:rPr>
                <w:rFonts w:hint="eastAsia"/>
                <w:color w:val="auto"/>
                <w:highlight w:val="none"/>
                <w:lang w:eastAsia="zh-CN"/>
              </w:rPr>
            </w:pPr>
          </w:p>
          <w:p w14:paraId="22F54FCF">
            <w:pPr>
              <w:rPr>
                <w:rFonts w:hint="eastAsia"/>
                <w:color w:val="auto"/>
                <w:highlight w:val="none"/>
                <w:lang w:eastAsia="zh-CN"/>
              </w:rPr>
            </w:pPr>
          </w:p>
          <w:p w14:paraId="44F3743F">
            <w:pPr>
              <w:pStyle w:val="2"/>
              <w:rPr>
                <w:rFonts w:hint="eastAsia"/>
                <w:color w:val="auto"/>
                <w:highlight w:val="none"/>
                <w:lang w:eastAsia="zh-CN"/>
              </w:rPr>
            </w:pPr>
          </w:p>
          <w:p w14:paraId="0CF1C54F">
            <w:pPr>
              <w:pStyle w:val="11"/>
              <w:rPr>
                <w:rFonts w:hint="eastAsia"/>
                <w:color w:val="auto"/>
                <w:highlight w:val="none"/>
                <w:lang w:eastAsia="zh-CN"/>
              </w:rPr>
            </w:pPr>
          </w:p>
          <w:p w14:paraId="31BB5706">
            <w:pPr>
              <w:rPr>
                <w:rFonts w:hint="eastAsia"/>
                <w:color w:val="auto"/>
                <w:highlight w:val="none"/>
                <w:lang w:eastAsia="zh-CN"/>
              </w:rPr>
            </w:pPr>
          </w:p>
          <w:p w14:paraId="6D09ABF4">
            <w:pPr>
              <w:pStyle w:val="2"/>
              <w:rPr>
                <w:rFonts w:hint="eastAsia"/>
                <w:color w:val="auto"/>
                <w:highlight w:val="none"/>
                <w:lang w:eastAsia="zh-CN"/>
              </w:rPr>
            </w:pPr>
          </w:p>
          <w:p w14:paraId="0F60C6CB">
            <w:pPr>
              <w:pStyle w:val="11"/>
              <w:rPr>
                <w:rFonts w:hint="eastAsia"/>
                <w:color w:val="auto"/>
                <w:highlight w:val="none"/>
                <w:lang w:eastAsia="zh-CN"/>
              </w:rPr>
            </w:pPr>
          </w:p>
          <w:p w14:paraId="7D51FCE9">
            <w:pPr>
              <w:rPr>
                <w:rFonts w:hint="eastAsia"/>
                <w:color w:val="auto"/>
                <w:highlight w:val="none"/>
                <w:lang w:eastAsia="zh-CN"/>
              </w:rPr>
            </w:pPr>
          </w:p>
          <w:p w14:paraId="1ADBE686">
            <w:pPr>
              <w:pStyle w:val="2"/>
              <w:rPr>
                <w:rFonts w:hint="eastAsia"/>
                <w:color w:val="auto"/>
                <w:highlight w:val="none"/>
                <w:lang w:eastAsia="zh-CN"/>
              </w:rPr>
            </w:pPr>
          </w:p>
          <w:p w14:paraId="46757EC1">
            <w:pPr>
              <w:pStyle w:val="11"/>
              <w:rPr>
                <w:rFonts w:hint="eastAsia"/>
                <w:color w:val="auto"/>
                <w:highlight w:val="none"/>
                <w:lang w:eastAsia="zh-CN"/>
              </w:rPr>
            </w:pPr>
          </w:p>
          <w:p w14:paraId="1F18BAEF">
            <w:pPr>
              <w:rPr>
                <w:rFonts w:hint="eastAsia"/>
                <w:color w:val="auto"/>
                <w:highlight w:val="none"/>
                <w:lang w:eastAsia="zh-CN"/>
              </w:rPr>
            </w:pPr>
            <w:r>
              <w:rPr>
                <w:color w:val="auto"/>
                <w:sz w:val="21"/>
                <w:highlight w:val="none"/>
              </w:rPr>
              <mc:AlternateContent>
                <mc:Choice Requires="wps">
                  <w:drawing>
                    <wp:anchor distT="0" distB="0" distL="114300" distR="114300" simplePos="0" relativeHeight="251700224" behindDoc="0" locked="0" layoutInCell="1" allowOverlap="1">
                      <wp:simplePos x="0" y="0"/>
                      <wp:positionH relativeFrom="column">
                        <wp:posOffset>3981450</wp:posOffset>
                      </wp:positionH>
                      <wp:positionV relativeFrom="paragraph">
                        <wp:posOffset>78740</wp:posOffset>
                      </wp:positionV>
                      <wp:extent cx="622935" cy="210185"/>
                      <wp:effectExtent l="113665" t="4445" r="6350" b="223520"/>
                      <wp:wrapNone/>
                      <wp:docPr id="42" name="矩形标注 42"/>
                      <wp:cNvGraphicFramePr/>
                      <a:graphic xmlns:a="http://schemas.openxmlformats.org/drawingml/2006/main">
                        <a:graphicData uri="http://schemas.microsoft.com/office/word/2010/wordprocessingShape">
                          <wps:wsp>
                            <wps:cNvSpPr/>
                            <wps:spPr>
                              <a:xfrm>
                                <a:off x="0" y="0"/>
                                <a:ext cx="622935" cy="210185"/>
                              </a:xfrm>
                              <a:prstGeom prst="wedgeRectCallout">
                                <a:avLst>
                                  <a:gd name="adj1" fmla="val -63963"/>
                                  <a:gd name="adj2" fmla="val 141843"/>
                                </a:avLst>
                              </a:prstGeom>
                              <a:noFill/>
                              <a:ln w="9525" cap="flat" cmpd="sng">
                                <a:solidFill>
                                  <a:srgbClr val="000000"/>
                                </a:solidFill>
                                <a:prstDash val="solid"/>
                                <a:miter/>
                                <a:headEnd type="none" w="med" len="med"/>
                                <a:tailEnd type="none" w="med" len="med"/>
                              </a:ln>
                            </wps:spPr>
                            <wps:txbx>
                              <w:txbxContent>
                                <w:p w14:paraId="4F9BDA20">
                                  <w:pPr>
                                    <w:rPr>
                                      <w:rFonts w:hint="eastAsia" w:eastAsia="宋体"/>
                                      <w:color w:val="auto"/>
                                      <w:lang w:eastAsia="zh-CN"/>
                                    </w:rPr>
                                  </w:pPr>
                                  <w:r>
                                    <w:rPr>
                                      <w:rFonts w:hint="eastAsia"/>
                                      <w:color w:val="auto"/>
                                      <w:sz w:val="13"/>
                                      <w:szCs w:val="13"/>
                                      <w:lang w:eastAsia="zh-CN"/>
                                    </w:rPr>
                                    <w:t>本项目位置</w:t>
                                  </w:r>
                                </w:p>
                              </w:txbxContent>
                            </wps:txbx>
                            <wps:bodyPr upright="1"/>
                          </wps:wsp>
                        </a:graphicData>
                      </a:graphic>
                    </wp:anchor>
                  </w:drawing>
                </mc:Choice>
                <mc:Fallback>
                  <w:pict>
                    <v:shape id="_x0000_s1026" o:spid="_x0000_s1026" o:spt="61" type="#_x0000_t61" style="position:absolute;left:0pt;margin-left:313.5pt;margin-top:6.2pt;height:16.55pt;width:49.05pt;z-index:251700224;mso-width-relative:page;mso-height-relative:page;" filled="f" stroked="t" coordsize="21600,21600" o:gfxdata="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BfSnNcAAAAJAQAADwAAAAAAAAABACAAAAAiAAAAZHJzL2Rvd25yZXYu&#10;eG1sUEsBAhQAFAAAAAgAh07iQLyNkiM1AgAAZgQAAA4AAAAAAAAAAQAgAAAAJgEAAGRycy9lMm9E&#10;b2MueG1sUEsFBgAAAAAGAAYAWQEAAM0FAAAAAA==&#10;" adj="-3016,41438">
                      <v:fill on="f" focussize="0,0"/>
                      <v:stroke color="#000000" joinstyle="miter"/>
                      <v:imagedata o:title=""/>
                      <o:lock v:ext="edit" aspectratio="f"/>
                      <v:textbox>
                        <w:txbxContent>
                          <w:p w14:paraId="4F9BDA20">
                            <w:pPr>
                              <w:rPr>
                                <w:rFonts w:hint="eastAsia" w:eastAsia="宋体"/>
                                <w:color w:val="auto"/>
                                <w:lang w:eastAsia="zh-CN"/>
                              </w:rPr>
                            </w:pPr>
                            <w:r>
                              <w:rPr>
                                <w:rFonts w:hint="eastAsia"/>
                                <w:color w:val="auto"/>
                                <w:sz w:val="13"/>
                                <w:szCs w:val="13"/>
                                <w:lang w:eastAsia="zh-CN"/>
                              </w:rPr>
                              <w:t>本项目位置</w:t>
                            </w:r>
                          </w:p>
                        </w:txbxContent>
                      </v:textbox>
                    </v:shape>
                  </w:pict>
                </mc:Fallback>
              </mc:AlternateContent>
            </w:r>
          </w:p>
          <w:p w14:paraId="34387D10">
            <w:pPr>
              <w:pStyle w:val="2"/>
              <w:rPr>
                <w:rFonts w:hint="eastAsia"/>
                <w:color w:val="auto"/>
                <w:highlight w:val="none"/>
                <w:lang w:eastAsia="zh-CN"/>
              </w:rPr>
            </w:pPr>
          </w:p>
          <w:p w14:paraId="0C41A4DA">
            <w:pPr>
              <w:pStyle w:val="11"/>
              <w:rPr>
                <w:rFonts w:hint="eastAsia"/>
                <w:color w:val="auto"/>
                <w:highlight w:val="none"/>
                <w:lang w:eastAsia="zh-CN"/>
              </w:rPr>
            </w:pPr>
            <w:r>
              <w:rPr>
                <w:color w:val="auto"/>
                <w:sz w:val="21"/>
                <w:highlight w:val="none"/>
              </w:rPr>
              <mc:AlternateContent>
                <mc:Choice Requires="wps">
                  <w:drawing>
                    <wp:anchor distT="0" distB="0" distL="114300" distR="114300" simplePos="0" relativeHeight="251699200" behindDoc="0" locked="0" layoutInCell="1" allowOverlap="1">
                      <wp:simplePos x="0" y="0"/>
                      <wp:positionH relativeFrom="column">
                        <wp:posOffset>3854450</wp:posOffset>
                      </wp:positionH>
                      <wp:positionV relativeFrom="paragraph">
                        <wp:posOffset>153035</wp:posOffset>
                      </wp:positionV>
                      <wp:extent cx="75565" cy="75565"/>
                      <wp:effectExtent l="13970" t="15875" r="24765" b="22860"/>
                      <wp:wrapNone/>
                      <wp:docPr id="41" name="五角星 41"/>
                      <wp:cNvGraphicFramePr/>
                      <a:graphic xmlns:a="http://schemas.openxmlformats.org/drawingml/2006/main">
                        <a:graphicData uri="http://schemas.microsoft.com/office/word/2010/wordprocessingShape">
                          <wps:wsp>
                            <wps:cNvSpPr/>
                            <wps:spPr>
                              <a:xfrm>
                                <a:off x="0" y="0"/>
                                <a:ext cx="75565" cy="7556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03.5pt;margin-top:12.05pt;height:5.95pt;width:5.95pt;z-index:251699200;mso-width-relative:page;mso-height-relative:page;" fillcolor="#FF0000" filled="t" stroked="t" coordsize="75565,75565" o:gfxdata="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0Q1xrXAAAACQEAAA8AAAAAAAAAAQAgAAAAIgAAAGRycy9kb3ducmV2Lnht&#10;bFBLAQIUABQAAAAIAIdO4kAeuYnC+gEAACEEAAAOAAAAAAAAAAEAIAAAACYBAABkcnMvZTJvRG9j&#10;LnhtbFBLBQYAAAAABgAGAFkBAACSBQAAAAA=&#10;" path="m0,28863l28863,28863,37782,0,46701,28863,75564,28863,52213,46701,61133,75564,37782,57726,14431,75564,23351,46701xe">
                      <v:path o:connectlocs="37782,0;0,28863;14431,75564;61133,75564;75564,28863" o:connectangles="247,164,82,82,0"/>
                      <v:fill on="t" focussize="0,0"/>
                      <v:stroke color="#FF0000" joinstyle="miter"/>
                      <v:imagedata o:title=""/>
                      <o:lock v:ext="edit" aspectratio="f"/>
                    </v:shape>
                  </w:pict>
                </mc:Fallback>
              </mc:AlternateContent>
            </w:r>
          </w:p>
          <w:p w14:paraId="17797ECB">
            <w:pPr>
              <w:rPr>
                <w:rFonts w:hint="eastAsia"/>
                <w:color w:val="auto"/>
                <w:highlight w:val="none"/>
                <w:lang w:eastAsia="zh-CN"/>
              </w:rPr>
            </w:pPr>
          </w:p>
          <w:p w14:paraId="1C8E38EF">
            <w:pPr>
              <w:pStyle w:val="2"/>
              <w:rPr>
                <w:rFonts w:hint="eastAsia"/>
                <w:color w:val="auto"/>
                <w:highlight w:val="none"/>
                <w:lang w:eastAsia="zh-CN"/>
              </w:rPr>
            </w:pPr>
          </w:p>
          <w:p w14:paraId="6688401A">
            <w:pPr>
              <w:pStyle w:val="11"/>
              <w:rPr>
                <w:rFonts w:hint="eastAsia"/>
                <w:color w:val="auto"/>
                <w:highlight w:val="none"/>
                <w:lang w:eastAsia="zh-CN"/>
              </w:rPr>
            </w:pPr>
          </w:p>
          <w:p w14:paraId="33604BA2">
            <w:pPr>
              <w:pStyle w:val="5"/>
              <w:spacing w:before="0" w:after="0" w:line="360" w:lineRule="auto"/>
              <w:ind w:right="0" w:firstLine="482" w:firstLineChars="200"/>
              <w:jc w:val="center"/>
              <w:rPr>
                <w:rFonts w:hint="default" w:ascii="Times New Roman" w:hAnsi="Times New Roman" w:eastAsia="宋体" w:cs="Times New Roman"/>
                <w:b/>
                <w:bCs/>
                <w:color w:val="auto"/>
                <w:sz w:val="24"/>
                <w:szCs w:val="24"/>
                <w:highlight w:val="none"/>
              </w:rPr>
            </w:pPr>
          </w:p>
          <w:p w14:paraId="7FCB5572">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2A1BA13A">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2D1ECCE2">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66806B52">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36951303">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1A40E24B">
            <w:pPr>
              <w:pStyle w:val="5"/>
              <w:spacing w:before="0" w:after="0" w:line="360" w:lineRule="auto"/>
              <w:ind w:right="0"/>
              <w:jc w:val="center"/>
              <w:rPr>
                <w:rFonts w:hint="default" w:ascii="Times New Roman" w:hAnsi="Times New Roman" w:eastAsia="宋体" w:cs="Times New Roman"/>
                <w:b/>
                <w:bCs/>
                <w:color w:val="auto"/>
                <w:sz w:val="24"/>
                <w:szCs w:val="24"/>
                <w:highlight w:val="none"/>
              </w:rPr>
            </w:pPr>
          </w:p>
          <w:p w14:paraId="38F99C26">
            <w:pPr>
              <w:pStyle w:val="5"/>
              <w:keepNext w:val="0"/>
              <w:keepLines w:val="0"/>
              <w:pageBreakBefore w:val="0"/>
              <w:kinsoku/>
              <w:wordWrap/>
              <w:overflowPunct/>
              <w:topLinePunct w:val="0"/>
              <w:bidi w:val="0"/>
              <w:spacing w:before="0" w:after="0" w:line="480" w:lineRule="exact"/>
              <w:ind w:right="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图1</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承德市水源涵养生态功能保护区分布图</w:t>
            </w:r>
          </w:p>
          <w:p w14:paraId="1D3AC801">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项目占地不在承德市重点水源涵养生态功能保护区范围内，且项目无生产废水外排，不会对区域水环境造成污染，不与重点水源涵养生态功能保护相冲突，符合承德市重点水源涵养生态功能保护区规划要求。</w:t>
            </w:r>
          </w:p>
          <w:p w14:paraId="2B484A8B">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1.7《承德市生态环境保护“十四五”规划》符合性分析</w:t>
            </w:r>
          </w:p>
          <w:p w14:paraId="761946D3">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根据《承德市生态环境保护“十四五”规划》，铸造行业生态环境保护主要目标如下：</w:t>
            </w:r>
          </w:p>
          <w:p w14:paraId="7ADC51D6">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推进重点行业</w:t>
            </w:r>
            <w:r>
              <w:rPr>
                <w:rFonts w:hint="default" w:ascii="Times New Roman" w:hAnsi="Times New Roman" w:eastAsia="宋体" w:cs="Times New Roman"/>
                <w:b w:val="0"/>
                <w:bCs w:val="0"/>
                <w:color w:val="auto"/>
                <w:sz w:val="24"/>
                <w:szCs w:val="24"/>
                <w:highlight w:val="none"/>
              </w:rPr>
              <w:t>绿色转型。以钢铁、焦化、铸造、建材、有色、化工、工业涂装、包装印刷、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推动高炉-转炉长流程钢铁企业转型为电弧炉短流程企业。依法推进强制性清洁生产审核，鼓励开展行业、园区和产业集群整体审核试点。</w:t>
            </w:r>
          </w:p>
          <w:p w14:paraId="5817D1BE">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rPr>
              <w:t>大气污染防治重点工程。传统行业改造提升工程。减量置换升级改造一批钢铁、焦化、水泥企业，实施完成一批钢铁行业超低排放改造工程。VOCs综合治理工程。实施一批铸造、砖</w:t>
            </w:r>
            <w:r>
              <w:rPr>
                <w:rFonts w:hint="default" w:ascii="Times New Roman" w:hAnsi="Times New Roman" w:eastAsia="宋体" w:cs="Times New Roman"/>
                <w:color w:val="auto"/>
                <w:sz w:val="24"/>
                <w:szCs w:val="24"/>
                <w:highlight w:val="none"/>
              </w:rPr>
              <w:t>瓦、石灰、炭素、包装印刷、工业涂装、家具、橡胶制品、塑料制品、玻璃钢等特色产业清洁化改造和VOCs对标治理，实施含VOCs产品源头替代工程，建设适宜高效VOCs治理设施。农业面源污染试点工程。推进丰宁、滦平、隆化、围场等农村地区建设畜禽养殖恶臭气体污染控制工程。</w:t>
            </w:r>
          </w:p>
          <w:p w14:paraId="5B0103C6">
            <w:pPr>
              <w:keepNext w:val="0"/>
              <w:keepLines w:val="0"/>
              <w:pageBreakBefore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本项目建设完成后，将建设一条</w:t>
            </w:r>
            <w:r>
              <w:rPr>
                <w:rFonts w:hint="eastAsia" w:ascii="Times New Roman" w:hAnsi="Times New Roman" w:eastAsia="宋体" w:cs="Times New Roman"/>
                <w:color w:val="auto"/>
                <w:sz w:val="24"/>
                <w:szCs w:val="24"/>
                <w:highlight w:val="none"/>
                <w:lang w:eastAsia="zh-CN"/>
              </w:rPr>
              <w:t>树脂砂消失模</w:t>
            </w:r>
            <w:r>
              <w:rPr>
                <w:rFonts w:hint="default" w:ascii="Times New Roman" w:hAnsi="Times New Roman" w:eastAsia="宋体" w:cs="Times New Roman"/>
                <w:color w:val="auto"/>
                <w:sz w:val="24"/>
                <w:szCs w:val="24"/>
                <w:highlight w:val="none"/>
              </w:rPr>
              <w:t>生产线，采用国内先进的环保治理设备，污染物经过治理后都能够达标排放，符合《承德市生态环境保护“十四五”规划》相关要求。</w:t>
            </w:r>
          </w:p>
          <w:p w14:paraId="623B5A56">
            <w:pPr>
              <w:keepNext w:val="0"/>
              <w:keepLines w:val="0"/>
              <w:pageBreakBefore w:val="0"/>
              <w:kinsoku/>
              <w:wordWrap/>
              <w:overflowPunct/>
              <w:topLinePunct w:val="0"/>
              <w:autoSpaceDE w:val="0"/>
              <w:autoSpaceDN w:val="0"/>
              <w:bidi w:val="0"/>
              <w:adjustRightInd w:val="0"/>
              <w:snapToGrid w:val="0"/>
              <w:spacing w:line="480" w:lineRule="exact"/>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1.8与《铸造企业规范条件》(T/CFA 0310021-2023)相符性分析</w:t>
            </w:r>
          </w:p>
          <w:p w14:paraId="73D5D314">
            <w:pPr>
              <w:pStyle w:val="14"/>
              <w:keepNext w:val="0"/>
              <w:keepLines w:val="0"/>
              <w:pageBreakBefore w:val="0"/>
              <w:kinsoku/>
              <w:wordWrap/>
              <w:overflowPunct/>
              <w:topLinePunct w:val="0"/>
              <w:bidi w:val="0"/>
              <w:spacing w:before="0" w:beforeAutospacing="0" w:after="0" w:afterAutospacing="0" w:line="480" w:lineRule="exact"/>
              <w:jc w:val="center"/>
              <w:textAlignment w:val="auto"/>
              <w:rPr>
                <w:rFonts w:ascii="Times New Roman" w:hAnsi="Times New Roman"/>
                <w:b w:val="0"/>
                <w:bCs w:val="0"/>
                <w:color w:val="auto"/>
                <w:sz w:val="21"/>
                <w:szCs w:val="21"/>
                <w:highlight w:val="none"/>
              </w:rPr>
            </w:pPr>
            <w:r>
              <w:rPr>
                <w:rFonts w:hint="default" w:ascii="Times New Roman" w:hAnsi="Times New Roman" w:eastAsia="宋体" w:cs="Times New Roman"/>
                <w:b w:val="0"/>
                <w:bCs w:val="0"/>
                <w:color w:val="auto"/>
                <w:sz w:val="24"/>
                <w:szCs w:val="24"/>
                <w:highlight w:val="none"/>
              </w:rPr>
              <w:t>表1</w:t>
            </w:r>
            <w:r>
              <w:rPr>
                <w:rFonts w:hint="eastAsia" w:ascii="Times New Roman" w:hAnsi="Times New Roman" w:eastAsia="宋体" w:cs="Times New Roman"/>
                <w:b w:val="0"/>
                <w:bCs w:val="0"/>
                <w:color w:val="auto"/>
                <w:sz w:val="24"/>
                <w:szCs w:val="24"/>
                <w:highlight w:val="none"/>
                <w:lang w:val="en-US" w:eastAsia="zh-CN"/>
              </w:rPr>
              <w:t xml:space="preserve">-5 </w:t>
            </w:r>
            <w:r>
              <w:rPr>
                <w:rFonts w:hint="default" w:ascii="Times New Roman" w:hAnsi="Times New Roman" w:eastAsia="宋体" w:cs="Times New Roman"/>
                <w:b w:val="0"/>
                <w:bCs w:val="0"/>
                <w:color w:val="auto"/>
                <w:sz w:val="24"/>
                <w:szCs w:val="24"/>
                <w:highlight w:val="none"/>
              </w:rPr>
              <w:t>项目与铸造企业规范条件符合性分析一览表</w:t>
            </w:r>
          </w:p>
          <w:tbl>
            <w:tblPr>
              <w:tblStyle w:val="17"/>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74"/>
              <w:gridCol w:w="4486"/>
              <w:gridCol w:w="2085"/>
              <w:gridCol w:w="753"/>
            </w:tblGrid>
            <w:tr w14:paraId="6723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9" w:type="dxa"/>
                  <w:tcBorders>
                    <w:tl2br w:val="nil"/>
                    <w:tr2bl w:val="nil"/>
                  </w:tcBorders>
                  <w:noWrap w:val="0"/>
                  <w:vAlign w:val="center"/>
                </w:tcPr>
                <w:p w14:paraId="2DAEA25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74" w:type="dxa"/>
                  <w:tcBorders>
                    <w:tl2br w:val="nil"/>
                    <w:tr2bl w:val="nil"/>
                  </w:tcBorders>
                  <w:noWrap w:val="0"/>
                  <w:vAlign w:val="center"/>
                </w:tcPr>
                <w:p w14:paraId="4AEC6AD3">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4486" w:type="dxa"/>
                  <w:tcBorders>
                    <w:tl2br w:val="nil"/>
                    <w:tr2bl w:val="nil"/>
                  </w:tcBorders>
                  <w:noWrap w:val="0"/>
                  <w:vAlign w:val="center"/>
                </w:tcPr>
                <w:p w14:paraId="6573217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规范条件</w:t>
                  </w:r>
                </w:p>
              </w:tc>
              <w:tc>
                <w:tcPr>
                  <w:tcW w:w="2085" w:type="dxa"/>
                  <w:tcBorders>
                    <w:tl2br w:val="nil"/>
                    <w:tr2bl w:val="nil"/>
                  </w:tcBorders>
                  <w:noWrap w:val="0"/>
                  <w:vAlign w:val="center"/>
                </w:tcPr>
                <w:p w14:paraId="6451E80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753" w:type="dxa"/>
                  <w:tcBorders>
                    <w:tl2br w:val="nil"/>
                    <w:tr2bl w:val="nil"/>
                  </w:tcBorders>
                  <w:noWrap w:val="0"/>
                  <w:vAlign w:val="center"/>
                </w:tcPr>
                <w:p w14:paraId="2F9E3ABF">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6023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9" w:type="dxa"/>
                  <w:vMerge w:val="restart"/>
                  <w:tcBorders>
                    <w:tl2br w:val="nil"/>
                    <w:tr2bl w:val="nil"/>
                  </w:tcBorders>
                  <w:noWrap w:val="0"/>
                  <w:vAlign w:val="center"/>
                </w:tcPr>
                <w:p w14:paraId="2C3320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74" w:type="dxa"/>
                  <w:vMerge w:val="restart"/>
                  <w:tcBorders>
                    <w:tl2br w:val="nil"/>
                    <w:tr2bl w:val="nil"/>
                  </w:tcBorders>
                  <w:noWrap w:val="0"/>
                  <w:vAlign w:val="center"/>
                </w:tcPr>
                <w:p w14:paraId="0787BE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建设条件与布局</w:t>
                  </w:r>
                </w:p>
              </w:tc>
              <w:tc>
                <w:tcPr>
                  <w:tcW w:w="4486" w:type="dxa"/>
                  <w:tcBorders>
                    <w:tl2br w:val="nil"/>
                    <w:tr2bl w:val="nil"/>
                  </w:tcBorders>
                  <w:noWrap w:val="0"/>
                  <w:vAlign w:val="center"/>
                </w:tcPr>
                <w:p w14:paraId="771DAD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企业的布局及厂址的确定应符合国家相关法律法规、产业政策以及各地方装备制造业和铸造行业的总体规划要求。</w:t>
                  </w:r>
                </w:p>
              </w:tc>
              <w:tc>
                <w:tcPr>
                  <w:tcW w:w="2085" w:type="dxa"/>
                  <w:tcBorders>
                    <w:tl2br w:val="nil"/>
                    <w:tr2bl w:val="nil"/>
                  </w:tcBorders>
                  <w:noWrap w:val="0"/>
                  <w:vAlign w:val="center"/>
                </w:tcPr>
                <w:p w14:paraId="62427C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项目已于宽城满族自治县</w:t>
                  </w:r>
                  <w:r>
                    <w:rPr>
                      <w:rFonts w:hint="eastAsia" w:ascii="Times New Roman" w:hAnsi="Times New Roman" w:eastAsia="宋体" w:cs="Times New Roman"/>
                      <w:color w:val="auto"/>
                      <w:sz w:val="21"/>
                      <w:szCs w:val="21"/>
                      <w:highlight w:val="none"/>
                      <w:lang w:eastAsia="zh-CN"/>
                    </w:rPr>
                    <w:t>数据和政务服务局</w:t>
                  </w:r>
                  <w:r>
                    <w:rPr>
                      <w:rFonts w:hint="default" w:ascii="Times New Roman" w:hAnsi="Times New Roman" w:eastAsia="宋体" w:cs="Times New Roman"/>
                      <w:color w:val="auto"/>
                      <w:sz w:val="21"/>
                      <w:szCs w:val="21"/>
                      <w:highlight w:val="none"/>
                    </w:rPr>
                    <w:t>备案，并取得企业投资项目备案信息</w:t>
                  </w:r>
                </w:p>
              </w:tc>
              <w:tc>
                <w:tcPr>
                  <w:tcW w:w="753" w:type="dxa"/>
                  <w:tcBorders>
                    <w:tl2br w:val="nil"/>
                    <w:tr2bl w:val="nil"/>
                  </w:tcBorders>
                  <w:noWrap w:val="0"/>
                  <w:vAlign w:val="center"/>
                </w:tcPr>
                <w:p w14:paraId="7D1C65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3C0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59" w:type="dxa"/>
                  <w:vMerge w:val="continue"/>
                  <w:tcBorders>
                    <w:tl2br w:val="nil"/>
                    <w:tr2bl w:val="nil"/>
                  </w:tcBorders>
                  <w:noWrap w:val="0"/>
                  <w:vAlign w:val="center"/>
                </w:tcPr>
                <w:p w14:paraId="647ACDFB">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2AB4ED36">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56F27B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企业生产场所应依法取得土地使用权并符合土地使用性质。</w:t>
                  </w:r>
                </w:p>
              </w:tc>
              <w:tc>
                <w:tcPr>
                  <w:tcW w:w="2085" w:type="dxa"/>
                  <w:tcBorders>
                    <w:tl2br w:val="nil"/>
                    <w:tr2bl w:val="nil"/>
                  </w:tcBorders>
                  <w:noWrap w:val="0"/>
                  <w:vAlign w:val="center"/>
                </w:tcPr>
                <w:p w14:paraId="66CA53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eastAsia="zh-CN"/>
                    </w:rPr>
                    <w:t>在原有厂区内建设，</w:t>
                  </w:r>
                  <w:r>
                    <w:rPr>
                      <w:rFonts w:hint="default" w:ascii="Times New Roman" w:hAnsi="Times New Roman" w:eastAsia="宋体" w:cs="Times New Roman"/>
                      <w:color w:val="auto"/>
                      <w:sz w:val="21"/>
                      <w:szCs w:val="21"/>
                      <w:highlight w:val="none"/>
                    </w:rPr>
                    <w:t>不新增土地面积</w:t>
                  </w:r>
                </w:p>
              </w:tc>
              <w:tc>
                <w:tcPr>
                  <w:tcW w:w="753" w:type="dxa"/>
                  <w:tcBorders>
                    <w:tl2br w:val="nil"/>
                    <w:tr2bl w:val="nil"/>
                  </w:tcBorders>
                  <w:noWrap w:val="0"/>
                  <w:vAlign w:val="center"/>
                </w:tcPr>
                <w:p w14:paraId="67EF82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1B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14:paraId="02AF6F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74" w:type="dxa"/>
                  <w:vMerge w:val="restart"/>
                  <w:tcBorders>
                    <w:tl2br w:val="nil"/>
                    <w:tr2bl w:val="nil"/>
                  </w:tcBorders>
                  <w:noWrap w:val="0"/>
                  <w:vAlign w:val="center"/>
                </w:tcPr>
                <w:p w14:paraId="437C5C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生产工艺</w:t>
                  </w:r>
                </w:p>
              </w:tc>
              <w:tc>
                <w:tcPr>
                  <w:tcW w:w="4486" w:type="dxa"/>
                  <w:tcBorders>
                    <w:tl2br w:val="nil"/>
                    <w:tr2bl w:val="nil"/>
                  </w:tcBorders>
                  <w:noWrap w:val="0"/>
                  <w:vAlign w:val="center"/>
                </w:tcPr>
                <w:p w14:paraId="6E9914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企业应根据生产铸件的材质、品种、批量，合理选择低污染、低排放、低能耗、经济高效的铸造工艺。</w:t>
                  </w:r>
                </w:p>
              </w:tc>
              <w:tc>
                <w:tcPr>
                  <w:tcW w:w="2085" w:type="dxa"/>
                  <w:vMerge w:val="restart"/>
                  <w:tcBorders>
                    <w:tl2br w:val="nil"/>
                    <w:tr2bl w:val="nil"/>
                  </w:tcBorders>
                  <w:noWrap w:val="0"/>
                  <w:vAlign w:val="center"/>
                </w:tcPr>
                <w:p w14:paraId="2A40AA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建设</w:t>
                  </w:r>
                  <w:r>
                    <w:rPr>
                      <w:rFonts w:hint="default" w:ascii="Times New Roman" w:hAnsi="Times New Roman" w:eastAsia="宋体" w:cs="Times New Roman"/>
                      <w:color w:val="auto"/>
                      <w:sz w:val="21"/>
                      <w:szCs w:val="21"/>
                      <w:highlight w:val="none"/>
                    </w:rPr>
                    <w:t>1条</w:t>
                  </w:r>
                  <w:r>
                    <w:rPr>
                      <w:rFonts w:hint="eastAsia" w:ascii="Times New Roman" w:hAnsi="Times New Roman" w:eastAsia="宋体" w:cs="Times New Roman"/>
                      <w:color w:val="auto"/>
                      <w:sz w:val="21"/>
                      <w:szCs w:val="21"/>
                      <w:highlight w:val="none"/>
                      <w:lang w:eastAsia="zh-CN"/>
                    </w:rPr>
                    <w:t>树脂砂消失模</w:t>
                  </w:r>
                  <w:r>
                    <w:rPr>
                      <w:rFonts w:hint="default" w:ascii="Times New Roman" w:hAnsi="Times New Roman" w:eastAsia="宋体" w:cs="Times New Roman"/>
                      <w:color w:val="auto"/>
                      <w:sz w:val="21"/>
                      <w:szCs w:val="21"/>
                      <w:highlight w:val="none"/>
                    </w:rPr>
                    <w:t>生产线，河北省铸锻行业协会对</w:t>
                  </w:r>
                  <w:r>
                    <w:rPr>
                      <w:rFonts w:hint="eastAsia" w:ascii="Times New Roman" w:hAnsi="Times New Roman" w:eastAsia="宋体" w:cs="Times New Roman"/>
                      <w:color w:val="auto"/>
                      <w:sz w:val="21"/>
                      <w:szCs w:val="21"/>
                      <w:highlight w:val="none"/>
                      <w:lang w:eastAsia="zh-CN"/>
                    </w:rPr>
                    <w:t>宽城双兴矿山设备制造有限公司新增</w:t>
                  </w:r>
                  <w:r>
                    <w:rPr>
                      <w:rFonts w:hint="eastAsia" w:ascii="Times New Roman" w:hAnsi="Times New Roman" w:eastAsia="宋体" w:cs="Times New Roman"/>
                      <w:color w:val="auto"/>
                      <w:sz w:val="21"/>
                      <w:szCs w:val="21"/>
                      <w:highlight w:val="none"/>
                      <w:lang w:val="en-US" w:eastAsia="zh-CN"/>
                    </w:rPr>
                    <w:t>年产高铬合金铸件2000吨</w:t>
                  </w:r>
                  <w:r>
                    <w:rPr>
                      <w:rFonts w:hint="eastAsia" w:cs="Times New Roman"/>
                      <w:color w:val="auto"/>
                      <w:sz w:val="21"/>
                      <w:szCs w:val="21"/>
                      <w:highlight w:val="none"/>
                      <w:lang w:val="en-US" w:eastAsia="zh-CN"/>
                    </w:rPr>
                    <w:t>扩建项目出具了审查意见（见附件15）；本项目</w:t>
                  </w:r>
                  <w:r>
                    <w:rPr>
                      <w:rFonts w:hint="eastAsia" w:ascii="Times New Roman" w:hAnsi="Times New Roman" w:eastAsia="宋体" w:cs="Times New Roman"/>
                      <w:color w:val="auto"/>
                      <w:sz w:val="21"/>
                      <w:szCs w:val="21"/>
                      <w:highlight w:val="none"/>
                      <w:lang w:val="en-US" w:eastAsia="zh-CN"/>
                    </w:rPr>
                    <w:t>主要产品为渣浆泵过流件</w:t>
                  </w:r>
                  <w:r>
                    <w:rPr>
                      <w:rFonts w:hint="default" w:ascii="Times New Roman" w:hAnsi="Times New Roman" w:eastAsia="宋体" w:cs="Times New Roman"/>
                      <w:color w:val="auto"/>
                      <w:sz w:val="21"/>
                      <w:szCs w:val="21"/>
                      <w:highlight w:val="none"/>
                    </w:rPr>
                    <w:t>，属于精密铸造工艺</w:t>
                  </w:r>
                </w:p>
              </w:tc>
              <w:tc>
                <w:tcPr>
                  <w:tcW w:w="753" w:type="dxa"/>
                  <w:tcBorders>
                    <w:tl2br w:val="nil"/>
                    <w:tr2bl w:val="nil"/>
                  </w:tcBorders>
                  <w:noWrap w:val="0"/>
                  <w:vAlign w:val="center"/>
                </w:tcPr>
                <w:p w14:paraId="3A4665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B3D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459" w:type="dxa"/>
                  <w:vMerge w:val="continue"/>
                  <w:tcBorders>
                    <w:tl2br w:val="nil"/>
                    <w:tr2bl w:val="nil"/>
                  </w:tcBorders>
                  <w:noWrap w:val="0"/>
                  <w:vAlign w:val="center"/>
                </w:tcPr>
                <w:p w14:paraId="7EC60637">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756115B7">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559339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不应使用国家明令淘汰的生产工艺。不应采用粘土砂干型/芯、油砂制芯、七〇砂制型/芯等落后铸造工艺；粘土砂工艺批量生产铸件不应采用手工造型；水玻璃熔模精密铸造模壳硬化不应采用氯化铵硬化工艺；铝合金精炼不应采用六氯乙烷等有毒有害的精炼剂。</w:t>
                  </w:r>
                </w:p>
              </w:tc>
              <w:tc>
                <w:tcPr>
                  <w:tcW w:w="2085" w:type="dxa"/>
                  <w:vMerge w:val="continue"/>
                  <w:tcBorders>
                    <w:tl2br w:val="nil"/>
                    <w:tr2bl w:val="nil"/>
                  </w:tcBorders>
                  <w:noWrap w:val="0"/>
                  <w:vAlign w:val="center"/>
                </w:tcPr>
                <w:p w14:paraId="1A475F80">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0B5FAD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ADC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6759F576">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0B6D3EC7">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6A0B26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新（改、扩）建粘土砂型铸造项目应采用自动化造型；新（改、扩）建熔模精密铸造项目不应采用水玻璃熔模精密铸造工艺。</w:t>
                  </w:r>
                </w:p>
              </w:tc>
              <w:tc>
                <w:tcPr>
                  <w:tcW w:w="2085" w:type="dxa"/>
                  <w:vMerge w:val="continue"/>
                  <w:tcBorders>
                    <w:tl2br w:val="nil"/>
                    <w:tr2bl w:val="nil"/>
                  </w:tcBorders>
                  <w:noWrap w:val="0"/>
                  <w:vAlign w:val="center"/>
                </w:tcPr>
                <w:p w14:paraId="1DC53472">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5FD4AE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CA8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14:paraId="3B1D8F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74" w:type="dxa"/>
                  <w:vMerge w:val="restart"/>
                  <w:tcBorders>
                    <w:tl2br w:val="nil"/>
                    <w:tr2bl w:val="nil"/>
                  </w:tcBorders>
                  <w:noWrap w:val="0"/>
                  <w:vAlign w:val="center"/>
                </w:tcPr>
                <w:p w14:paraId="76B349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生产装备</w:t>
                  </w:r>
                </w:p>
              </w:tc>
              <w:tc>
                <w:tcPr>
                  <w:tcW w:w="4486" w:type="dxa"/>
                  <w:tcBorders>
                    <w:tl2br w:val="nil"/>
                    <w:tr2bl w:val="nil"/>
                  </w:tcBorders>
                  <w:noWrap w:val="0"/>
                  <w:vAlign w:val="center"/>
                </w:tcPr>
                <w:p w14:paraId="48F971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企业不应使用国家明令淘汰的生产装备，如：无芯工频感应电炉、0.25吨及以上无磁轭的铝壳中频感应电炉。</w:t>
                  </w:r>
                </w:p>
              </w:tc>
              <w:tc>
                <w:tcPr>
                  <w:tcW w:w="2085" w:type="dxa"/>
                  <w:tcBorders>
                    <w:tl2br w:val="nil"/>
                    <w:tr2bl w:val="nil"/>
                  </w:tcBorders>
                  <w:noWrap w:val="0"/>
                  <w:vAlign w:val="center"/>
                </w:tcPr>
                <w:p w14:paraId="2EF6FA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本项目采用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台</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t中频电炉，不属于无芯工频感应电炉、无磁轭的铝壳中频感应电炉</w:t>
                  </w:r>
                </w:p>
              </w:tc>
              <w:tc>
                <w:tcPr>
                  <w:tcW w:w="753" w:type="dxa"/>
                  <w:tcBorders>
                    <w:tl2br w:val="nil"/>
                    <w:tr2bl w:val="nil"/>
                  </w:tcBorders>
                  <w:noWrap w:val="0"/>
                  <w:vAlign w:val="center"/>
                </w:tcPr>
                <w:p w14:paraId="360575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E6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155F3836">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432295B5">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6ADB75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铸件生产企业采用冲天炉熔炼，其设备熔化率宜大于10吨/小时。</w:t>
                  </w:r>
                </w:p>
              </w:tc>
              <w:tc>
                <w:tcPr>
                  <w:tcW w:w="2085" w:type="dxa"/>
                  <w:tcBorders>
                    <w:tl2br w:val="nil"/>
                    <w:tr2bl w:val="nil"/>
                  </w:tcBorders>
                  <w:noWrap w:val="0"/>
                  <w:vAlign w:val="center"/>
                </w:tcPr>
                <w:p w14:paraId="2499A7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753" w:type="dxa"/>
                  <w:tcBorders>
                    <w:tl2br w:val="nil"/>
                    <w:tr2bl w:val="nil"/>
                  </w:tcBorders>
                  <w:noWrap w:val="0"/>
                  <w:vAlign w:val="center"/>
                </w:tcPr>
                <w:p w14:paraId="4F982C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01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185840B8">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7B968B91">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316A9B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企业应配备与生产能力相匹配的熔炼（化）设备，如冲天炉、中频感应电炉、电弧炉、精炼炉（AOD、VOD、LF等）、电阻炉、燃气炉、保温炉等</w:t>
                  </w:r>
                </w:p>
              </w:tc>
              <w:tc>
                <w:tcPr>
                  <w:tcW w:w="2085" w:type="dxa"/>
                  <w:tcBorders>
                    <w:tl2br w:val="nil"/>
                    <w:tr2bl w:val="nil"/>
                  </w:tcBorders>
                  <w:noWrap w:val="0"/>
                  <w:vAlign w:val="center"/>
                </w:tcPr>
                <w:p w14:paraId="0352B2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本项目建成后采用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台</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t中频电炉，年产铸件</w:t>
                  </w:r>
                  <w:r>
                    <w:rPr>
                      <w:rFonts w:hint="eastAsia"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吨，满足生产能力要求</w:t>
                  </w:r>
                </w:p>
              </w:tc>
              <w:tc>
                <w:tcPr>
                  <w:tcW w:w="753" w:type="dxa"/>
                  <w:tcBorders>
                    <w:tl2br w:val="nil"/>
                    <w:tr2bl w:val="nil"/>
                  </w:tcBorders>
                  <w:noWrap w:val="0"/>
                  <w:vAlign w:val="center"/>
                </w:tcPr>
                <w:p w14:paraId="2D4A69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93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7DF31068">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1031F399">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31B457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企业熔炼（化）设备炉前应配置必要的化学成分分析、金属液温度测量等检测仪器。</w:t>
                  </w:r>
                </w:p>
              </w:tc>
              <w:tc>
                <w:tcPr>
                  <w:tcW w:w="2085" w:type="dxa"/>
                  <w:tcBorders>
                    <w:tl2br w:val="nil"/>
                    <w:tr2bl w:val="nil"/>
                  </w:tcBorders>
                  <w:noWrap w:val="0"/>
                  <w:vAlign w:val="center"/>
                </w:tcPr>
                <w:p w14:paraId="4E9C48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配有</w:t>
                  </w:r>
                  <w:r>
                    <w:rPr>
                      <w:rFonts w:hint="eastAsia" w:cs="Times New Roman"/>
                      <w:color w:val="auto"/>
                      <w:sz w:val="21"/>
                      <w:szCs w:val="21"/>
                      <w:highlight w:val="none"/>
                      <w:lang w:eastAsia="zh-CN"/>
                    </w:rPr>
                    <w:t>相应</w:t>
                  </w:r>
                  <w:r>
                    <w:rPr>
                      <w:rFonts w:hint="default" w:ascii="Times New Roman" w:hAnsi="Times New Roman" w:eastAsia="宋体" w:cs="Times New Roman"/>
                      <w:color w:val="auto"/>
                      <w:sz w:val="21"/>
                      <w:szCs w:val="21"/>
                      <w:highlight w:val="none"/>
                    </w:rPr>
                    <w:t>检测仪器</w:t>
                  </w:r>
                </w:p>
              </w:tc>
              <w:tc>
                <w:tcPr>
                  <w:tcW w:w="753" w:type="dxa"/>
                  <w:tcBorders>
                    <w:tl2br w:val="nil"/>
                    <w:tr2bl w:val="nil"/>
                  </w:tcBorders>
                  <w:noWrap w:val="0"/>
                  <w:vAlign w:val="center"/>
                </w:tcPr>
                <w:p w14:paraId="538006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2A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32AB4BF7">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289A47DA">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5C1830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配备与产品及生产能力相匹配的造型、制芯及其它成型设备（线），如粘土砂造型机（线）、树脂砂混砂机、壳型（芯）机、铁模覆砂生产线、水玻璃砂生产线、消失模/V法/实型铸造设备、离心铸造设备、压铸设备、低压铸造设备、重力铸造设备、挤压铸造设备、差压铸造设备、熔模铸造设备（线）、制芯设备、快速成型设备等。</w:t>
                  </w:r>
                </w:p>
              </w:tc>
              <w:tc>
                <w:tcPr>
                  <w:tcW w:w="2085" w:type="dxa"/>
                  <w:tcBorders>
                    <w:tl2br w:val="nil"/>
                    <w:tr2bl w:val="nil"/>
                  </w:tcBorders>
                  <w:noWrap w:val="0"/>
                  <w:vAlign w:val="center"/>
                </w:tcPr>
                <w:p w14:paraId="7C6D3C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项目配备与产品及生产能力相匹配的相应设备（线）</w:t>
                  </w:r>
                </w:p>
              </w:tc>
              <w:tc>
                <w:tcPr>
                  <w:tcW w:w="753" w:type="dxa"/>
                  <w:tcBorders>
                    <w:tl2br w:val="nil"/>
                    <w:tr2bl w:val="nil"/>
                  </w:tcBorders>
                  <w:noWrap w:val="0"/>
                  <w:vAlign w:val="center"/>
                </w:tcPr>
                <w:p w14:paraId="76FA79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857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62B191DB">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474708FF">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6186BF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采用粘土砂、树脂自硬砂、酯硬化水玻璃砂铸造工艺的企业应配备完善的砂处理及砂再生设备，各种旧砂的回用率应达到表2的要求。</w:t>
                  </w:r>
                </w:p>
              </w:tc>
              <w:tc>
                <w:tcPr>
                  <w:tcW w:w="2085" w:type="dxa"/>
                  <w:tcBorders>
                    <w:tl2br w:val="nil"/>
                    <w:tr2bl w:val="nil"/>
                  </w:tcBorders>
                  <w:noWrap w:val="0"/>
                  <w:vAlign w:val="center"/>
                </w:tcPr>
                <w:p w14:paraId="24022F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配备完善的砂处理及砂再生设备，旧砂的回用率达到</w:t>
                  </w:r>
                  <w:r>
                    <w:rPr>
                      <w:rFonts w:hint="eastAsia" w:ascii="Times New Roman" w:hAnsi="Times New Roman" w:eastAsia="宋体" w:cs="Times New Roman"/>
                      <w:color w:val="auto"/>
                      <w:sz w:val="21"/>
                      <w:szCs w:val="21"/>
                      <w:highlight w:val="none"/>
                      <w:lang w:val="en-US" w:eastAsia="zh-CN"/>
                    </w:rPr>
                    <w:t>88</w:t>
                  </w:r>
                  <w:r>
                    <w:rPr>
                      <w:rFonts w:hint="eastAsia" w:cs="Times New Roman"/>
                      <w:color w:val="auto"/>
                      <w:sz w:val="21"/>
                      <w:szCs w:val="21"/>
                      <w:highlight w:val="none"/>
                      <w:lang w:val="en-US" w:eastAsia="zh-CN"/>
                    </w:rPr>
                    <w:t>%</w:t>
                  </w:r>
                </w:p>
              </w:tc>
              <w:tc>
                <w:tcPr>
                  <w:tcW w:w="753" w:type="dxa"/>
                  <w:tcBorders>
                    <w:tl2br w:val="nil"/>
                    <w:tr2bl w:val="nil"/>
                  </w:tcBorders>
                  <w:noWrap w:val="0"/>
                  <w:vAlign w:val="center"/>
                </w:tcPr>
                <w:p w14:paraId="420597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A1A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1556740B">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1EB4D458">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19BF42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采用普通水玻璃砂型铸造工艺的企业宜合理配置再生设备。</w:t>
                  </w:r>
                </w:p>
              </w:tc>
              <w:tc>
                <w:tcPr>
                  <w:tcW w:w="2085" w:type="dxa"/>
                  <w:tcBorders>
                    <w:tl2br w:val="nil"/>
                    <w:tr2bl w:val="nil"/>
                  </w:tcBorders>
                  <w:noWrap w:val="0"/>
                  <w:vAlign w:val="center"/>
                </w:tcPr>
                <w:p w14:paraId="34B319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w:t>
                  </w:r>
                </w:p>
              </w:tc>
              <w:tc>
                <w:tcPr>
                  <w:tcW w:w="753" w:type="dxa"/>
                  <w:tcBorders>
                    <w:tl2br w:val="nil"/>
                    <w:tr2bl w:val="nil"/>
                  </w:tcBorders>
                  <w:noWrap w:val="0"/>
                  <w:vAlign w:val="center"/>
                </w:tcPr>
                <w:p w14:paraId="5371DA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F3C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dxa"/>
                  <w:vMerge w:val="restart"/>
                  <w:tcBorders>
                    <w:tl2br w:val="nil"/>
                    <w:tr2bl w:val="nil"/>
                  </w:tcBorders>
                  <w:noWrap w:val="0"/>
                  <w:vAlign w:val="center"/>
                </w:tcPr>
                <w:p w14:paraId="46F361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574" w:type="dxa"/>
                  <w:vMerge w:val="restart"/>
                  <w:tcBorders>
                    <w:tl2br w:val="nil"/>
                    <w:tr2bl w:val="nil"/>
                  </w:tcBorders>
                  <w:noWrap w:val="0"/>
                  <w:vAlign w:val="center"/>
                </w:tcPr>
                <w:p w14:paraId="7EE7B7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质量控制</w:t>
                  </w:r>
                </w:p>
              </w:tc>
              <w:tc>
                <w:tcPr>
                  <w:tcW w:w="4486" w:type="dxa"/>
                  <w:tcBorders>
                    <w:tl2br w:val="nil"/>
                    <w:tr2bl w:val="nil"/>
                  </w:tcBorders>
                  <w:noWrap w:val="0"/>
                  <w:vAlign w:val="center"/>
                </w:tcPr>
                <w:p w14:paraId="117E04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企业应按照GB/T 19001（或IATF 16949、GJB 9001C、RB/T 048等）标准要求建立质量管理体系，通过认证并持续有效运行。</w:t>
                  </w:r>
                </w:p>
              </w:tc>
              <w:tc>
                <w:tcPr>
                  <w:tcW w:w="2085" w:type="dxa"/>
                  <w:vMerge w:val="restart"/>
                  <w:tcBorders>
                    <w:tl2br w:val="nil"/>
                    <w:tr2bl w:val="nil"/>
                  </w:tcBorders>
                  <w:noWrap w:val="0"/>
                  <w:vAlign w:val="center"/>
                </w:tcPr>
                <w:p w14:paraId="164587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企业按照GB/T19001标准建立质量管理体系，设有独立质量管理及监测部门，配有专职质量监测人员，有健全的质量管理制度。铸件质量符合规定技术要求</w:t>
                  </w:r>
                </w:p>
              </w:tc>
              <w:tc>
                <w:tcPr>
                  <w:tcW w:w="753" w:type="dxa"/>
                  <w:tcBorders>
                    <w:tl2br w:val="nil"/>
                    <w:tr2bl w:val="nil"/>
                  </w:tcBorders>
                  <w:noWrap w:val="0"/>
                  <w:vAlign w:val="center"/>
                </w:tcPr>
                <w:p w14:paraId="090876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B75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2A139BC4">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409A49A4">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035CD2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企业应设置质量管理部门，并配备专职质量检测人员；应配置与原辅材料、生产过程以及铸件质量相关的理化、计量、无损、型砂检测等检验检测设备。</w:t>
                  </w:r>
                </w:p>
              </w:tc>
              <w:tc>
                <w:tcPr>
                  <w:tcW w:w="2085" w:type="dxa"/>
                  <w:vMerge w:val="continue"/>
                  <w:tcBorders>
                    <w:tl2br w:val="nil"/>
                    <w:tr2bl w:val="nil"/>
                  </w:tcBorders>
                  <w:noWrap w:val="0"/>
                  <w:vAlign w:val="center"/>
                </w:tcPr>
                <w:p w14:paraId="1ADA5100">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47A3E8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BEF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0324F1AC">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370CA8B0">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49A33A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铸件的外观质量（尺寸精度、表面粗糙度等）、内在质量（化学成分、金相组织等）及力学性能等指标应符合规定的技术要求。</w:t>
                  </w:r>
                </w:p>
              </w:tc>
              <w:tc>
                <w:tcPr>
                  <w:tcW w:w="2085" w:type="dxa"/>
                  <w:vMerge w:val="continue"/>
                  <w:tcBorders>
                    <w:tl2br w:val="nil"/>
                    <w:tr2bl w:val="nil"/>
                  </w:tcBorders>
                  <w:noWrap w:val="0"/>
                  <w:vAlign w:val="center"/>
                </w:tcPr>
                <w:p w14:paraId="318516A7">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52F21B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6F2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59" w:type="dxa"/>
                  <w:vMerge w:val="restart"/>
                  <w:tcBorders>
                    <w:tl2br w:val="nil"/>
                    <w:tr2bl w:val="nil"/>
                  </w:tcBorders>
                  <w:noWrap w:val="0"/>
                  <w:vAlign w:val="center"/>
                </w:tcPr>
                <w:p w14:paraId="0AEF3E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74" w:type="dxa"/>
                  <w:vMerge w:val="restart"/>
                  <w:tcBorders>
                    <w:tl2br w:val="nil"/>
                    <w:tr2bl w:val="nil"/>
                  </w:tcBorders>
                  <w:noWrap w:val="0"/>
                  <w:vAlign w:val="center"/>
                </w:tcPr>
                <w:p w14:paraId="1BA920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能源消耗</w:t>
                  </w:r>
                </w:p>
              </w:tc>
              <w:tc>
                <w:tcPr>
                  <w:tcW w:w="4486" w:type="dxa"/>
                  <w:tcBorders>
                    <w:tl2br w:val="nil"/>
                    <w:tr2bl w:val="nil"/>
                  </w:tcBorders>
                  <w:noWrap w:val="0"/>
                  <w:vAlign w:val="center"/>
                </w:tcPr>
                <w:p w14:paraId="19CFF9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企业应建立能源管理制度，可按照GB/T 23331要求建立能源管理体系，通过认证并持续有效运行。</w:t>
                  </w:r>
                </w:p>
              </w:tc>
              <w:tc>
                <w:tcPr>
                  <w:tcW w:w="2085" w:type="dxa"/>
                  <w:tcBorders>
                    <w:tl2br w:val="nil"/>
                    <w:tr2bl w:val="nil"/>
                  </w:tcBorders>
                  <w:noWrap w:val="0"/>
                  <w:vAlign w:val="center"/>
                </w:tcPr>
                <w:p w14:paraId="1D6675A5">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建成后</w:t>
                  </w:r>
                  <w:r>
                    <w:rPr>
                      <w:rFonts w:hint="eastAsia" w:cs="Times New Roman"/>
                      <w:color w:val="auto"/>
                      <w:sz w:val="21"/>
                      <w:szCs w:val="21"/>
                      <w:highlight w:val="none"/>
                      <w:lang w:eastAsia="zh-CN"/>
                    </w:rPr>
                    <w:t>企业</w:t>
                  </w:r>
                  <w:r>
                    <w:rPr>
                      <w:rFonts w:hint="default" w:ascii="Times New Roman" w:hAnsi="Times New Roman" w:eastAsia="宋体" w:cs="Times New Roman"/>
                      <w:color w:val="auto"/>
                      <w:sz w:val="21"/>
                      <w:szCs w:val="21"/>
                      <w:highlight w:val="none"/>
                    </w:rPr>
                    <w:t>需建立能源管理体系、通过认证并持续有效运行</w:t>
                  </w:r>
                </w:p>
              </w:tc>
              <w:tc>
                <w:tcPr>
                  <w:tcW w:w="753" w:type="dxa"/>
                  <w:tcBorders>
                    <w:tl2br w:val="nil"/>
                    <w:tr2bl w:val="nil"/>
                  </w:tcBorders>
                  <w:noWrap w:val="0"/>
                  <w:vAlign w:val="center"/>
                </w:tcPr>
                <w:p w14:paraId="1CF702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612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9" w:type="dxa"/>
                  <w:vMerge w:val="continue"/>
                  <w:tcBorders>
                    <w:tl2br w:val="nil"/>
                    <w:tr2bl w:val="nil"/>
                  </w:tcBorders>
                  <w:noWrap w:val="0"/>
                  <w:vAlign w:val="center"/>
                </w:tcPr>
                <w:p w14:paraId="658D325C">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075AAEA6">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372E66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新（改、扩）建铸造项目应开展节能评估和节能审查。</w:t>
                  </w:r>
                </w:p>
              </w:tc>
              <w:tc>
                <w:tcPr>
                  <w:tcW w:w="2085" w:type="dxa"/>
                  <w:tcBorders>
                    <w:tl2br w:val="nil"/>
                    <w:tr2bl w:val="nil"/>
                  </w:tcBorders>
                  <w:noWrap w:val="0"/>
                  <w:vAlign w:val="center"/>
                </w:tcPr>
                <w:p w14:paraId="553955F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本项目年消耗电126万千瓦时，水5040m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折合标煤156.149吨。根据《河北省人民政府办公厅关于印发河北省固定资产投资项目节能审查办法的通知》（冀政办字[2023]109号），年综合能源消费量不满1000吨标准煤且年电力消费量不满500万千瓦时的项目，不再出具节能审查意见。故本项目无须开展</w:t>
                  </w:r>
                  <w:r>
                    <w:rPr>
                      <w:rFonts w:hint="default" w:ascii="Times New Roman" w:hAnsi="Times New Roman" w:eastAsia="宋体" w:cs="Times New Roman"/>
                      <w:color w:val="auto"/>
                      <w:sz w:val="21"/>
                      <w:szCs w:val="21"/>
                      <w:highlight w:val="none"/>
                    </w:rPr>
                    <w:t>节能评估和节能审查</w:t>
                  </w:r>
                </w:p>
              </w:tc>
              <w:tc>
                <w:tcPr>
                  <w:tcW w:w="753" w:type="dxa"/>
                  <w:tcBorders>
                    <w:tl2br w:val="nil"/>
                    <w:tr2bl w:val="nil"/>
                  </w:tcBorders>
                  <w:noWrap w:val="0"/>
                  <w:vAlign w:val="center"/>
                </w:tcPr>
                <w:p w14:paraId="628E05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A90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59" w:type="dxa"/>
                  <w:vMerge w:val="continue"/>
                  <w:tcBorders>
                    <w:tl2br w:val="nil"/>
                    <w:tr2bl w:val="nil"/>
                  </w:tcBorders>
                  <w:noWrap w:val="0"/>
                  <w:vAlign w:val="center"/>
                </w:tcPr>
                <w:p w14:paraId="6ECD61C7">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3FBEE47E">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7C9EAD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企业主要熔炼（化）设备的能耗指标应满足表3～表9的规定，能耗计算参照JB/T 14696的规定执行。</w:t>
                  </w:r>
                </w:p>
              </w:tc>
              <w:tc>
                <w:tcPr>
                  <w:tcW w:w="2085" w:type="dxa"/>
                  <w:tcBorders>
                    <w:tl2br w:val="nil"/>
                    <w:tr2bl w:val="nil"/>
                  </w:tcBorders>
                  <w:noWrap w:val="0"/>
                  <w:vAlign w:val="center"/>
                </w:tcPr>
                <w:p w14:paraId="6E3397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熔炼设备满足要求能耗指标</w:t>
                  </w:r>
                </w:p>
              </w:tc>
              <w:tc>
                <w:tcPr>
                  <w:tcW w:w="753" w:type="dxa"/>
                  <w:tcBorders>
                    <w:tl2br w:val="nil"/>
                    <w:tr2bl w:val="nil"/>
                  </w:tcBorders>
                  <w:noWrap w:val="0"/>
                  <w:vAlign w:val="center"/>
                </w:tcPr>
                <w:p w14:paraId="1A0594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DD0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459" w:type="dxa"/>
                  <w:vMerge w:val="restart"/>
                  <w:tcBorders>
                    <w:tl2br w:val="nil"/>
                    <w:tr2bl w:val="nil"/>
                  </w:tcBorders>
                  <w:noWrap w:val="0"/>
                  <w:vAlign w:val="center"/>
                </w:tcPr>
                <w:p w14:paraId="0AAF79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574" w:type="dxa"/>
                  <w:vMerge w:val="restart"/>
                  <w:tcBorders>
                    <w:tl2br w:val="nil"/>
                    <w:tr2bl w:val="nil"/>
                  </w:tcBorders>
                  <w:noWrap w:val="0"/>
                  <w:vAlign w:val="center"/>
                </w:tcPr>
                <w:p w14:paraId="394F59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w:t>
                  </w:r>
                </w:p>
              </w:tc>
              <w:tc>
                <w:tcPr>
                  <w:tcW w:w="4486" w:type="dxa"/>
                  <w:tcBorders>
                    <w:tl2br w:val="nil"/>
                    <w:tr2bl w:val="nil"/>
                  </w:tcBorders>
                  <w:noWrap w:val="0"/>
                  <w:vAlign w:val="center"/>
                </w:tcPr>
                <w:p w14:paraId="432231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企业应按HJ1115、HJ1200的要求，取得排污许可证；宜按照HJ1251的要求制定自行监测方案。</w:t>
                  </w:r>
                </w:p>
              </w:tc>
              <w:tc>
                <w:tcPr>
                  <w:tcW w:w="2085" w:type="dxa"/>
                  <w:vMerge w:val="restart"/>
                  <w:tcBorders>
                    <w:tl2br w:val="nil"/>
                    <w:tr2bl w:val="nil"/>
                  </w:tcBorders>
                  <w:noWrap w:val="0"/>
                  <w:vAlign w:val="center"/>
                </w:tcPr>
                <w:p w14:paraId="2F7883CC">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本项目建成后共建设</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台用于收集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处理生产过程产生的颗粒物</w:t>
                  </w:r>
                  <w:r>
                    <w:rPr>
                      <w:rFonts w:hint="eastAsia" w:ascii="Times New Roman" w:hAnsi="Times New Roman" w:eastAsia="宋体" w:cs="Times New Roman"/>
                      <w:color w:val="auto"/>
                      <w:sz w:val="21"/>
                      <w:szCs w:val="21"/>
                      <w:highlight w:val="none"/>
                      <w:lang w:eastAsia="zh-CN"/>
                    </w:rPr>
                    <w:t>和非甲烷总烃</w:t>
                  </w: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生产废水不</w:t>
                  </w:r>
                  <w:r>
                    <w:rPr>
                      <w:rFonts w:hint="default" w:ascii="Times New Roman" w:hAnsi="Times New Roman" w:eastAsia="宋体" w:cs="Times New Roman"/>
                      <w:color w:val="auto"/>
                      <w:sz w:val="21"/>
                      <w:szCs w:val="21"/>
                      <w:highlight w:val="none"/>
                    </w:rPr>
                    <w:t>外排，</w:t>
                  </w:r>
                  <w:r>
                    <w:rPr>
                      <w:rFonts w:hint="eastAsia" w:ascii="Times New Roman" w:hAnsi="Times New Roman" w:eastAsia="宋体" w:cs="Times New Roman"/>
                      <w:color w:val="auto"/>
                      <w:sz w:val="21"/>
                      <w:szCs w:val="21"/>
                      <w:highlight w:val="none"/>
                      <w:lang w:eastAsia="zh-CN"/>
                    </w:rPr>
                    <w:t>生活废水经</w:t>
                  </w:r>
                  <w:r>
                    <w:rPr>
                      <w:rFonts w:hint="eastAsia" w:ascii="Times New Roman" w:hAnsi="Times New Roman" w:eastAsia="宋体" w:cs="Times New Roman"/>
                      <w:color w:val="auto"/>
                      <w:sz w:val="21"/>
                      <w:szCs w:val="21"/>
                      <w:highlight w:val="none"/>
                      <w:lang w:val="en-US" w:eastAsia="zh-CN"/>
                    </w:rPr>
                    <w:t>厂区化粪池预处理后，定期由环卫部门抽取</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生产噪声通过车间封闭+减震基础等措施降低对环境的影响。一般固体废物集中收集，定期由环卫部门处置</w:t>
                  </w:r>
                  <w:r>
                    <w:rPr>
                      <w:rFonts w:hint="eastAsia" w:ascii="Times New Roman" w:hAnsi="Times New Roman" w:eastAsia="宋体" w:cs="Times New Roman"/>
                      <w:color w:val="auto"/>
                      <w:sz w:val="21"/>
                      <w:szCs w:val="21"/>
                      <w:highlight w:val="none"/>
                      <w:lang w:eastAsia="zh-CN"/>
                    </w:rPr>
                    <w:t>；危险废物暂存于危险废物暂存间，定期由具有资质的单位运输、处理</w:t>
                  </w:r>
                  <w:r>
                    <w:rPr>
                      <w:rFonts w:hint="default" w:ascii="Times New Roman" w:hAnsi="Times New Roman" w:eastAsia="宋体" w:cs="Times New Roman"/>
                      <w:color w:val="auto"/>
                      <w:sz w:val="21"/>
                      <w:szCs w:val="21"/>
                      <w:highlight w:val="none"/>
                    </w:rPr>
                    <w:t>。经过采取以上措施废气、废水、噪声、固体废弃物、危险废弃物等排放与处置措施应符合国家及地方环保法规和标准的规定。项目建成后需取得排污许可证</w:t>
                  </w:r>
                  <w:r>
                    <w:rPr>
                      <w:rFonts w:hint="eastAsia" w:ascii="Times New Roman" w:hAnsi="Times New Roman" w:eastAsia="宋体" w:cs="Times New Roman"/>
                      <w:color w:val="auto"/>
                      <w:sz w:val="21"/>
                      <w:szCs w:val="21"/>
                      <w:highlight w:val="none"/>
                      <w:lang w:eastAsia="zh-CN"/>
                    </w:rPr>
                    <w:t>。</w:t>
                  </w:r>
                </w:p>
              </w:tc>
              <w:tc>
                <w:tcPr>
                  <w:tcW w:w="753" w:type="dxa"/>
                  <w:tcBorders>
                    <w:tl2br w:val="nil"/>
                    <w:tr2bl w:val="nil"/>
                  </w:tcBorders>
                  <w:noWrap w:val="0"/>
                  <w:vAlign w:val="center"/>
                </w:tcPr>
                <w:p w14:paraId="0F6C06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3E1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459" w:type="dxa"/>
                  <w:vMerge w:val="continue"/>
                  <w:tcBorders>
                    <w:tl2br w:val="nil"/>
                    <w:tr2bl w:val="nil"/>
                  </w:tcBorders>
                  <w:noWrap w:val="0"/>
                  <w:vAlign w:val="center"/>
                </w:tcPr>
                <w:p w14:paraId="71497A8D">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63BB1FD1">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3B3A8B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企业大气污染物排放应符合GB 39726的要求。应配置完善的环保处理装置，废气、废水、噪声、工业固体废物等排放与处置措施应符合国家及地方环保法规和标准的规定。</w:t>
                  </w:r>
                </w:p>
              </w:tc>
              <w:tc>
                <w:tcPr>
                  <w:tcW w:w="2085" w:type="dxa"/>
                  <w:vMerge w:val="continue"/>
                  <w:tcBorders>
                    <w:tl2br w:val="nil"/>
                    <w:tr2bl w:val="nil"/>
                  </w:tcBorders>
                  <w:noWrap w:val="0"/>
                  <w:vAlign w:val="center"/>
                </w:tcPr>
                <w:p w14:paraId="76164BDA">
                  <w:pPr>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14:paraId="5DA6B5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3F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459" w:type="dxa"/>
                  <w:vMerge w:val="continue"/>
                  <w:tcBorders>
                    <w:tl2br w:val="nil"/>
                    <w:tr2bl w:val="nil"/>
                  </w:tcBorders>
                  <w:noWrap w:val="0"/>
                  <w:vAlign w:val="center"/>
                </w:tcPr>
                <w:p w14:paraId="55C1E239">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67D39D4A">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5F990F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企业宜参照《重污染天气重点行业应急减排措施制定技术指南》的要求开展绩效分级管理，制定重污染天气应急减排措施。</w:t>
                  </w:r>
                </w:p>
              </w:tc>
              <w:tc>
                <w:tcPr>
                  <w:tcW w:w="2085" w:type="dxa"/>
                  <w:vMerge w:val="continue"/>
                  <w:tcBorders>
                    <w:tl2br w:val="nil"/>
                    <w:tr2bl w:val="nil"/>
                  </w:tcBorders>
                  <w:noWrap w:val="0"/>
                  <w:vAlign w:val="center"/>
                </w:tcPr>
                <w:p w14:paraId="67787F7E">
                  <w:pPr>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14:paraId="22FE15D5">
                  <w:pPr>
                    <w:jc w:val="center"/>
                    <w:rPr>
                      <w:rFonts w:hint="default" w:ascii="Times New Roman" w:hAnsi="Times New Roman" w:eastAsia="宋体" w:cs="Times New Roman"/>
                      <w:color w:val="auto"/>
                      <w:sz w:val="21"/>
                      <w:szCs w:val="21"/>
                      <w:highlight w:val="none"/>
                    </w:rPr>
                  </w:pPr>
                </w:p>
              </w:tc>
            </w:tr>
            <w:tr w14:paraId="62E2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59" w:type="dxa"/>
                  <w:vMerge w:val="continue"/>
                  <w:tcBorders>
                    <w:tl2br w:val="nil"/>
                    <w:tr2bl w:val="nil"/>
                  </w:tcBorders>
                  <w:noWrap w:val="0"/>
                  <w:vAlign w:val="center"/>
                </w:tcPr>
                <w:p w14:paraId="095BFE71">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106523FF">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3C7E12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企业可按照GB/T24001要求建立环境管理体系，通过认证并持续有效运行。</w:t>
                  </w:r>
                </w:p>
              </w:tc>
              <w:tc>
                <w:tcPr>
                  <w:tcW w:w="2085" w:type="dxa"/>
                  <w:vMerge w:val="continue"/>
                  <w:tcBorders>
                    <w:tl2br w:val="nil"/>
                    <w:tr2bl w:val="nil"/>
                  </w:tcBorders>
                  <w:noWrap w:val="0"/>
                  <w:vAlign w:val="center"/>
                </w:tcPr>
                <w:p w14:paraId="5C943E82">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31F331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5F7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14:paraId="33CB30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574" w:type="dxa"/>
                  <w:vMerge w:val="restart"/>
                  <w:tcBorders>
                    <w:tl2br w:val="nil"/>
                    <w:tr2bl w:val="nil"/>
                  </w:tcBorders>
                  <w:noWrap w:val="0"/>
                  <w:vAlign w:val="center"/>
                </w:tcPr>
                <w:p w14:paraId="2E9DAC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安全生产及职业健康</w:t>
                  </w:r>
                </w:p>
              </w:tc>
              <w:tc>
                <w:tcPr>
                  <w:tcW w:w="4486" w:type="dxa"/>
                  <w:tcBorders>
                    <w:tl2br w:val="nil"/>
                    <w:tr2bl w:val="nil"/>
                  </w:tcBorders>
                  <w:noWrap w:val="0"/>
                  <w:vAlign w:val="center"/>
                </w:tcPr>
                <w:p w14:paraId="4B33F5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企业应遵守国家安全生产相关法律法规和标准要求，建立健全安全设施并有效运行。</w:t>
                  </w:r>
                </w:p>
              </w:tc>
              <w:tc>
                <w:tcPr>
                  <w:tcW w:w="2085" w:type="dxa"/>
                  <w:vMerge w:val="restart"/>
                  <w:tcBorders>
                    <w:tl2br w:val="nil"/>
                    <w:tr2bl w:val="nil"/>
                  </w:tcBorders>
                  <w:noWrap w:val="0"/>
                  <w:vAlign w:val="center"/>
                </w:tcPr>
                <w:p w14:paraId="795D21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企业按照国家安全生产相关法律法规和标准要求，建立健全安全设施并有效运行</w:t>
                  </w:r>
                </w:p>
              </w:tc>
              <w:tc>
                <w:tcPr>
                  <w:tcW w:w="753" w:type="dxa"/>
                  <w:tcBorders>
                    <w:tl2br w:val="nil"/>
                    <w:tr2bl w:val="nil"/>
                  </w:tcBorders>
                  <w:noWrap w:val="0"/>
                  <w:vAlign w:val="center"/>
                </w:tcPr>
                <w:p w14:paraId="57E24E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F04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59" w:type="dxa"/>
                  <w:vMerge w:val="continue"/>
                  <w:tcBorders>
                    <w:tl2br w:val="nil"/>
                    <w:tr2bl w:val="nil"/>
                  </w:tcBorders>
                  <w:noWrap w:val="0"/>
                  <w:vAlign w:val="center"/>
                </w:tcPr>
                <w:p w14:paraId="7073A680">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65844300">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2C3AFB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企业应遵守国家职业健康相关法律法规和标准要求，建立健全职业危害防治设施和职业卫生管理制度并有效运行。</w:t>
                  </w:r>
                </w:p>
              </w:tc>
              <w:tc>
                <w:tcPr>
                  <w:tcW w:w="2085" w:type="dxa"/>
                  <w:vMerge w:val="continue"/>
                  <w:tcBorders>
                    <w:tl2br w:val="nil"/>
                    <w:tr2bl w:val="nil"/>
                  </w:tcBorders>
                  <w:noWrap w:val="0"/>
                  <w:vAlign w:val="center"/>
                </w:tcPr>
                <w:p w14:paraId="2CB02EAD">
                  <w:pPr>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14:paraId="51E327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252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59" w:type="dxa"/>
                  <w:vMerge w:val="continue"/>
                  <w:tcBorders>
                    <w:tl2br w:val="nil"/>
                    <w:tr2bl w:val="nil"/>
                  </w:tcBorders>
                  <w:noWrap w:val="0"/>
                  <w:vAlign w:val="center"/>
                </w:tcPr>
                <w:p w14:paraId="5DAD10CB">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7FCD7B80">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2F1CCC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企业宜参照铸造领域相关安全标准开展安全生产管理。</w:t>
                  </w:r>
                </w:p>
              </w:tc>
              <w:tc>
                <w:tcPr>
                  <w:tcW w:w="2085" w:type="dxa"/>
                  <w:vMerge w:val="continue"/>
                  <w:tcBorders>
                    <w:tl2br w:val="nil"/>
                    <w:tr2bl w:val="nil"/>
                  </w:tcBorders>
                  <w:noWrap w:val="0"/>
                  <w:vAlign w:val="center"/>
                </w:tcPr>
                <w:p w14:paraId="77739FD7">
                  <w:pPr>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14:paraId="7A851C02">
                  <w:pPr>
                    <w:jc w:val="center"/>
                    <w:rPr>
                      <w:rFonts w:hint="default" w:ascii="Times New Roman" w:hAnsi="Times New Roman" w:eastAsia="宋体" w:cs="Times New Roman"/>
                      <w:color w:val="auto"/>
                      <w:sz w:val="21"/>
                      <w:szCs w:val="21"/>
                      <w:highlight w:val="none"/>
                    </w:rPr>
                  </w:pPr>
                </w:p>
              </w:tc>
            </w:tr>
            <w:tr w14:paraId="7E97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0FEBF8F3">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1D75897F">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790C75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企业可按照GB/T 45001标准要求建立职业健康安全管理体系，通过认证并持续有效运行。</w:t>
                  </w:r>
                </w:p>
              </w:tc>
              <w:tc>
                <w:tcPr>
                  <w:tcW w:w="2085" w:type="dxa"/>
                  <w:vMerge w:val="continue"/>
                  <w:tcBorders>
                    <w:tl2br w:val="nil"/>
                    <w:tr2bl w:val="nil"/>
                  </w:tcBorders>
                  <w:noWrap w:val="0"/>
                  <w:vAlign w:val="center"/>
                </w:tcPr>
                <w:p w14:paraId="025E76A2">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750FA6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A7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14:paraId="38954321">
                  <w:pPr>
                    <w:jc w:val="center"/>
                    <w:rPr>
                      <w:rFonts w:hint="default" w:ascii="Times New Roman" w:hAnsi="Times New Roman" w:eastAsia="宋体" w:cs="Times New Roman"/>
                      <w:color w:val="auto"/>
                      <w:sz w:val="21"/>
                      <w:szCs w:val="21"/>
                      <w:highlight w:val="none"/>
                    </w:rPr>
                  </w:pPr>
                </w:p>
              </w:tc>
              <w:tc>
                <w:tcPr>
                  <w:tcW w:w="574" w:type="dxa"/>
                  <w:vMerge w:val="continue"/>
                  <w:tcBorders>
                    <w:tl2br w:val="nil"/>
                    <w:tr2bl w:val="nil"/>
                  </w:tcBorders>
                  <w:noWrap w:val="0"/>
                  <w:vAlign w:val="center"/>
                </w:tcPr>
                <w:p w14:paraId="227797A1">
                  <w:pPr>
                    <w:jc w:val="center"/>
                    <w:rPr>
                      <w:rFonts w:hint="default" w:ascii="Times New Roman" w:hAnsi="Times New Roman" w:eastAsia="宋体" w:cs="Times New Roman"/>
                      <w:color w:val="auto"/>
                      <w:sz w:val="21"/>
                      <w:szCs w:val="21"/>
                      <w:highlight w:val="none"/>
                    </w:rPr>
                  </w:pPr>
                </w:p>
              </w:tc>
              <w:tc>
                <w:tcPr>
                  <w:tcW w:w="4486" w:type="dxa"/>
                  <w:tcBorders>
                    <w:tl2br w:val="nil"/>
                    <w:tr2bl w:val="nil"/>
                  </w:tcBorders>
                  <w:noWrap w:val="0"/>
                  <w:vAlign w:val="center"/>
                </w:tcPr>
                <w:p w14:paraId="651193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特种作业人员、特种设备操作人员、计量人员、理化检验人员及无损探伤等特殊岗位的人员应具有经相应的资质部门颁发的资格证书，持证上岗率应达100%。</w:t>
                  </w:r>
                </w:p>
              </w:tc>
              <w:tc>
                <w:tcPr>
                  <w:tcW w:w="2085" w:type="dxa"/>
                  <w:vMerge w:val="continue"/>
                  <w:tcBorders>
                    <w:tl2br w:val="nil"/>
                    <w:tr2bl w:val="nil"/>
                  </w:tcBorders>
                  <w:noWrap w:val="0"/>
                  <w:vAlign w:val="center"/>
                </w:tcPr>
                <w:p w14:paraId="2283845C">
                  <w:pPr>
                    <w:jc w:val="center"/>
                    <w:rPr>
                      <w:rFonts w:hint="default" w:ascii="Times New Roman" w:hAnsi="Times New Roman" w:eastAsia="宋体" w:cs="Times New Roman"/>
                      <w:color w:val="auto"/>
                      <w:sz w:val="21"/>
                      <w:szCs w:val="21"/>
                      <w:highlight w:val="none"/>
                    </w:rPr>
                  </w:pPr>
                </w:p>
              </w:tc>
              <w:tc>
                <w:tcPr>
                  <w:tcW w:w="753" w:type="dxa"/>
                  <w:tcBorders>
                    <w:tl2br w:val="nil"/>
                    <w:tr2bl w:val="nil"/>
                  </w:tcBorders>
                  <w:noWrap w:val="0"/>
                  <w:vAlign w:val="center"/>
                </w:tcPr>
                <w:p w14:paraId="3AD476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43DA5A0">
            <w:pPr>
              <w:rPr>
                <w:rFonts w:hint="eastAsia"/>
                <w:color w:val="auto"/>
                <w:highlight w:val="none"/>
                <w:lang w:eastAsia="zh-CN"/>
              </w:rPr>
            </w:pPr>
          </w:p>
          <w:p w14:paraId="2EC742A4">
            <w:pPr>
              <w:pStyle w:val="2"/>
              <w:rPr>
                <w:rFonts w:hint="eastAsia"/>
                <w:color w:val="auto"/>
                <w:highlight w:val="none"/>
                <w:lang w:eastAsia="zh-CN"/>
              </w:rPr>
            </w:pPr>
          </w:p>
          <w:p w14:paraId="39763619">
            <w:pPr>
              <w:rPr>
                <w:rFonts w:hint="eastAsia"/>
                <w:color w:val="auto"/>
                <w:highlight w:val="none"/>
                <w:lang w:eastAsia="zh-CN"/>
              </w:rPr>
            </w:pPr>
          </w:p>
          <w:p w14:paraId="393BF4CF">
            <w:pPr>
              <w:pStyle w:val="2"/>
              <w:rPr>
                <w:rFonts w:hint="eastAsia"/>
                <w:color w:val="auto"/>
                <w:highlight w:val="none"/>
                <w:lang w:eastAsia="zh-CN"/>
              </w:rPr>
            </w:pPr>
          </w:p>
          <w:p w14:paraId="202B70B3">
            <w:pPr>
              <w:rPr>
                <w:rFonts w:hint="eastAsia"/>
                <w:color w:val="auto"/>
                <w:highlight w:val="none"/>
                <w:lang w:eastAsia="zh-CN"/>
              </w:rPr>
            </w:pPr>
          </w:p>
          <w:p w14:paraId="42E509CA">
            <w:pPr>
              <w:pStyle w:val="2"/>
              <w:rPr>
                <w:rFonts w:hint="eastAsia"/>
                <w:color w:val="auto"/>
                <w:highlight w:val="none"/>
                <w:lang w:eastAsia="zh-CN"/>
              </w:rPr>
            </w:pPr>
          </w:p>
          <w:p w14:paraId="11B67ACF">
            <w:pPr>
              <w:rPr>
                <w:rFonts w:hint="eastAsia"/>
                <w:color w:val="auto"/>
                <w:highlight w:val="none"/>
                <w:lang w:eastAsia="zh-CN"/>
              </w:rPr>
            </w:pPr>
          </w:p>
          <w:p w14:paraId="3AF5A41C">
            <w:pPr>
              <w:pStyle w:val="2"/>
              <w:rPr>
                <w:rFonts w:hint="eastAsia"/>
                <w:color w:val="auto"/>
                <w:highlight w:val="none"/>
                <w:lang w:eastAsia="zh-CN"/>
              </w:rPr>
            </w:pPr>
          </w:p>
          <w:p w14:paraId="772EE6C4">
            <w:pPr>
              <w:rPr>
                <w:rFonts w:hint="eastAsia"/>
                <w:color w:val="auto"/>
                <w:highlight w:val="none"/>
                <w:lang w:eastAsia="zh-CN"/>
              </w:rPr>
            </w:pPr>
          </w:p>
          <w:p w14:paraId="71735580">
            <w:pPr>
              <w:pStyle w:val="2"/>
              <w:rPr>
                <w:rFonts w:hint="eastAsia"/>
                <w:color w:val="auto"/>
                <w:highlight w:val="none"/>
                <w:lang w:eastAsia="zh-CN"/>
              </w:rPr>
            </w:pPr>
          </w:p>
          <w:p w14:paraId="005ECA9C">
            <w:pPr>
              <w:rPr>
                <w:rFonts w:hint="eastAsia"/>
                <w:color w:val="auto"/>
                <w:highlight w:val="none"/>
                <w:lang w:eastAsia="zh-CN"/>
              </w:rPr>
            </w:pPr>
          </w:p>
          <w:p w14:paraId="27D71C5A">
            <w:pPr>
              <w:pStyle w:val="2"/>
              <w:rPr>
                <w:rFonts w:hint="eastAsia"/>
                <w:color w:val="auto"/>
                <w:highlight w:val="none"/>
                <w:lang w:eastAsia="zh-CN"/>
              </w:rPr>
            </w:pPr>
          </w:p>
          <w:p w14:paraId="26009FD7">
            <w:pPr>
              <w:rPr>
                <w:rFonts w:hint="eastAsia"/>
                <w:color w:val="auto"/>
                <w:highlight w:val="none"/>
                <w:lang w:eastAsia="zh-CN"/>
              </w:rPr>
            </w:pPr>
          </w:p>
          <w:p w14:paraId="2982E833">
            <w:pPr>
              <w:pStyle w:val="2"/>
              <w:rPr>
                <w:rFonts w:hint="eastAsia"/>
                <w:color w:val="auto"/>
                <w:highlight w:val="none"/>
                <w:lang w:eastAsia="zh-CN"/>
              </w:rPr>
            </w:pPr>
          </w:p>
          <w:p w14:paraId="3D80667C">
            <w:pPr>
              <w:rPr>
                <w:rFonts w:hint="eastAsia"/>
                <w:color w:val="auto"/>
                <w:highlight w:val="none"/>
                <w:lang w:eastAsia="zh-CN"/>
              </w:rPr>
            </w:pPr>
          </w:p>
          <w:p w14:paraId="4CEE4862">
            <w:pPr>
              <w:pStyle w:val="2"/>
              <w:rPr>
                <w:rFonts w:hint="eastAsia"/>
                <w:color w:val="auto"/>
                <w:highlight w:val="none"/>
                <w:lang w:eastAsia="zh-CN"/>
              </w:rPr>
            </w:pPr>
          </w:p>
          <w:p w14:paraId="167FF384">
            <w:pPr>
              <w:rPr>
                <w:rFonts w:hint="eastAsia"/>
                <w:color w:val="auto"/>
                <w:highlight w:val="none"/>
                <w:lang w:eastAsia="zh-CN"/>
              </w:rPr>
            </w:pPr>
          </w:p>
          <w:p w14:paraId="49A8712E">
            <w:pPr>
              <w:pStyle w:val="2"/>
              <w:rPr>
                <w:rFonts w:hint="eastAsia"/>
                <w:color w:val="auto"/>
                <w:highlight w:val="none"/>
                <w:lang w:eastAsia="zh-CN"/>
              </w:rPr>
            </w:pPr>
          </w:p>
          <w:p w14:paraId="04F22685">
            <w:pPr>
              <w:rPr>
                <w:rFonts w:hint="eastAsia"/>
                <w:color w:val="auto"/>
                <w:highlight w:val="none"/>
                <w:lang w:eastAsia="zh-CN"/>
              </w:rPr>
            </w:pPr>
          </w:p>
          <w:p w14:paraId="7BCE2134">
            <w:pPr>
              <w:pStyle w:val="2"/>
              <w:rPr>
                <w:rFonts w:hint="eastAsia"/>
                <w:color w:val="auto"/>
                <w:highlight w:val="none"/>
                <w:lang w:eastAsia="zh-CN"/>
              </w:rPr>
            </w:pPr>
          </w:p>
          <w:p w14:paraId="0B8BDA73">
            <w:pPr>
              <w:rPr>
                <w:rFonts w:hint="eastAsia"/>
                <w:color w:val="auto"/>
                <w:highlight w:val="none"/>
                <w:lang w:eastAsia="zh-CN"/>
              </w:rPr>
            </w:pPr>
          </w:p>
          <w:p w14:paraId="0F5430D8">
            <w:pPr>
              <w:pStyle w:val="2"/>
              <w:rPr>
                <w:rFonts w:hint="eastAsia"/>
                <w:color w:val="auto"/>
                <w:highlight w:val="none"/>
                <w:lang w:eastAsia="zh-CN"/>
              </w:rPr>
            </w:pPr>
          </w:p>
          <w:p w14:paraId="2CACBF71">
            <w:pPr>
              <w:rPr>
                <w:rFonts w:hint="eastAsia"/>
                <w:color w:val="auto"/>
                <w:highlight w:val="none"/>
                <w:lang w:eastAsia="zh-CN"/>
              </w:rPr>
            </w:pPr>
          </w:p>
          <w:p w14:paraId="2E494C14">
            <w:pPr>
              <w:pStyle w:val="2"/>
              <w:rPr>
                <w:rFonts w:hint="eastAsia"/>
                <w:color w:val="auto"/>
                <w:highlight w:val="none"/>
                <w:lang w:eastAsia="zh-CN"/>
              </w:rPr>
            </w:pPr>
          </w:p>
          <w:p w14:paraId="751C613E">
            <w:pPr>
              <w:rPr>
                <w:rFonts w:hint="eastAsia"/>
                <w:color w:val="auto"/>
                <w:highlight w:val="none"/>
                <w:lang w:eastAsia="zh-CN"/>
              </w:rPr>
            </w:pPr>
          </w:p>
          <w:p w14:paraId="39139328">
            <w:pPr>
              <w:pStyle w:val="2"/>
              <w:rPr>
                <w:rFonts w:hint="eastAsia"/>
                <w:color w:val="auto"/>
                <w:highlight w:val="none"/>
                <w:lang w:eastAsia="zh-CN"/>
              </w:rPr>
            </w:pPr>
          </w:p>
          <w:p w14:paraId="7706486B">
            <w:pPr>
              <w:rPr>
                <w:rFonts w:hint="eastAsia"/>
                <w:color w:val="auto"/>
                <w:highlight w:val="none"/>
                <w:lang w:eastAsia="zh-CN"/>
              </w:rPr>
            </w:pPr>
          </w:p>
          <w:p w14:paraId="2540BF07">
            <w:pPr>
              <w:pStyle w:val="11"/>
              <w:jc w:val="both"/>
              <w:rPr>
                <w:rFonts w:hint="eastAsia"/>
                <w:color w:val="auto"/>
                <w:highlight w:val="none"/>
                <w:lang w:eastAsia="zh-CN"/>
              </w:rPr>
            </w:pPr>
          </w:p>
          <w:p w14:paraId="7611BD8F">
            <w:pPr>
              <w:rPr>
                <w:rFonts w:hint="eastAsia"/>
                <w:color w:val="auto"/>
                <w:highlight w:val="none"/>
                <w:lang w:eastAsia="zh-CN"/>
              </w:rPr>
            </w:pPr>
          </w:p>
          <w:p w14:paraId="50972CAC">
            <w:pPr>
              <w:pStyle w:val="2"/>
              <w:rPr>
                <w:rFonts w:hint="eastAsia"/>
                <w:color w:val="auto"/>
                <w:highlight w:val="none"/>
                <w:lang w:eastAsia="zh-CN"/>
              </w:rPr>
            </w:pPr>
          </w:p>
        </w:tc>
      </w:tr>
    </w:tbl>
    <w:p w14:paraId="6BED5EB6">
      <w:pPr>
        <w:pStyle w:val="14"/>
        <w:numPr>
          <w:ilvl w:val="0"/>
          <w:numId w:val="0"/>
        </w:numPr>
        <w:tabs>
          <w:tab w:val="left" w:pos="2849"/>
          <w:tab w:val="center" w:pos="4782"/>
        </w:tabs>
        <w:jc w:val="left"/>
        <w:outlineLvl w:val="0"/>
        <w:rPr>
          <w:rFonts w:hint="eastAsia" w:ascii="黑体" w:hAnsi="黑体" w:eastAsia="黑体" w:cs="Times New Roman"/>
          <w:snapToGrid w:val="0"/>
          <w:color w:val="auto"/>
          <w:sz w:val="30"/>
          <w:szCs w:val="30"/>
          <w:highlight w:val="none"/>
          <w:lang w:eastAsia="zh-CN"/>
        </w:rPr>
        <w:sectPr>
          <w:footerReference r:id="rId4" w:type="default"/>
          <w:pgSz w:w="11906" w:h="16838"/>
          <w:pgMar w:top="1701" w:right="1531" w:bottom="1701" w:left="1531" w:header="851" w:footer="851" w:gutter="0"/>
          <w:pgNumType w:start="1"/>
          <w:cols w:space="720" w:num="1"/>
          <w:docGrid w:linePitch="312" w:charSpace="0"/>
        </w:sectPr>
      </w:pPr>
    </w:p>
    <w:p w14:paraId="2C946111">
      <w:pPr>
        <w:pStyle w:val="14"/>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64447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14:paraId="2BF36DD6">
            <w:pPr>
              <w:pStyle w:val="14"/>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61" w:type="dxa"/>
            <w:noWrap w:val="0"/>
            <w:vAlign w:val="top"/>
          </w:tcPr>
          <w:p w14:paraId="77B24288">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一</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工程内容</w:t>
            </w:r>
          </w:p>
          <w:p w14:paraId="303A6F2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color w:val="auto"/>
                <w:highlight w:val="none"/>
              </w:rPr>
            </w:pPr>
            <w:r>
              <w:rPr>
                <w:rFonts w:hint="eastAsia" w:ascii="Times New Roman" w:hAnsi="Times New Roman" w:eastAsia="宋体" w:cs="Times New Roman"/>
                <w:b w:val="0"/>
                <w:bCs w:val="0"/>
                <w:color w:val="auto"/>
                <w:sz w:val="24"/>
                <w:szCs w:val="24"/>
                <w:highlight w:val="none"/>
                <w:lang w:eastAsia="zh-CN"/>
              </w:rPr>
              <w:t>宽城双兴矿山设备制造有限公司矿山设备铸件扩建项目</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购置</w:t>
            </w:r>
            <w:r>
              <w:rPr>
                <w:rFonts w:hint="default" w:ascii="Times New Roman" w:hAnsi="Times New Roman" w:eastAsia="宋体" w:cs="Times New Roman"/>
                <w:b w:val="0"/>
                <w:bCs w:val="0"/>
                <w:color w:val="auto"/>
                <w:sz w:val="24"/>
                <w:szCs w:val="24"/>
                <w:highlight w:val="none"/>
                <w:lang w:val="en-US" w:eastAsia="zh-CN"/>
              </w:rPr>
              <w:t>2吨中频感应电炉1套（一拖一）、树脂砂移动式混砂机1台、砂处理再生线1套、除尘器3台等共计13台（套）</w:t>
            </w:r>
            <w:r>
              <w:rPr>
                <w:rFonts w:hint="default" w:ascii="Times New Roman" w:hAnsi="Times New Roman" w:eastAsia="宋体" w:cs="Times New Roman"/>
                <w:bCs/>
                <w:color w:val="auto"/>
                <w:sz w:val="24"/>
                <w:szCs w:val="24"/>
                <w:highlight w:val="none"/>
                <w:lang w:val="en-US" w:eastAsia="zh-CN"/>
              </w:rPr>
              <w:t>。采用树脂砂铸造工艺，新增年产高铬合金铸件2000吨，主要产品为渣浆泵过流件。</w:t>
            </w:r>
            <w:r>
              <w:rPr>
                <w:rFonts w:hint="default" w:ascii="Times New Roman" w:hAnsi="Times New Roman" w:eastAsia="宋体" w:cs="Times New Roman"/>
                <w:b w:val="0"/>
                <w:bCs w:val="0"/>
                <w:color w:val="auto"/>
                <w:sz w:val="24"/>
                <w:szCs w:val="24"/>
                <w:highlight w:val="none"/>
              </w:rPr>
              <w:t>项目在</w:t>
            </w:r>
            <w:r>
              <w:rPr>
                <w:rFonts w:hint="default" w:ascii="Times New Roman" w:hAnsi="Times New Roman" w:eastAsia="宋体" w:cs="Times New Roman"/>
                <w:color w:val="auto"/>
                <w:sz w:val="24"/>
                <w:szCs w:val="24"/>
                <w:highlight w:val="none"/>
                <w:lang w:val="en-GB" w:eastAsia="zh-CN"/>
              </w:rPr>
              <w:t>宽城双兴矿山设备制造有限公司</w:t>
            </w:r>
            <w:r>
              <w:rPr>
                <w:rFonts w:hint="default" w:ascii="Times New Roman" w:hAnsi="Times New Roman" w:eastAsia="宋体" w:cs="Times New Roman"/>
                <w:b w:val="0"/>
                <w:bCs w:val="0"/>
                <w:color w:val="auto"/>
                <w:sz w:val="24"/>
                <w:szCs w:val="24"/>
                <w:highlight w:val="none"/>
              </w:rPr>
              <w:t>厂区内建设，</w:t>
            </w:r>
            <w:r>
              <w:rPr>
                <w:rFonts w:hint="eastAsia" w:ascii="Times New Roman" w:hAnsi="Times New Roman" w:eastAsia="宋体" w:cs="Times New Roman"/>
                <w:b w:val="0"/>
                <w:bCs w:val="0"/>
                <w:color w:val="auto"/>
                <w:sz w:val="24"/>
                <w:szCs w:val="24"/>
                <w:highlight w:val="none"/>
                <w:lang w:eastAsia="zh-CN"/>
              </w:rPr>
              <w:t>将</w:t>
            </w:r>
            <w:r>
              <w:rPr>
                <w:rFonts w:hint="default" w:ascii="Times New Roman" w:hAnsi="Times New Roman" w:eastAsia="宋体" w:cs="Times New Roman"/>
                <w:b w:val="0"/>
                <w:bCs w:val="0"/>
                <w:color w:val="auto"/>
                <w:sz w:val="24"/>
                <w:szCs w:val="24"/>
                <w:highlight w:val="none"/>
                <w:lang w:eastAsia="zh-CN"/>
              </w:rPr>
              <w:t>原有原料库进行改造建设铸造厂房，</w:t>
            </w:r>
            <w:r>
              <w:rPr>
                <w:rFonts w:hint="default" w:ascii="Times New Roman" w:hAnsi="Times New Roman" w:eastAsia="宋体" w:cs="Times New Roman"/>
                <w:b w:val="0"/>
                <w:bCs w:val="0"/>
                <w:color w:val="auto"/>
                <w:sz w:val="24"/>
                <w:szCs w:val="24"/>
                <w:highlight w:val="none"/>
              </w:rPr>
              <w:t>占地面积</w:t>
            </w:r>
            <w:r>
              <w:rPr>
                <w:rFonts w:hint="default" w:ascii="Times New Roman" w:hAnsi="Times New Roman" w:eastAsia="宋体" w:cs="Times New Roman"/>
                <w:b w:val="0"/>
                <w:bCs w:val="0"/>
                <w:color w:val="auto"/>
                <w:sz w:val="24"/>
                <w:szCs w:val="24"/>
                <w:highlight w:val="none"/>
                <w:lang w:val="en-US" w:eastAsia="zh-CN"/>
              </w:rPr>
              <w:t>1404</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w:t>
            </w:r>
          </w:p>
          <w:p w14:paraId="77987F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该项目于2024年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月1</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日取得</w:t>
            </w:r>
            <w:r>
              <w:rPr>
                <w:rFonts w:hint="default" w:ascii="Times New Roman" w:hAnsi="Times New Roman" w:eastAsia="宋体" w:cs="Times New Roman"/>
                <w:b w:val="0"/>
                <w:bCs w:val="0"/>
                <w:color w:val="auto"/>
                <w:sz w:val="24"/>
                <w:szCs w:val="24"/>
                <w:highlight w:val="none"/>
                <w:lang w:eastAsia="zh-CN"/>
              </w:rPr>
              <w:t>宽城满族自治县数据和政务服务局</w:t>
            </w:r>
            <w:r>
              <w:rPr>
                <w:rFonts w:hint="default" w:ascii="Times New Roman" w:hAnsi="Times New Roman" w:eastAsia="宋体" w:cs="Times New Roman"/>
                <w:b w:val="0"/>
                <w:bCs w:val="0"/>
                <w:color w:val="auto"/>
                <w:sz w:val="24"/>
                <w:szCs w:val="24"/>
                <w:highlight w:val="none"/>
              </w:rPr>
              <w:t>的备案信息：</w:t>
            </w:r>
            <w:r>
              <w:rPr>
                <w:rFonts w:hint="default" w:ascii="Times New Roman" w:hAnsi="Times New Roman" w:eastAsia="宋体" w:cs="Times New Roman"/>
                <w:b w:val="0"/>
                <w:bCs w:val="0"/>
                <w:color w:val="auto"/>
                <w:sz w:val="24"/>
                <w:szCs w:val="24"/>
                <w:highlight w:val="none"/>
                <w:lang w:eastAsia="zh-CN"/>
              </w:rPr>
              <w:t>宽数政投</w:t>
            </w:r>
            <w:r>
              <w:rPr>
                <w:rFonts w:hint="default" w:ascii="Times New Roman" w:hAnsi="Times New Roman" w:eastAsia="宋体" w:cs="Times New Roman"/>
                <w:b w:val="0"/>
                <w:bCs w:val="0"/>
                <w:color w:val="auto"/>
                <w:sz w:val="24"/>
                <w:szCs w:val="24"/>
                <w:highlight w:val="none"/>
              </w:rPr>
              <w:t>备字[2024]</w:t>
            </w: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93</w:t>
            </w:r>
            <w:r>
              <w:rPr>
                <w:rFonts w:hint="default" w:ascii="Times New Roman" w:hAnsi="Times New Roman" w:eastAsia="宋体" w:cs="Times New Roman"/>
                <w:b w:val="0"/>
                <w:bCs w:val="0"/>
                <w:color w:val="auto"/>
                <w:sz w:val="24"/>
                <w:szCs w:val="24"/>
                <w:highlight w:val="none"/>
              </w:rPr>
              <w:t>号。</w:t>
            </w:r>
          </w:p>
          <w:p w14:paraId="0A2FB3C3">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项目主要建设内容如表2</w:t>
            </w: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所示。</w:t>
            </w:r>
          </w:p>
          <w:p w14:paraId="7A307604">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表</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val="0"/>
                <w:color w:val="auto"/>
                <w:sz w:val="24"/>
                <w:szCs w:val="24"/>
                <w:highlight w:val="none"/>
              </w:rPr>
              <w:t>本项目主要建设内容一览表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723"/>
              <w:gridCol w:w="426"/>
              <w:gridCol w:w="1569"/>
              <w:gridCol w:w="4611"/>
              <w:gridCol w:w="3"/>
              <w:gridCol w:w="1065"/>
              <w:gridCol w:w="9"/>
            </w:tblGrid>
            <w:tr w14:paraId="730D67C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tcBorders>
                    <w:tl2br w:val="nil"/>
                    <w:tr2bl w:val="nil"/>
                  </w:tcBorders>
                  <w:noWrap w:val="0"/>
                  <w:vAlign w:val="center"/>
                </w:tcPr>
                <w:p w14:paraId="20B3907E">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工程类别</w:t>
                  </w:r>
                </w:p>
              </w:tc>
              <w:tc>
                <w:tcPr>
                  <w:tcW w:w="1186" w:type="pct"/>
                  <w:gridSpan w:val="2"/>
                  <w:tcBorders>
                    <w:tl2br w:val="nil"/>
                    <w:tr2bl w:val="nil"/>
                  </w:tcBorders>
                  <w:noWrap w:val="0"/>
                  <w:vAlign w:val="center"/>
                </w:tcPr>
                <w:p w14:paraId="2959FE21">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2742" w:type="pct"/>
                  <w:tcBorders>
                    <w:tl2br w:val="nil"/>
                    <w:tr2bl w:val="nil"/>
                  </w:tcBorders>
                  <w:noWrap w:val="0"/>
                  <w:vAlign w:val="center"/>
                </w:tcPr>
                <w:p w14:paraId="4178B1C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635" w:type="pct"/>
                  <w:gridSpan w:val="2"/>
                  <w:tcBorders>
                    <w:tl2br w:val="nil"/>
                    <w:tr2bl w:val="nil"/>
                  </w:tcBorders>
                  <w:noWrap w:val="0"/>
                  <w:vAlign w:val="center"/>
                </w:tcPr>
                <w:p w14:paraId="16BB576E">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544E871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9" w:hRule="atLeast"/>
                <w:jc w:val="center"/>
              </w:trPr>
              <w:tc>
                <w:tcPr>
                  <w:tcW w:w="430" w:type="pct"/>
                  <w:vMerge w:val="restart"/>
                  <w:tcBorders>
                    <w:tl2br w:val="nil"/>
                    <w:tr2bl w:val="nil"/>
                  </w:tcBorders>
                  <w:noWrap w:val="0"/>
                  <w:vAlign w:val="center"/>
                </w:tcPr>
                <w:p w14:paraId="6CD9FC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253" w:type="pct"/>
                  <w:vMerge w:val="restart"/>
                  <w:tcBorders>
                    <w:tl2br w:val="nil"/>
                    <w:tr2bl w:val="nil"/>
                  </w:tcBorders>
                  <w:noWrap w:val="0"/>
                  <w:vAlign w:val="center"/>
                </w:tcPr>
                <w:p w14:paraId="20BE967A">
                  <w:pPr>
                    <w:widowControl/>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铸造车间</w:t>
                  </w:r>
                </w:p>
              </w:tc>
              <w:tc>
                <w:tcPr>
                  <w:tcW w:w="933" w:type="pct"/>
                  <w:tcBorders>
                    <w:tl2br w:val="nil"/>
                    <w:tr2bl w:val="nil"/>
                  </w:tcBorders>
                  <w:noWrap w:val="0"/>
                  <w:vAlign w:val="center"/>
                </w:tcPr>
                <w:p w14:paraId="01DCC0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熔化区</w:t>
                  </w:r>
                </w:p>
              </w:tc>
              <w:tc>
                <w:tcPr>
                  <w:tcW w:w="2744" w:type="pct"/>
                  <w:gridSpan w:val="2"/>
                  <w:vMerge w:val="restart"/>
                  <w:tcBorders>
                    <w:tl2br w:val="nil"/>
                    <w:tr2bl w:val="nil"/>
                  </w:tcBorders>
                  <w:noWrap w:val="0"/>
                  <w:vAlign w:val="center"/>
                </w:tcPr>
                <w:p w14:paraId="362DEECB">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钢结构</w:t>
                  </w:r>
                  <w:r>
                    <w:rPr>
                      <w:rFonts w:hint="eastAsia" w:ascii="Times New Roman" w:hAnsi="Times New Roman" w:eastAsia="宋体" w:cs="Times New Roman"/>
                      <w:color w:val="auto"/>
                      <w:sz w:val="21"/>
                      <w:szCs w:val="21"/>
                      <w:highlight w:val="none"/>
                      <w:lang w:eastAsia="zh-CN"/>
                    </w:rPr>
                    <w:t>厂房</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台</w:t>
                  </w:r>
                  <w:r>
                    <w:rPr>
                      <w:rFonts w:hint="eastAsia" w:ascii="Times New Roman" w:hAnsi="Times New Roman" w:eastAsia="宋体" w:cs="Times New Roman"/>
                      <w:color w:val="auto"/>
                      <w:sz w:val="21"/>
                      <w:szCs w:val="21"/>
                      <w:highlight w:val="none"/>
                      <w:lang w:val="en-US" w:eastAsia="zh-CN"/>
                    </w:rPr>
                    <w:t>2吨</w:t>
                  </w:r>
                  <w:r>
                    <w:rPr>
                      <w:rFonts w:hint="default" w:ascii="Times New Roman" w:hAnsi="Times New Roman" w:eastAsia="宋体" w:cs="Times New Roman"/>
                      <w:color w:val="auto"/>
                      <w:sz w:val="21"/>
                      <w:szCs w:val="21"/>
                      <w:highlight w:val="none"/>
                    </w:rPr>
                    <w:t>中频</w:t>
                  </w:r>
                  <w:r>
                    <w:rPr>
                      <w:rFonts w:hint="eastAsia" w:cs="Times New Roman"/>
                      <w:color w:val="auto"/>
                      <w:sz w:val="21"/>
                      <w:szCs w:val="21"/>
                      <w:highlight w:val="none"/>
                      <w:lang w:eastAsia="zh-CN"/>
                    </w:rPr>
                    <w:t>感应</w:t>
                  </w:r>
                  <w:r>
                    <w:rPr>
                      <w:rFonts w:hint="default" w:ascii="Times New Roman" w:hAnsi="Times New Roman" w:eastAsia="宋体" w:cs="Times New Roman"/>
                      <w:color w:val="auto"/>
                      <w:sz w:val="21"/>
                      <w:szCs w:val="21"/>
                      <w:highlight w:val="none"/>
                    </w:rPr>
                    <w:t>电炉，利用原有厂房进行改造，建筑面积</w:t>
                  </w:r>
                  <w:r>
                    <w:rPr>
                      <w:rFonts w:hint="eastAsia" w:ascii="Times New Roman" w:hAnsi="Times New Roman" w:eastAsia="宋体" w:cs="Times New Roman"/>
                      <w:color w:val="auto"/>
                      <w:sz w:val="21"/>
                      <w:szCs w:val="21"/>
                      <w:highlight w:val="none"/>
                      <w:lang w:val="en-US" w:eastAsia="zh-CN"/>
                    </w:rPr>
                    <w:t>1404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638" w:type="pct"/>
                  <w:gridSpan w:val="2"/>
                  <w:vMerge w:val="restart"/>
                  <w:tcBorders>
                    <w:tl2br w:val="nil"/>
                    <w:tr2bl w:val="nil"/>
                  </w:tcBorders>
                  <w:noWrap w:val="0"/>
                  <w:vAlign w:val="center"/>
                </w:tcPr>
                <w:p w14:paraId="340CC51A">
                  <w:pPr>
                    <w:widowControl/>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新建</w:t>
                  </w:r>
                </w:p>
              </w:tc>
            </w:tr>
            <w:tr w14:paraId="5A243F4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7FB681A8">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795EA82D">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793524F2">
                  <w:pPr>
                    <w:keepNext w:val="0"/>
                    <w:keepLines w:val="0"/>
                    <w:pageBreakBefore w:val="0"/>
                    <w:widowControl/>
                    <w:kinsoku/>
                    <w:wordWrap/>
                    <w:overflowPunct/>
                    <w:topLinePunct w:val="0"/>
                    <w:autoSpaceDE/>
                    <w:autoSpaceDN/>
                    <w:bidi w:val="0"/>
                    <w:adjustRightInd/>
                    <w:snapToGrid/>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合箱、浇筑区</w:t>
                  </w:r>
                </w:p>
              </w:tc>
              <w:tc>
                <w:tcPr>
                  <w:tcW w:w="2744" w:type="pct"/>
                  <w:gridSpan w:val="2"/>
                  <w:vMerge w:val="continue"/>
                  <w:tcBorders>
                    <w:tl2br w:val="nil"/>
                    <w:tr2bl w:val="nil"/>
                  </w:tcBorders>
                  <w:noWrap w:val="0"/>
                  <w:vAlign w:val="center"/>
                </w:tcPr>
                <w:p w14:paraId="70ACF66D">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26E4957E">
                  <w:pPr>
                    <w:widowControl/>
                    <w:jc w:val="center"/>
                    <w:rPr>
                      <w:rFonts w:hint="default" w:ascii="Times New Roman" w:hAnsi="Times New Roman" w:eastAsia="宋体" w:cs="Times New Roman"/>
                      <w:color w:val="auto"/>
                      <w:sz w:val="21"/>
                      <w:szCs w:val="21"/>
                      <w:highlight w:val="none"/>
                    </w:rPr>
                  </w:pPr>
                </w:p>
              </w:tc>
            </w:tr>
            <w:tr w14:paraId="6A06156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6860249E">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2E36F747">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33088292">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模具摆放区</w:t>
                  </w:r>
                </w:p>
              </w:tc>
              <w:tc>
                <w:tcPr>
                  <w:tcW w:w="2744" w:type="pct"/>
                  <w:gridSpan w:val="2"/>
                  <w:vMerge w:val="continue"/>
                  <w:tcBorders>
                    <w:tl2br w:val="nil"/>
                    <w:tr2bl w:val="nil"/>
                  </w:tcBorders>
                  <w:noWrap w:val="0"/>
                  <w:vAlign w:val="center"/>
                </w:tcPr>
                <w:p w14:paraId="59C0DAA8">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2A2B1885">
                  <w:pPr>
                    <w:widowControl/>
                    <w:jc w:val="center"/>
                    <w:rPr>
                      <w:rFonts w:hint="default" w:ascii="Times New Roman" w:hAnsi="Times New Roman" w:eastAsia="宋体" w:cs="Times New Roman"/>
                      <w:color w:val="auto"/>
                      <w:sz w:val="21"/>
                      <w:szCs w:val="21"/>
                      <w:highlight w:val="none"/>
                    </w:rPr>
                  </w:pPr>
                </w:p>
              </w:tc>
            </w:tr>
            <w:tr w14:paraId="15F7532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0ED13DC0">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77BD4D7A">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0274347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抛丸区</w:t>
                  </w:r>
                </w:p>
              </w:tc>
              <w:tc>
                <w:tcPr>
                  <w:tcW w:w="2744" w:type="pct"/>
                  <w:gridSpan w:val="2"/>
                  <w:vMerge w:val="continue"/>
                  <w:tcBorders>
                    <w:tl2br w:val="nil"/>
                    <w:tr2bl w:val="nil"/>
                  </w:tcBorders>
                  <w:noWrap w:val="0"/>
                  <w:vAlign w:val="center"/>
                </w:tcPr>
                <w:p w14:paraId="14817A14">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23FE96B8">
                  <w:pPr>
                    <w:widowControl/>
                    <w:jc w:val="center"/>
                    <w:rPr>
                      <w:rFonts w:hint="default" w:ascii="Times New Roman" w:hAnsi="Times New Roman" w:eastAsia="宋体" w:cs="Times New Roman"/>
                      <w:color w:val="auto"/>
                      <w:sz w:val="21"/>
                      <w:szCs w:val="21"/>
                      <w:highlight w:val="none"/>
                    </w:rPr>
                  </w:pPr>
                </w:p>
              </w:tc>
            </w:tr>
            <w:tr w14:paraId="06E02FD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75292E13">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63DDADC5">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3EF7E3CA">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翻箱清件区域</w:t>
                  </w:r>
                </w:p>
              </w:tc>
              <w:tc>
                <w:tcPr>
                  <w:tcW w:w="2744" w:type="pct"/>
                  <w:gridSpan w:val="2"/>
                  <w:vMerge w:val="continue"/>
                  <w:tcBorders>
                    <w:tl2br w:val="nil"/>
                    <w:tr2bl w:val="nil"/>
                  </w:tcBorders>
                  <w:noWrap w:val="0"/>
                  <w:vAlign w:val="center"/>
                </w:tcPr>
                <w:p w14:paraId="0766FF1B">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2D54B511">
                  <w:pPr>
                    <w:widowControl/>
                    <w:jc w:val="center"/>
                    <w:rPr>
                      <w:rFonts w:hint="default" w:ascii="Times New Roman" w:hAnsi="Times New Roman" w:eastAsia="宋体" w:cs="Times New Roman"/>
                      <w:color w:val="auto"/>
                      <w:sz w:val="21"/>
                      <w:szCs w:val="21"/>
                      <w:highlight w:val="none"/>
                    </w:rPr>
                  </w:pPr>
                </w:p>
              </w:tc>
            </w:tr>
            <w:tr w14:paraId="55A0498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5F019E37">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61B4B3D6">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1A62D01E">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砂处理区</w:t>
                  </w:r>
                </w:p>
              </w:tc>
              <w:tc>
                <w:tcPr>
                  <w:tcW w:w="2744" w:type="pct"/>
                  <w:gridSpan w:val="2"/>
                  <w:vMerge w:val="continue"/>
                  <w:tcBorders>
                    <w:tl2br w:val="nil"/>
                    <w:tr2bl w:val="nil"/>
                  </w:tcBorders>
                  <w:noWrap w:val="0"/>
                  <w:vAlign w:val="center"/>
                </w:tcPr>
                <w:p w14:paraId="42D60DD9">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1C9DFA3A">
                  <w:pPr>
                    <w:widowControl/>
                    <w:jc w:val="center"/>
                    <w:rPr>
                      <w:rFonts w:hint="default" w:ascii="Times New Roman" w:hAnsi="Times New Roman" w:eastAsia="宋体" w:cs="Times New Roman"/>
                      <w:color w:val="auto"/>
                      <w:sz w:val="21"/>
                      <w:szCs w:val="21"/>
                      <w:highlight w:val="none"/>
                    </w:rPr>
                  </w:pPr>
                </w:p>
              </w:tc>
            </w:tr>
            <w:tr w14:paraId="6479342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04" w:hRule="atLeast"/>
                <w:jc w:val="center"/>
              </w:trPr>
              <w:tc>
                <w:tcPr>
                  <w:tcW w:w="430" w:type="pct"/>
                  <w:vMerge w:val="continue"/>
                  <w:tcBorders>
                    <w:tl2br w:val="nil"/>
                    <w:tr2bl w:val="nil"/>
                  </w:tcBorders>
                  <w:noWrap w:val="0"/>
                  <w:vAlign w:val="center"/>
                </w:tcPr>
                <w:p w14:paraId="1F220AE2">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6C2FCD61">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3983E679">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提斗砂处理除尘区域</w:t>
                  </w:r>
                </w:p>
              </w:tc>
              <w:tc>
                <w:tcPr>
                  <w:tcW w:w="2744" w:type="pct"/>
                  <w:gridSpan w:val="2"/>
                  <w:vMerge w:val="continue"/>
                  <w:tcBorders>
                    <w:tl2br w:val="nil"/>
                    <w:tr2bl w:val="nil"/>
                  </w:tcBorders>
                  <w:noWrap w:val="0"/>
                  <w:vAlign w:val="center"/>
                </w:tcPr>
                <w:p w14:paraId="4EC86CBF">
                  <w:pPr>
                    <w:widowControl/>
                    <w:jc w:val="center"/>
                    <w:rPr>
                      <w:rFonts w:hint="eastAsia" w:ascii="Times New Roman" w:hAnsi="Times New Roman" w:eastAsia="宋体" w:cs="Times New Roman"/>
                      <w:color w:val="auto"/>
                      <w:sz w:val="21"/>
                      <w:szCs w:val="21"/>
                      <w:highlight w:val="none"/>
                      <w:lang w:eastAsia="zh-CN"/>
                    </w:rPr>
                  </w:pPr>
                </w:p>
              </w:tc>
              <w:tc>
                <w:tcPr>
                  <w:tcW w:w="638" w:type="pct"/>
                  <w:gridSpan w:val="2"/>
                  <w:vMerge w:val="continue"/>
                  <w:tcBorders>
                    <w:tl2br w:val="nil"/>
                    <w:tr2bl w:val="nil"/>
                  </w:tcBorders>
                  <w:noWrap w:val="0"/>
                  <w:vAlign w:val="center"/>
                </w:tcPr>
                <w:p w14:paraId="39A01194">
                  <w:pPr>
                    <w:widowControl/>
                    <w:jc w:val="center"/>
                    <w:rPr>
                      <w:rFonts w:hint="default" w:ascii="Times New Roman" w:hAnsi="Times New Roman" w:eastAsia="宋体" w:cs="Times New Roman"/>
                      <w:color w:val="auto"/>
                      <w:sz w:val="21"/>
                      <w:szCs w:val="21"/>
                      <w:highlight w:val="none"/>
                    </w:rPr>
                  </w:pPr>
                </w:p>
              </w:tc>
            </w:tr>
            <w:tr w14:paraId="4F6E6D2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0" w:type="pct"/>
                  <w:vMerge w:val="continue"/>
                  <w:tcBorders>
                    <w:tl2br w:val="nil"/>
                    <w:tr2bl w:val="nil"/>
                  </w:tcBorders>
                  <w:noWrap w:val="0"/>
                  <w:vAlign w:val="center"/>
                </w:tcPr>
                <w:p w14:paraId="6A0F3867">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17E72A76">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3A8C650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合金</w:t>
                  </w:r>
                  <w:r>
                    <w:rPr>
                      <w:rFonts w:hint="default" w:ascii="Times New Roman" w:hAnsi="Times New Roman" w:eastAsia="宋体" w:cs="Times New Roman"/>
                      <w:color w:val="auto"/>
                      <w:sz w:val="21"/>
                      <w:szCs w:val="21"/>
                      <w:highlight w:val="none"/>
                    </w:rPr>
                    <w:t>原料</w:t>
                  </w:r>
                  <w:r>
                    <w:rPr>
                      <w:rFonts w:hint="eastAsia" w:ascii="Times New Roman" w:hAnsi="Times New Roman" w:eastAsia="宋体" w:cs="Times New Roman"/>
                      <w:color w:val="auto"/>
                      <w:sz w:val="21"/>
                      <w:szCs w:val="21"/>
                      <w:highlight w:val="none"/>
                      <w:lang w:eastAsia="zh-CN"/>
                    </w:rPr>
                    <w:t>区</w:t>
                  </w:r>
                </w:p>
              </w:tc>
              <w:tc>
                <w:tcPr>
                  <w:tcW w:w="2744" w:type="pct"/>
                  <w:gridSpan w:val="2"/>
                  <w:vMerge w:val="continue"/>
                  <w:tcBorders>
                    <w:tl2br w:val="nil"/>
                    <w:tr2bl w:val="nil"/>
                  </w:tcBorders>
                  <w:noWrap w:val="0"/>
                  <w:vAlign w:val="center"/>
                </w:tcPr>
                <w:p w14:paraId="40162368">
                  <w:pPr>
                    <w:widowControl/>
                    <w:jc w:val="center"/>
                    <w:rPr>
                      <w:rFonts w:hint="default" w:ascii="Times New Roman" w:hAnsi="Times New Roman" w:eastAsia="宋体" w:cs="Times New Roman"/>
                      <w:color w:val="auto"/>
                      <w:sz w:val="21"/>
                      <w:szCs w:val="21"/>
                      <w:highlight w:val="none"/>
                    </w:rPr>
                  </w:pPr>
                </w:p>
              </w:tc>
              <w:tc>
                <w:tcPr>
                  <w:tcW w:w="638" w:type="pct"/>
                  <w:gridSpan w:val="2"/>
                  <w:vMerge w:val="continue"/>
                  <w:tcBorders>
                    <w:tl2br w:val="nil"/>
                    <w:tr2bl w:val="nil"/>
                  </w:tcBorders>
                  <w:noWrap w:val="0"/>
                  <w:vAlign w:val="center"/>
                </w:tcPr>
                <w:p w14:paraId="38FA8A33">
                  <w:pPr>
                    <w:widowControl/>
                    <w:jc w:val="center"/>
                    <w:rPr>
                      <w:rFonts w:hint="eastAsia" w:ascii="Times New Roman" w:hAnsi="Times New Roman" w:eastAsia="宋体" w:cs="Times New Roman"/>
                      <w:color w:val="auto"/>
                      <w:sz w:val="21"/>
                      <w:szCs w:val="21"/>
                      <w:highlight w:val="none"/>
                      <w:lang w:eastAsia="zh-CN"/>
                    </w:rPr>
                  </w:pPr>
                </w:p>
              </w:tc>
            </w:tr>
            <w:tr w14:paraId="4603230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0" w:type="pct"/>
                  <w:vMerge w:val="continue"/>
                  <w:tcBorders>
                    <w:tl2br w:val="nil"/>
                    <w:tr2bl w:val="nil"/>
                  </w:tcBorders>
                  <w:noWrap w:val="0"/>
                  <w:vAlign w:val="center"/>
                </w:tcPr>
                <w:p w14:paraId="6661141F">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1C890B5D">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5B42AB0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热处理区</w:t>
                  </w:r>
                </w:p>
              </w:tc>
              <w:tc>
                <w:tcPr>
                  <w:tcW w:w="2744" w:type="pct"/>
                  <w:gridSpan w:val="2"/>
                  <w:tcBorders>
                    <w:tl2br w:val="nil"/>
                    <w:tr2bl w:val="nil"/>
                  </w:tcBorders>
                  <w:noWrap w:val="0"/>
                  <w:vAlign w:val="center"/>
                </w:tcPr>
                <w:p w14:paraId="71723247">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钢结构，铸造加工车间西部热处理区</w:t>
                  </w:r>
                </w:p>
              </w:tc>
              <w:tc>
                <w:tcPr>
                  <w:tcW w:w="638" w:type="pct"/>
                  <w:gridSpan w:val="2"/>
                  <w:tcBorders>
                    <w:tl2br w:val="nil"/>
                    <w:tr2bl w:val="nil"/>
                  </w:tcBorders>
                  <w:noWrap w:val="0"/>
                  <w:vAlign w:val="center"/>
                </w:tcPr>
                <w:p w14:paraId="6E3A63DB">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r w14:paraId="777DB79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30" w:type="pct"/>
                  <w:vMerge w:val="continue"/>
                  <w:tcBorders>
                    <w:tl2br w:val="nil"/>
                    <w:tr2bl w:val="nil"/>
                  </w:tcBorders>
                  <w:noWrap w:val="0"/>
                  <w:vAlign w:val="center"/>
                </w:tcPr>
                <w:p w14:paraId="76B2B9E5">
                  <w:pPr>
                    <w:widowControl/>
                    <w:jc w:val="center"/>
                    <w:rPr>
                      <w:rFonts w:hint="default" w:ascii="Times New Roman" w:hAnsi="Times New Roman" w:eastAsia="宋体" w:cs="Times New Roman"/>
                      <w:color w:val="auto"/>
                      <w:sz w:val="21"/>
                      <w:szCs w:val="21"/>
                      <w:highlight w:val="none"/>
                    </w:rPr>
                  </w:pPr>
                </w:p>
              </w:tc>
              <w:tc>
                <w:tcPr>
                  <w:tcW w:w="253" w:type="pct"/>
                  <w:vMerge w:val="continue"/>
                  <w:tcBorders>
                    <w:tl2br w:val="nil"/>
                    <w:tr2bl w:val="nil"/>
                  </w:tcBorders>
                  <w:noWrap w:val="0"/>
                  <w:vAlign w:val="center"/>
                </w:tcPr>
                <w:p w14:paraId="69B895BA">
                  <w:pPr>
                    <w:widowControl/>
                    <w:jc w:val="center"/>
                    <w:rPr>
                      <w:rFonts w:hint="default" w:ascii="Times New Roman" w:hAnsi="Times New Roman" w:eastAsia="宋体" w:cs="Times New Roman"/>
                      <w:color w:val="auto"/>
                      <w:sz w:val="21"/>
                      <w:szCs w:val="21"/>
                      <w:highlight w:val="none"/>
                    </w:rPr>
                  </w:pPr>
                </w:p>
              </w:tc>
              <w:tc>
                <w:tcPr>
                  <w:tcW w:w="933" w:type="pct"/>
                  <w:tcBorders>
                    <w:tl2br w:val="nil"/>
                    <w:tr2bl w:val="nil"/>
                  </w:tcBorders>
                  <w:noWrap w:val="0"/>
                  <w:vAlign w:val="center"/>
                </w:tcPr>
                <w:p w14:paraId="2ADE9A8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成品库</w:t>
                  </w:r>
                </w:p>
              </w:tc>
              <w:tc>
                <w:tcPr>
                  <w:tcW w:w="2744" w:type="pct"/>
                  <w:gridSpan w:val="2"/>
                  <w:tcBorders>
                    <w:tl2br w:val="nil"/>
                    <w:tr2bl w:val="nil"/>
                  </w:tcBorders>
                  <w:noWrap w:val="0"/>
                  <w:vAlign w:val="center"/>
                </w:tcPr>
                <w:p w14:paraId="735B3543">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钢结构</w:t>
                  </w:r>
                  <w:r>
                    <w:rPr>
                      <w:rFonts w:hint="eastAsia" w:ascii="Times New Roman" w:hAnsi="Times New Roman" w:eastAsia="宋体" w:cs="Times New Roman"/>
                      <w:color w:val="auto"/>
                      <w:sz w:val="21"/>
                      <w:szCs w:val="21"/>
                      <w:highlight w:val="none"/>
                      <w:lang w:eastAsia="zh-CN"/>
                    </w:rPr>
                    <w:t>，库房地面均硬化，</w:t>
                  </w:r>
                  <w:r>
                    <w:rPr>
                      <w:rFonts w:hint="default" w:ascii="Times New Roman" w:hAnsi="Times New Roman" w:eastAsia="宋体" w:cs="Times New Roman"/>
                      <w:color w:val="auto"/>
                      <w:sz w:val="21"/>
                      <w:szCs w:val="21"/>
                      <w:highlight w:val="none"/>
                    </w:rPr>
                    <w:t>建筑面积</w:t>
                  </w:r>
                  <w:r>
                    <w:rPr>
                      <w:rFonts w:hint="eastAsia" w:ascii="Times New Roman" w:hAnsi="Times New Roman" w:eastAsia="宋体" w:cs="Times New Roman"/>
                      <w:color w:val="auto"/>
                      <w:sz w:val="21"/>
                      <w:szCs w:val="21"/>
                      <w:highlight w:val="none"/>
                      <w:lang w:val="en-US" w:eastAsia="zh-CN"/>
                    </w:rPr>
                    <w:t>1240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638" w:type="pct"/>
                  <w:gridSpan w:val="2"/>
                  <w:tcBorders>
                    <w:tl2br w:val="nil"/>
                    <w:tr2bl w:val="nil"/>
                  </w:tcBorders>
                  <w:noWrap w:val="0"/>
                  <w:vAlign w:val="center"/>
                </w:tcPr>
                <w:p w14:paraId="6B280743">
                  <w:pPr>
                    <w:widowControl/>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r w14:paraId="287B860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316" w:hRule="atLeast"/>
                <w:jc w:val="center"/>
              </w:trPr>
              <w:tc>
                <w:tcPr>
                  <w:tcW w:w="430" w:type="pct"/>
                  <w:vMerge w:val="restart"/>
                  <w:tcBorders>
                    <w:tl2br w:val="nil"/>
                    <w:tr2bl w:val="nil"/>
                  </w:tcBorders>
                  <w:noWrap w:val="0"/>
                  <w:vAlign w:val="center"/>
                </w:tcPr>
                <w:p w14:paraId="43D1D1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186" w:type="pct"/>
                  <w:gridSpan w:val="2"/>
                  <w:tcBorders>
                    <w:tl2br w:val="nil"/>
                    <w:tr2bl w:val="nil"/>
                  </w:tcBorders>
                  <w:noWrap w:val="0"/>
                  <w:vAlign w:val="center"/>
                </w:tcPr>
                <w:p w14:paraId="11952516">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办公区</w:t>
                  </w:r>
                </w:p>
              </w:tc>
              <w:tc>
                <w:tcPr>
                  <w:tcW w:w="2742" w:type="pct"/>
                  <w:tcBorders>
                    <w:tl2br w:val="nil"/>
                    <w:tr2bl w:val="nil"/>
                  </w:tcBorders>
                  <w:noWrap w:val="0"/>
                  <w:vAlign w:val="center"/>
                </w:tcPr>
                <w:p w14:paraId="0CF1BFAC">
                  <w:pPr>
                    <w:widowControl/>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4层</w:t>
                  </w:r>
                  <w:r>
                    <w:rPr>
                      <w:rFonts w:hint="eastAsia"/>
                      <w:color w:val="auto"/>
                      <w:sz w:val="21"/>
                      <w:szCs w:val="21"/>
                      <w:highlight w:val="none"/>
                    </w:rPr>
                    <w:t>办公楼</w:t>
                  </w:r>
                  <w:r>
                    <w:rPr>
                      <w:rFonts w:hint="eastAsia"/>
                      <w:color w:val="auto"/>
                      <w:sz w:val="21"/>
                      <w:szCs w:val="21"/>
                      <w:highlight w:val="none"/>
                      <w:lang w:eastAsia="zh-CN"/>
                    </w:rPr>
                    <w:t>位于</w:t>
                  </w:r>
                  <w:r>
                    <w:rPr>
                      <w:rFonts w:hint="eastAsia"/>
                      <w:color w:val="auto"/>
                      <w:sz w:val="21"/>
                      <w:szCs w:val="21"/>
                      <w:highlight w:val="none"/>
                      <w:lang w:val="en-US" w:eastAsia="zh-CN"/>
                    </w:rPr>
                    <w:t>在厂区西侧北部</w:t>
                  </w:r>
                  <w:r>
                    <w:rPr>
                      <w:rFonts w:hint="eastAsia"/>
                      <w:color w:val="auto"/>
                      <w:sz w:val="21"/>
                      <w:szCs w:val="21"/>
                      <w:highlight w:val="none"/>
                      <w:lang w:eastAsia="zh-CN"/>
                    </w:rPr>
                    <w:t>，</w:t>
                  </w:r>
                  <w:r>
                    <w:rPr>
                      <w:rFonts w:hint="eastAsia"/>
                      <w:color w:val="auto"/>
                      <w:sz w:val="21"/>
                      <w:szCs w:val="21"/>
                      <w:highlight w:val="none"/>
                      <w:lang w:val="en-US" w:eastAsia="zh-CN"/>
                    </w:rPr>
                    <w:t>建筑面积2500㎡</w:t>
                  </w:r>
                  <w:r>
                    <w:rPr>
                      <w:rFonts w:hint="eastAsia"/>
                      <w:color w:val="auto"/>
                      <w:sz w:val="21"/>
                      <w:szCs w:val="21"/>
                      <w:highlight w:val="none"/>
                      <w:vertAlign w:val="baseline"/>
                      <w:lang w:val="en-US" w:eastAsia="zh-CN"/>
                    </w:rPr>
                    <w:t>。</w:t>
                  </w:r>
                </w:p>
              </w:tc>
              <w:tc>
                <w:tcPr>
                  <w:tcW w:w="635" w:type="pct"/>
                  <w:gridSpan w:val="2"/>
                  <w:tcBorders>
                    <w:tl2br w:val="nil"/>
                    <w:tr2bl w:val="nil"/>
                  </w:tcBorders>
                  <w:noWrap w:val="0"/>
                  <w:vAlign w:val="center"/>
                </w:tcPr>
                <w:p w14:paraId="31CFC925">
                  <w:pPr>
                    <w:widowControl/>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利旧</w:t>
                  </w:r>
                </w:p>
              </w:tc>
            </w:tr>
            <w:tr w14:paraId="7FD6894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377" w:hRule="atLeast"/>
                <w:jc w:val="center"/>
              </w:trPr>
              <w:tc>
                <w:tcPr>
                  <w:tcW w:w="430" w:type="pct"/>
                  <w:vMerge w:val="continue"/>
                  <w:tcBorders>
                    <w:tl2br w:val="nil"/>
                    <w:tr2bl w:val="nil"/>
                  </w:tcBorders>
                  <w:noWrap w:val="0"/>
                  <w:vAlign w:val="center"/>
                </w:tcPr>
                <w:p w14:paraId="163BFB84">
                  <w:pPr>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26397E38">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职工食堂</w:t>
                  </w:r>
                  <w:r>
                    <w:rPr>
                      <w:rFonts w:hint="eastAsia" w:cs="Times New Roman"/>
                      <w:color w:val="auto"/>
                      <w:sz w:val="21"/>
                      <w:szCs w:val="21"/>
                      <w:highlight w:val="none"/>
                      <w:lang w:eastAsia="zh-CN"/>
                    </w:rPr>
                    <w:t>宿舍</w:t>
                  </w:r>
                </w:p>
              </w:tc>
              <w:tc>
                <w:tcPr>
                  <w:tcW w:w="2742" w:type="pct"/>
                  <w:tcBorders>
                    <w:tl2br w:val="nil"/>
                    <w:tr2bl w:val="nil"/>
                  </w:tcBorders>
                  <w:noWrap w:val="0"/>
                  <w:vAlign w:val="center"/>
                </w:tcPr>
                <w:p w14:paraId="08C4EA8F">
                  <w:pPr>
                    <w:widowControl/>
                    <w:tabs>
                      <w:tab w:val="left" w:pos="943"/>
                    </w:tabs>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4层宿舍楼位于在厂区西侧，建筑面积1800㎡</w:t>
                  </w:r>
                  <w:r>
                    <w:rPr>
                      <w:rFonts w:hint="eastAsia"/>
                      <w:color w:val="auto"/>
                      <w:sz w:val="21"/>
                      <w:szCs w:val="21"/>
                      <w:highlight w:val="none"/>
                      <w:vertAlign w:val="baseline"/>
                      <w:lang w:val="en-US" w:eastAsia="zh-CN"/>
                    </w:rPr>
                    <w:t>。一层为食堂和浴室，其余楼层为宿舍。</w:t>
                  </w:r>
                </w:p>
              </w:tc>
              <w:tc>
                <w:tcPr>
                  <w:tcW w:w="635" w:type="pct"/>
                  <w:gridSpan w:val="2"/>
                  <w:tcBorders>
                    <w:tl2br w:val="nil"/>
                    <w:tr2bl w:val="nil"/>
                  </w:tcBorders>
                  <w:noWrap w:val="0"/>
                  <w:vAlign w:val="center"/>
                </w:tcPr>
                <w:p w14:paraId="5F14B6FD">
                  <w:pPr>
                    <w:widowControl/>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利旧</w:t>
                  </w:r>
                </w:p>
              </w:tc>
            </w:tr>
            <w:tr w14:paraId="3BFAF20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379" w:hRule="atLeast"/>
                <w:jc w:val="center"/>
              </w:trPr>
              <w:tc>
                <w:tcPr>
                  <w:tcW w:w="430" w:type="pct"/>
                  <w:vMerge w:val="continue"/>
                  <w:tcBorders>
                    <w:tl2br w:val="nil"/>
                    <w:tr2bl w:val="nil"/>
                  </w:tcBorders>
                  <w:noWrap w:val="0"/>
                  <w:vAlign w:val="center"/>
                </w:tcPr>
                <w:p w14:paraId="195BE4CA">
                  <w:pPr>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0F9A429E">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冷却塔</w:t>
                  </w:r>
                </w:p>
              </w:tc>
              <w:tc>
                <w:tcPr>
                  <w:tcW w:w="2742" w:type="pct"/>
                  <w:tcBorders>
                    <w:tl2br w:val="nil"/>
                    <w:tr2bl w:val="nil"/>
                  </w:tcBorders>
                  <w:noWrap w:val="0"/>
                  <w:vAlign w:val="center"/>
                </w:tcPr>
                <w:p w14:paraId="754C1224">
                  <w:pPr>
                    <w:widowControl/>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vertAlign w:val="baseline"/>
                    </w:rPr>
                    <w:t>用于</w:t>
                  </w:r>
                  <w:r>
                    <w:rPr>
                      <w:rFonts w:hint="eastAsia" w:cs="Times New Roman"/>
                      <w:color w:val="auto"/>
                      <w:sz w:val="21"/>
                      <w:szCs w:val="21"/>
                      <w:highlight w:val="none"/>
                      <w:vertAlign w:val="baseline"/>
                      <w:lang w:eastAsia="zh-CN"/>
                    </w:rPr>
                    <w:t>中频电炉冷却</w:t>
                  </w:r>
                </w:p>
              </w:tc>
              <w:tc>
                <w:tcPr>
                  <w:tcW w:w="635" w:type="pct"/>
                  <w:gridSpan w:val="2"/>
                  <w:tcBorders>
                    <w:tl2br w:val="nil"/>
                    <w:tr2bl w:val="nil"/>
                  </w:tcBorders>
                  <w:noWrap w:val="0"/>
                  <w:vAlign w:val="center"/>
                </w:tcPr>
                <w:p w14:paraId="34AF88EE">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42AD3E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vMerge w:val="continue"/>
                  <w:tcBorders>
                    <w:tl2br w:val="nil"/>
                    <w:tr2bl w:val="nil"/>
                  </w:tcBorders>
                  <w:noWrap w:val="0"/>
                  <w:vAlign w:val="center"/>
                </w:tcPr>
                <w:p w14:paraId="58370F96">
                  <w:pPr>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7D8D66CA">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c>
                <w:tcPr>
                  <w:tcW w:w="2742" w:type="pct"/>
                  <w:tcBorders>
                    <w:tl2br w:val="nil"/>
                    <w:tr2bl w:val="nil"/>
                  </w:tcBorders>
                  <w:noWrap w:val="0"/>
                  <w:vAlign w:val="center"/>
                </w:tcPr>
                <w:p w14:paraId="69F7EBA1">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r>
                    <w:rPr>
                      <w:rFonts w:hint="eastAsia" w:ascii="Times New Roman" w:hAnsi="Times New Roman" w:eastAsia="宋体" w:cs="Times New Roman"/>
                      <w:color w:val="auto"/>
                      <w:sz w:val="21"/>
                      <w:szCs w:val="21"/>
                      <w:highlight w:val="none"/>
                      <w:lang w:eastAsia="zh-CN"/>
                    </w:rPr>
                    <w:t>钢</w:t>
                  </w:r>
                  <w:r>
                    <w:rPr>
                      <w:rFonts w:hint="default" w:ascii="Times New Roman" w:hAnsi="Times New Roman" w:eastAsia="宋体" w:cs="Times New Roman"/>
                      <w:color w:val="auto"/>
                      <w:sz w:val="21"/>
                      <w:szCs w:val="21"/>
                      <w:highlight w:val="none"/>
                    </w:rPr>
                    <w:t>结构，建筑面积1</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635" w:type="pct"/>
                  <w:gridSpan w:val="2"/>
                  <w:tcBorders>
                    <w:tl2br w:val="nil"/>
                    <w:tr2bl w:val="nil"/>
                  </w:tcBorders>
                  <w:noWrap w:val="0"/>
                  <w:vAlign w:val="center"/>
                </w:tcPr>
                <w:p w14:paraId="666B1642">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0B36BB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vMerge w:val="restart"/>
                  <w:tcBorders>
                    <w:tl2br w:val="nil"/>
                    <w:tr2bl w:val="nil"/>
                  </w:tcBorders>
                  <w:noWrap w:val="0"/>
                  <w:vAlign w:val="center"/>
                </w:tcPr>
                <w:p w14:paraId="059325AF">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186" w:type="pct"/>
                  <w:gridSpan w:val="2"/>
                  <w:tcBorders>
                    <w:tl2br w:val="nil"/>
                    <w:tr2bl w:val="nil"/>
                  </w:tcBorders>
                  <w:noWrap w:val="0"/>
                  <w:vAlign w:val="center"/>
                </w:tcPr>
                <w:p w14:paraId="5BF8D75C">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2742" w:type="pct"/>
                  <w:tcBorders>
                    <w:tl2br w:val="nil"/>
                    <w:tr2bl w:val="nil"/>
                  </w:tcBorders>
                  <w:noWrap w:val="0"/>
                  <w:vAlign w:val="center"/>
                </w:tcPr>
                <w:p w14:paraId="7913236B">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自备水井</w:t>
                  </w:r>
                </w:p>
              </w:tc>
              <w:tc>
                <w:tcPr>
                  <w:tcW w:w="635" w:type="pct"/>
                  <w:gridSpan w:val="2"/>
                  <w:tcBorders>
                    <w:tl2br w:val="nil"/>
                    <w:tr2bl w:val="nil"/>
                  </w:tcBorders>
                  <w:noWrap w:val="0"/>
                  <w:vAlign w:val="center"/>
                </w:tcPr>
                <w:p w14:paraId="1EFC54E8">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原有</w:t>
                  </w:r>
                </w:p>
              </w:tc>
            </w:tr>
            <w:tr w14:paraId="0DCD55E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jc w:val="center"/>
              </w:trPr>
              <w:tc>
                <w:tcPr>
                  <w:tcW w:w="430" w:type="pct"/>
                  <w:vMerge w:val="continue"/>
                  <w:tcBorders>
                    <w:tl2br w:val="nil"/>
                    <w:tr2bl w:val="nil"/>
                  </w:tcBorders>
                  <w:noWrap w:val="0"/>
                  <w:vAlign w:val="center"/>
                </w:tcPr>
                <w:p w14:paraId="3FBFB64E">
                  <w:pPr>
                    <w:widowControl/>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483D9C87">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742" w:type="pct"/>
                  <w:tcBorders>
                    <w:tl2br w:val="nil"/>
                    <w:tr2bl w:val="nil"/>
                  </w:tcBorders>
                  <w:noWrap w:val="0"/>
                  <w:vAlign w:val="center"/>
                </w:tcPr>
                <w:p w14:paraId="6402A834">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w:t>
                  </w:r>
                  <w:r>
                    <w:rPr>
                      <w:rFonts w:hint="eastAsia" w:ascii="Times New Roman" w:hAnsi="Times New Roman" w:eastAsia="宋体" w:cs="Times New Roman"/>
                      <w:color w:val="auto"/>
                      <w:sz w:val="21"/>
                      <w:szCs w:val="21"/>
                      <w:highlight w:val="none"/>
                      <w:lang w:val="en-US" w:eastAsia="zh-CN"/>
                    </w:rPr>
                    <w:t>京联矿业集团有限公司变</w:t>
                  </w:r>
                  <w:r>
                    <w:rPr>
                      <w:rFonts w:hint="eastAsia" w:ascii="Times New Roman" w:hAnsi="Times New Roman" w:eastAsia="宋体" w:cs="Times New Roman"/>
                      <w:color w:val="auto"/>
                      <w:sz w:val="21"/>
                      <w:szCs w:val="21"/>
                      <w:highlight w:val="none"/>
                    </w:rPr>
                    <w:t>电</w:t>
                  </w:r>
                  <w:r>
                    <w:rPr>
                      <w:rFonts w:hint="eastAsia" w:ascii="Times New Roman" w:hAnsi="Times New Roman" w:eastAsia="宋体" w:cs="Times New Roman"/>
                      <w:color w:val="auto"/>
                      <w:sz w:val="21"/>
                      <w:szCs w:val="21"/>
                      <w:highlight w:val="none"/>
                      <w:lang w:val="en-US" w:eastAsia="zh-CN"/>
                    </w:rPr>
                    <w:t>站</w:t>
                  </w:r>
                  <w:r>
                    <w:rPr>
                      <w:rFonts w:hint="eastAsia" w:ascii="Times New Roman" w:hAnsi="Times New Roman" w:eastAsia="宋体" w:cs="Times New Roman"/>
                      <w:color w:val="auto"/>
                      <w:sz w:val="21"/>
                      <w:szCs w:val="21"/>
                      <w:highlight w:val="none"/>
                    </w:rPr>
                    <w:t>接入</w:t>
                  </w:r>
                </w:p>
              </w:tc>
              <w:tc>
                <w:tcPr>
                  <w:tcW w:w="635" w:type="pct"/>
                  <w:gridSpan w:val="2"/>
                  <w:tcBorders>
                    <w:tl2br w:val="nil"/>
                    <w:tr2bl w:val="nil"/>
                  </w:tcBorders>
                  <w:noWrap w:val="0"/>
                  <w:vAlign w:val="center"/>
                </w:tcPr>
                <w:p w14:paraId="5735A8D3">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原有 </w:t>
                  </w:r>
                </w:p>
              </w:tc>
            </w:tr>
            <w:tr w14:paraId="263CE1C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jc w:val="center"/>
              </w:trPr>
              <w:tc>
                <w:tcPr>
                  <w:tcW w:w="430" w:type="pct"/>
                  <w:vMerge w:val="continue"/>
                  <w:tcBorders>
                    <w:tl2br w:val="nil"/>
                    <w:tr2bl w:val="nil"/>
                  </w:tcBorders>
                  <w:noWrap w:val="0"/>
                  <w:vAlign w:val="center"/>
                </w:tcPr>
                <w:p w14:paraId="3F36AE0C">
                  <w:pPr>
                    <w:widowControl/>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2CC7F9E1">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供暖</w:t>
                  </w:r>
                </w:p>
              </w:tc>
              <w:tc>
                <w:tcPr>
                  <w:tcW w:w="2742" w:type="pct"/>
                  <w:tcBorders>
                    <w:tl2br w:val="nil"/>
                    <w:tr2bl w:val="nil"/>
                  </w:tcBorders>
                  <w:noWrap w:val="0"/>
                  <w:vAlign w:val="center"/>
                </w:tcPr>
                <w:p w14:paraId="597AA117">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冬季由宽城晨升供热有限公司供暖，</w:t>
                  </w:r>
                  <w:r>
                    <w:rPr>
                      <w:rFonts w:hint="default" w:ascii="Times New Roman" w:hAnsi="Times New Roman" w:eastAsia="宋体" w:cs="Times New Roman"/>
                      <w:color w:val="auto"/>
                      <w:sz w:val="21"/>
                      <w:szCs w:val="21"/>
                      <w:highlight w:val="none"/>
                    </w:rPr>
                    <w:t>生产车间无需供暖</w:t>
                  </w:r>
                </w:p>
              </w:tc>
              <w:tc>
                <w:tcPr>
                  <w:tcW w:w="635" w:type="pct"/>
                  <w:gridSpan w:val="2"/>
                  <w:tcBorders>
                    <w:tl2br w:val="nil"/>
                    <w:tr2bl w:val="nil"/>
                  </w:tcBorders>
                  <w:noWrap w:val="0"/>
                  <w:vAlign w:val="center"/>
                </w:tcPr>
                <w:p w14:paraId="3124E2AE">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原有</w:t>
                  </w:r>
                </w:p>
              </w:tc>
            </w:tr>
            <w:tr w14:paraId="0695ADE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jc w:val="center"/>
              </w:trPr>
              <w:tc>
                <w:tcPr>
                  <w:tcW w:w="430" w:type="pct"/>
                  <w:vMerge w:val="restart"/>
                  <w:tcBorders>
                    <w:tl2br w:val="nil"/>
                    <w:tr2bl w:val="nil"/>
                  </w:tcBorders>
                  <w:noWrap w:val="0"/>
                  <w:vAlign w:val="center"/>
                </w:tcPr>
                <w:p w14:paraId="3F5D9DC1">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186" w:type="pct"/>
                  <w:gridSpan w:val="2"/>
                  <w:tcBorders>
                    <w:tl2br w:val="nil"/>
                    <w:tr2bl w:val="nil"/>
                  </w:tcBorders>
                  <w:noWrap w:val="0"/>
                  <w:vAlign w:val="center"/>
                </w:tcPr>
                <w:p w14:paraId="401F26FE">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2742" w:type="pct"/>
                  <w:tcBorders>
                    <w:tl2br w:val="nil"/>
                    <w:tr2bl w:val="nil"/>
                  </w:tcBorders>
                  <w:noWrap w:val="0"/>
                  <w:vAlign w:val="center"/>
                </w:tcPr>
                <w:p w14:paraId="611FBB80">
                  <w:pPr>
                    <w:widowControl/>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中频电炉熔化：由集气罩收集后进入集气管路，经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处理后由1根</w:t>
                  </w:r>
                  <w:r>
                    <w:rPr>
                      <w:rFonts w:hint="eastAsia" w:ascii="Times New Roman" w:hAnsi="Times New Roman" w:eastAsia="宋体" w:cs="Times New Roman"/>
                      <w:color w:val="auto"/>
                      <w:sz w:val="21"/>
                      <w:szCs w:val="21"/>
                      <w:highlight w:val="none"/>
                      <w:lang w:val="en-US" w:eastAsia="zh-CN"/>
                    </w:rPr>
                    <w:t>18.5</w:t>
                  </w:r>
                  <w:r>
                    <w:rPr>
                      <w:rFonts w:hint="default" w:ascii="Times New Roman" w:hAnsi="Times New Roman" w:eastAsia="宋体" w:cs="Times New Roman"/>
                      <w:color w:val="auto"/>
                      <w:sz w:val="21"/>
                      <w:szCs w:val="21"/>
                      <w:highlight w:val="none"/>
                    </w:rPr>
                    <w:t>m高排气筒</w:t>
                  </w:r>
                  <w:r>
                    <w:rPr>
                      <w:rFonts w:hint="eastAsia" w:ascii="Times New Roman" w:hAnsi="Times New Roman" w:eastAsia="宋体" w:cs="Times New Roman"/>
                      <w:color w:val="auto"/>
                      <w:sz w:val="21"/>
                      <w:szCs w:val="21"/>
                      <w:highlight w:val="none"/>
                      <w:lang w:val="en-US" w:eastAsia="zh-CN"/>
                    </w:rPr>
                    <w:t>J1</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；浇筑</w:t>
                  </w:r>
                  <w:r>
                    <w:rPr>
                      <w:rFonts w:hint="default" w:ascii="Times New Roman" w:hAnsi="Times New Roman" w:eastAsia="宋体" w:cs="Times New Roman"/>
                      <w:color w:val="auto"/>
                      <w:sz w:val="21"/>
                      <w:szCs w:val="21"/>
                      <w:highlight w:val="none"/>
                    </w:rPr>
                    <w:t>废气由</w:t>
                  </w:r>
                  <w:r>
                    <w:rPr>
                      <w:rFonts w:hint="default" w:ascii="Times New Roman" w:hAnsi="Times New Roman" w:eastAsia="宋体" w:cs="Times New Roman"/>
                      <w:color w:val="auto"/>
                      <w:sz w:val="21"/>
                      <w:szCs w:val="21"/>
                      <w:highlight w:val="none"/>
                    </w:rPr>
                    <w:t>侧顶吸式集气罩</w:t>
                  </w:r>
                  <w:r>
                    <w:rPr>
                      <w:rFonts w:hint="default" w:ascii="Times New Roman" w:hAnsi="Times New Roman" w:eastAsia="宋体" w:cs="Times New Roman"/>
                      <w:color w:val="auto"/>
                      <w:sz w:val="21"/>
                      <w:szCs w:val="21"/>
                      <w:highlight w:val="none"/>
                    </w:rPr>
                    <w:t>收集后进入集气管路</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2+光氧机装置</w:t>
                  </w:r>
                  <w:r>
                    <w:rPr>
                      <w:rFonts w:hint="default"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rPr>
                    <w:t>由1根</w:t>
                  </w:r>
                  <w:r>
                    <w:rPr>
                      <w:rFonts w:hint="eastAsia" w:ascii="Times New Roman" w:hAnsi="Times New Roman" w:eastAsia="宋体" w:cs="Times New Roman"/>
                      <w:color w:val="auto"/>
                      <w:sz w:val="21"/>
                      <w:szCs w:val="21"/>
                      <w:highlight w:val="none"/>
                      <w:lang w:val="en-US" w:eastAsia="zh-CN"/>
                    </w:rPr>
                    <w:t>18.5</w:t>
                  </w:r>
                  <w:r>
                    <w:rPr>
                      <w:rFonts w:hint="default" w:ascii="Times New Roman" w:hAnsi="Times New Roman" w:eastAsia="宋体" w:cs="Times New Roman"/>
                      <w:color w:val="auto"/>
                      <w:sz w:val="21"/>
                      <w:szCs w:val="21"/>
                      <w:highlight w:val="none"/>
                    </w:rPr>
                    <w:t>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砂处理</w:t>
                  </w:r>
                  <w:r>
                    <w:rPr>
                      <w:rFonts w:hint="default" w:ascii="Times New Roman" w:hAnsi="Times New Roman" w:eastAsia="宋体" w:cs="Times New Roman"/>
                      <w:color w:val="auto"/>
                      <w:sz w:val="21"/>
                      <w:szCs w:val="21"/>
                      <w:highlight w:val="none"/>
                    </w:rPr>
                    <w:t>废气</w:t>
                  </w:r>
                  <w:r>
                    <w:rPr>
                      <w:rFonts w:hint="eastAsia" w:ascii="Times New Roman" w:hAnsi="Times New Roman" w:eastAsia="宋体" w:cs="Times New Roman"/>
                      <w:color w:val="auto"/>
                      <w:sz w:val="21"/>
                      <w:szCs w:val="21"/>
                      <w:highlight w:val="none"/>
                      <w:lang w:eastAsia="zh-CN"/>
                    </w:rPr>
                    <w:t>、混砂废气</w:t>
                  </w:r>
                  <w:r>
                    <w:rPr>
                      <w:rFonts w:hint="default" w:ascii="Times New Roman" w:hAnsi="Times New Roman" w:eastAsia="宋体" w:cs="Times New Roman"/>
                      <w:color w:val="auto"/>
                      <w:sz w:val="21"/>
                      <w:szCs w:val="21"/>
                      <w:highlight w:val="none"/>
                    </w:rPr>
                    <w:t>：由集气罩收集后进入集气管路，经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抛丸废气：</w:t>
                  </w:r>
                  <w:r>
                    <w:rPr>
                      <w:rFonts w:hint="default" w:ascii="Times New Roman" w:hAnsi="Times New Roman" w:eastAsia="宋体" w:cs="Times New Roman"/>
                      <w:color w:val="auto"/>
                      <w:sz w:val="21"/>
                      <w:szCs w:val="21"/>
                      <w:highlight w:val="none"/>
                    </w:rPr>
                    <w:t>由集气罩收集后进入集气管路，经</w:t>
                  </w:r>
                  <w:r>
                    <w:rPr>
                      <w:rFonts w:hint="eastAsia" w:ascii="Times New Roman" w:hAnsi="Times New Roman" w:eastAsia="宋体" w:cs="Times New Roman"/>
                      <w:color w:val="auto"/>
                      <w:sz w:val="21"/>
                      <w:szCs w:val="21"/>
                      <w:highlight w:val="none"/>
                      <w:lang w:eastAsia="zh-CN"/>
                    </w:rPr>
                    <w:t>脉冲式</w:t>
                  </w:r>
                  <w:r>
                    <w:rPr>
                      <w:rFonts w:hint="default" w:ascii="Times New Roman" w:hAnsi="Times New Roman" w:eastAsia="宋体" w:cs="Times New Roman"/>
                      <w:color w:val="auto"/>
                      <w:sz w:val="21"/>
                      <w:szCs w:val="21"/>
                      <w:highlight w:val="none"/>
                    </w:rPr>
                    <w:t>布袋除尘器处理后由1根1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排放</w:t>
                  </w:r>
                  <w:r>
                    <w:rPr>
                      <w:rFonts w:hint="eastAsia" w:ascii="Times New Roman" w:hAnsi="Times New Roman" w:eastAsia="宋体" w:cs="Times New Roman"/>
                      <w:color w:val="auto"/>
                      <w:sz w:val="21"/>
                      <w:szCs w:val="21"/>
                      <w:highlight w:val="none"/>
                      <w:lang w:eastAsia="zh-CN"/>
                    </w:rPr>
                    <w:t>。</w:t>
                  </w:r>
                </w:p>
              </w:tc>
              <w:tc>
                <w:tcPr>
                  <w:tcW w:w="635" w:type="pct"/>
                  <w:gridSpan w:val="2"/>
                  <w:tcBorders>
                    <w:tl2br w:val="nil"/>
                    <w:tr2bl w:val="nil"/>
                  </w:tcBorders>
                  <w:noWrap w:val="0"/>
                  <w:vAlign w:val="center"/>
                </w:tcPr>
                <w:p w14:paraId="02B379D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J1、J2排气筒新建；P8排气筒利旧</w:t>
                  </w:r>
                </w:p>
              </w:tc>
            </w:tr>
            <w:tr w14:paraId="0B2A4CD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vMerge w:val="continue"/>
                  <w:tcBorders>
                    <w:tl2br w:val="nil"/>
                    <w:tr2bl w:val="nil"/>
                  </w:tcBorders>
                  <w:noWrap w:val="0"/>
                  <w:vAlign w:val="center"/>
                </w:tcPr>
                <w:p w14:paraId="61B25939">
                  <w:pPr>
                    <w:widowControl/>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5C39B5B3">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2742" w:type="pct"/>
                  <w:tcBorders>
                    <w:tl2br w:val="nil"/>
                    <w:tr2bl w:val="nil"/>
                  </w:tcBorders>
                  <w:noWrap w:val="0"/>
                  <w:vAlign w:val="center"/>
                </w:tcPr>
                <w:p w14:paraId="5FCAA042">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本项目生产过程电炉冷却用水循环利用；生活污水</w:t>
                  </w:r>
                  <w:r>
                    <w:rPr>
                      <w:rFonts w:hint="eastAsia" w:ascii="Times New Roman" w:hAnsi="Times New Roman" w:eastAsia="宋体" w:cs="Times New Roman"/>
                      <w:color w:val="auto"/>
                      <w:sz w:val="21"/>
                      <w:szCs w:val="21"/>
                      <w:highlight w:val="none"/>
                      <w:lang w:eastAsia="zh-CN"/>
                    </w:rPr>
                    <w:t>经</w:t>
                  </w:r>
                  <w:r>
                    <w:rPr>
                      <w:rFonts w:hint="eastAsia" w:ascii="Times New Roman" w:hAnsi="Times New Roman" w:eastAsia="宋体" w:cs="Times New Roman"/>
                      <w:color w:val="auto"/>
                      <w:sz w:val="21"/>
                      <w:szCs w:val="21"/>
                      <w:highlight w:val="none"/>
                      <w:lang w:val="en-US" w:eastAsia="zh-CN"/>
                    </w:rPr>
                    <w:t>厂区化粪池预处理后，定期由环卫部门抽取</w:t>
                  </w:r>
                  <w:r>
                    <w:rPr>
                      <w:rFonts w:hint="eastAsia" w:ascii="Times New Roman" w:hAnsi="Times New Roman" w:eastAsia="宋体" w:cs="Times New Roman"/>
                      <w:color w:val="auto"/>
                      <w:sz w:val="21"/>
                      <w:szCs w:val="21"/>
                      <w:highlight w:val="none"/>
                      <w:lang w:eastAsia="zh-CN"/>
                    </w:rPr>
                    <w:t>。</w:t>
                  </w:r>
                </w:p>
              </w:tc>
              <w:tc>
                <w:tcPr>
                  <w:tcW w:w="635" w:type="pct"/>
                  <w:gridSpan w:val="2"/>
                  <w:tcBorders>
                    <w:tl2br w:val="nil"/>
                    <w:tr2bl w:val="nil"/>
                  </w:tcBorders>
                  <w:noWrap w:val="0"/>
                  <w:vAlign w:val="center"/>
                </w:tcPr>
                <w:p w14:paraId="5F86E467">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原有</w:t>
                  </w:r>
                </w:p>
              </w:tc>
            </w:tr>
            <w:tr w14:paraId="7E89D07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vMerge w:val="continue"/>
                  <w:tcBorders>
                    <w:tl2br w:val="nil"/>
                    <w:tr2bl w:val="nil"/>
                  </w:tcBorders>
                  <w:noWrap w:val="0"/>
                  <w:vAlign w:val="center"/>
                </w:tcPr>
                <w:p w14:paraId="55054B63">
                  <w:pPr>
                    <w:widowControl/>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5200B854">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742" w:type="pct"/>
                  <w:tcBorders>
                    <w:tl2br w:val="nil"/>
                    <w:tr2bl w:val="nil"/>
                  </w:tcBorders>
                  <w:noWrap w:val="0"/>
                  <w:vAlign w:val="center"/>
                </w:tcPr>
                <w:p w14:paraId="325B34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选用低噪音设备、基础减振、厂房隔声</w:t>
                  </w:r>
                </w:p>
              </w:tc>
              <w:tc>
                <w:tcPr>
                  <w:tcW w:w="635" w:type="pct"/>
                  <w:gridSpan w:val="2"/>
                  <w:tcBorders>
                    <w:tl2br w:val="nil"/>
                    <w:tr2bl w:val="nil"/>
                  </w:tcBorders>
                  <w:noWrap w:val="0"/>
                  <w:vAlign w:val="center"/>
                </w:tcPr>
                <w:p w14:paraId="1CE53B21">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A03DFD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5" w:type="pct"/>
                <w:jc w:val="center"/>
              </w:trPr>
              <w:tc>
                <w:tcPr>
                  <w:tcW w:w="430" w:type="pct"/>
                  <w:vMerge w:val="continue"/>
                  <w:tcBorders>
                    <w:tl2br w:val="nil"/>
                    <w:tr2bl w:val="nil"/>
                  </w:tcBorders>
                  <w:noWrap w:val="0"/>
                  <w:vAlign w:val="center"/>
                </w:tcPr>
                <w:p w14:paraId="2E416195">
                  <w:pPr>
                    <w:widowControl/>
                    <w:jc w:val="center"/>
                    <w:rPr>
                      <w:rFonts w:hint="default" w:ascii="Times New Roman" w:hAnsi="Times New Roman" w:eastAsia="宋体" w:cs="Times New Roman"/>
                      <w:color w:val="auto"/>
                      <w:sz w:val="21"/>
                      <w:szCs w:val="21"/>
                      <w:highlight w:val="none"/>
                    </w:rPr>
                  </w:pPr>
                </w:p>
              </w:tc>
              <w:tc>
                <w:tcPr>
                  <w:tcW w:w="1186" w:type="pct"/>
                  <w:gridSpan w:val="2"/>
                  <w:tcBorders>
                    <w:tl2br w:val="nil"/>
                    <w:tr2bl w:val="nil"/>
                  </w:tcBorders>
                  <w:noWrap w:val="0"/>
                  <w:vAlign w:val="center"/>
                </w:tcPr>
                <w:p w14:paraId="00AF6E3D">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2742" w:type="pct"/>
                  <w:tcBorders>
                    <w:tl2br w:val="nil"/>
                    <w:tr2bl w:val="nil"/>
                  </w:tcBorders>
                  <w:noWrap w:val="0"/>
                  <w:vAlign w:val="center"/>
                </w:tcPr>
                <w:p w14:paraId="2CCBD0AC">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r>
                    <w:rPr>
                      <w:rFonts w:hint="default" w:ascii="Times New Roman" w:hAnsi="Times New Roman" w:eastAsia="宋体" w:cs="Times New Roman"/>
                      <w:color w:val="auto"/>
                      <w:sz w:val="21"/>
                      <w:szCs w:val="21"/>
                      <w:highlight w:val="none"/>
                      <w:lang w:eastAsia="zh-CN"/>
                    </w:rPr>
                    <w:t>、废包装袋</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napToGrid w:val="0"/>
                      <w:color w:val="auto"/>
                      <w:kern w:val="21"/>
                      <w:sz w:val="21"/>
                      <w:szCs w:val="21"/>
                      <w:highlight w:val="none"/>
                      <w:lang w:eastAsia="zh-CN"/>
                    </w:rPr>
                    <w:t>白膜切割边角料</w:t>
                  </w:r>
                  <w:r>
                    <w:rPr>
                      <w:rFonts w:hint="default" w:ascii="Times New Roman" w:hAnsi="Times New Roman" w:eastAsia="宋体" w:cs="Times New Roman"/>
                      <w:color w:val="auto"/>
                      <w:sz w:val="21"/>
                      <w:szCs w:val="21"/>
                      <w:highlight w:val="none"/>
                    </w:rPr>
                    <w:t>交由环卫部门统一处理处置；炉渣</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除尘灰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废砂、废炉衬集中收集</w:t>
                  </w:r>
                  <w:r>
                    <w:rPr>
                      <w:rFonts w:hint="default" w:ascii="Times New Roman" w:hAnsi="Times New Roman" w:eastAsia="宋体"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rPr>
                    <w:t>；铸件铁屑、不合格产品</w:t>
                  </w:r>
                  <w:r>
                    <w:rPr>
                      <w:rFonts w:hint="eastAsia" w:ascii="Times New Roman" w:hAnsi="Times New Roman" w:eastAsia="宋体" w:cs="Times New Roman"/>
                      <w:color w:val="auto"/>
                      <w:sz w:val="21"/>
                      <w:szCs w:val="21"/>
                      <w:highlight w:val="none"/>
                      <w:lang w:eastAsia="zh-CN"/>
                    </w:rPr>
                    <w:t>返回工艺回收利用</w:t>
                  </w:r>
                  <w:r>
                    <w:rPr>
                      <w:rFonts w:hint="default" w:ascii="Times New Roman" w:hAnsi="Times New Roman" w:eastAsia="宋体" w:cs="Times New Roman"/>
                      <w:color w:val="auto"/>
                      <w:sz w:val="21"/>
                      <w:szCs w:val="21"/>
                      <w:highlight w:val="none"/>
                    </w:rPr>
                    <w:t>；项目新建危废间，废润滑油、废油桶</w:t>
                  </w:r>
                  <w:r>
                    <w:rPr>
                      <w:rFonts w:hint="eastAsia" w:ascii="Times New Roman" w:hAnsi="Times New Roman" w:eastAsia="宋体" w:cs="Times New Roman"/>
                      <w:color w:val="auto"/>
                      <w:sz w:val="21"/>
                      <w:szCs w:val="21"/>
                      <w:highlight w:val="none"/>
                      <w:lang w:eastAsia="zh-CN"/>
                    </w:rPr>
                    <w:t>、铁质废油桶、废光氧催化光管、</w:t>
                  </w:r>
                  <w:r>
                    <w:rPr>
                      <w:rFonts w:hint="default" w:ascii="Times New Roman" w:hAnsi="Times New Roman" w:eastAsia="宋体" w:cs="Times New Roman"/>
                      <w:color w:val="auto"/>
                      <w:sz w:val="21"/>
                      <w:szCs w:val="21"/>
                      <w:highlight w:val="none"/>
                    </w:rPr>
                    <w:t>暂存于危废间，定期委托</w:t>
                  </w:r>
                  <w:r>
                    <w:rPr>
                      <w:rFonts w:hint="eastAsia" w:ascii="Times New Roman" w:hAnsi="Times New Roman" w:eastAsia="宋体" w:cs="Times New Roman"/>
                      <w:color w:val="auto"/>
                      <w:sz w:val="21"/>
                      <w:szCs w:val="21"/>
                      <w:highlight w:val="none"/>
                      <w:lang w:val="en-US" w:eastAsia="zh-CN"/>
                    </w:rPr>
                    <w:t>承德市双然环保科技有限公司转运、处置。</w:t>
                  </w:r>
                </w:p>
              </w:tc>
              <w:tc>
                <w:tcPr>
                  <w:tcW w:w="635" w:type="pct"/>
                  <w:gridSpan w:val="2"/>
                  <w:tcBorders>
                    <w:tl2br w:val="nil"/>
                    <w:tr2bl w:val="nil"/>
                  </w:tcBorders>
                  <w:noWrap w:val="0"/>
                  <w:vAlign w:val="center"/>
                </w:tcPr>
                <w:p w14:paraId="5B586F43">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bl>
          <w:p w14:paraId="3183CA5E">
            <w:pPr>
              <w:rPr>
                <w:rFonts w:hint="default" w:ascii="Times New Roman" w:hAnsi="Times New Roman" w:eastAsia="宋体" w:cs="Times New Roman"/>
                <w:b/>
                <w:bCs/>
                <w:color w:val="auto"/>
                <w:sz w:val="24"/>
                <w:szCs w:val="24"/>
                <w:highlight w:val="none"/>
              </w:rPr>
            </w:pPr>
          </w:p>
          <w:p w14:paraId="1B3C5331">
            <w:pPr>
              <w:pStyle w:val="2"/>
              <w:ind w:left="0" w:leftChars="0" w:firstLine="0" w:firstLineChars="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1、主要设备</w:t>
            </w:r>
          </w:p>
          <w:p w14:paraId="3446D789">
            <w:pPr>
              <w:autoSpaceDE w:val="0"/>
              <w:autoSpaceDN w:val="0"/>
              <w:adjustRightInd w:val="0"/>
              <w:snapToGrid w:val="0"/>
              <w:spacing w:line="480" w:lineRule="exact"/>
              <w:ind w:firstLine="480" w:firstLineChars="200"/>
              <w:jc w:val="center"/>
              <w:rPr>
                <w:b w:val="0"/>
                <w:bCs w:val="0"/>
                <w:color w:val="auto"/>
                <w:sz w:val="24"/>
                <w:highlight w:val="none"/>
              </w:rPr>
            </w:pPr>
            <w:r>
              <w:rPr>
                <w:rFonts w:hint="eastAsia"/>
                <w:b w:val="0"/>
                <w:bCs w:val="0"/>
                <w:color w:val="auto"/>
                <w:sz w:val="24"/>
                <w:highlight w:val="none"/>
                <w:lang w:eastAsia="zh-CN"/>
              </w:rPr>
              <w:t>表</w:t>
            </w:r>
            <w:r>
              <w:rPr>
                <w:rFonts w:hint="eastAsia"/>
                <w:b w:val="0"/>
                <w:bCs w:val="0"/>
                <w:color w:val="auto"/>
                <w:sz w:val="24"/>
                <w:highlight w:val="none"/>
                <w:lang w:val="en-US" w:eastAsia="zh-CN"/>
              </w:rPr>
              <w:t xml:space="preserve">2-2 </w:t>
            </w:r>
            <w:r>
              <w:rPr>
                <w:b w:val="0"/>
                <w:bCs w:val="0"/>
                <w:color w:val="auto"/>
                <w:sz w:val="24"/>
                <w:highlight w:val="none"/>
              </w:rPr>
              <w:t>主要生产单元、主要工艺、主要生产设备一览表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452"/>
              <w:gridCol w:w="2362"/>
              <w:gridCol w:w="2510"/>
              <w:gridCol w:w="1160"/>
              <w:gridCol w:w="827"/>
              <w:gridCol w:w="1090"/>
            </w:tblGrid>
            <w:tr w14:paraId="70A502B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tcBorders>
                    <w:tl2br w:val="nil"/>
                    <w:tr2bl w:val="nil"/>
                  </w:tcBorders>
                  <w:noWrap w:val="0"/>
                  <w:vAlign w:val="center"/>
                </w:tcPr>
                <w:p w14:paraId="2EBEA68F">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05" w:type="pct"/>
                  <w:tcBorders>
                    <w:tl2br w:val="nil"/>
                    <w:tr2bl w:val="nil"/>
                  </w:tcBorders>
                  <w:noWrap w:val="0"/>
                  <w:vAlign w:val="center"/>
                </w:tcPr>
                <w:p w14:paraId="57198BBB">
                  <w:pPr>
                    <w:keepNext w:val="0"/>
                    <w:keepLines w:val="0"/>
                    <w:pageBreakBefore w:val="0"/>
                    <w:kinsoku/>
                    <w:wordWrap/>
                    <w:overflowPunct/>
                    <w:topLinePunct w:val="0"/>
                    <w:autoSpaceDE/>
                    <w:autoSpaceDN/>
                    <w:bidi w:val="0"/>
                    <w:adjustRightInd w:val="0"/>
                    <w:snapToGrid w:val="0"/>
                    <w:spacing w:line="360" w:lineRule="auto"/>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493" w:type="pct"/>
                  <w:tcBorders>
                    <w:tl2br w:val="nil"/>
                    <w:tr2bl w:val="nil"/>
                  </w:tcBorders>
                  <w:noWrap w:val="0"/>
                  <w:vAlign w:val="center"/>
                </w:tcPr>
                <w:p w14:paraId="3C87A95B">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规格型号</w:t>
                  </w:r>
                </w:p>
              </w:tc>
              <w:tc>
                <w:tcPr>
                  <w:tcW w:w="690" w:type="pct"/>
                  <w:tcBorders>
                    <w:tl2br w:val="nil"/>
                    <w:tr2bl w:val="nil"/>
                  </w:tcBorders>
                  <w:noWrap w:val="0"/>
                  <w:vAlign w:val="center"/>
                </w:tcPr>
                <w:p w14:paraId="46B197E1">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492" w:type="pct"/>
                  <w:tcBorders>
                    <w:tl2br w:val="nil"/>
                    <w:tr2bl w:val="nil"/>
                  </w:tcBorders>
                  <w:noWrap w:val="0"/>
                  <w:vAlign w:val="center"/>
                </w:tcPr>
                <w:p w14:paraId="37BCE44C">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c>
                <w:tcPr>
                  <w:tcW w:w="648" w:type="pct"/>
                  <w:tcBorders>
                    <w:tl2br w:val="nil"/>
                    <w:tr2bl w:val="nil"/>
                  </w:tcBorders>
                  <w:noWrap w:val="0"/>
                  <w:vAlign w:val="center"/>
                </w:tcPr>
                <w:p w14:paraId="1371D2FA">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0DF5404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69" w:type="pct"/>
                  <w:tcBorders>
                    <w:tl2br w:val="nil"/>
                    <w:tr2bl w:val="nil"/>
                  </w:tcBorders>
                  <w:noWrap w:val="0"/>
                  <w:vAlign w:val="center"/>
                </w:tcPr>
                <w:p w14:paraId="353AEBB5">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05" w:type="pct"/>
                  <w:tcBorders>
                    <w:tl2br w:val="nil"/>
                    <w:tr2bl w:val="nil"/>
                  </w:tcBorders>
                  <w:noWrap w:val="0"/>
                  <w:vAlign w:val="center"/>
                </w:tcPr>
                <w:p w14:paraId="385885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中频电炉</w:t>
                  </w:r>
                  <w:r>
                    <w:rPr>
                      <w:rFonts w:hint="eastAsia" w:ascii="Times New Roman" w:hAnsi="Times New Roman" w:eastAsia="宋体" w:cs="Times New Roman"/>
                      <w:i w:val="0"/>
                      <w:iCs w:val="0"/>
                      <w:color w:val="auto"/>
                      <w:kern w:val="0"/>
                      <w:sz w:val="21"/>
                      <w:szCs w:val="21"/>
                      <w:highlight w:val="none"/>
                      <w:u w:val="none"/>
                      <w:lang w:val="en-US" w:eastAsia="zh-CN" w:bidi="ar"/>
                    </w:rPr>
                    <w:t>+冷却塔</w:t>
                  </w:r>
                </w:p>
              </w:tc>
              <w:tc>
                <w:tcPr>
                  <w:tcW w:w="1493" w:type="pct"/>
                  <w:tcBorders>
                    <w:tl2br w:val="nil"/>
                    <w:tr2bl w:val="nil"/>
                  </w:tcBorders>
                  <w:noWrap w:val="0"/>
                  <w:vAlign w:val="center"/>
                </w:tcPr>
                <w:p w14:paraId="79B351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KGCL1600-0.5S-2T</w:t>
                  </w:r>
                </w:p>
              </w:tc>
              <w:tc>
                <w:tcPr>
                  <w:tcW w:w="690" w:type="pct"/>
                  <w:tcBorders>
                    <w:tl2br w:val="nil"/>
                    <w:tr2bl w:val="nil"/>
                  </w:tcBorders>
                  <w:noWrap w:val="0"/>
                  <w:vAlign w:val="center"/>
                </w:tcPr>
                <w:p w14:paraId="1EB654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tcBorders>
                    <w:tl2br w:val="nil"/>
                    <w:tr2bl w:val="nil"/>
                  </w:tcBorders>
                  <w:noWrap w:val="0"/>
                  <w:vAlign w:val="center"/>
                </w:tcPr>
                <w:p w14:paraId="0C08ADC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tcBorders>
                    <w:tl2br w:val="nil"/>
                    <w:tr2bl w:val="nil"/>
                  </w:tcBorders>
                  <w:noWrap w:val="0"/>
                  <w:vAlign w:val="center"/>
                </w:tcPr>
                <w:p w14:paraId="58D7DE66">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新增</w:t>
                  </w:r>
                </w:p>
              </w:tc>
            </w:tr>
            <w:tr w14:paraId="4FCE381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tcBorders>
                    <w:tl2br w:val="nil"/>
                    <w:tr2bl w:val="nil"/>
                  </w:tcBorders>
                  <w:noWrap w:val="0"/>
                  <w:vAlign w:val="center"/>
                </w:tcPr>
                <w:p w14:paraId="516DFBF4">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405" w:type="pct"/>
                  <w:tcBorders>
                    <w:tl2br w:val="nil"/>
                    <w:tr2bl w:val="nil"/>
                  </w:tcBorders>
                  <w:noWrap w:val="0"/>
                  <w:vAlign w:val="center"/>
                </w:tcPr>
                <w:p w14:paraId="057695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脉冲布袋除尘器1</w:t>
                  </w:r>
                </w:p>
              </w:tc>
              <w:tc>
                <w:tcPr>
                  <w:tcW w:w="1493" w:type="pct"/>
                  <w:tcBorders>
                    <w:tl2br w:val="nil"/>
                    <w:tr2bl w:val="nil"/>
                  </w:tcBorders>
                  <w:noWrap w:val="0"/>
                  <w:vAlign w:val="center"/>
                </w:tcPr>
                <w:p w14:paraId="0B1540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WDMC-400</w:t>
                  </w:r>
                </w:p>
              </w:tc>
              <w:tc>
                <w:tcPr>
                  <w:tcW w:w="690" w:type="pct"/>
                  <w:tcBorders>
                    <w:tl2br w:val="nil"/>
                    <w:tr2bl w:val="nil"/>
                  </w:tcBorders>
                  <w:noWrap w:val="0"/>
                  <w:vAlign w:val="center"/>
                </w:tcPr>
                <w:p w14:paraId="5F2E82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tcBorders>
                    <w:tl2br w:val="nil"/>
                    <w:tr2bl w:val="nil"/>
                  </w:tcBorders>
                  <w:noWrap w:val="0"/>
                  <w:vAlign w:val="center"/>
                </w:tcPr>
                <w:p w14:paraId="6100B7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tcBorders>
                    <w:tl2br w:val="nil"/>
                    <w:tr2bl w:val="nil"/>
                  </w:tcBorders>
                  <w:noWrap w:val="0"/>
                  <w:vAlign w:val="center"/>
                </w:tcPr>
                <w:p w14:paraId="2D203C98">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14:paraId="573B3A0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tcBorders>
                    <w:tl2br w:val="nil"/>
                    <w:tr2bl w:val="nil"/>
                  </w:tcBorders>
                  <w:noWrap w:val="0"/>
                  <w:vAlign w:val="center"/>
                </w:tcPr>
                <w:p w14:paraId="50E4CCBE">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405" w:type="pct"/>
                  <w:tcBorders>
                    <w:tl2br w:val="nil"/>
                    <w:tr2bl w:val="nil"/>
                  </w:tcBorders>
                  <w:noWrap w:val="0"/>
                  <w:vAlign w:val="center"/>
                </w:tcPr>
                <w:p w14:paraId="4E22AC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树脂砂再生砂处理生产线</w:t>
                  </w:r>
                </w:p>
              </w:tc>
              <w:tc>
                <w:tcPr>
                  <w:tcW w:w="1493" w:type="pct"/>
                  <w:tcBorders>
                    <w:tl2br w:val="nil"/>
                    <w:tr2bl w:val="nil"/>
                  </w:tcBorders>
                  <w:noWrap w:val="0"/>
                  <w:vAlign w:val="center"/>
                </w:tcPr>
                <w:p w14:paraId="47259C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10T/H</w:t>
                  </w:r>
                </w:p>
              </w:tc>
              <w:tc>
                <w:tcPr>
                  <w:tcW w:w="690" w:type="pct"/>
                  <w:tcBorders>
                    <w:tl2br w:val="nil"/>
                    <w:tr2bl w:val="nil"/>
                  </w:tcBorders>
                  <w:noWrap w:val="0"/>
                  <w:vAlign w:val="center"/>
                </w:tcPr>
                <w:p w14:paraId="44DC72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492" w:type="pct"/>
                  <w:tcBorders>
                    <w:tl2br w:val="nil"/>
                    <w:tr2bl w:val="nil"/>
                  </w:tcBorders>
                  <w:noWrap w:val="0"/>
                  <w:vAlign w:val="center"/>
                </w:tcPr>
                <w:p w14:paraId="15EA12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tcBorders>
                    <w:tl2br w:val="nil"/>
                    <w:tr2bl w:val="nil"/>
                  </w:tcBorders>
                  <w:noWrap w:val="0"/>
                  <w:vAlign w:val="center"/>
                </w:tcPr>
                <w:p w14:paraId="1984F3EA">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新增</w:t>
                  </w:r>
                </w:p>
              </w:tc>
            </w:tr>
            <w:tr w14:paraId="27AB76A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tcBorders>
                    <w:tl2br w:val="nil"/>
                    <w:tr2bl w:val="nil"/>
                  </w:tcBorders>
                  <w:noWrap w:val="0"/>
                  <w:vAlign w:val="center"/>
                </w:tcPr>
                <w:p w14:paraId="38B18C6C">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405" w:type="pct"/>
                  <w:tcBorders>
                    <w:tl2br w:val="nil"/>
                    <w:tr2bl w:val="nil"/>
                  </w:tcBorders>
                  <w:noWrap w:val="0"/>
                  <w:vAlign w:val="center"/>
                </w:tcPr>
                <w:p w14:paraId="5F90EF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移动式混砂机</w:t>
                  </w:r>
                </w:p>
              </w:tc>
              <w:tc>
                <w:tcPr>
                  <w:tcW w:w="1493" w:type="pct"/>
                  <w:tcBorders>
                    <w:tl2br w:val="nil"/>
                    <w:tr2bl w:val="nil"/>
                  </w:tcBorders>
                  <w:noWrap w:val="0"/>
                  <w:vAlign w:val="center"/>
                </w:tcPr>
                <w:p w14:paraId="0B2BF6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S2515</w:t>
                  </w:r>
                </w:p>
              </w:tc>
              <w:tc>
                <w:tcPr>
                  <w:tcW w:w="690" w:type="pct"/>
                  <w:tcBorders>
                    <w:tl2br w:val="nil"/>
                    <w:tr2bl w:val="nil"/>
                  </w:tcBorders>
                  <w:noWrap w:val="0"/>
                  <w:vAlign w:val="center"/>
                </w:tcPr>
                <w:p w14:paraId="7A6C4D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tcBorders>
                    <w:tl2br w:val="nil"/>
                    <w:tr2bl w:val="nil"/>
                  </w:tcBorders>
                  <w:noWrap w:val="0"/>
                  <w:vAlign w:val="center"/>
                </w:tcPr>
                <w:p w14:paraId="6938D1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tcBorders>
                    <w:tl2br w:val="nil"/>
                    <w:tr2bl w:val="nil"/>
                  </w:tcBorders>
                  <w:noWrap w:val="0"/>
                  <w:vAlign w:val="center"/>
                </w:tcPr>
                <w:p w14:paraId="1812E646">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14:paraId="4FB4DC6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5C8567D4">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405" w:type="pct"/>
                  <w:noWrap w:val="0"/>
                  <w:vAlign w:val="center"/>
                </w:tcPr>
                <w:p w14:paraId="2D06E3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脉冲布袋除尘器2</w:t>
                  </w:r>
                </w:p>
              </w:tc>
              <w:tc>
                <w:tcPr>
                  <w:tcW w:w="1493" w:type="pct"/>
                  <w:noWrap w:val="0"/>
                  <w:vAlign w:val="center"/>
                </w:tcPr>
                <w:p w14:paraId="28AFBB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MC-64</w:t>
                  </w:r>
                </w:p>
              </w:tc>
              <w:tc>
                <w:tcPr>
                  <w:tcW w:w="690" w:type="pct"/>
                  <w:noWrap w:val="0"/>
                  <w:vAlign w:val="center"/>
                </w:tcPr>
                <w:p w14:paraId="004AB1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7E4D93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163F7DAE">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14:paraId="488C7C1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4DAD8988">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405" w:type="pct"/>
                  <w:noWrap w:val="0"/>
                  <w:vAlign w:val="center"/>
                </w:tcPr>
                <w:p w14:paraId="0271C92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脉冲布袋除尘器3</w:t>
                  </w:r>
                </w:p>
              </w:tc>
              <w:tc>
                <w:tcPr>
                  <w:tcW w:w="1493" w:type="pct"/>
                  <w:noWrap w:val="0"/>
                  <w:vAlign w:val="center"/>
                </w:tcPr>
                <w:p w14:paraId="6958C1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MC-500</w:t>
                  </w:r>
                </w:p>
              </w:tc>
              <w:tc>
                <w:tcPr>
                  <w:tcW w:w="690" w:type="pct"/>
                  <w:noWrap w:val="0"/>
                  <w:vAlign w:val="center"/>
                </w:tcPr>
                <w:p w14:paraId="719F18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55B489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21E7C727">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1009781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10271A34">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405" w:type="pct"/>
                  <w:noWrap w:val="0"/>
                  <w:vAlign w:val="center"/>
                </w:tcPr>
                <w:p w14:paraId="3F4E6A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天车</w:t>
                  </w:r>
                </w:p>
              </w:tc>
              <w:tc>
                <w:tcPr>
                  <w:tcW w:w="1493" w:type="pct"/>
                  <w:noWrap w:val="0"/>
                  <w:vAlign w:val="center"/>
                </w:tcPr>
                <w:p w14:paraId="518A58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单梁天车</w:t>
                  </w:r>
                </w:p>
              </w:tc>
              <w:tc>
                <w:tcPr>
                  <w:tcW w:w="690" w:type="pct"/>
                  <w:noWrap w:val="0"/>
                  <w:vAlign w:val="center"/>
                </w:tcPr>
                <w:p w14:paraId="38E3FA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27B4E1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56F1D569">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改造</w:t>
                  </w:r>
                </w:p>
              </w:tc>
            </w:tr>
            <w:tr w14:paraId="6B066A2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1E2B88D0">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405" w:type="pct"/>
                  <w:noWrap w:val="0"/>
                  <w:vAlign w:val="center"/>
                </w:tcPr>
                <w:p w14:paraId="7AADE48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天车</w:t>
                  </w:r>
                </w:p>
              </w:tc>
              <w:tc>
                <w:tcPr>
                  <w:tcW w:w="1493" w:type="pct"/>
                  <w:noWrap w:val="0"/>
                  <w:vAlign w:val="center"/>
                </w:tcPr>
                <w:p w14:paraId="066B28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冶金天车</w:t>
                  </w:r>
                </w:p>
              </w:tc>
              <w:tc>
                <w:tcPr>
                  <w:tcW w:w="690" w:type="pct"/>
                  <w:noWrap w:val="0"/>
                  <w:vAlign w:val="center"/>
                </w:tcPr>
                <w:p w14:paraId="15CD39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672F86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3EC022CA">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改造</w:t>
                  </w:r>
                </w:p>
              </w:tc>
            </w:tr>
            <w:tr w14:paraId="324C6B1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1B76058C">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405" w:type="pct"/>
                  <w:noWrap w:val="0"/>
                  <w:vAlign w:val="center"/>
                </w:tcPr>
                <w:p w14:paraId="1C7BC3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天车</w:t>
                  </w:r>
                </w:p>
              </w:tc>
              <w:tc>
                <w:tcPr>
                  <w:tcW w:w="1493" w:type="pct"/>
                  <w:noWrap w:val="0"/>
                  <w:vAlign w:val="center"/>
                </w:tcPr>
                <w:p w14:paraId="02F31C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单梁天车</w:t>
                  </w:r>
                </w:p>
              </w:tc>
              <w:tc>
                <w:tcPr>
                  <w:tcW w:w="690" w:type="pct"/>
                  <w:noWrap w:val="0"/>
                  <w:vAlign w:val="center"/>
                </w:tcPr>
                <w:p w14:paraId="65619B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03B67D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4B5E26C1">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r w14:paraId="0FAE5AC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280C9D76">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1405" w:type="pct"/>
                  <w:noWrap w:val="0"/>
                  <w:vAlign w:val="center"/>
                </w:tcPr>
                <w:p w14:paraId="1807FE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吊钩式抛丸清理机</w:t>
                  </w:r>
                </w:p>
              </w:tc>
              <w:tc>
                <w:tcPr>
                  <w:tcW w:w="1493" w:type="pct"/>
                  <w:noWrap w:val="0"/>
                  <w:vAlign w:val="center"/>
                </w:tcPr>
                <w:p w14:paraId="2DA844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Q37</w:t>
                  </w:r>
                </w:p>
              </w:tc>
              <w:tc>
                <w:tcPr>
                  <w:tcW w:w="690" w:type="pct"/>
                  <w:noWrap w:val="0"/>
                  <w:vAlign w:val="center"/>
                </w:tcPr>
                <w:p w14:paraId="277ADC7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635749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0177B839">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r w14:paraId="598DCD7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47B8ACBD">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1405" w:type="pct"/>
                  <w:noWrap w:val="0"/>
                  <w:vAlign w:val="center"/>
                </w:tcPr>
                <w:p w14:paraId="5FCC8A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布袋除尘器</w:t>
                  </w:r>
                </w:p>
              </w:tc>
              <w:tc>
                <w:tcPr>
                  <w:tcW w:w="1493" w:type="pct"/>
                  <w:noWrap w:val="0"/>
                  <w:vAlign w:val="center"/>
                </w:tcPr>
                <w:p w14:paraId="556D96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DMC64</w:t>
                  </w:r>
                </w:p>
              </w:tc>
              <w:tc>
                <w:tcPr>
                  <w:tcW w:w="690" w:type="pct"/>
                  <w:noWrap w:val="0"/>
                  <w:vAlign w:val="center"/>
                </w:tcPr>
                <w:p w14:paraId="735BF7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4FB586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49EBA976">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r w14:paraId="5994633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50404A53">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1405" w:type="pct"/>
                  <w:noWrap w:val="0"/>
                  <w:vAlign w:val="top"/>
                </w:tcPr>
                <w:p w14:paraId="41805A30">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光氧机</w:t>
                  </w:r>
                </w:p>
              </w:tc>
              <w:tc>
                <w:tcPr>
                  <w:tcW w:w="1493" w:type="pct"/>
                  <w:noWrap w:val="0"/>
                  <w:vAlign w:val="center"/>
                </w:tcPr>
                <w:p w14:paraId="43B17776">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YCGY-30000</w:t>
                  </w:r>
                </w:p>
              </w:tc>
              <w:tc>
                <w:tcPr>
                  <w:tcW w:w="690" w:type="pct"/>
                  <w:noWrap w:val="0"/>
                  <w:vAlign w:val="center"/>
                </w:tcPr>
                <w:p w14:paraId="304697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215AEC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148E06CE">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新增</w:t>
                  </w:r>
                </w:p>
              </w:tc>
            </w:tr>
            <w:tr w14:paraId="36CBA97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269" w:type="pct"/>
                  <w:noWrap w:val="0"/>
                  <w:vAlign w:val="center"/>
                </w:tcPr>
                <w:p w14:paraId="6821DD59">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405" w:type="pct"/>
                  <w:noWrap w:val="0"/>
                  <w:vAlign w:val="top"/>
                </w:tcPr>
                <w:p w14:paraId="460B7987">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热处理炉</w:t>
                  </w:r>
                </w:p>
              </w:tc>
              <w:tc>
                <w:tcPr>
                  <w:tcW w:w="1493" w:type="pct"/>
                  <w:noWrap w:val="0"/>
                  <w:vAlign w:val="center"/>
                </w:tcPr>
                <w:p w14:paraId="7F7F2D98">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90" w:type="pct"/>
                  <w:noWrap w:val="0"/>
                  <w:vAlign w:val="center"/>
                </w:tcPr>
                <w:p w14:paraId="4D6D7D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台</w:t>
                  </w:r>
                </w:p>
              </w:tc>
              <w:tc>
                <w:tcPr>
                  <w:tcW w:w="492" w:type="pct"/>
                  <w:noWrap w:val="0"/>
                  <w:vAlign w:val="center"/>
                </w:tcPr>
                <w:p w14:paraId="76CC28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48" w:type="pct"/>
                  <w:noWrap w:val="0"/>
                  <w:vAlign w:val="center"/>
                </w:tcPr>
                <w:p w14:paraId="28C13330">
                  <w:pPr>
                    <w:keepNext w:val="0"/>
                    <w:keepLines w:val="0"/>
                    <w:pageBreakBefore w:val="0"/>
                    <w:widowControl/>
                    <w:kinsoku/>
                    <w:wordWrap/>
                    <w:overflowPunct/>
                    <w:topLinePunct w:val="0"/>
                    <w:autoSpaceDE/>
                    <w:autoSpaceDN/>
                    <w:bidi w:val="0"/>
                    <w:spacing w:line="28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利旧</w:t>
                  </w:r>
                </w:p>
              </w:tc>
            </w:tr>
          </w:tbl>
          <w:p w14:paraId="2F49100B">
            <w:pPr>
              <w:keepNext w:val="0"/>
              <w:keepLines w:val="0"/>
              <w:pageBreakBefore w:val="0"/>
              <w:widowControl w:val="0"/>
              <w:numPr>
                <w:ilvl w:val="0"/>
                <w:numId w:val="0"/>
              </w:numPr>
              <w:kinsoku/>
              <w:wordWrap/>
              <w:overflowPunct/>
              <w:topLinePunct w:val="0"/>
              <w:autoSpaceDE/>
              <w:autoSpaceDN/>
              <w:bidi w:val="0"/>
              <w:spacing w:line="480" w:lineRule="exact"/>
              <w:ind w:leftChars="0"/>
              <w:textAlignment w:val="auto"/>
              <w:rPr>
                <w:color w:val="auto"/>
                <w:highlight w:val="none"/>
              </w:rPr>
            </w:pPr>
            <w:r>
              <w:rPr>
                <w:rFonts w:hint="eastAsia"/>
                <w:b/>
                <w:bCs/>
                <w:color w:val="auto"/>
                <w:sz w:val="24"/>
                <w:highlight w:val="none"/>
                <w:lang w:val="en-US" w:eastAsia="zh-CN"/>
              </w:rPr>
              <w:t>2、</w:t>
            </w:r>
            <w:r>
              <w:rPr>
                <w:b/>
                <w:bCs/>
                <w:color w:val="auto"/>
                <w:sz w:val="24"/>
                <w:highlight w:val="none"/>
              </w:rPr>
              <w:t>主要原辅料种类</w:t>
            </w:r>
            <w:r>
              <w:rPr>
                <w:rFonts w:hint="eastAsia"/>
                <w:b/>
                <w:bCs/>
                <w:color w:val="auto"/>
                <w:sz w:val="24"/>
                <w:highlight w:val="none"/>
                <w:lang w:eastAsia="zh-CN"/>
              </w:rPr>
              <w:t>、</w:t>
            </w:r>
            <w:r>
              <w:rPr>
                <w:b/>
                <w:bCs/>
                <w:color w:val="auto"/>
                <w:sz w:val="24"/>
                <w:highlight w:val="none"/>
              </w:rPr>
              <w:t>产品及产能</w:t>
            </w:r>
          </w:p>
          <w:p w14:paraId="0FABDE18">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表</w:t>
            </w:r>
            <w:r>
              <w:rPr>
                <w:rFonts w:hint="default" w:ascii="Times New Roman" w:hAnsi="Times New Roman" w:eastAsia="宋体" w:cs="Times New Roman"/>
                <w:bCs/>
                <w:color w:val="auto"/>
                <w:sz w:val="24"/>
                <w:szCs w:val="24"/>
                <w:highlight w:val="none"/>
                <w:lang w:val="en-US" w:eastAsia="zh-CN"/>
              </w:rPr>
              <w:t xml:space="preserve">2-3 </w:t>
            </w:r>
            <w:r>
              <w:rPr>
                <w:rFonts w:hint="default" w:ascii="Times New Roman" w:hAnsi="Times New Roman" w:eastAsia="宋体" w:cs="Times New Roman"/>
                <w:bCs/>
                <w:color w:val="auto"/>
                <w:sz w:val="24"/>
                <w:szCs w:val="24"/>
                <w:highlight w:val="none"/>
                <w:lang w:eastAsia="zh-CN"/>
              </w:rPr>
              <w:t>主要原辅材料一览表</w:t>
            </w:r>
          </w:p>
          <w:tbl>
            <w:tblPr>
              <w:tblStyle w:val="1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935"/>
              <w:gridCol w:w="1543"/>
              <w:gridCol w:w="1324"/>
              <w:gridCol w:w="891"/>
              <w:gridCol w:w="1544"/>
              <w:gridCol w:w="1708"/>
            </w:tblGrid>
            <w:tr w14:paraId="5239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jc w:val="center"/>
              </w:trPr>
              <w:tc>
                <w:tcPr>
                  <w:tcW w:w="492" w:type="dxa"/>
                  <w:noWrap w:val="0"/>
                  <w:vAlign w:val="center"/>
                </w:tcPr>
                <w:p w14:paraId="31E7FD8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b/>
                      <w:bCs/>
                      <w:color w:val="auto"/>
                      <w:sz w:val="21"/>
                      <w:szCs w:val="21"/>
                      <w:highlight w:val="none"/>
                    </w:rPr>
                    <w:t>序号</w:t>
                  </w:r>
                </w:p>
              </w:tc>
              <w:tc>
                <w:tcPr>
                  <w:tcW w:w="935" w:type="dxa"/>
                  <w:noWrap w:val="0"/>
                  <w:vAlign w:val="center"/>
                </w:tcPr>
                <w:p w14:paraId="70F4724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b/>
                      <w:bCs/>
                      <w:color w:val="auto"/>
                      <w:sz w:val="21"/>
                      <w:szCs w:val="21"/>
                      <w:highlight w:val="none"/>
                    </w:rPr>
                    <w:t>类别</w:t>
                  </w:r>
                </w:p>
              </w:tc>
              <w:tc>
                <w:tcPr>
                  <w:tcW w:w="1543" w:type="dxa"/>
                  <w:noWrap w:val="0"/>
                  <w:vAlign w:val="center"/>
                </w:tcPr>
                <w:p w14:paraId="4356618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b/>
                      <w:bCs/>
                      <w:color w:val="auto"/>
                      <w:sz w:val="21"/>
                      <w:szCs w:val="21"/>
                      <w:highlight w:val="none"/>
                    </w:rPr>
                    <w:t>名称</w:t>
                  </w:r>
                </w:p>
              </w:tc>
              <w:tc>
                <w:tcPr>
                  <w:tcW w:w="1324" w:type="dxa"/>
                  <w:noWrap w:val="0"/>
                  <w:vAlign w:val="center"/>
                </w:tcPr>
                <w:p w14:paraId="60EF949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rPr>
                    <w:t>年</w:t>
                  </w:r>
                  <w:r>
                    <w:rPr>
                      <w:b/>
                      <w:bCs/>
                      <w:color w:val="auto"/>
                      <w:sz w:val="21"/>
                      <w:szCs w:val="21"/>
                      <w:highlight w:val="none"/>
                    </w:rPr>
                    <w:t>消耗量</w:t>
                  </w:r>
                  <w:r>
                    <w:rPr>
                      <w:rFonts w:hint="eastAsia"/>
                      <w:b/>
                      <w:bCs/>
                      <w:color w:val="auto"/>
                      <w:sz w:val="21"/>
                      <w:szCs w:val="21"/>
                      <w:highlight w:val="none"/>
                      <w:lang w:val="en-US" w:eastAsia="zh-CN"/>
                    </w:rPr>
                    <w:t>t</w:t>
                  </w:r>
                </w:p>
              </w:tc>
              <w:tc>
                <w:tcPr>
                  <w:tcW w:w="891" w:type="dxa"/>
                  <w:noWrap w:val="0"/>
                  <w:vAlign w:val="center"/>
                </w:tcPr>
                <w:p w14:paraId="428975F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b/>
                      <w:bCs/>
                      <w:color w:val="auto"/>
                      <w:sz w:val="21"/>
                      <w:szCs w:val="21"/>
                      <w:highlight w:val="none"/>
                    </w:rPr>
                    <w:t>单位</w:t>
                  </w:r>
                </w:p>
              </w:tc>
              <w:tc>
                <w:tcPr>
                  <w:tcW w:w="1544" w:type="dxa"/>
                  <w:noWrap w:val="0"/>
                  <w:vAlign w:val="center"/>
                </w:tcPr>
                <w:p w14:paraId="2A7AD16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rFonts w:hint="eastAsia"/>
                      <w:b/>
                      <w:bCs/>
                      <w:color w:val="auto"/>
                      <w:sz w:val="21"/>
                      <w:szCs w:val="21"/>
                      <w:highlight w:val="none"/>
                    </w:rPr>
                    <w:t>存储</w:t>
                  </w:r>
                </w:p>
              </w:tc>
              <w:tc>
                <w:tcPr>
                  <w:tcW w:w="1708" w:type="dxa"/>
                  <w:noWrap w:val="0"/>
                  <w:vAlign w:val="center"/>
                </w:tcPr>
                <w:p w14:paraId="693CA24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b/>
                      <w:bCs/>
                      <w:color w:val="auto"/>
                      <w:sz w:val="21"/>
                      <w:szCs w:val="21"/>
                      <w:highlight w:val="none"/>
                    </w:rPr>
                  </w:pPr>
                  <w:r>
                    <w:rPr>
                      <w:b/>
                      <w:bCs/>
                      <w:color w:val="auto"/>
                      <w:sz w:val="21"/>
                      <w:szCs w:val="21"/>
                      <w:highlight w:val="none"/>
                    </w:rPr>
                    <w:t>备注</w:t>
                  </w:r>
                </w:p>
              </w:tc>
            </w:tr>
            <w:tr w14:paraId="3BDA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0928A56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1</w:t>
                  </w:r>
                </w:p>
              </w:tc>
              <w:tc>
                <w:tcPr>
                  <w:tcW w:w="935" w:type="dxa"/>
                  <w:vMerge w:val="restart"/>
                  <w:noWrap w:val="0"/>
                  <w:vAlign w:val="center"/>
                </w:tcPr>
                <w:p w14:paraId="6087F2E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原辅</w:t>
                  </w:r>
                </w:p>
                <w:p w14:paraId="408FC93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eastAsia="宋体"/>
                      <w:color w:val="auto"/>
                      <w:sz w:val="21"/>
                      <w:szCs w:val="21"/>
                      <w:highlight w:val="none"/>
                      <w:lang w:val="en-US" w:eastAsia="zh-CN"/>
                    </w:rPr>
                  </w:pPr>
                  <w:r>
                    <w:rPr>
                      <w:color w:val="auto"/>
                      <w:sz w:val="21"/>
                      <w:szCs w:val="21"/>
                      <w:highlight w:val="none"/>
                    </w:rPr>
                    <w:t>材料</w:t>
                  </w:r>
                  <w:r>
                    <w:rPr>
                      <w:rFonts w:hint="eastAsia"/>
                      <w:color w:val="auto"/>
                      <w:sz w:val="21"/>
                      <w:szCs w:val="21"/>
                      <w:highlight w:val="none"/>
                      <w:lang w:val="en-US" w:eastAsia="zh-CN"/>
                    </w:rPr>
                    <w:t xml:space="preserve"> </w:t>
                  </w:r>
                </w:p>
              </w:tc>
              <w:tc>
                <w:tcPr>
                  <w:tcW w:w="1543" w:type="dxa"/>
                  <w:noWrap w:val="0"/>
                  <w:vAlign w:val="center"/>
                </w:tcPr>
                <w:p w14:paraId="6AE70CC0">
                  <w:pPr>
                    <w:keepNext w:val="0"/>
                    <w:keepLines w:val="0"/>
                    <w:pageBreakBefore w:val="0"/>
                    <w:widowControl w:val="0"/>
                    <w:kinsoku/>
                    <w:wordWrap/>
                    <w:overflowPunct/>
                    <w:topLinePunct w:val="0"/>
                    <w:autoSpaceDE/>
                    <w:autoSpaceDN/>
                    <w:bidi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废钢</w:t>
                  </w:r>
                </w:p>
              </w:tc>
              <w:tc>
                <w:tcPr>
                  <w:tcW w:w="1324" w:type="dxa"/>
                  <w:noWrap w:val="0"/>
                  <w:vAlign w:val="center"/>
                </w:tcPr>
                <w:p w14:paraId="49241BCF">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1538</w:t>
                  </w:r>
                </w:p>
              </w:tc>
              <w:tc>
                <w:tcPr>
                  <w:tcW w:w="891" w:type="dxa"/>
                  <w:noWrap w:val="0"/>
                  <w:vAlign w:val="center"/>
                </w:tcPr>
                <w:p w14:paraId="40C40033">
                  <w:pPr>
                    <w:keepNext w:val="0"/>
                    <w:keepLines w:val="0"/>
                    <w:pageBreakBefore w:val="0"/>
                    <w:widowControl w:val="0"/>
                    <w:kinsoku/>
                    <w:wordWrap/>
                    <w:overflowPunct/>
                    <w:topLinePunct w:val="0"/>
                    <w:autoSpaceDE/>
                    <w:autoSpaceDN/>
                    <w:bidi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t</w:t>
                  </w:r>
                </w:p>
              </w:tc>
              <w:tc>
                <w:tcPr>
                  <w:tcW w:w="1544" w:type="dxa"/>
                  <w:noWrap w:val="0"/>
                  <w:vAlign w:val="center"/>
                </w:tcPr>
                <w:p w14:paraId="246C8F5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封闭料库</w:t>
                  </w:r>
                </w:p>
              </w:tc>
              <w:tc>
                <w:tcPr>
                  <w:tcW w:w="1708" w:type="dxa"/>
                  <w:noWrap w:val="0"/>
                  <w:vAlign w:val="center"/>
                </w:tcPr>
                <w:p w14:paraId="3EF47D86">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外购</w:t>
                  </w:r>
                </w:p>
              </w:tc>
            </w:tr>
            <w:tr w14:paraId="417A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166926A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935" w:type="dxa"/>
                  <w:vMerge w:val="continue"/>
                  <w:noWrap w:val="0"/>
                  <w:vAlign w:val="center"/>
                </w:tcPr>
                <w:p w14:paraId="7B15773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1A06A881">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锰铁</w:t>
                  </w:r>
                </w:p>
              </w:tc>
              <w:tc>
                <w:tcPr>
                  <w:tcW w:w="1324" w:type="dxa"/>
                  <w:noWrap w:val="0"/>
                  <w:vAlign w:val="center"/>
                </w:tcPr>
                <w:p w14:paraId="3E591AB2">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49.8</w:t>
                  </w:r>
                </w:p>
              </w:tc>
              <w:tc>
                <w:tcPr>
                  <w:tcW w:w="891" w:type="dxa"/>
                  <w:noWrap w:val="0"/>
                  <w:vAlign w:val="center"/>
                </w:tcPr>
                <w:p w14:paraId="4171DECE">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t</w:t>
                  </w:r>
                </w:p>
              </w:tc>
              <w:tc>
                <w:tcPr>
                  <w:tcW w:w="1544" w:type="dxa"/>
                  <w:noWrap w:val="0"/>
                  <w:vAlign w:val="center"/>
                </w:tcPr>
                <w:p w14:paraId="31F5BBE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封闭料库</w:t>
                  </w:r>
                </w:p>
              </w:tc>
              <w:tc>
                <w:tcPr>
                  <w:tcW w:w="1708" w:type="dxa"/>
                  <w:noWrap w:val="0"/>
                  <w:vAlign w:val="center"/>
                </w:tcPr>
                <w:p w14:paraId="3523DC1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7996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472654C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935" w:type="dxa"/>
                  <w:vMerge w:val="continue"/>
                  <w:noWrap w:val="0"/>
                  <w:vAlign w:val="center"/>
                </w:tcPr>
                <w:p w14:paraId="166BE54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5B8C93CB">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铬铁</w:t>
                  </w:r>
                </w:p>
              </w:tc>
              <w:tc>
                <w:tcPr>
                  <w:tcW w:w="1324" w:type="dxa"/>
                  <w:noWrap w:val="0"/>
                  <w:vAlign w:val="center"/>
                </w:tcPr>
                <w:p w14:paraId="0B9A2960">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612</w:t>
                  </w:r>
                </w:p>
              </w:tc>
              <w:tc>
                <w:tcPr>
                  <w:tcW w:w="891" w:type="dxa"/>
                  <w:noWrap w:val="0"/>
                  <w:vAlign w:val="center"/>
                </w:tcPr>
                <w:p w14:paraId="67CF80CA">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rFonts w:hint="eastAsia"/>
                      <w:color w:val="auto"/>
                      <w:sz w:val="21"/>
                      <w:szCs w:val="21"/>
                      <w:highlight w:val="none"/>
                      <w:lang w:val="en-US" w:eastAsia="zh-CN"/>
                    </w:rPr>
                    <w:t>t</w:t>
                  </w:r>
                </w:p>
              </w:tc>
              <w:tc>
                <w:tcPr>
                  <w:tcW w:w="1544" w:type="dxa"/>
                  <w:noWrap w:val="0"/>
                  <w:vAlign w:val="center"/>
                </w:tcPr>
                <w:p w14:paraId="7CE9D2A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封闭料库</w:t>
                  </w:r>
                </w:p>
              </w:tc>
              <w:tc>
                <w:tcPr>
                  <w:tcW w:w="1708" w:type="dxa"/>
                  <w:noWrap w:val="0"/>
                  <w:vAlign w:val="center"/>
                </w:tcPr>
                <w:p w14:paraId="75B6C5E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5F95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3FEC9F3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935" w:type="dxa"/>
                  <w:vMerge w:val="continue"/>
                  <w:noWrap w:val="0"/>
                  <w:vAlign w:val="center"/>
                </w:tcPr>
                <w:p w14:paraId="2D5CBE4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55452AE6">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钼铁</w:t>
                  </w:r>
                </w:p>
              </w:tc>
              <w:tc>
                <w:tcPr>
                  <w:tcW w:w="1324" w:type="dxa"/>
                  <w:noWrap w:val="0"/>
                  <w:vAlign w:val="center"/>
                </w:tcPr>
                <w:p w14:paraId="421AE7EA">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891" w:type="dxa"/>
                  <w:noWrap w:val="0"/>
                  <w:vAlign w:val="center"/>
                </w:tcPr>
                <w:p w14:paraId="3C9DB4D0">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t</w:t>
                  </w:r>
                </w:p>
              </w:tc>
              <w:tc>
                <w:tcPr>
                  <w:tcW w:w="1544" w:type="dxa"/>
                  <w:noWrap w:val="0"/>
                  <w:vAlign w:val="center"/>
                </w:tcPr>
                <w:p w14:paraId="463FDBE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封闭料库</w:t>
                  </w:r>
                </w:p>
              </w:tc>
              <w:tc>
                <w:tcPr>
                  <w:tcW w:w="1708" w:type="dxa"/>
                  <w:noWrap w:val="0"/>
                  <w:vAlign w:val="center"/>
                </w:tcPr>
                <w:p w14:paraId="5679F42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外购</w:t>
                  </w:r>
                </w:p>
              </w:tc>
            </w:tr>
            <w:tr w14:paraId="5B57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442BC757">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935" w:type="dxa"/>
                  <w:vMerge w:val="continue"/>
                  <w:noWrap w:val="0"/>
                  <w:vAlign w:val="center"/>
                </w:tcPr>
                <w:p w14:paraId="5ACD67C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2CED55D2">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镍钨合金</w:t>
                  </w:r>
                </w:p>
              </w:tc>
              <w:tc>
                <w:tcPr>
                  <w:tcW w:w="1324" w:type="dxa"/>
                  <w:noWrap w:val="0"/>
                  <w:vAlign w:val="center"/>
                </w:tcPr>
                <w:p w14:paraId="128A7494">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891" w:type="dxa"/>
                  <w:noWrap w:val="0"/>
                  <w:vAlign w:val="center"/>
                </w:tcPr>
                <w:p w14:paraId="4B9D7B1E">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t</w:t>
                  </w:r>
                </w:p>
              </w:tc>
              <w:tc>
                <w:tcPr>
                  <w:tcW w:w="1544" w:type="dxa"/>
                  <w:noWrap w:val="0"/>
                  <w:vAlign w:val="center"/>
                </w:tcPr>
                <w:p w14:paraId="4DE95B0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封闭料库</w:t>
                  </w:r>
                </w:p>
              </w:tc>
              <w:tc>
                <w:tcPr>
                  <w:tcW w:w="1708" w:type="dxa"/>
                  <w:noWrap w:val="0"/>
                  <w:vAlign w:val="center"/>
                </w:tcPr>
                <w:p w14:paraId="6EFE76F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外购</w:t>
                  </w:r>
                </w:p>
              </w:tc>
            </w:tr>
            <w:tr w14:paraId="1E25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492" w:type="dxa"/>
                  <w:noWrap w:val="0"/>
                  <w:vAlign w:val="center"/>
                </w:tcPr>
                <w:p w14:paraId="1102A27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935" w:type="dxa"/>
                  <w:vMerge w:val="continue"/>
                  <w:noWrap w:val="0"/>
                  <w:vAlign w:val="center"/>
                </w:tcPr>
                <w:p w14:paraId="225AB600">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068C863B">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稀土硅</w:t>
                  </w:r>
                </w:p>
              </w:tc>
              <w:tc>
                <w:tcPr>
                  <w:tcW w:w="1324" w:type="dxa"/>
                  <w:noWrap w:val="0"/>
                  <w:vAlign w:val="center"/>
                </w:tcPr>
                <w:p w14:paraId="37E64F79">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891" w:type="dxa"/>
                  <w:noWrap w:val="0"/>
                  <w:vAlign w:val="center"/>
                </w:tcPr>
                <w:p w14:paraId="2D26C80A">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t</w:t>
                  </w:r>
                </w:p>
              </w:tc>
              <w:tc>
                <w:tcPr>
                  <w:tcW w:w="1544" w:type="dxa"/>
                  <w:noWrap w:val="0"/>
                  <w:vAlign w:val="center"/>
                </w:tcPr>
                <w:p w14:paraId="6F16530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袋装，原料库</w:t>
                  </w:r>
                </w:p>
              </w:tc>
              <w:tc>
                <w:tcPr>
                  <w:tcW w:w="1708" w:type="dxa"/>
                  <w:noWrap w:val="0"/>
                  <w:vAlign w:val="center"/>
                </w:tcPr>
                <w:p w14:paraId="6B9EAE52">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4A09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492" w:type="dxa"/>
                  <w:noWrap w:val="0"/>
                  <w:vAlign w:val="center"/>
                </w:tcPr>
                <w:p w14:paraId="26F36D9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935" w:type="dxa"/>
                  <w:vMerge w:val="continue"/>
                  <w:noWrap w:val="0"/>
                  <w:vAlign w:val="center"/>
                </w:tcPr>
                <w:p w14:paraId="115011B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61FA9D11">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树脂砂</w:t>
                  </w:r>
                </w:p>
              </w:tc>
              <w:tc>
                <w:tcPr>
                  <w:tcW w:w="1324" w:type="dxa"/>
                  <w:noWrap w:val="0"/>
                  <w:vAlign w:val="center"/>
                </w:tcPr>
                <w:p w14:paraId="357CDA7A">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567</w:t>
                  </w:r>
                </w:p>
              </w:tc>
              <w:tc>
                <w:tcPr>
                  <w:tcW w:w="891" w:type="dxa"/>
                  <w:noWrap w:val="0"/>
                  <w:vAlign w:val="center"/>
                </w:tcPr>
                <w:p w14:paraId="086C42EB">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t</w:t>
                  </w:r>
                </w:p>
              </w:tc>
              <w:tc>
                <w:tcPr>
                  <w:tcW w:w="1544" w:type="dxa"/>
                  <w:noWrap w:val="0"/>
                  <w:vAlign w:val="center"/>
                </w:tcPr>
                <w:p w14:paraId="38B4D5F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rFonts w:hint="eastAsia"/>
                      <w:color w:val="auto"/>
                      <w:sz w:val="21"/>
                      <w:szCs w:val="21"/>
                      <w:highlight w:val="none"/>
                    </w:rPr>
                    <w:t>袋装，原料库</w:t>
                  </w:r>
                </w:p>
              </w:tc>
              <w:tc>
                <w:tcPr>
                  <w:tcW w:w="1708" w:type="dxa"/>
                  <w:noWrap w:val="0"/>
                  <w:vAlign w:val="center"/>
                </w:tcPr>
                <w:p w14:paraId="444BB344">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575F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32CB07F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935" w:type="dxa"/>
                  <w:vMerge w:val="continue"/>
                  <w:noWrap w:val="0"/>
                  <w:vAlign w:val="center"/>
                </w:tcPr>
                <w:p w14:paraId="036BCEC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6885053D">
                  <w:pPr>
                    <w:keepNext w:val="0"/>
                    <w:keepLines w:val="0"/>
                    <w:pageBreakBefore w:val="0"/>
                    <w:widowControl w:val="0"/>
                    <w:kinsoku/>
                    <w:wordWrap/>
                    <w:overflowPunct/>
                    <w:topLinePunct w:val="0"/>
                    <w:autoSpaceDE/>
                    <w:autoSpaceDN/>
                    <w:bidi w:val="0"/>
                    <w:spacing w:line="280" w:lineRule="exact"/>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耐火泥</w:t>
                  </w:r>
                </w:p>
              </w:tc>
              <w:tc>
                <w:tcPr>
                  <w:tcW w:w="1324" w:type="dxa"/>
                  <w:noWrap w:val="0"/>
                  <w:vAlign w:val="center"/>
                </w:tcPr>
                <w:p w14:paraId="77476702">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tc>
              <w:tc>
                <w:tcPr>
                  <w:tcW w:w="891" w:type="dxa"/>
                  <w:noWrap w:val="0"/>
                  <w:vAlign w:val="center"/>
                </w:tcPr>
                <w:p w14:paraId="064DD720">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t</w:t>
                  </w:r>
                </w:p>
              </w:tc>
              <w:tc>
                <w:tcPr>
                  <w:tcW w:w="1544" w:type="dxa"/>
                  <w:noWrap w:val="0"/>
                  <w:vAlign w:val="center"/>
                </w:tcPr>
                <w:p w14:paraId="3182AC6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rFonts w:hint="eastAsia"/>
                      <w:color w:val="auto"/>
                      <w:sz w:val="21"/>
                      <w:szCs w:val="21"/>
                      <w:highlight w:val="none"/>
                    </w:rPr>
                    <w:t>袋装，原料库</w:t>
                  </w:r>
                </w:p>
              </w:tc>
              <w:tc>
                <w:tcPr>
                  <w:tcW w:w="1708" w:type="dxa"/>
                  <w:noWrap w:val="0"/>
                  <w:vAlign w:val="center"/>
                </w:tcPr>
                <w:p w14:paraId="43957770">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2246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578D7A9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935" w:type="dxa"/>
                  <w:vMerge w:val="continue"/>
                  <w:noWrap w:val="0"/>
                  <w:vAlign w:val="center"/>
                </w:tcPr>
                <w:p w14:paraId="7B7CE6D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30E7EA70">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耐火砖</w:t>
                  </w:r>
                </w:p>
              </w:tc>
              <w:tc>
                <w:tcPr>
                  <w:tcW w:w="1324" w:type="dxa"/>
                  <w:noWrap w:val="0"/>
                  <w:vAlign w:val="center"/>
                </w:tcPr>
                <w:p w14:paraId="0B5B4755">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891" w:type="dxa"/>
                  <w:noWrap w:val="0"/>
                  <w:vAlign w:val="center"/>
                </w:tcPr>
                <w:p w14:paraId="5D5EC3BA">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highlight w:val="none"/>
                      <w:lang w:val="en-US" w:eastAsia="zh-CN"/>
                    </w:rPr>
                  </w:pPr>
                  <w:r>
                    <w:rPr>
                      <w:rFonts w:hint="eastAsia"/>
                      <w:color w:val="auto"/>
                      <w:highlight w:val="none"/>
                      <w:lang w:val="en-US" w:eastAsia="zh-CN"/>
                    </w:rPr>
                    <w:t>t</w:t>
                  </w:r>
                </w:p>
              </w:tc>
              <w:tc>
                <w:tcPr>
                  <w:tcW w:w="1544" w:type="dxa"/>
                  <w:noWrap w:val="0"/>
                  <w:vAlign w:val="center"/>
                </w:tcPr>
                <w:p w14:paraId="146A52E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olor w:val="auto"/>
                      <w:sz w:val="21"/>
                      <w:szCs w:val="21"/>
                      <w:highlight w:val="none"/>
                    </w:rPr>
                  </w:pPr>
                  <w:r>
                    <w:rPr>
                      <w:rFonts w:hint="eastAsia"/>
                      <w:color w:val="auto"/>
                      <w:sz w:val="21"/>
                      <w:szCs w:val="21"/>
                      <w:highlight w:val="none"/>
                    </w:rPr>
                    <w:t>袋装，原料库</w:t>
                  </w:r>
                </w:p>
              </w:tc>
              <w:tc>
                <w:tcPr>
                  <w:tcW w:w="1708" w:type="dxa"/>
                  <w:noWrap w:val="0"/>
                  <w:vAlign w:val="center"/>
                </w:tcPr>
                <w:p w14:paraId="18A0069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70C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2C9D5123">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935" w:type="dxa"/>
                  <w:vMerge w:val="continue"/>
                  <w:noWrap w:val="0"/>
                  <w:vAlign w:val="center"/>
                </w:tcPr>
                <w:p w14:paraId="78C941B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336CC813">
                  <w:pPr>
                    <w:keepNext w:val="0"/>
                    <w:keepLines w:val="0"/>
                    <w:pageBreakBefore w:val="0"/>
                    <w:widowControl w:val="0"/>
                    <w:kinsoku/>
                    <w:wordWrap/>
                    <w:overflowPunct/>
                    <w:topLinePunct w:val="0"/>
                    <w:autoSpaceDE/>
                    <w:autoSpaceDN/>
                    <w:bidi w:val="0"/>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邦尼树脂</w:t>
                  </w:r>
                </w:p>
              </w:tc>
              <w:tc>
                <w:tcPr>
                  <w:tcW w:w="1324" w:type="dxa"/>
                  <w:noWrap w:val="0"/>
                  <w:vAlign w:val="center"/>
                </w:tcPr>
                <w:p w14:paraId="1B1AB5D5">
                  <w:pPr>
                    <w:keepNext w:val="0"/>
                    <w:keepLines w:val="0"/>
                    <w:pageBreakBefore w:val="0"/>
                    <w:widowControl w:val="0"/>
                    <w:kinsoku/>
                    <w:wordWrap/>
                    <w:overflowPunct/>
                    <w:topLinePunct w:val="0"/>
                    <w:autoSpaceDE/>
                    <w:autoSpaceDN/>
                    <w:bidi w:val="0"/>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188</w:t>
                  </w:r>
                </w:p>
              </w:tc>
              <w:tc>
                <w:tcPr>
                  <w:tcW w:w="891" w:type="dxa"/>
                  <w:noWrap w:val="0"/>
                  <w:vAlign w:val="center"/>
                </w:tcPr>
                <w:p w14:paraId="6A27A689">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t</w:t>
                  </w:r>
                </w:p>
              </w:tc>
              <w:tc>
                <w:tcPr>
                  <w:tcW w:w="1544" w:type="dxa"/>
                  <w:noWrap w:val="0"/>
                  <w:vAlign w:val="center"/>
                </w:tcPr>
                <w:p w14:paraId="111D5CF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olor w:val="auto"/>
                      <w:sz w:val="21"/>
                      <w:szCs w:val="21"/>
                      <w:highlight w:val="none"/>
                    </w:rPr>
                  </w:pPr>
                  <w:r>
                    <w:rPr>
                      <w:rFonts w:hint="eastAsia"/>
                      <w:color w:val="auto"/>
                      <w:sz w:val="21"/>
                      <w:szCs w:val="21"/>
                      <w:highlight w:val="none"/>
                      <w:lang w:val="en-US" w:eastAsia="zh-CN"/>
                    </w:rPr>
                    <w:t>桶装</w:t>
                  </w:r>
                  <w:r>
                    <w:rPr>
                      <w:rFonts w:hint="eastAsia"/>
                      <w:color w:val="auto"/>
                      <w:sz w:val="21"/>
                      <w:szCs w:val="21"/>
                      <w:highlight w:val="none"/>
                    </w:rPr>
                    <w:t>，原料库</w:t>
                  </w:r>
                </w:p>
              </w:tc>
              <w:tc>
                <w:tcPr>
                  <w:tcW w:w="1708" w:type="dxa"/>
                  <w:noWrap w:val="0"/>
                  <w:vAlign w:val="center"/>
                </w:tcPr>
                <w:p w14:paraId="0117153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121C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492" w:type="dxa"/>
                  <w:noWrap w:val="0"/>
                  <w:vAlign w:val="center"/>
                </w:tcPr>
                <w:p w14:paraId="5D89D14B">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935" w:type="dxa"/>
                  <w:vMerge w:val="continue"/>
                  <w:noWrap w:val="0"/>
                  <w:vAlign w:val="center"/>
                </w:tcPr>
                <w:p w14:paraId="5E84412E">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313A2049">
                  <w:pPr>
                    <w:keepNext w:val="0"/>
                    <w:keepLines w:val="0"/>
                    <w:pageBreakBefore w:val="0"/>
                    <w:widowControl w:val="0"/>
                    <w:kinsoku/>
                    <w:wordWrap/>
                    <w:overflowPunct/>
                    <w:topLinePunct w:val="0"/>
                    <w:autoSpaceDE/>
                    <w:autoSpaceDN/>
                    <w:bidi w:val="0"/>
                    <w:spacing w:line="280" w:lineRule="exact"/>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聚苯乙烯板</w:t>
                  </w:r>
                </w:p>
              </w:tc>
              <w:tc>
                <w:tcPr>
                  <w:tcW w:w="1324" w:type="dxa"/>
                  <w:noWrap w:val="0"/>
                  <w:vAlign w:val="center"/>
                </w:tcPr>
                <w:p w14:paraId="4A088E84">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 w:val="21"/>
                      <w:szCs w:val="21"/>
                      <w:highlight w:val="none"/>
                      <w:lang w:val="en-US" w:eastAsia="zh-CN"/>
                    </w:rPr>
                  </w:pPr>
                  <w:r>
                    <w:rPr>
                      <w:rFonts w:hint="eastAsia"/>
                      <w:color w:val="auto"/>
                      <w:highlight w:val="none"/>
                      <w:lang w:val="en-US" w:eastAsia="zh-CN"/>
                    </w:rPr>
                    <w:t>9.214</w:t>
                  </w:r>
                </w:p>
              </w:tc>
              <w:tc>
                <w:tcPr>
                  <w:tcW w:w="891" w:type="dxa"/>
                  <w:noWrap w:val="0"/>
                  <w:vAlign w:val="center"/>
                </w:tcPr>
                <w:p w14:paraId="32025118">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t</w:t>
                  </w:r>
                </w:p>
              </w:tc>
              <w:tc>
                <w:tcPr>
                  <w:tcW w:w="1544" w:type="dxa"/>
                  <w:noWrap w:val="0"/>
                  <w:vAlign w:val="center"/>
                </w:tcPr>
                <w:p w14:paraId="74408FD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olor w:val="auto"/>
                      <w:sz w:val="21"/>
                      <w:szCs w:val="21"/>
                      <w:highlight w:val="none"/>
                    </w:rPr>
                  </w:pPr>
                  <w:r>
                    <w:rPr>
                      <w:rFonts w:hint="eastAsia"/>
                      <w:color w:val="auto"/>
                      <w:sz w:val="21"/>
                      <w:szCs w:val="21"/>
                      <w:highlight w:val="none"/>
                    </w:rPr>
                    <w:t>原料库</w:t>
                  </w:r>
                </w:p>
              </w:tc>
              <w:tc>
                <w:tcPr>
                  <w:tcW w:w="1708" w:type="dxa"/>
                  <w:noWrap w:val="0"/>
                  <w:vAlign w:val="center"/>
                </w:tcPr>
                <w:p w14:paraId="116D407D">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外购</w:t>
                  </w:r>
                </w:p>
              </w:tc>
            </w:tr>
            <w:tr w14:paraId="1682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492" w:type="dxa"/>
                  <w:noWrap w:val="0"/>
                  <w:vAlign w:val="center"/>
                </w:tcPr>
                <w:p w14:paraId="6A844719">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935" w:type="dxa"/>
                  <w:vMerge w:val="continue"/>
                  <w:noWrap w:val="0"/>
                  <w:vAlign w:val="center"/>
                </w:tcPr>
                <w:p w14:paraId="61945B3C">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p>
              </w:tc>
              <w:tc>
                <w:tcPr>
                  <w:tcW w:w="1543" w:type="dxa"/>
                  <w:noWrap w:val="0"/>
                  <w:vAlign w:val="center"/>
                </w:tcPr>
                <w:p w14:paraId="440A1AE4">
                  <w:pPr>
                    <w:keepNext w:val="0"/>
                    <w:keepLines w:val="0"/>
                    <w:pageBreakBefore w:val="0"/>
                    <w:widowControl w:val="0"/>
                    <w:kinsoku/>
                    <w:wordWrap/>
                    <w:overflowPunct/>
                    <w:topLinePunct w:val="0"/>
                    <w:autoSpaceDE/>
                    <w:autoSpaceDN/>
                    <w:bidi w:val="0"/>
                    <w:spacing w:line="28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水基涂料</w:t>
                  </w:r>
                </w:p>
              </w:tc>
              <w:tc>
                <w:tcPr>
                  <w:tcW w:w="1324" w:type="dxa"/>
                  <w:noWrap w:val="0"/>
                  <w:vAlign w:val="center"/>
                </w:tcPr>
                <w:p w14:paraId="79872F78">
                  <w:pPr>
                    <w:keepNext w:val="0"/>
                    <w:keepLines w:val="0"/>
                    <w:pageBreakBefore w:val="0"/>
                    <w:widowControl w:val="0"/>
                    <w:kinsoku/>
                    <w:wordWrap/>
                    <w:overflowPunct/>
                    <w:topLinePunct w:val="0"/>
                    <w:autoSpaceDE/>
                    <w:autoSpaceDN/>
                    <w:bidi w:val="0"/>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891" w:type="dxa"/>
                  <w:noWrap w:val="0"/>
                  <w:vAlign w:val="center"/>
                </w:tcPr>
                <w:p w14:paraId="2FA6150B">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t</w:t>
                  </w:r>
                </w:p>
              </w:tc>
              <w:tc>
                <w:tcPr>
                  <w:tcW w:w="1544" w:type="dxa"/>
                  <w:noWrap w:val="0"/>
                  <w:vAlign w:val="center"/>
                </w:tcPr>
                <w:p w14:paraId="4DCCB26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olor w:val="auto"/>
                      <w:sz w:val="21"/>
                      <w:szCs w:val="21"/>
                      <w:highlight w:val="none"/>
                      <w:lang w:val="en-US" w:eastAsia="zh-CN"/>
                    </w:rPr>
                  </w:pPr>
                  <w:r>
                    <w:rPr>
                      <w:rFonts w:hint="eastAsia"/>
                      <w:color w:val="auto"/>
                      <w:sz w:val="21"/>
                      <w:szCs w:val="21"/>
                      <w:highlight w:val="none"/>
                    </w:rPr>
                    <w:t>袋装，原料库</w:t>
                  </w:r>
                </w:p>
              </w:tc>
              <w:tc>
                <w:tcPr>
                  <w:tcW w:w="1708" w:type="dxa"/>
                  <w:noWrap w:val="0"/>
                  <w:vAlign w:val="center"/>
                </w:tcPr>
                <w:p w14:paraId="5CE931FF">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color w:val="auto"/>
                      <w:sz w:val="21"/>
                      <w:szCs w:val="21"/>
                      <w:highlight w:val="none"/>
                    </w:rPr>
                  </w:pPr>
                  <w:r>
                    <w:rPr>
                      <w:color w:val="auto"/>
                      <w:sz w:val="21"/>
                      <w:szCs w:val="21"/>
                      <w:highlight w:val="none"/>
                    </w:rPr>
                    <w:t>外购</w:t>
                  </w:r>
                </w:p>
              </w:tc>
            </w:tr>
            <w:tr w14:paraId="38EF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492" w:type="dxa"/>
                  <w:noWrap w:val="0"/>
                  <w:vAlign w:val="center"/>
                </w:tcPr>
                <w:p w14:paraId="235B60BA">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1</w:t>
                  </w:r>
                  <w:r>
                    <w:rPr>
                      <w:rFonts w:hint="eastAsia"/>
                      <w:color w:val="auto"/>
                      <w:sz w:val="21"/>
                      <w:szCs w:val="21"/>
                      <w:highlight w:val="none"/>
                      <w:lang w:val="en-US" w:eastAsia="zh-CN"/>
                    </w:rPr>
                    <w:t>3</w:t>
                  </w:r>
                </w:p>
              </w:tc>
              <w:tc>
                <w:tcPr>
                  <w:tcW w:w="935" w:type="dxa"/>
                  <w:vMerge w:val="restart"/>
                  <w:noWrap w:val="0"/>
                  <w:vAlign w:val="center"/>
                </w:tcPr>
                <w:p w14:paraId="11056239">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能源</w:t>
                  </w:r>
                </w:p>
              </w:tc>
              <w:tc>
                <w:tcPr>
                  <w:tcW w:w="1543" w:type="dxa"/>
                  <w:noWrap w:val="0"/>
                  <w:vAlign w:val="center"/>
                </w:tcPr>
                <w:p w14:paraId="619D7751">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水</w:t>
                  </w:r>
                </w:p>
              </w:tc>
              <w:tc>
                <w:tcPr>
                  <w:tcW w:w="1324" w:type="dxa"/>
                  <w:noWrap w:val="0"/>
                  <w:vAlign w:val="center"/>
                </w:tcPr>
                <w:p w14:paraId="423C775F">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5040</w:t>
                  </w:r>
                </w:p>
              </w:tc>
              <w:tc>
                <w:tcPr>
                  <w:tcW w:w="891" w:type="dxa"/>
                  <w:noWrap w:val="0"/>
                  <w:vAlign w:val="center"/>
                </w:tcPr>
                <w:p w14:paraId="61CF8EBA">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m</w:t>
                  </w:r>
                  <w:r>
                    <w:rPr>
                      <w:rFonts w:hint="eastAsia" w:eastAsia="宋体"/>
                      <w:color w:val="auto"/>
                      <w:sz w:val="21"/>
                      <w:szCs w:val="21"/>
                      <w:highlight w:val="none"/>
                      <w:vertAlign w:val="superscript"/>
                      <w:lang w:val="en-US" w:eastAsia="zh-CN"/>
                    </w:rPr>
                    <w:t>3</w:t>
                  </w:r>
                </w:p>
              </w:tc>
              <w:tc>
                <w:tcPr>
                  <w:tcW w:w="1544" w:type="dxa"/>
                  <w:noWrap w:val="0"/>
                  <w:vAlign w:val="center"/>
                </w:tcPr>
                <w:p w14:paraId="55DFC667">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708" w:type="dxa"/>
                  <w:noWrap w:val="0"/>
                  <w:vAlign w:val="center"/>
                </w:tcPr>
                <w:p w14:paraId="233E4078">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rFonts w:hint="eastAsia"/>
                      <w:color w:val="auto"/>
                      <w:sz w:val="21"/>
                      <w:szCs w:val="21"/>
                      <w:highlight w:val="none"/>
                    </w:rPr>
                    <w:t>自备井</w:t>
                  </w:r>
                </w:p>
              </w:tc>
            </w:tr>
            <w:tr w14:paraId="3B44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492" w:type="dxa"/>
                  <w:noWrap w:val="0"/>
                  <w:vAlign w:val="center"/>
                </w:tcPr>
                <w:p w14:paraId="0AAB2E15">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14</w:t>
                  </w:r>
                </w:p>
              </w:tc>
              <w:tc>
                <w:tcPr>
                  <w:tcW w:w="935" w:type="dxa"/>
                  <w:vMerge w:val="continue"/>
                  <w:noWrap w:val="0"/>
                  <w:vAlign w:val="center"/>
                </w:tcPr>
                <w:p w14:paraId="054D4BE2">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p>
              </w:tc>
              <w:tc>
                <w:tcPr>
                  <w:tcW w:w="1543" w:type="dxa"/>
                  <w:noWrap w:val="0"/>
                  <w:vAlign w:val="center"/>
                </w:tcPr>
                <w:p w14:paraId="7C763900">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color w:val="auto"/>
                      <w:sz w:val="21"/>
                      <w:szCs w:val="21"/>
                      <w:highlight w:val="none"/>
                    </w:rPr>
                    <w:t>电</w:t>
                  </w:r>
                </w:p>
              </w:tc>
              <w:tc>
                <w:tcPr>
                  <w:tcW w:w="1324" w:type="dxa"/>
                  <w:noWrap w:val="0"/>
                  <w:vAlign w:val="center"/>
                </w:tcPr>
                <w:p w14:paraId="7FF4F214">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126</w:t>
                  </w:r>
                </w:p>
              </w:tc>
              <w:tc>
                <w:tcPr>
                  <w:tcW w:w="891" w:type="dxa"/>
                  <w:noWrap w:val="0"/>
                  <w:vAlign w:val="center"/>
                </w:tcPr>
                <w:p w14:paraId="1EB8D553">
                  <w:pPr>
                    <w:keepNext w:val="0"/>
                    <w:keepLines w:val="0"/>
                    <w:pageBreakBefore w:val="0"/>
                    <w:widowControl w:val="0"/>
                    <w:kinsoku/>
                    <w:wordWrap/>
                    <w:overflowPunct/>
                    <w:topLinePunct w:val="0"/>
                    <w:autoSpaceDE/>
                    <w:autoSpaceDN/>
                    <w:bidi w:val="0"/>
                    <w:spacing w:line="280" w:lineRule="exact"/>
                    <w:jc w:val="center"/>
                    <w:textAlignment w:val="auto"/>
                    <w:rPr>
                      <w:color w:val="auto"/>
                      <w:sz w:val="21"/>
                      <w:szCs w:val="21"/>
                      <w:highlight w:val="none"/>
                    </w:rPr>
                  </w:pPr>
                  <w:r>
                    <w:rPr>
                      <w:rFonts w:hint="eastAsia"/>
                      <w:color w:val="auto"/>
                      <w:sz w:val="21"/>
                      <w:szCs w:val="21"/>
                      <w:highlight w:val="none"/>
                    </w:rPr>
                    <w:t>万</w:t>
                  </w:r>
                  <w:r>
                    <w:rPr>
                      <w:color w:val="auto"/>
                      <w:sz w:val="21"/>
                      <w:szCs w:val="21"/>
                      <w:highlight w:val="none"/>
                    </w:rPr>
                    <w:t>kWh</w:t>
                  </w:r>
                </w:p>
              </w:tc>
              <w:tc>
                <w:tcPr>
                  <w:tcW w:w="1544" w:type="dxa"/>
                  <w:noWrap w:val="0"/>
                  <w:vAlign w:val="center"/>
                </w:tcPr>
                <w:p w14:paraId="3D6D0423">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708" w:type="dxa"/>
                  <w:noWrap w:val="0"/>
                  <w:vAlign w:val="center"/>
                </w:tcPr>
                <w:p w14:paraId="75FB2A0C">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京城集团变电站</w:t>
                  </w:r>
                </w:p>
              </w:tc>
            </w:tr>
          </w:tbl>
          <w:p w14:paraId="75DA7DED">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3、物料平衡</w:t>
            </w:r>
          </w:p>
          <w:p w14:paraId="54CFDAC2">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b w:val="0"/>
                <w:bCs/>
                <w:color w:val="auto"/>
                <w:sz w:val="24"/>
                <w:szCs w:val="24"/>
                <w:highlight w:val="none"/>
                <w:lang w:val="en-US" w:eastAsia="zh-CN"/>
              </w:rPr>
            </w:pPr>
            <w:r>
              <w:rPr>
                <w:rFonts w:hint="eastAsia"/>
                <w:color w:val="auto"/>
                <w:sz w:val="24"/>
                <w:szCs w:val="24"/>
                <w:highlight w:val="none"/>
                <w:lang w:val="en-US" w:eastAsia="zh-CN"/>
              </w:rPr>
              <w:t>本项目原辅材料主要为外购的废钢、</w:t>
            </w:r>
            <w:r>
              <w:rPr>
                <w:rFonts w:hint="eastAsia" w:ascii="Times New Roman" w:hAnsi="Times New Roman" w:cs="Times New Roman"/>
                <w:color w:val="auto"/>
                <w:sz w:val="24"/>
                <w:szCs w:val="24"/>
                <w:highlight w:val="none"/>
                <w:lang w:val="en-US" w:eastAsia="zh-CN"/>
              </w:rPr>
              <w:t>锰铁</w:t>
            </w:r>
            <w:r>
              <w:rPr>
                <w:rFonts w:hint="eastAsia"/>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铬铁</w:t>
            </w:r>
            <w:r>
              <w:rPr>
                <w:rFonts w:hint="eastAsia"/>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钼铁</w:t>
            </w:r>
            <w:r>
              <w:rPr>
                <w:rFonts w:hint="eastAsia"/>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镍钨合金</w:t>
            </w:r>
            <w:r>
              <w:rPr>
                <w:rFonts w:hint="eastAsia"/>
                <w:color w:val="auto"/>
                <w:sz w:val="24"/>
                <w:szCs w:val="24"/>
                <w:highlight w:val="none"/>
                <w:lang w:val="en-US" w:eastAsia="zh-CN"/>
              </w:rPr>
              <w:t>、</w:t>
            </w:r>
            <w:r>
              <w:rPr>
                <w:rFonts w:hint="eastAsia"/>
                <w:color w:val="auto"/>
                <w:sz w:val="24"/>
                <w:szCs w:val="24"/>
                <w:highlight w:val="none"/>
                <w:lang w:eastAsia="zh-CN"/>
              </w:rPr>
              <w:t>稀土硅</w:t>
            </w:r>
            <w:r>
              <w:rPr>
                <w:rFonts w:hint="eastAsia"/>
                <w:color w:val="auto"/>
                <w:sz w:val="24"/>
                <w:szCs w:val="24"/>
                <w:highlight w:val="none"/>
                <w:lang w:val="en-US" w:eastAsia="zh-CN"/>
              </w:rPr>
              <w:t>。</w:t>
            </w:r>
          </w:p>
          <w:p w14:paraId="0780ADE9">
            <w:pPr>
              <w:pStyle w:val="1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b w:val="0"/>
                <w:bCs/>
                <w:color w:val="auto"/>
                <w:sz w:val="24"/>
                <w:szCs w:val="24"/>
                <w:highlight w:val="none"/>
                <w:lang w:val="en-US" w:eastAsia="zh-CN"/>
              </w:rPr>
            </w:pPr>
            <w:r>
              <w:rPr>
                <w:rFonts w:hint="eastAsia"/>
                <w:b w:val="0"/>
                <w:bCs/>
                <w:color w:val="auto"/>
                <w:sz w:val="24"/>
                <w:szCs w:val="24"/>
                <w:highlight w:val="none"/>
                <w:lang w:val="en-US" w:eastAsia="zh-CN"/>
              </w:rPr>
              <w:t>表2-4 物料平衡</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099"/>
              <w:gridCol w:w="2104"/>
              <w:gridCol w:w="2101"/>
              <w:gridCol w:w="2105"/>
            </w:tblGrid>
            <w:tr w14:paraId="6F9ED6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78" w:hRule="atLeast"/>
                <w:jc w:val="center"/>
              </w:trPr>
              <w:tc>
                <w:tcPr>
                  <w:tcW w:w="2499" w:type="pct"/>
                  <w:gridSpan w:val="2"/>
                  <w:noWrap w:val="0"/>
                  <w:vAlign w:val="center"/>
                </w:tcPr>
                <w:p w14:paraId="7FFEB0E1">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eastAsia="zh-CN"/>
                    </w:rPr>
                    <w:t>物料来源</w:t>
                  </w:r>
                </w:p>
              </w:tc>
              <w:tc>
                <w:tcPr>
                  <w:tcW w:w="2500" w:type="pct"/>
                  <w:gridSpan w:val="2"/>
                  <w:noWrap w:val="0"/>
                  <w:vAlign w:val="center"/>
                </w:tcPr>
                <w:p w14:paraId="14A7E104">
                  <w:pPr>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物料去向</w:t>
                  </w:r>
                </w:p>
              </w:tc>
            </w:tr>
            <w:tr w14:paraId="47BA15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bottom w:val="single" w:color="auto" w:sz="12" w:space="0"/>
                  </w:tcBorders>
                  <w:noWrap w:val="0"/>
                  <w:vAlign w:val="center"/>
                </w:tcPr>
                <w:p w14:paraId="77537C18">
                  <w:pPr>
                    <w:pStyle w:val="26"/>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名称</w:t>
                  </w:r>
                </w:p>
              </w:tc>
              <w:tc>
                <w:tcPr>
                  <w:tcW w:w="1251" w:type="pct"/>
                  <w:tcBorders>
                    <w:bottom w:val="single" w:color="auto" w:sz="12" w:space="0"/>
                  </w:tcBorders>
                  <w:noWrap w:val="0"/>
                  <w:vAlign w:val="center"/>
                </w:tcPr>
                <w:p w14:paraId="74D4B2CD">
                  <w:pPr>
                    <w:pStyle w:val="26"/>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数量（t）</w:t>
                  </w:r>
                </w:p>
              </w:tc>
              <w:tc>
                <w:tcPr>
                  <w:tcW w:w="1249" w:type="pct"/>
                  <w:tcBorders>
                    <w:bottom w:val="single" w:color="auto" w:sz="12" w:space="0"/>
                  </w:tcBorders>
                  <w:noWrap w:val="0"/>
                  <w:vAlign w:val="center"/>
                </w:tcPr>
                <w:p w14:paraId="0A445DD0">
                  <w:pPr>
                    <w:pStyle w:val="26"/>
                    <w:rPr>
                      <w:rFonts w:hint="default" w:ascii="Times New Roman" w:hAnsi="Times New Roman" w:eastAsia="宋体" w:cs="Times New Roman"/>
                      <w:b/>
                      <w:bCs/>
                      <w:color w:val="auto"/>
                      <w:kern w:val="44"/>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名称</w:t>
                  </w:r>
                </w:p>
              </w:tc>
              <w:tc>
                <w:tcPr>
                  <w:tcW w:w="1251" w:type="pct"/>
                  <w:tcBorders>
                    <w:bottom w:val="single" w:color="auto" w:sz="12" w:space="0"/>
                  </w:tcBorders>
                  <w:noWrap w:val="0"/>
                  <w:vAlign w:val="center"/>
                </w:tcPr>
                <w:p w14:paraId="41345A61">
                  <w:pPr>
                    <w:pStyle w:val="26"/>
                    <w:rPr>
                      <w:rFonts w:hint="default" w:ascii="Times New Roman" w:hAnsi="Times New Roman" w:eastAsia="宋体" w:cs="Times New Roman"/>
                      <w:b/>
                      <w:bCs/>
                      <w:color w:val="auto"/>
                      <w:kern w:val="44"/>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数量（t）</w:t>
                  </w:r>
                </w:p>
              </w:tc>
            </w:tr>
            <w:tr w14:paraId="33DB1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op w:val="single" w:color="auto" w:sz="12" w:space="0"/>
                    <w:tl2br w:val="nil"/>
                    <w:tr2bl w:val="nil"/>
                  </w:tcBorders>
                  <w:noWrap w:val="0"/>
                  <w:vAlign w:val="center"/>
                </w:tcPr>
                <w:p w14:paraId="335F24E5">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废钢</w:t>
                  </w:r>
                </w:p>
              </w:tc>
              <w:tc>
                <w:tcPr>
                  <w:tcW w:w="1251" w:type="pct"/>
                  <w:tcBorders>
                    <w:top w:val="single" w:color="auto" w:sz="12" w:space="0"/>
                    <w:tl2br w:val="nil"/>
                    <w:tr2bl w:val="nil"/>
                  </w:tcBorders>
                  <w:noWrap w:val="0"/>
                  <w:vAlign w:val="center"/>
                </w:tcPr>
                <w:p w14:paraId="18B1C7A0">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1338</w:t>
                  </w:r>
                </w:p>
              </w:tc>
              <w:tc>
                <w:tcPr>
                  <w:tcW w:w="1249" w:type="pct"/>
                  <w:tcBorders>
                    <w:top w:val="single" w:color="auto" w:sz="12" w:space="0"/>
                    <w:tl2br w:val="nil"/>
                    <w:tr2bl w:val="nil"/>
                  </w:tcBorders>
                  <w:noWrap w:val="0"/>
                  <w:vAlign w:val="center"/>
                </w:tcPr>
                <w:p w14:paraId="02C7218A">
                  <w:pPr>
                    <w:pStyle w:val="2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渣浆泵过流件</w:t>
                  </w:r>
                </w:p>
              </w:tc>
              <w:tc>
                <w:tcPr>
                  <w:tcW w:w="1251" w:type="pct"/>
                  <w:tcBorders>
                    <w:top w:val="single" w:color="auto" w:sz="12" w:space="0"/>
                    <w:tl2br w:val="nil"/>
                    <w:tr2bl w:val="nil"/>
                  </w:tcBorders>
                  <w:noWrap w:val="0"/>
                  <w:vAlign w:val="center"/>
                </w:tcPr>
                <w:p w14:paraId="2EB11238">
                  <w:pPr>
                    <w:pStyle w:val="26"/>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2000</w:t>
                  </w:r>
                </w:p>
              </w:tc>
            </w:tr>
            <w:tr w14:paraId="202941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l2br w:val="nil"/>
                    <w:tr2bl w:val="nil"/>
                  </w:tcBorders>
                  <w:noWrap w:val="0"/>
                  <w:vAlign w:val="center"/>
                </w:tcPr>
                <w:p w14:paraId="0DE29A3F">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锰铁</w:t>
                  </w:r>
                </w:p>
              </w:tc>
              <w:tc>
                <w:tcPr>
                  <w:tcW w:w="1251" w:type="pct"/>
                  <w:tcBorders>
                    <w:tl2br w:val="nil"/>
                    <w:tr2bl w:val="nil"/>
                  </w:tcBorders>
                  <w:noWrap w:val="0"/>
                  <w:vAlign w:val="center"/>
                </w:tcPr>
                <w:p w14:paraId="16E51CE2">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49.8</w:t>
                  </w:r>
                </w:p>
              </w:tc>
              <w:tc>
                <w:tcPr>
                  <w:tcW w:w="1249" w:type="pct"/>
                  <w:tcBorders>
                    <w:tl2br w:val="nil"/>
                    <w:tr2bl w:val="nil"/>
                  </w:tcBorders>
                  <w:noWrap w:val="0"/>
                  <w:vAlign w:val="center"/>
                </w:tcPr>
                <w:p w14:paraId="636F4D12">
                  <w:pPr>
                    <w:pStyle w:val="26"/>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炉渣</w:t>
                  </w:r>
                </w:p>
              </w:tc>
              <w:tc>
                <w:tcPr>
                  <w:tcW w:w="1251" w:type="pct"/>
                  <w:tcBorders>
                    <w:tl2br w:val="nil"/>
                    <w:tr2bl w:val="nil"/>
                  </w:tcBorders>
                  <w:noWrap w:val="0"/>
                  <w:vAlign w:val="center"/>
                </w:tcPr>
                <w:p w14:paraId="709CEB5C">
                  <w:pPr>
                    <w:pStyle w:val="26"/>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19.3</w:t>
                  </w:r>
                </w:p>
              </w:tc>
            </w:tr>
            <w:tr w14:paraId="4161B1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l2br w:val="nil"/>
                    <w:tr2bl w:val="nil"/>
                  </w:tcBorders>
                  <w:noWrap w:val="0"/>
                  <w:vAlign w:val="center"/>
                </w:tcPr>
                <w:p w14:paraId="00DEE4EB">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铬铁</w:t>
                  </w:r>
                </w:p>
              </w:tc>
              <w:tc>
                <w:tcPr>
                  <w:tcW w:w="1251" w:type="pct"/>
                  <w:tcBorders>
                    <w:tl2br w:val="nil"/>
                    <w:tr2bl w:val="nil"/>
                  </w:tcBorders>
                  <w:noWrap w:val="0"/>
                  <w:vAlign w:val="center"/>
                </w:tcPr>
                <w:p w14:paraId="2E65BF01">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612</w:t>
                  </w:r>
                </w:p>
              </w:tc>
              <w:tc>
                <w:tcPr>
                  <w:tcW w:w="1249" w:type="pct"/>
                  <w:tcBorders>
                    <w:tl2br w:val="nil"/>
                    <w:tr2bl w:val="nil"/>
                  </w:tcBorders>
                  <w:noWrap w:val="0"/>
                  <w:vAlign w:val="center"/>
                </w:tcPr>
                <w:p w14:paraId="4083BD2C">
                  <w:pPr>
                    <w:pStyle w:val="26"/>
                    <w:rPr>
                      <w:rFonts w:hint="default" w:ascii="Times New Roman" w:hAnsi="Times New Roman" w:eastAsia="宋体" w:cs="Times New Roman"/>
                      <w:bCs/>
                      <w:color w:val="auto"/>
                      <w:sz w:val="21"/>
                      <w:szCs w:val="21"/>
                      <w:highlight w:val="none"/>
                      <w:lang w:val="en-US" w:eastAsia="zh-CN"/>
                    </w:rPr>
                  </w:pPr>
                </w:p>
              </w:tc>
              <w:tc>
                <w:tcPr>
                  <w:tcW w:w="1251" w:type="pct"/>
                  <w:tcBorders>
                    <w:tl2br w:val="nil"/>
                    <w:tr2bl w:val="nil"/>
                  </w:tcBorders>
                  <w:noWrap w:val="0"/>
                  <w:vAlign w:val="center"/>
                </w:tcPr>
                <w:p w14:paraId="5E739B12">
                  <w:pPr>
                    <w:pStyle w:val="26"/>
                    <w:rPr>
                      <w:rFonts w:hint="default" w:ascii="Times New Roman" w:hAnsi="Times New Roman" w:eastAsia="宋体" w:cs="Times New Roman"/>
                      <w:b w:val="0"/>
                      <w:bCs w:val="0"/>
                      <w:color w:val="auto"/>
                      <w:sz w:val="21"/>
                      <w:szCs w:val="21"/>
                      <w:highlight w:val="none"/>
                      <w:lang w:val="en-US" w:eastAsia="zh-CN"/>
                    </w:rPr>
                  </w:pPr>
                </w:p>
              </w:tc>
            </w:tr>
            <w:tr w14:paraId="45334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l2br w:val="nil"/>
                    <w:tr2bl w:val="nil"/>
                  </w:tcBorders>
                  <w:noWrap w:val="0"/>
                  <w:vAlign w:val="center"/>
                </w:tcPr>
                <w:p w14:paraId="0A704533">
                  <w:pPr>
                    <w:keepNext w:val="0"/>
                    <w:keepLines w:val="0"/>
                    <w:pageBreakBefore w:val="0"/>
                    <w:widowControl w:val="0"/>
                    <w:kinsoku/>
                    <w:wordWrap/>
                    <w:overflowPunct/>
                    <w:topLinePunct w:val="0"/>
                    <w:autoSpaceDE/>
                    <w:autoSpaceDN/>
                    <w:bidi w:val="0"/>
                    <w:spacing w:line="280" w:lineRule="exact"/>
                    <w:jc w:val="center"/>
                    <w:textAlignment w:val="auto"/>
                    <w:rPr>
                      <w:rFonts w:hint="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钼铁</w:t>
                  </w:r>
                </w:p>
              </w:tc>
              <w:tc>
                <w:tcPr>
                  <w:tcW w:w="1251" w:type="pct"/>
                  <w:tcBorders>
                    <w:tl2br w:val="nil"/>
                    <w:tr2bl w:val="nil"/>
                  </w:tcBorders>
                  <w:noWrap w:val="0"/>
                  <w:vAlign w:val="center"/>
                </w:tcPr>
                <w:p w14:paraId="05649382">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1249" w:type="pct"/>
                  <w:tcBorders>
                    <w:tl2br w:val="nil"/>
                    <w:tr2bl w:val="nil"/>
                  </w:tcBorders>
                  <w:noWrap w:val="0"/>
                  <w:vAlign w:val="center"/>
                </w:tcPr>
                <w:p w14:paraId="219A16C2">
                  <w:pPr>
                    <w:pStyle w:val="26"/>
                    <w:rPr>
                      <w:rFonts w:hint="default" w:ascii="Times New Roman" w:hAnsi="Times New Roman" w:eastAsia="宋体" w:cs="Times New Roman"/>
                      <w:bCs/>
                      <w:color w:val="auto"/>
                      <w:sz w:val="21"/>
                      <w:szCs w:val="21"/>
                      <w:highlight w:val="none"/>
                      <w:lang w:val="en-US" w:eastAsia="zh-CN"/>
                    </w:rPr>
                  </w:pPr>
                </w:p>
              </w:tc>
              <w:tc>
                <w:tcPr>
                  <w:tcW w:w="1251" w:type="pct"/>
                  <w:tcBorders>
                    <w:tl2br w:val="nil"/>
                    <w:tr2bl w:val="nil"/>
                  </w:tcBorders>
                  <w:noWrap w:val="0"/>
                  <w:vAlign w:val="center"/>
                </w:tcPr>
                <w:p w14:paraId="311F57D3">
                  <w:pPr>
                    <w:pStyle w:val="26"/>
                    <w:rPr>
                      <w:rFonts w:hint="eastAsia" w:ascii="Times New Roman" w:hAnsi="Times New Roman" w:eastAsia="宋体" w:cs="Times New Roman"/>
                      <w:b w:val="0"/>
                      <w:bCs w:val="0"/>
                      <w:color w:val="auto"/>
                      <w:sz w:val="21"/>
                      <w:szCs w:val="21"/>
                      <w:highlight w:val="none"/>
                      <w:lang w:val="en-US" w:eastAsia="zh-CN"/>
                    </w:rPr>
                  </w:pPr>
                </w:p>
              </w:tc>
            </w:tr>
            <w:tr w14:paraId="0FE9BB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l2br w:val="nil"/>
                    <w:tr2bl w:val="nil"/>
                  </w:tcBorders>
                  <w:noWrap w:val="0"/>
                  <w:vAlign w:val="center"/>
                </w:tcPr>
                <w:p w14:paraId="4EE4E6E8">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镍钨合金</w:t>
                  </w:r>
                </w:p>
              </w:tc>
              <w:tc>
                <w:tcPr>
                  <w:tcW w:w="1251" w:type="pct"/>
                  <w:tcBorders>
                    <w:tl2br w:val="nil"/>
                    <w:tr2bl w:val="nil"/>
                  </w:tcBorders>
                  <w:noWrap w:val="0"/>
                  <w:vAlign w:val="center"/>
                </w:tcPr>
                <w:p w14:paraId="6238900F">
                  <w:pPr>
                    <w:keepNext w:val="0"/>
                    <w:keepLines w:val="0"/>
                    <w:pageBreakBefore w:val="0"/>
                    <w:widowControl w:val="0"/>
                    <w:kinsoku/>
                    <w:wordWrap/>
                    <w:overflowPunct/>
                    <w:topLinePunct w:val="0"/>
                    <w:autoSpaceDE/>
                    <w:autoSpaceDN/>
                    <w:bidi w:val="0"/>
                    <w:spacing w:line="280" w:lineRule="exact"/>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8</w:t>
                  </w:r>
                </w:p>
              </w:tc>
              <w:tc>
                <w:tcPr>
                  <w:tcW w:w="1249" w:type="pct"/>
                  <w:tcBorders>
                    <w:tl2br w:val="nil"/>
                    <w:tr2bl w:val="nil"/>
                  </w:tcBorders>
                  <w:noWrap w:val="0"/>
                  <w:vAlign w:val="center"/>
                </w:tcPr>
                <w:p w14:paraId="3A73035B">
                  <w:pPr>
                    <w:pStyle w:val="26"/>
                    <w:rPr>
                      <w:rFonts w:hint="default" w:ascii="Times New Roman" w:hAnsi="Times New Roman" w:eastAsia="宋体" w:cs="Times New Roman"/>
                      <w:bCs/>
                      <w:color w:val="auto"/>
                      <w:sz w:val="21"/>
                      <w:szCs w:val="21"/>
                      <w:highlight w:val="none"/>
                      <w:lang w:val="en-US" w:eastAsia="zh-CN"/>
                    </w:rPr>
                  </w:pPr>
                </w:p>
              </w:tc>
              <w:tc>
                <w:tcPr>
                  <w:tcW w:w="1251" w:type="pct"/>
                  <w:tcBorders>
                    <w:tl2br w:val="nil"/>
                    <w:tr2bl w:val="nil"/>
                  </w:tcBorders>
                  <w:noWrap w:val="0"/>
                  <w:vAlign w:val="center"/>
                </w:tcPr>
                <w:p w14:paraId="34946510">
                  <w:pPr>
                    <w:pStyle w:val="26"/>
                    <w:rPr>
                      <w:rFonts w:hint="eastAsia" w:ascii="Times New Roman" w:hAnsi="Times New Roman" w:eastAsia="宋体" w:cs="Times New Roman"/>
                      <w:b w:val="0"/>
                      <w:bCs w:val="0"/>
                      <w:color w:val="auto"/>
                      <w:sz w:val="21"/>
                      <w:szCs w:val="21"/>
                      <w:highlight w:val="none"/>
                      <w:lang w:val="en-US" w:eastAsia="zh-CN"/>
                    </w:rPr>
                  </w:pPr>
                </w:p>
              </w:tc>
            </w:tr>
            <w:tr w14:paraId="4E0178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248" w:type="pct"/>
                  <w:tcBorders>
                    <w:tl2br w:val="nil"/>
                    <w:tr2bl w:val="nil"/>
                  </w:tcBorders>
                  <w:noWrap w:val="0"/>
                  <w:vAlign w:val="center"/>
                </w:tcPr>
                <w:p w14:paraId="4D2B648B">
                  <w:pPr>
                    <w:keepNext w:val="0"/>
                    <w:keepLines w:val="0"/>
                    <w:pageBreakBefore w:val="0"/>
                    <w:widowControl w:val="0"/>
                    <w:kinsoku/>
                    <w:wordWrap/>
                    <w:overflowPunct/>
                    <w:topLinePunct w:val="0"/>
                    <w:autoSpaceDE/>
                    <w:autoSpaceDN/>
                    <w:bidi w:val="0"/>
                    <w:spacing w:line="280" w:lineRule="exact"/>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color w:val="auto"/>
                      <w:sz w:val="21"/>
                      <w:szCs w:val="21"/>
                      <w:highlight w:val="none"/>
                      <w:lang w:eastAsia="zh-CN"/>
                    </w:rPr>
                    <w:t>稀土硅</w:t>
                  </w:r>
                </w:p>
              </w:tc>
              <w:tc>
                <w:tcPr>
                  <w:tcW w:w="1251" w:type="pct"/>
                  <w:tcBorders>
                    <w:tl2br w:val="nil"/>
                    <w:tr2bl w:val="nil"/>
                  </w:tcBorders>
                  <w:noWrap w:val="0"/>
                  <w:vAlign w:val="center"/>
                </w:tcPr>
                <w:p w14:paraId="7556AAB7">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w:t>
                  </w:r>
                </w:p>
              </w:tc>
              <w:tc>
                <w:tcPr>
                  <w:tcW w:w="1249" w:type="pct"/>
                  <w:tcBorders>
                    <w:tl2br w:val="nil"/>
                    <w:tr2bl w:val="nil"/>
                  </w:tcBorders>
                  <w:noWrap w:val="0"/>
                  <w:vAlign w:val="center"/>
                </w:tcPr>
                <w:p w14:paraId="0369C6CC">
                  <w:pPr>
                    <w:pStyle w:val="26"/>
                    <w:rPr>
                      <w:rFonts w:hint="default" w:ascii="Times New Roman" w:hAnsi="Times New Roman" w:eastAsia="宋体" w:cs="Times New Roman"/>
                      <w:bCs/>
                      <w:color w:val="auto"/>
                      <w:sz w:val="21"/>
                      <w:szCs w:val="21"/>
                      <w:highlight w:val="none"/>
                      <w:lang w:val="en-US" w:eastAsia="zh-CN"/>
                    </w:rPr>
                  </w:pPr>
                </w:p>
              </w:tc>
              <w:tc>
                <w:tcPr>
                  <w:tcW w:w="1251" w:type="pct"/>
                  <w:tcBorders>
                    <w:tl2br w:val="nil"/>
                    <w:tr2bl w:val="nil"/>
                  </w:tcBorders>
                  <w:noWrap w:val="0"/>
                  <w:vAlign w:val="center"/>
                </w:tcPr>
                <w:p w14:paraId="2AE90607">
                  <w:pPr>
                    <w:pStyle w:val="26"/>
                    <w:rPr>
                      <w:rFonts w:hint="eastAsia" w:ascii="Times New Roman" w:hAnsi="Times New Roman" w:eastAsia="宋体" w:cs="Times New Roman"/>
                      <w:b w:val="0"/>
                      <w:bCs w:val="0"/>
                      <w:color w:val="auto"/>
                      <w:sz w:val="21"/>
                      <w:szCs w:val="21"/>
                      <w:highlight w:val="none"/>
                      <w:lang w:val="en-US" w:eastAsia="zh-CN"/>
                    </w:rPr>
                  </w:pPr>
                </w:p>
              </w:tc>
            </w:tr>
          </w:tbl>
          <w:p w14:paraId="0BF6D2BE">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b/>
                <w:bCs/>
                <w:color w:val="auto"/>
                <w:sz w:val="24"/>
                <w:highlight w:val="none"/>
              </w:rPr>
            </w:pPr>
            <w:r>
              <w:rPr>
                <w:rFonts w:hint="eastAsia"/>
                <w:b/>
                <w:bCs/>
                <w:color w:val="auto"/>
                <w:sz w:val="24"/>
                <w:highlight w:val="none"/>
                <w:lang w:val="en-US" w:eastAsia="zh-CN"/>
              </w:rPr>
              <w:t>4、</w:t>
            </w:r>
            <w:r>
              <w:rPr>
                <w:b/>
                <w:bCs/>
                <w:color w:val="auto"/>
                <w:sz w:val="24"/>
                <w:highlight w:val="none"/>
              </w:rPr>
              <w:t>劳动定员及工作制度</w:t>
            </w:r>
          </w:p>
          <w:p w14:paraId="00880F17">
            <w:pPr>
              <w:spacing w:line="480" w:lineRule="exact"/>
              <w:ind w:firstLine="480" w:firstLineChars="200"/>
              <w:rPr>
                <w:rFonts w:hint="eastAsia" w:eastAsia="宋体"/>
                <w:color w:val="auto"/>
                <w:sz w:val="24"/>
                <w:highlight w:val="none"/>
                <w:lang w:eastAsia="zh-CN"/>
              </w:rPr>
            </w:pPr>
            <w:r>
              <w:rPr>
                <w:color w:val="auto"/>
                <w:sz w:val="24"/>
                <w:highlight w:val="none"/>
              </w:rPr>
              <w:t>本项目无新增劳动定员。</w:t>
            </w:r>
            <w:r>
              <w:rPr>
                <w:rFonts w:hint="eastAsia"/>
                <w:color w:val="auto"/>
                <w:sz w:val="24"/>
                <w:szCs w:val="24"/>
                <w:highlight w:val="none"/>
                <w:lang w:eastAsia="zh-CN"/>
              </w:rPr>
              <w:t>全场</w:t>
            </w:r>
            <w:r>
              <w:rPr>
                <w:rFonts w:eastAsia="宋体"/>
                <w:color w:val="auto"/>
                <w:sz w:val="24"/>
                <w:szCs w:val="24"/>
                <w:highlight w:val="none"/>
                <w:lang w:val="en-GB"/>
              </w:rPr>
              <w:t>人力资源配置共需</w:t>
            </w:r>
            <w:r>
              <w:rPr>
                <w:rFonts w:hint="eastAsia" w:eastAsia="宋体"/>
                <w:color w:val="auto"/>
                <w:sz w:val="24"/>
                <w:szCs w:val="24"/>
                <w:highlight w:val="none"/>
                <w:lang w:val="en-US" w:eastAsia="zh-CN"/>
              </w:rPr>
              <w:t>12</w:t>
            </w:r>
            <w:r>
              <w:rPr>
                <w:rFonts w:eastAsia="宋体"/>
                <w:color w:val="auto"/>
                <w:sz w:val="24"/>
                <w:szCs w:val="24"/>
                <w:highlight w:val="none"/>
                <w:lang w:val="en-GB"/>
              </w:rPr>
              <w:t>0人，其中：生产工人</w:t>
            </w:r>
            <w:r>
              <w:rPr>
                <w:rFonts w:hint="eastAsia" w:eastAsia="宋体"/>
                <w:color w:val="auto"/>
                <w:sz w:val="24"/>
                <w:szCs w:val="24"/>
                <w:highlight w:val="none"/>
                <w:lang w:val="en-US" w:eastAsia="zh-CN"/>
              </w:rPr>
              <w:t>95</w:t>
            </w:r>
            <w:r>
              <w:rPr>
                <w:rFonts w:eastAsia="宋体"/>
                <w:color w:val="auto"/>
                <w:sz w:val="24"/>
                <w:szCs w:val="24"/>
                <w:highlight w:val="none"/>
                <w:lang w:val="en-GB"/>
              </w:rPr>
              <w:t>人，管理</w:t>
            </w:r>
            <w:r>
              <w:rPr>
                <w:rFonts w:hint="eastAsia" w:eastAsia="宋体"/>
                <w:color w:val="auto"/>
                <w:sz w:val="24"/>
                <w:szCs w:val="24"/>
                <w:highlight w:val="none"/>
                <w:lang w:val="en-US" w:eastAsia="zh-CN"/>
              </w:rPr>
              <w:t>及</w:t>
            </w:r>
            <w:r>
              <w:rPr>
                <w:rFonts w:eastAsia="宋体"/>
                <w:color w:val="auto"/>
                <w:sz w:val="24"/>
                <w:szCs w:val="24"/>
                <w:highlight w:val="none"/>
                <w:lang w:val="en-GB"/>
              </w:rPr>
              <w:t>服务人员</w:t>
            </w:r>
            <w:r>
              <w:rPr>
                <w:rFonts w:hint="eastAsia" w:eastAsia="宋体"/>
                <w:color w:val="auto"/>
                <w:sz w:val="24"/>
                <w:szCs w:val="24"/>
                <w:highlight w:val="none"/>
                <w:lang w:val="en-US" w:eastAsia="zh-CN"/>
              </w:rPr>
              <w:t>25</w:t>
            </w:r>
            <w:r>
              <w:rPr>
                <w:rFonts w:eastAsia="宋体"/>
                <w:color w:val="auto"/>
                <w:sz w:val="24"/>
                <w:szCs w:val="24"/>
                <w:highlight w:val="none"/>
                <w:lang w:val="en-GB"/>
              </w:rPr>
              <w:t>人。采取三班倒，每班8小时工作制度，年工作时间</w:t>
            </w:r>
            <w:r>
              <w:rPr>
                <w:rFonts w:hint="eastAsia" w:eastAsia="宋体"/>
                <w:color w:val="auto"/>
                <w:sz w:val="24"/>
                <w:szCs w:val="24"/>
                <w:highlight w:val="none"/>
                <w:lang w:eastAsia="zh-CN"/>
              </w:rPr>
              <w:t>300</w:t>
            </w:r>
            <w:r>
              <w:rPr>
                <w:rFonts w:eastAsia="宋体"/>
                <w:color w:val="auto"/>
                <w:sz w:val="24"/>
                <w:szCs w:val="24"/>
                <w:highlight w:val="none"/>
                <w:lang w:val="en-GB"/>
              </w:rPr>
              <w:t>天</w:t>
            </w:r>
            <w:r>
              <w:rPr>
                <w:rFonts w:hint="eastAsia" w:eastAsia="宋体"/>
                <w:color w:val="auto"/>
                <w:sz w:val="24"/>
                <w:szCs w:val="24"/>
                <w:highlight w:val="none"/>
                <w:lang w:val="en-GB" w:eastAsia="zh-CN"/>
              </w:rPr>
              <w:t>。</w:t>
            </w:r>
          </w:p>
          <w:p w14:paraId="24404B64">
            <w:pPr>
              <w:numPr>
                <w:ilvl w:val="0"/>
                <w:numId w:val="0"/>
              </w:numPr>
              <w:spacing w:line="360" w:lineRule="auto"/>
              <w:ind w:leftChars="0"/>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bCs/>
                <w:color w:val="auto"/>
                <w:sz w:val="24"/>
                <w:szCs w:val="24"/>
                <w:highlight w:val="none"/>
                <w:lang w:eastAsia="zh-CN"/>
              </w:rPr>
              <w:t>二、</w:t>
            </w:r>
            <w:r>
              <w:rPr>
                <w:rFonts w:hint="default" w:ascii="Times New Roman" w:hAnsi="Times New Roman" w:eastAsia="宋体" w:cs="Times New Roman"/>
                <w:b/>
                <w:bCs/>
                <w:color w:val="auto"/>
                <w:sz w:val="24"/>
                <w:szCs w:val="24"/>
                <w:highlight w:val="none"/>
              </w:rPr>
              <w:t>公用工程</w:t>
            </w:r>
          </w:p>
          <w:p w14:paraId="7DA7A7FE">
            <w:pPr>
              <w:pStyle w:val="2"/>
              <w:numPr>
                <w:ilvl w:val="0"/>
                <w:numId w:val="0"/>
              </w:numPr>
              <w:ind w:leftChars="0"/>
              <w:rPr>
                <w:rFonts w:hint="eastAsia" w:eastAsia="宋体"/>
                <w:color w:val="auto"/>
                <w:sz w:val="24"/>
                <w:szCs w:val="24"/>
                <w:highlight w:val="none"/>
                <w:lang w:eastAsia="zh-CN"/>
              </w:rPr>
            </w:pPr>
            <w:r>
              <w:rPr>
                <w:rFonts w:hint="eastAsia"/>
                <w:color w:val="auto"/>
                <w:sz w:val="24"/>
                <w:szCs w:val="24"/>
                <w:highlight w:val="none"/>
                <w:lang w:val="en-US" w:eastAsia="zh-CN"/>
              </w:rPr>
              <w:t>1、</w:t>
            </w:r>
            <w:r>
              <w:rPr>
                <w:rFonts w:hint="eastAsia"/>
                <w:color w:val="auto"/>
                <w:sz w:val="24"/>
                <w:szCs w:val="24"/>
                <w:highlight w:val="none"/>
                <w:lang w:eastAsia="zh-CN"/>
              </w:rPr>
              <w:t>本项目用水情况</w:t>
            </w:r>
          </w:p>
          <w:p w14:paraId="05911E76">
            <w:pPr>
              <w:spacing w:line="480" w:lineRule="exact"/>
              <w:ind w:firstLine="480" w:firstLineChars="200"/>
              <w:rPr>
                <w:rFonts w:eastAsia="宋体"/>
                <w:b w:val="0"/>
                <w:bCs w:val="0"/>
                <w:color w:val="auto"/>
                <w:sz w:val="24"/>
                <w:szCs w:val="24"/>
                <w:highlight w:val="none"/>
              </w:rPr>
            </w:pPr>
            <w:r>
              <w:rPr>
                <w:rFonts w:eastAsia="宋体"/>
                <w:b w:val="0"/>
                <w:bCs w:val="0"/>
                <w:color w:val="auto"/>
                <w:sz w:val="24"/>
                <w:szCs w:val="24"/>
                <w:highlight w:val="none"/>
              </w:rPr>
              <w:t>(1)给水</w:t>
            </w:r>
          </w:p>
          <w:p w14:paraId="6E9674BD">
            <w:pPr>
              <w:spacing w:line="480" w:lineRule="exact"/>
              <w:ind w:firstLine="480" w:firstLineChars="200"/>
              <w:rPr>
                <w:rFonts w:hint="eastAsia" w:eastAsia="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rPr>
              <w:t>项目用水由厂内自备水井提供，</w:t>
            </w:r>
            <w:r>
              <w:rPr>
                <w:rFonts w:hint="eastAsia" w:eastAsia="宋体"/>
                <w:color w:val="auto"/>
                <w:sz w:val="24"/>
                <w:szCs w:val="24"/>
                <w:highlight w:val="none"/>
                <w:lang w:eastAsia="zh-CN"/>
              </w:rPr>
              <w:t>主要分为生产用水、生活用水。</w:t>
            </w:r>
            <w:r>
              <w:rPr>
                <w:rFonts w:eastAsia="宋体"/>
                <w:color w:val="auto"/>
                <w:sz w:val="24"/>
                <w:szCs w:val="24"/>
                <w:highlight w:val="none"/>
              </w:rPr>
              <w:t>项目生产用水主要为</w:t>
            </w:r>
            <w:r>
              <w:rPr>
                <w:rFonts w:hint="eastAsia"/>
                <w:color w:val="auto"/>
                <w:sz w:val="24"/>
                <w:szCs w:val="24"/>
                <w:highlight w:val="none"/>
                <w:lang w:eastAsia="zh-CN"/>
              </w:rPr>
              <w:t>中频</w:t>
            </w:r>
            <w:r>
              <w:rPr>
                <w:rFonts w:hint="eastAsia" w:eastAsia="宋体"/>
                <w:color w:val="auto"/>
                <w:sz w:val="24"/>
                <w:szCs w:val="24"/>
                <w:highlight w:val="none"/>
                <w:lang w:val="en-US" w:eastAsia="zh-CN"/>
              </w:rPr>
              <w:t>电炉</w:t>
            </w:r>
            <w:r>
              <w:rPr>
                <w:rFonts w:eastAsia="宋体"/>
                <w:color w:val="auto"/>
                <w:sz w:val="24"/>
                <w:szCs w:val="24"/>
                <w:highlight w:val="none"/>
              </w:rPr>
              <w:t>冷却用水，</w:t>
            </w:r>
            <w:r>
              <w:rPr>
                <w:rFonts w:hint="eastAsia" w:eastAsia="宋体"/>
                <w:color w:val="auto"/>
                <w:sz w:val="24"/>
                <w:szCs w:val="24"/>
                <w:highlight w:val="none"/>
                <w:lang w:eastAsia="zh-CN"/>
              </w:rPr>
              <w:t>废水循环利用不外排；不新增劳动定员，生活用水主要为职工生活盥洗用水和食堂用水，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eastAsia" w:ascii="Times New Roman" w:hAnsi="Times New Roman" w:eastAsia="宋体" w:cs="Times New Roman"/>
                <w:color w:val="auto"/>
                <w:sz w:val="24"/>
                <w:szCs w:val="24"/>
                <w:highlight w:val="none"/>
                <w:lang w:eastAsia="zh-CN"/>
              </w:rPr>
              <w:t>。</w:t>
            </w:r>
          </w:p>
          <w:p w14:paraId="05E445E4">
            <w:pPr>
              <w:spacing w:line="480" w:lineRule="exact"/>
              <w:ind w:firstLine="480" w:firstLineChars="200"/>
              <w:rPr>
                <w:rFonts w:hint="default" w:ascii="Times New Roman" w:hAnsi="Times New Roman" w:eastAsia="宋体" w:cs="Times New Roman"/>
                <w:color w:val="auto"/>
                <w:sz w:val="24"/>
                <w:szCs w:val="24"/>
                <w:highlight w:val="none"/>
                <w:lang w:val="en-US" w:eastAsia="zh-CN"/>
              </w:rPr>
            </w:pPr>
            <w:r>
              <w:rPr>
                <w:rFonts w:eastAsia="宋体"/>
                <w:b w:val="0"/>
                <w:bCs w:val="0"/>
                <w:color w:val="auto"/>
                <w:sz w:val="24"/>
                <w:szCs w:val="24"/>
                <w:highlight w:val="none"/>
              </w:rPr>
              <w:t>生产用水</w:t>
            </w:r>
            <w:r>
              <w:rPr>
                <w:rFonts w:hint="eastAsia" w:eastAsia="宋体"/>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项目生产用水主要为</w:t>
            </w:r>
            <w:r>
              <w:rPr>
                <w:rFonts w:hint="eastAsia" w:cs="Times New Roman"/>
                <w:color w:val="auto"/>
                <w:sz w:val="24"/>
                <w:szCs w:val="24"/>
                <w:highlight w:val="none"/>
                <w:lang w:eastAsia="zh-CN"/>
              </w:rPr>
              <w:t>新建冷却塔为</w:t>
            </w:r>
            <w:r>
              <w:rPr>
                <w:rFonts w:hint="eastAsia" w:cs="Times New Roman"/>
                <w:color w:val="auto"/>
                <w:sz w:val="24"/>
                <w:szCs w:val="24"/>
                <w:highlight w:val="none"/>
                <w:lang w:val="en-US" w:eastAsia="zh-CN"/>
              </w:rPr>
              <w:t>2t</w:t>
            </w:r>
            <w:r>
              <w:rPr>
                <w:rFonts w:hint="eastAsia" w:cs="Times New Roman"/>
                <w:color w:val="auto"/>
                <w:sz w:val="24"/>
                <w:szCs w:val="24"/>
                <w:highlight w:val="none"/>
                <w:lang w:eastAsia="zh-CN"/>
              </w:rPr>
              <w:t>中频</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冷却</w:t>
            </w:r>
            <w:r>
              <w:rPr>
                <w:rFonts w:hint="eastAsia" w:cs="Times New Roman"/>
                <w:color w:val="auto"/>
                <w:sz w:val="24"/>
                <w:szCs w:val="24"/>
                <w:highlight w:val="none"/>
                <w:lang w:eastAsia="zh-CN"/>
              </w:rPr>
              <w:t>过程中高温蒸发用水和产品淬火蒸发用水。根据企业提供资料，</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设备间接冷却水总用水量为</w:t>
            </w:r>
            <w:r>
              <w:rPr>
                <w:rFonts w:hint="default" w:ascii="Times New Roman" w:hAnsi="Times New Roman" w:eastAsia="宋体" w:cs="Times New Roman"/>
                <w:color w:val="auto"/>
                <w:sz w:val="24"/>
                <w:szCs w:val="24"/>
                <w:highlight w:val="none"/>
                <w:lang w:val="en-US" w:eastAsia="zh-CN"/>
              </w:rPr>
              <w:t>700.70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/h，其中循环用水量为</w:t>
            </w:r>
            <w:r>
              <w:rPr>
                <w:rFonts w:hint="default" w:ascii="Times New Roman" w:hAnsi="Times New Roman" w:eastAsia="宋体" w:cs="Times New Roman"/>
                <w:color w:val="auto"/>
                <w:sz w:val="24"/>
                <w:szCs w:val="24"/>
                <w:highlight w:val="none"/>
                <w:lang w:val="en-US" w:eastAsia="zh-CN"/>
              </w:rPr>
              <w:t>700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eastAsia="zh-CN"/>
              </w:rPr>
              <w:t>则</w:t>
            </w:r>
            <w:r>
              <w:rPr>
                <w:rFonts w:hint="default" w:ascii="Times New Roman" w:hAnsi="Times New Roman" w:eastAsia="宋体" w:cs="Times New Roman"/>
                <w:color w:val="auto"/>
                <w:sz w:val="24"/>
                <w:szCs w:val="24"/>
                <w:highlight w:val="none"/>
              </w:rPr>
              <w:t>新水用量为</w:t>
            </w:r>
            <w:r>
              <w:rPr>
                <w:rFonts w:hint="default" w:ascii="Times New Roman" w:hAnsi="Times New Roman" w:eastAsia="宋体" w:cs="Times New Roman"/>
                <w:color w:val="auto"/>
                <w:sz w:val="24"/>
                <w:szCs w:val="24"/>
                <w:highlight w:val="none"/>
                <w:lang w:val="en-US" w:eastAsia="zh-CN"/>
              </w:rPr>
              <w:t>5040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16.80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；淬火池日需淬火铸件为6.7t，每吨淬火铸件淬火蒸发量为0.14</w:t>
            </w:r>
            <w:r>
              <w:rPr>
                <w:rFonts w:hint="eastAsia" w:eastAsia="宋体"/>
                <w:color w:val="auto"/>
                <w:sz w:val="24"/>
                <w:szCs w:val="24"/>
                <w:highlight w:val="none"/>
                <w:lang w:eastAsia="zh-CN"/>
              </w:rPr>
              <w:t>m³</w:t>
            </w:r>
            <w:r>
              <w:rPr>
                <w:rFonts w:hint="eastAsia"/>
                <w:color w:val="auto"/>
                <w:sz w:val="24"/>
                <w:szCs w:val="24"/>
                <w:highlight w:val="none"/>
                <w:lang w:eastAsia="zh-CN"/>
              </w:rPr>
              <w:t>，淬火蒸发用水为</w:t>
            </w:r>
            <w:r>
              <w:rPr>
                <w:rFonts w:hint="eastAsia"/>
                <w:color w:val="auto"/>
                <w:sz w:val="24"/>
                <w:szCs w:val="24"/>
                <w:highlight w:val="none"/>
                <w:lang w:val="en-US" w:eastAsia="zh-CN"/>
              </w:rPr>
              <w:t>281.4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olor w:val="auto"/>
                <w:sz w:val="24"/>
                <w:szCs w:val="24"/>
                <w:highlight w:val="none"/>
                <w:lang w:val="en-US" w:eastAsia="zh-CN"/>
              </w:rPr>
              <w:t>（0.983</w:t>
            </w:r>
            <w:r>
              <w:rPr>
                <w:rFonts w:hint="eastAsia" w:eastAsia="宋体"/>
                <w:color w:val="auto"/>
                <w:sz w:val="24"/>
                <w:szCs w:val="24"/>
                <w:highlight w:val="none"/>
                <w:lang w:eastAsia="zh-CN"/>
              </w:rPr>
              <w:t>m³</w:t>
            </w:r>
            <w:r>
              <w:rPr>
                <w:rFonts w:hint="eastAsia"/>
                <w:color w:val="auto"/>
                <w:sz w:val="24"/>
                <w:szCs w:val="24"/>
                <w:highlight w:val="none"/>
                <w:lang w:val="en-US" w:eastAsia="zh-CN"/>
              </w:rPr>
              <w:t>/d）</w:t>
            </w:r>
            <w:r>
              <w:rPr>
                <w:rFonts w:hint="eastAsia"/>
                <w:color w:val="auto"/>
                <w:sz w:val="24"/>
                <w:szCs w:val="24"/>
                <w:highlight w:val="none"/>
                <w:lang w:eastAsia="zh-CN"/>
              </w:rPr>
              <w:t>。则本项目总用水量为</w:t>
            </w:r>
            <w:r>
              <w:rPr>
                <w:rFonts w:hint="eastAsia"/>
                <w:color w:val="auto"/>
                <w:sz w:val="24"/>
                <w:szCs w:val="24"/>
                <w:highlight w:val="none"/>
                <w:lang w:val="en-US" w:eastAsia="zh-CN"/>
              </w:rPr>
              <w:t>5321.4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（17.783</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w:t>
            </w:r>
          </w:p>
          <w:p w14:paraId="30EC6A14">
            <w:pPr>
              <w:pStyle w:val="2"/>
              <w:rPr>
                <w:rFonts w:hint="eastAsia" w:eastAsia="宋体"/>
                <w:color w:val="auto"/>
                <w:sz w:val="24"/>
                <w:szCs w:val="24"/>
                <w:highlight w:val="none"/>
                <w:lang w:val="en-US" w:eastAsia="zh-CN"/>
              </w:rPr>
            </w:pPr>
            <w:r>
              <w:rPr>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2987040</wp:posOffset>
                      </wp:positionH>
                      <wp:positionV relativeFrom="paragraph">
                        <wp:posOffset>74295</wp:posOffset>
                      </wp:positionV>
                      <wp:extent cx="407670" cy="219075"/>
                      <wp:effectExtent l="0" t="0" r="0" b="0"/>
                      <wp:wrapNone/>
                      <wp:docPr id="60" name="文本框 60"/>
                      <wp:cNvGraphicFramePr/>
                      <a:graphic xmlns:a="http://schemas.openxmlformats.org/drawingml/2006/main">
                        <a:graphicData uri="http://schemas.microsoft.com/office/word/2010/wordprocessingShape">
                          <wps:wsp>
                            <wps:cNvSpPr txBox="1"/>
                            <wps:spPr>
                              <a:xfrm>
                                <a:off x="5630545" y="4671060"/>
                                <a:ext cx="407670"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183FB">
                                  <w:pPr>
                                    <w:rPr>
                                      <w:rFonts w:hint="default" w:eastAsia="宋体"/>
                                      <w:sz w:val="15"/>
                                      <w:szCs w:val="15"/>
                                      <w:lang w:val="en-US" w:eastAsia="zh-CN"/>
                                    </w:rPr>
                                  </w:pPr>
                                  <w:r>
                                    <w:rPr>
                                      <w:rFonts w:hint="eastAsia"/>
                                      <w:sz w:val="15"/>
                                      <w:szCs w:val="15"/>
                                      <w:lang w:val="en-US" w:eastAsia="zh-CN"/>
                                    </w:rPr>
                                    <w:t>16.80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2pt;margin-top:5.85pt;height:17.25pt;width:32.1pt;z-index:251716608;mso-width-relative:page;mso-height-relative:page;" filled="f" stroked="f" coordsize="21600,21600" o:gfxdata="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O3levaAAAACQEAAA8AAAAAAAAA&#10;AQAgAAAAIgAAAGRycy9kb3ducmV2LnhtbFBLAQIUABQAAAAIAIdO4kCLX+XsSAIAAHMEAAAOAAAA&#10;AAAAAAEAIAAAACkBAABkcnMvZTJvRG9jLnhtbFBLBQYAAAAABgAGAFkBAADjBQAAAAA=&#10;">
                      <v:fill on="f" focussize="0,0"/>
                      <v:stroke on="f" weight="0.5pt"/>
                      <v:imagedata o:title=""/>
                      <o:lock v:ext="edit" aspectratio="f"/>
                      <v:textbox>
                        <w:txbxContent>
                          <w:p w14:paraId="3EF183FB">
                            <w:pPr>
                              <w:rPr>
                                <w:rFonts w:hint="default" w:eastAsia="宋体"/>
                                <w:sz w:val="15"/>
                                <w:szCs w:val="15"/>
                                <w:lang w:val="en-US" w:eastAsia="zh-CN"/>
                              </w:rPr>
                            </w:pPr>
                            <w:r>
                              <w:rPr>
                                <w:rFonts w:hint="eastAsia"/>
                                <w:sz w:val="15"/>
                                <w:szCs w:val="15"/>
                                <w:lang w:val="en-US" w:eastAsia="zh-CN"/>
                              </w:rPr>
                              <w:t>16.80</w:t>
                            </w:r>
                          </w:p>
                        </w:txbxContent>
                      </v:textbox>
                    </v:shape>
                  </w:pict>
                </mc:Fallback>
              </mc:AlternateContent>
            </w:r>
            <w:r>
              <w:rPr>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3388360</wp:posOffset>
                      </wp:positionH>
                      <wp:positionV relativeFrom="paragraph">
                        <wp:posOffset>128270</wp:posOffset>
                      </wp:positionV>
                      <wp:extent cx="503555" cy="321310"/>
                      <wp:effectExtent l="0" t="0" r="0" b="0"/>
                      <wp:wrapNone/>
                      <wp:docPr id="58" name="文本框 58"/>
                      <wp:cNvGraphicFramePr/>
                      <a:graphic xmlns:a="http://schemas.openxmlformats.org/drawingml/2006/main">
                        <a:graphicData uri="http://schemas.microsoft.com/office/word/2010/wordprocessingShape">
                          <wps:wsp>
                            <wps:cNvSpPr txBox="1"/>
                            <wps:spPr>
                              <a:xfrm>
                                <a:off x="4745990" y="4507230"/>
                                <a:ext cx="503555" cy="321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FB2A4">
                                  <w:pPr>
                                    <w:rPr>
                                      <w:rFonts w:hint="eastAsia" w:eastAsia="宋体"/>
                                      <w:lang w:eastAsia="zh-CN"/>
                                    </w:rPr>
                                  </w:pPr>
                                  <w:r>
                                    <w:rPr>
                                      <w:rFonts w:hint="eastAsia"/>
                                      <w:lang w:eastAsia="zh-CN"/>
                                    </w:rPr>
                                    <w:t>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8pt;margin-top:10.1pt;height:25.3pt;width:39.65pt;z-index:251714560;mso-width-relative:page;mso-height-relative:page;" filled="f" stroked="f" coordsize="21600,21600" o:gfxdata="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THW42wAAAAkBAAAPAAAAAAAA&#10;AAEAIAAAACIAAABkcnMvZG93bnJldi54bWxQSwECFAAUAAAACACHTuJALRQ8BUgCAABzBAAADgAA&#10;AAAAAAABACAAAAAqAQAAZHJzL2Uyb0RvYy54bWxQSwUGAAAAAAYABgBZAQAA5AUAAAAA&#10;">
                      <v:fill on="f" focussize="0,0"/>
                      <v:stroke on="f" weight="0.5pt"/>
                      <v:imagedata o:title=""/>
                      <o:lock v:ext="edit" aspectratio="f"/>
                      <v:textbox>
                        <w:txbxContent>
                          <w:p w14:paraId="1E8FB2A4">
                            <w:pPr>
                              <w:rPr>
                                <w:rFonts w:hint="eastAsia" w:eastAsia="宋体"/>
                                <w:lang w:eastAsia="zh-CN"/>
                              </w:rPr>
                            </w:pPr>
                            <w:r>
                              <w:rPr>
                                <w:rFonts w:hint="eastAsia"/>
                                <w:lang w:eastAsia="zh-CN"/>
                              </w:rPr>
                              <w:t>蒸发</w:t>
                            </w:r>
                          </w:p>
                        </w:txbxContent>
                      </v:textbox>
                    </v:shape>
                  </w:pict>
                </mc:Fallback>
              </mc:AlternateContent>
            </w:r>
            <w:r>
              <w:rPr>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1857375</wp:posOffset>
                      </wp:positionH>
                      <wp:positionV relativeFrom="paragraph">
                        <wp:posOffset>68580</wp:posOffset>
                      </wp:positionV>
                      <wp:extent cx="619125" cy="205105"/>
                      <wp:effectExtent l="0" t="0" r="9525" b="4445"/>
                      <wp:wrapNone/>
                      <wp:docPr id="53" name="文本框 53"/>
                      <wp:cNvGraphicFramePr/>
                      <a:graphic xmlns:a="http://schemas.openxmlformats.org/drawingml/2006/main">
                        <a:graphicData uri="http://schemas.microsoft.com/office/word/2010/wordprocessingShape">
                          <wps:wsp>
                            <wps:cNvSpPr txBox="1"/>
                            <wps:spPr>
                              <a:xfrm>
                                <a:off x="4909185" y="4624070"/>
                                <a:ext cx="619125" cy="205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B5C7B">
                                  <w:pPr>
                                    <w:rPr>
                                      <w:sz w:val="15"/>
                                      <w:szCs w:val="15"/>
                                    </w:rPr>
                                  </w:pPr>
                                  <w:r>
                                    <w:rPr>
                                      <w:rFonts w:hint="default" w:ascii="Times New Roman" w:hAnsi="Times New Roman" w:eastAsia="宋体" w:cs="Times New Roman"/>
                                      <w:color w:val="auto"/>
                                      <w:sz w:val="15"/>
                                      <w:szCs w:val="15"/>
                                      <w:lang w:val="en-US" w:eastAsia="zh-CN"/>
                                    </w:rPr>
                                    <w:t>16.80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25pt;margin-top:5.4pt;height:16.15pt;width:48.75pt;z-index:251709440;mso-width-relative:page;mso-height-relative:page;" filled="f" stroked="f" coordsize="21600,21600" o:gfxdata="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SzOHdoAAAAJAQAADwAAAAAAAAAB&#10;ACAAAAAiAAAAZHJzL2Rvd25yZXYueG1sUEsBAhQAFAAAAAgAh07iQH1qWXlHAgAAcwQAAA4AAAAA&#10;AAAAAQAgAAAAKQEAAGRycy9lMm9Eb2MueG1sUEsFBgAAAAAGAAYAWQEAAOIFAAAAAA==&#10;">
                      <v:fill on="f" focussize="0,0"/>
                      <v:stroke on="f" weight="0.5pt"/>
                      <v:imagedata o:title=""/>
                      <o:lock v:ext="edit" aspectratio="f"/>
                      <v:textbox>
                        <w:txbxContent>
                          <w:p w14:paraId="28FB5C7B">
                            <w:pPr>
                              <w:rPr>
                                <w:sz w:val="15"/>
                                <w:szCs w:val="15"/>
                              </w:rPr>
                            </w:pPr>
                            <w:r>
                              <w:rPr>
                                <w:rFonts w:hint="default" w:ascii="Times New Roman" w:hAnsi="Times New Roman" w:eastAsia="宋体" w:cs="Times New Roman"/>
                                <w:color w:val="auto"/>
                                <w:sz w:val="15"/>
                                <w:szCs w:val="15"/>
                                <w:lang w:val="en-US" w:eastAsia="zh-CN"/>
                              </w:rPr>
                              <w:t>16.80</w:t>
                            </w:r>
                          </w:p>
                        </w:txbxContent>
                      </v:textbox>
                    </v:shape>
                  </w:pict>
                </mc:Fallback>
              </mc:AlternateContent>
            </w:r>
            <w:r>
              <w:rPr>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2320290</wp:posOffset>
                      </wp:positionH>
                      <wp:positionV relativeFrom="paragraph">
                        <wp:posOffset>148590</wp:posOffset>
                      </wp:positionV>
                      <wp:extent cx="646430" cy="243840"/>
                      <wp:effectExtent l="4445" t="4445" r="15875" b="18415"/>
                      <wp:wrapNone/>
                      <wp:docPr id="51" name="文本框 51"/>
                      <wp:cNvGraphicFramePr/>
                      <a:graphic xmlns:a="http://schemas.openxmlformats.org/drawingml/2006/main">
                        <a:graphicData uri="http://schemas.microsoft.com/office/word/2010/wordprocessingShape">
                          <wps:wsp>
                            <wps:cNvSpPr txBox="1"/>
                            <wps:spPr>
                              <a:xfrm>
                                <a:off x="3541395" y="4494530"/>
                                <a:ext cx="646430" cy="243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BD1D7E">
                                  <w:pPr>
                                    <w:rPr>
                                      <w:rFonts w:hint="eastAsia" w:eastAsia="宋体"/>
                                      <w:lang w:eastAsia="zh-CN"/>
                                    </w:rPr>
                                  </w:pPr>
                                  <w:r>
                                    <w:rPr>
                                      <w:rFonts w:hint="eastAsia"/>
                                      <w:lang w:eastAsia="zh-CN"/>
                                    </w:rPr>
                                    <w:t>冷却塔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7pt;margin-top:11.7pt;height:19.2pt;width:50.9pt;z-index:251707392;mso-width-relative:page;mso-height-relative:page;" fillcolor="#FFFFFF [3201]" filled="t" stroked="t" coordsize="21600,21600" o:gfxdata="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GY6tDWAAAACQEAAA8AAAAAAAAAAQAgAAAAIgAAAGRycy9kb3ducmV2LnhtbFBLAQIUABQA&#10;AAAIAIdO4kDi2YFWZAIAAMQEAAAOAAAAAAAAAAEAIAAAACUBAABkcnMvZTJvRG9jLnhtbFBLBQYA&#10;AAAABgAGAFkBAAD7BQAAAAA=&#10;">
                      <v:fill on="t" focussize="0,0"/>
                      <v:stroke weight="0.5pt" color="#000000 [3204]" joinstyle="round"/>
                      <v:imagedata o:title=""/>
                      <o:lock v:ext="edit" aspectratio="f"/>
                      <v:textbox>
                        <w:txbxContent>
                          <w:p w14:paraId="00BD1D7E">
                            <w:pPr>
                              <w:rPr>
                                <w:rFonts w:hint="eastAsia" w:eastAsia="宋体"/>
                                <w:lang w:eastAsia="zh-CN"/>
                              </w:rPr>
                            </w:pPr>
                            <w:r>
                              <w:rPr>
                                <w:rFonts w:hint="eastAsia"/>
                                <w:lang w:eastAsia="zh-CN"/>
                              </w:rPr>
                              <w:t>冷却塔</w:t>
                            </w:r>
                          </w:p>
                        </w:txbxContent>
                      </v:textbox>
                    </v:shape>
                  </w:pict>
                </mc:Fallback>
              </mc:AlternateContent>
            </w:r>
          </w:p>
          <w:p w14:paraId="2BC58C47">
            <w:pPr>
              <w:pStyle w:val="11"/>
              <w:rPr>
                <w:rFonts w:eastAsia="宋体"/>
                <w:color w:val="auto"/>
                <w:sz w:val="24"/>
                <w:szCs w:val="24"/>
                <w:highlight w:val="none"/>
              </w:rPr>
            </w:pPr>
            <w:r>
              <w:rPr>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2966720</wp:posOffset>
                      </wp:positionH>
                      <wp:positionV relativeFrom="paragraph">
                        <wp:posOffset>95250</wp:posOffset>
                      </wp:positionV>
                      <wp:extent cx="414655" cy="635"/>
                      <wp:effectExtent l="0" t="50165" r="4445" b="63500"/>
                      <wp:wrapNone/>
                      <wp:docPr id="55" name="直接箭头连接符 55"/>
                      <wp:cNvGraphicFramePr/>
                      <a:graphic xmlns:a="http://schemas.openxmlformats.org/drawingml/2006/main">
                        <a:graphicData uri="http://schemas.microsoft.com/office/word/2010/wordprocessingShape">
                          <wps:wsp>
                            <wps:cNvCnPr>
                              <a:stCxn id="51" idx="3"/>
                            </wps:cNvCnPr>
                            <wps:spPr>
                              <a:xfrm>
                                <a:off x="4208780" y="4608830"/>
                                <a:ext cx="414655"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3.6pt;margin-top:7.5pt;height:0.05pt;width:32.65pt;z-index:251711488;mso-width-relative:page;mso-height-relative:page;" filled="f" stroked="t" coordsize="21600,21600" o:gfxdata="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UBM&#10;EtYAAAAJAQAADwAAAAAAAAABACAAAAAiAAAAZHJzL2Rvd25yZXYueG1sUEsBAhQAFAAAAAgAh07i&#10;QOhNWzAkAgAAFQQAAA4AAAAAAAAAAQAgAAAAJQEAAGRycy9lMm9Eb2MueG1sUEsFBgAAAAAGAAYA&#10;WQEAALsFAAAAAA==&#10;">
                      <v:fill on="f" focussize="0,0"/>
                      <v:stroke weight="1pt" color="#000000 [3213]" miterlimit="8" joinstyle="miter" endarrow="open"/>
                      <v:imagedata o:title=""/>
                      <o:lock v:ext="edit" aspectratio="f"/>
                    </v:shape>
                  </w:pict>
                </mc:Fallback>
              </mc:AlternateContent>
            </w:r>
            <w:r>
              <w:rPr>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1809750</wp:posOffset>
                      </wp:positionH>
                      <wp:positionV relativeFrom="paragraph">
                        <wp:posOffset>88900</wp:posOffset>
                      </wp:positionV>
                      <wp:extent cx="510540" cy="6350"/>
                      <wp:effectExtent l="0" t="45720" r="3810" b="62230"/>
                      <wp:wrapNone/>
                      <wp:docPr id="49" name="直接箭头连接符 49"/>
                      <wp:cNvGraphicFramePr/>
                      <a:graphic xmlns:a="http://schemas.openxmlformats.org/drawingml/2006/main">
                        <a:graphicData uri="http://schemas.microsoft.com/office/word/2010/wordprocessingShape">
                          <wps:wsp>
                            <wps:cNvCnPr>
                              <a:endCxn id="51" idx="1"/>
                            </wps:cNvCnPr>
                            <wps:spPr>
                              <a:xfrm>
                                <a:off x="3187700" y="4623435"/>
                                <a:ext cx="51054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2.5pt;margin-top:7pt;height:0.5pt;width:40.2pt;z-index:251705344;mso-width-relative:page;mso-height-relative:page;" filled="f" stroked="t" coordsize="21600,21600" o:gfxdata="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Ja&#10;8GXWAAAACQEAAA8AAAAAAAAAAQAgAAAAIgAAAGRycy9kb3ducmV2LnhtbFBLAQIUABQAAAAIAIdO&#10;4kDHloPsJQIAABcEAAAOAAAAAAAAAAEAIAAAACUBAABkcnMvZTJvRG9jLnhtbFBLBQYAAAAABgAG&#10;AFkBAAC8BQAAAAA=&#10;">
                      <v:fill on="f" focussize="0,0"/>
                      <v:stroke weight="1pt" color="#000000 [3213]" miterlimit="8" joinstyle="miter" endarrow="open"/>
                      <v:imagedata o:title=""/>
                      <o:lock v:ext="edit" aspectratio="f"/>
                    </v:shape>
                  </w:pict>
                </mc:Fallback>
              </mc:AlternateContent>
            </w:r>
            <w:r>
              <w:rPr>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1815465</wp:posOffset>
                      </wp:positionH>
                      <wp:positionV relativeFrom="paragraph">
                        <wp:posOffset>78740</wp:posOffset>
                      </wp:positionV>
                      <wp:extent cx="9525" cy="466725"/>
                      <wp:effectExtent l="6350" t="0" r="22225" b="9525"/>
                      <wp:wrapNone/>
                      <wp:docPr id="47" name="直接连接符 47"/>
                      <wp:cNvGraphicFramePr/>
                      <a:graphic xmlns:a="http://schemas.openxmlformats.org/drawingml/2006/main">
                        <a:graphicData uri="http://schemas.microsoft.com/office/word/2010/wordprocessingShape">
                          <wps:wsp>
                            <wps:cNvCnPr/>
                            <wps:spPr>
                              <a:xfrm flipH="1" flipV="1">
                                <a:off x="3057525" y="4592320"/>
                                <a:ext cx="9525" cy="4667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42.95pt;margin-top:6.2pt;height:36.75pt;width:0.75pt;z-index:251703296;mso-width-relative:page;mso-height-relative:page;" filled="f" stroked="t" coordsize="21600,21600" o:gfxdata="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q1RB2QAAAAkBAAAPAAAAAAAAAAEAIAAAACIAAABkcnMvZG93&#10;bnJldi54bWxQSwECFAAUAAAACACHTuJAwEfPZv8BAADWAwAADgAAAAAAAAABACAAAAAoAQAAZHJz&#10;L2Uyb0RvYy54bWxQSwUGAAAAAAYABgBZAQAAmQUAAAAA&#10;">
                      <v:fill on="f" focussize="0,0"/>
                      <v:stroke weight="1pt" color="#000000 [3213]" miterlimit="8" joinstyle="miter"/>
                      <v:imagedata o:title=""/>
                      <o:lock v:ext="edit" aspectratio="f"/>
                    </v:line>
                  </w:pict>
                </mc:Fallback>
              </mc:AlternateContent>
            </w:r>
          </w:p>
          <w:p w14:paraId="02C248A3">
            <w:pPr>
              <w:rPr>
                <w:rFonts w:eastAsia="宋体"/>
                <w:color w:val="auto"/>
                <w:sz w:val="24"/>
                <w:szCs w:val="24"/>
                <w:highlight w:val="none"/>
              </w:rPr>
            </w:pPr>
            <w:r>
              <w:rPr>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1407795</wp:posOffset>
                      </wp:positionH>
                      <wp:positionV relativeFrom="paragraph">
                        <wp:posOffset>172720</wp:posOffset>
                      </wp:positionV>
                      <wp:extent cx="524510" cy="238125"/>
                      <wp:effectExtent l="0" t="0" r="0" b="0"/>
                      <wp:wrapNone/>
                      <wp:docPr id="57" name="文本框 57"/>
                      <wp:cNvGraphicFramePr/>
                      <a:graphic xmlns:a="http://schemas.openxmlformats.org/drawingml/2006/main">
                        <a:graphicData uri="http://schemas.microsoft.com/office/word/2010/wordprocessingShape">
                          <wps:wsp>
                            <wps:cNvSpPr txBox="1"/>
                            <wps:spPr>
                              <a:xfrm>
                                <a:off x="4806950" y="4840605"/>
                                <a:ext cx="52451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12132">
                                  <w:pPr>
                                    <w:rPr>
                                      <w:rFonts w:hint="default" w:eastAsia="宋体"/>
                                      <w:sz w:val="15"/>
                                      <w:szCs w:val="15"/>
                                      <w:lang w:val="en-US" w:eastAsia="zh-CN"/>
                                    </w:rPr>
                                  </w:pPr>
                                  <w:r>
                                    <w:rPr>
                                      <w:rFonts w:hint="eastAsia"/>
                                      <w:sz w:val="15"/>
                                      <w:szCs w:val="15"/>
                                      <w:lang w:val="en-US" w:eastAsia="zh-CN"/>
                                    </w:rPr>
                                    <w:t>17.783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85pt;margin-top:13.6pt;height:18.75pt;width:41.3pt;z-index:251713536;mso-width-relative:page;mso-height-relative:page;" filled="f" stroked="f" coordsize="21600,21600" o:gfxdata="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kCPptoAAAAJAQAADwAAAAAAAAAB&#10;ACAAAAAiAAAAZHJzL2Rvd25yZXYueG1sUEsBAhQAFAAAAAgAh07iQA4dD6VHAgAAcwQAAA4AAAAA&#10;AAAAAQAgAAAAKQEAAGRycy9lMm9Eb2MueG1sUEsFBgAAAAAGAAYAWQEAAOIFAAAAAA==&#10;">
                      <v:fill on="f" focussize="0,0"/>
                      <v:stroke on="f" weight="0.5pt"/>
                      <v:imagedata o:title=""/>
                      <o:lock v:ext="edit" aspectratio="f"/>
                      <v:textbox>
                        <w:txbxContent>
                          <w:p w14:paraId="7AE12132">
                            <w:pPr>
                              <w:rPr>
                                <w:rFonts w:hint="default" w:eastAsia="宋体"/>
                                <w:sz w:val="15"/>
                                <w:szCs w:val="15"/>
                                <w:lang w:val="en-US" w:eastAsia="zh-CN"/>
                              </w:rPr>
                            </w:pPr>
                            <w:r>
                              <w:rPr>
                                <w:rFonts w:hint="eastAsia"/>
                                <w:sz w:val="15"/>
                                <w:szCs w:val="15"/>
                                <w:lang w:val="en-US" w:eastAsia="zh-CN"/>
                              </w:rPr>
                              <w:t>17.783</w:t>
                            </w:r>
                          </w:p>
                        </w:txbxContent>
                      </v:textbox>
                    </v:shape>
                  </w:pict>
                </mc:Fallback>
              </mc:AlternateContent>
            </w:r>
          </w:p>
          <w:p w14:paraId="60D8F741">
            <w:pPr>
              <w:pStyle w:val="2"/>
              <w:ind w:left="0" w:leftChars="0" w:firstLine="0" w:firstLineChars="0"/>
              <w:jc w:val="both"/>
              <w:rPr>
                <w:rFonts w:hint="eastAsia" w:eastAsia="宋体"/>
                <w:color w:val="auto"/>
                <w:sz w:val="24"/>
                <w:szCs w:val="24"/>
                <w:highlight w:val="none"/>
                <w:lang w:eastAsia="zh-CN"/>
              </w:rPr>
            </w:pPr>
            <w:r>
              <w:rPr>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796290</wp:posOffset>
                      </wp:positionH>
                      <wp:positionV relativeFrom="paragraph">
                        <wp:posOffset>38100</wp:posOffset>
                      </wp:positionV>
                      <wp:extent cx="619125" cy="323850"/>
                      <wp:effectExtent l="4445" t="4445" r="5080" b="14605"/>
                      <wp:wrapNone/>
                      <wp:docPr id="36" name="文本框 36"/>
                      <wp:cNvGraphicFramePr/>
                      <a:graphic xmlns:a="http://schemas.openxmlformats.org/drawingml/2006/main">
                        <a:graphicData uri="http://schemas.microsoft.com/office/word/2010/wordprocessingShape">
                          <wps:wsp>
                            <wps:cNvSpPr txBox="1"/>
                            <wps:spPr>
                              <a:xfrm>
                                <a:off x="1352550" y="5140325"/>
                                <a:ext cx="61912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33FCBF">
                                  <w:pPr>
                                    <w:rPr>
                                      <w:rFonts w:hint="eastAsia" w:eastAsia="宋体"/>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3pt;height:25.5pt;width:48.75pt;z-index:251701248;mso-width-relative:page;mso-height-relative:page;" fillcolor="#FFFFFF [3201]" filled="t" stroked="t" coordsize="21600,21600" o:gfxdata="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hNW5jVAAAACAEAAA8AAAAAAAAAAQAgAAAAIgAAAGRycy9kb3ducmV2LnhtbFBLAQIUABQAAAAI&#10;AIdO4kCMD2KuYgIAAMQEAAAOAAAAAAAAAAEAIAAAACQBAABkcnMvZTJvRG9jLnhtbFBLBQYAAAAA&#10;BgAGAFkBAAD4BQAAAAA=&#10;">
                      <v:fill on="t" focussize="0,0"/>
                      <v:stroke weight="0.5pt" color="#000000 [3204]" joinstyle="round"/>
                      <v:imagedata o:title=""/>
                      <o:lock v:ext="edit" aspectratio="f"/>
                      <v:textbox>
                        <w:txbxContent>
                          <w:p w14:paraId="7833FCBF">
                            <w:pPr>
                              <w:rPr>
                                <w:rFonts w:hint="eastAsia" w:eastAsia="宋体"/>
                                <w:lang w:eastAsia="zh-CN"/>
                              </w:rPr>
                            </w:pPr>
                            <w:r>
                              <w:rPr>
                                <w:rFonts w:hint="eastAsia"/>
                                <w:lang w:eastAsia="zh-CN"/>
                              </w:rPr>
                              <w:t>新鲜水</w:t>
                            </w:r>
                          </w:p>
                        </w:txbxContent>
                      </v:textbox>
                    </v:shape>
                  </w:pict>
                </mc:Fallback>
              </mc:AlternateContent>
            </w:r>
          </w:p>
          <w:p w14:paraId="6795D31B">
            <w:pPr>
              <w:pStyle w:val="2"/>
              <w:ind w:left="0" w:leftChars="0" w:firstLine="0" w:firstLineChars="0"/>
              <w:jc w:val="both"/>
              <w:rPr>
                <w:rFonts w:hint="eastAsia" w:eastAsia="宋体"/>
                <w:color w:val="auto"/>
                <w:sz w:val="24"/>
                <w:szCs w:val="24"/>
                <w:highlight w:val="none"/>
                <w:lang w:eastAsia="zh-CN"/>
              </w:rPr>
            </w:pPr>
            <w:r>
              <w:rPr>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1826260</wp:posOffset>
                      </wp:positionH>
                      <wp:positionV relativeFrom="paragraph">
                        <wp:posOffset>19685</wp:posOffset>
                      </wp:positionV>
                      <wp:extent cx="9525" cy="466725"/>
                      <wp:effectExtent l="6350" t="0" r="22225" b="9525"/>
                      <wp:wrapNone/>
                      <wp:docPr id="48" name="直接连接符 48"/>
                      <wp:cNvGraphicFramePr/>
                      <a:graphic xmlns:a="http://schemas.openxmlformats.org/drawingml/2006/main">
                        <a:graphicData uri="http://schemas.microsoft.com/office/word/2010/wordprocessingShape">
                          <wps:wsp>
                            <wps:cNvCnPr/>
                            <wps:spPr>
                              <a:xfrm>
                                <a:off x="3019425" y="5059045"/>
                                <a:ext cx="9525" cy="4667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3.8pt;margin-top:1.55pt;height:36.75pt;width:0.75pt;z-index:251704320;mso-width-relative:page;mso-height-relative:page;" filled="f" stroked="t" coordsize="21600,21600" o:gfxdata="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uNCD2QAAAAgBAAAPAAAAAAAAAAEAIAAAACIAAABkcnMvZG93bnJldi54bWxQSwEC&#10;FAAUAAAACACHTuJAB0cDgvMBAADCAwAADgAAAAAAAAABACAAAAAoAQAAZHJzL2Uyb0RvYy54bWxQ&#10;SwUGAAAAAAYABgBZAQAAjQUAAAAA&#10;">
                      <v:fill on="f" focussize="0,0"/>
                      <v:stroke weight="1pt" color="#000000 [3213]" miterlimit="8" joinstyle="miter"/>
                      <v:imagedata o:title=""/>
                      <o:lock v:ext="edit" aspectratio="f"/>
                    </v:line>
                  </w:pict>
                </mc:Fallback>
              </mc:AlternateContent>
            </w:r>
          </w:p>
          <w:p w14:paraId="0AC73523">
            <w:pPr>
              <w:pStyle w:val="2"/>
              <w:jc w:val="center"/>
              <w:rPr>
                <w:rFonts w:hint="eastAsia" w:eastAsia="宋体"/>
                <w:color w:val="auto"/>
                <w:sz w:val="24"/>
                <w:szCs w:val="24"/>
                <w:highlight w:val="none"/>
                <w:lang w:eastAsia="zh-CN"/>
              </w:rPr>
            </w:pPr>
            <w:r>
              <w:rPr>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3451225</wp:posOffset>
                      </wp:positionH>
                      <wp:positionV relativeFrom="paragraph">
                        <wp:posOffset>144780</wp:posOffset>
                      </wp:positionV>
                      <wp:extent cx="544195" cy="277495"/>
                      <wp:effectExtent l="0" t="0" r="0" b="0"/>
                      <wp:wrapNone/>
                      <wp:docPr id="59" name="文本框 59"/>
                      <wp:cNvGraphicFramePr/>
                      <a:graphic xmlns:a="http://schemas.openxmlformats.org/drawingml/2006/main">
                        <a:graphicData uri="http://schemas.microsoft.com/office/word/2010/wordprocessingShape">
                          <wps:wsp>
                            <wps:cNvSpPr txBox="1"/>
                            <wps:spPr>
                              <a:xfrm>
                                <a:off x="4732020" y="5419725"/>
                                <a:ext cx="544195"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CC0BD">
                                  <w:pPr>
                                    <w:rPr>
                                      <w:rFonts w:hint="eastAsia" w:eastAsia="宋体"/>
                                      <w:lang w:eastAsia="zh-CN"/>
                                    </w:rPr>
                                  </w:pPr>
                                  <w:r>
                                    <w:rPr>
                                      <w:rFonts w:hint="eastAsia"/>
                                      <w:lang w:eastAsia="zh-CN"/>
                                    </w:rPr>
                                    <w:t>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11.4pt;height:21.85pt;width:42.85pt;z-index:251715584;mso-width-relative:page;mso-height-relative:page;" filled="f" stroked="f" coordsize="21600,21600" o:gfxdata="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gccztoAAAAJAQAADwAAAAAAAAAB&#10;ACAAAAAiAAAAZHJzL2Rvd25yZXYueG1sUEsBAhQAFAAAAAgAh07iQJC0n35HAgAAcwQAAA4AAAAA&#10;AAAAAQAgAAAAKQEAAGRycy9lMm9Eb2MueG1sUEsFBgAAAAAGAAYAWQEAAOIFAAAAAA==&#10;">
                      <v:fill on="f" focussize="0,0"/>
                      <v:stroke on="f" weight="0.5pt"/>
                      <v:imagedata o:title=""/>
                      <o:lock v:ext="edit" aspectratio="f"/>
                      <v:textbox>
                        <w:txbxContent>
                          <w:p w14:paraId="57FCC0BD">
                            <w:pPr>
                              <w:rPr>
                                <w:rFonts w:hint="eastAsia" w:eastAsia="宋体"/>
                                <w:lang w:eastAsia="zh-CN"/>
                              </w:rPr>
                            </w:pPr>
                            <w:r>
                              <w:rPr>
                                <w:rFonts w:hint="eastAsia"/>
                                <w:lang w:eastAsia="zh-CN"/>
                              </w:rPr>
                              <w:t>蒸发</w:t>
                            </w:r>
                          </w:p>
                        </w:txbxContent>
                      </v:textbox>
                    </v:shape>
                  </w:pict>
                </mc:Fallback>
              </mc:AlternateContent>
            </w:r>
            <w:r>
              <w:rPr>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2360930</wp:posOffset>
                      </wp:positionH>
                      <wp:positionV relativeFrom="paragraph">
                        <wp:posOffset>139700</wp:posOffset>
                      </wp:positionV>
                      <wp:extent cx="632460" cy="269240"/>
                      <wp:effectExtent l="4445" t="4445" r="10795" b="12065"/>
                      <wp:wrapNone/>
                      <wp:docPr id="52" name="文本框 52"/>
                      <wp:cNvGraphicFramePr/>
                      <a:graphic xmlns:a="http://schemas.openxmlformats.org/drawingml/2006/main">
                        <a:graphicData uri="http://schemas.microsoft.com/office/word/2010/wordprocessingShape">
                          <wps:wsp>
                            <wps:cNvSpPr txBox="1"/>
                            <wps:spPr>
                              <a:xfrm>
                                <a:off x="3555365" y="5358765"/>
                                <a:ext cx="63246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856D09">
                                  <w:pPr>
                                    <w:rPr>
                                      <w:rFonts w:hint="eastAsia" w:eastAsia="宋体"/>
                                      <w:lang w:eastAsia="zh-CN"/>
                                    </w:rPr>
                                  </w:pPr>
                                  <w:r>
                                    <w:rPr>
                                      <w:rFonts w:hint="eastAsia"/>
                                      <w:lang w:eastAsia="zh-CN"/>
                                    </w:rPr>
                                    <w:t>淬火池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pt;margin-top:11pt;height:21.2pt;width:49.8pt;z-index:251708416;mso-width-relative:page;mso-height-relative:page;" fillcolor="#FFFFFF [3201]" filled="t" stroked="t" coordsize="21600,21600" o:gfxdata="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WJecfVAAAACQEAAA8AAAAAAAAAAQAgAAAAIgAAAGRycy9kb3ducmV2LnhtbFBLAQIUABQA&#10;AAAIAIdO4kD4D2D8ZQIAAMQEAAAOAAAAAAAAAAEAIAAAACQBAABkcnMvZTJvRG9jLnhtbFBLBQYA&#10;AAAABgAGAFkBAAD7BQAAAAA=&#10;">
                      <v:fill on="t" focussize="0,0"/>
                      <v:stroke weight="0.5pt" color="#000000 [3204]" joinstyle="round"/>
                      <v:imagedata o:title=""/>
                      <o:lock v:ext="edit" aspectratio="f"/>
                      <v:textbox>
                        <w:txbxContent>
                          <w:p w14:paraId="01856D09">
                            <w:pPr>
                              <w:rPr>
                                <w:rFonts w:hint="eastAsia" w:eastAsia="宋体"/>
                                <w:lang w:eastAsia="zh-CN"/>
                              </w:rPr>
                            </w:pPr>
                            <w:r>
                              <w:rPr>
                                <w:rFonts w:hint="eastAsia"/>
                                <w:lang w:eastAsia="zh-CN"/>
                              </w:rPr>
                              <w:t>淬火池</w:t>
                            </w:r>
                          </w:p>
                        </w:txbxContent>
                      </v:textbox>
                    </v:shape>
                  </w:pict>
                </mc:Fallback>
              </mc:AlternateContent>
            </w:r>
            <w:r>
              <w:rPr>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3000375</wp:posOffset>
                      </wp:positionH>
                      <wp:positionV relativeFrom="paragraph">
                        <wp:posOffset>83185</wp:posOffset>
                      </wp:positionV>
                      <wp:extent cx="448945" cy="258445"/>
                      <wp:effectExtent l="0" t="0" r="0" b="0"/>
                      <wp:wrapNone/>
                      <wp:docPr id="61" name="文本框 61"/>
                      <wp:cNvGraphicFramePr/>
                      <a:graphic xmlns:a="http://schemas.openxmlformats.org/drawingml/2006/main">
                        <a:graphicData uri="http://schemas.microsoft.com/office/word/2010/wordprocessingShape">
                          <wps:wsp>
                            <wps:cNvSpPr txBox="1"/>
                            <wps:spPr>
                              <a:xfrm>
                                <a:off x="5453380" y="5140960"/>
                                <a:ext cx="448945" cy="258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C699AE">
                                  <w:pPr>
                                    <w:rPr>
                                      <w:rFonts w:hint="default" w:eastAsia="宋体"/>
                                      <w:sz w:val="15"/>
                                      <w:szCs w:val="15"/>
                                      <w:lang w:val="en-US" w:eastAsia="zh-CN"/>
                                    </w:rPr>
                                  </w:pPr>
                                  <w:r>
                                    <w:rPr>
                                      <w:rFonts w:hint="eastAsia"/>
                                      <w:sz w:val="15"/>
                                      <w:szCs w:val="15"/>
                                      <w:lang w:val="en-US" w:eastAsia="zh-CN"/>
                                    </w:rPr>
                                    <w:t>0.983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25pt;margin-top:6.55pt;height:20.35pt;width:35.35pt;z-index:251717632;mso-width-relative:page;mso-height-relative:page;" filled="f" stroked="f" coordsize="21600,21600" o:gfxdata="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V39oQ2gAAAAkBAAAPAAAAAAAAAAEA&#10;IAAAACIAAABkcnMvZG93bnJldi54bWxQSwECFAAUAAAACACHTuJAyYC0RkYCAABzBAAADgAAAAAA&#10;AAABACAAAAApAQAAZHJzL2Uyb0RvYy54bWxQSwUGAAAAAAYABgBZAQAA4QUAAAAA&#10;">
                      <v:fill on="f" focussize="0,0"/>
                      <v:stroke on="f" weight="0.5pt"/>
                      <v:imagedata o:title=""/>
                      <o:lock v:ext="edit" aspectratio="f"/>
                      <v:textbox>
                        <w:txbxContent>
                          <w:p w14:paraId="62C699AE">
                            <w:pPr>
                              <w:rPr>
                                <w:rFonts w:hint="default" w:eastAsia="宋体"/>
                                <w:sz w:val="15"/>
                                <w:szCs w:val="15"/>
                                <w:lang w:val="en-US" w:eastAsia="zh-CN"/>
                              </w:rPr>
                            </w:pPr>
                            <w:r>
                              <w:rPr>
                                <w:rFonts w:hint="eastAsia"/>
                                <w:sz w:val="15"/>
                                <w:szCs w:val="15"/>
                                <w:lang w:val="en-US" w:eastAsia="zh-CN"/>
                              </w:rPr>
                              <w:t>0.983</w:t>
                            </w:r>
                          </w:p>
                        </w:txbxContent>
                      </v:textbox>
                    </v:shape>
                  </w:pict>
                </mc:Fallback>
              </mc:AlternateContent>
            </w:r>
            <w:r>
              <w:rPr>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1863725</wp:posOffset>
                      </wp:positionH>
                      <wp:positionV relativeFrom="paragraph">
                        <wp:posOffset>76200</wp:posOffset>
                      </wp:positionV>
                      <wp:extent cx="624840" cy="231140"/>
                      <wp:effectExtent l="0" t="0" r="0" b="0"/>
                      <wp:wrapNone/>
                      <wp:docPr id="54" name="文本框 54"/>
                      <wp:cNvGraphicFramePr/>
                      <a:graphic xmlns:a="http://schemas.openxmlformats.org/drawingml/2006/main">
                        <a:graphicData uri="http://schemas.microsoft.com/office/word/2010/wordprocessingShape">
                          <wps:wsp>
                            <wps:cNvSpPr txBox="1"/>
                            <wps:spPr>
                              <a:xfrm>
                                <a:off x="4759325" y="4909820"/>
                                <a:ext cx="624840"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1B949">
                                  <w:pPr>
                                    <w:rPr>
                                      <w:sz w:val="15"/>
                                      <w:szCs w:val="15"/>
                                    </w:rPr>
                                  </w:pPr>
                                  <w:r>
                                    <w:rPr>
                                      <w:rFonts w:hint="eastAsia"/>
                                      <w:color w:val="auto"/>
                                      <w:sz w:val="15"/>
                                      <w:szCs w:val="15"/>
                                      <w:lang w:val="en-US" w:eastAsia="zh-CN"/>
                                    </w:rPr>
                                    <w:t>0.983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5pt;margin-top:6pt;height:18.2pt;width:49.2pt;z-index:251710464;mso-width-relative:page;mso-height-relative:page;" filled="f" stroked="f" coordsize="21600,21600" o:gfxdata="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LsqtdoAAAAJAQAADwAAAAAAAAAB&#10;ACAAAAAiAAAAZHJzL2Rvd25yZXYueG1sUEsBAhQAFAAAAAgAh07iQMhpSc5HAgAAcwQAAA4AAAAA&#10;AAAAAQAgAAAAKQEAAGRycy9lMm9Eb2MueG1sUEsFBgAAAAAGAAYAWQEAAOIFAAAAAA==&#10;">
                      <v:fill on="f" focussize="0,0"/>
                      <v:stroke on="f" weight="0.5pt"/>
                      <v:imagedata o:title=""/>
                      <o:lock v:ext="edit" aspectratio="f"/>
                      <v:textbox>
                        <w:txbxContent>
                          <w:p w14:paraId="38B1B949">
                            <w:pPr>
                              <w:rPr>
                                <w:sz w:val="15"/>
                                <w:szCs w:val="15"/>
                              </w:rPr>
                            </w:pPr>
                            <w:r>
                              <w:rPr>
                                <w:rFonts w:hint="eastAsia"/>
                                <w:color w:val="auto"/>
                                <w:sz w:val="15"/>
                                <w:szCs w:val="15"/>
                                <w:lang w:val="en-US" w:eastAsia="zh-CN"/>
                              </w:rPr>
                              <w:t>0.983</w:t>
                            </w:r>
                          </w:p>
                        </w:txbxContent>
                      </v:textbox>
                    </v:shape>
                  </w:pict>
                </mc:Fallback>
              </mc:AlternateContent>
            </w:r>
            <w:r>
              <w:rPr>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1415415</wp:posOffset>
                      </wp:positionH>
                      <wp:positionV relativeFrom="paragraph">
                        <wp:posOffset>-150495</wp:posOffset>
                      </wp:positionV>
                      <wp:extent cx="419100" cy="0"/>
                      <wp:effectExtent l="0" t="6350" r="0" b="6350"/>
                      <wp:wrapNone/>
                      <wp:docPr id="46" name="直接连接符 46"/>
                      <wp:cNvGraphicFramePr/>
                      <a:graphic xmlns:a="http://schemas.openxmlformats.org/drawingml/2006/main">
                        <a:graphicData uri="http://schemas.microsoft.com/office/word/2010/wordprocessingShape">
                          <wps:wsp>
                            <wps:cNvCnPr>
                              <a:stCxn id="36" idx="3"/>
                            </wps:cNvCnPr>
                            <wps:spPr>
                              <a:xfrm>
                                <a:off x="2400300" y="5311775"/>
                                <a:ext cx="41910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1.45pt;margin-top:-11.85pt;height:0pt;width:33pt;z-index:251702272;mso-width-relative:page;mso-height-relative:page;" filled="f" stroked="t" coordsize="21600,21600" o:gfxdata="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51+jDYAAAACwEAAA8AAAAAAAAAAQAgAAAAIgAAAGRycy9k&#10;b3ducmV2LnhtbFBLAQIUABQAAAAIAIdO4kBccN4jAgIAAOYDAAAOAAAAAAAAAAEAIAAAACcBAABk&#10;cnMvZTJvRG9jLnhtbFBLBQYAAAAABgAGAFkBAACbBQAAAAA=&#10;">
                      <v:fill on="f" focussize="0,0"/>
                      <v:stroke weight="1pt" color="#000000 [3213]" miterlimit="8" joinstyle="miter"/>
                      <v:imagedata o:title=""/>
                      <o:lock v:ext="edit" aspectratio="f"/>
                    </v:line>
                  </w:pict>
                </mc:Fallback>
              </mc:AlternateContent>
            </w:r>
          </w:p>
          <w:p w14:paraId="48DABF6C">
            <w:pPr>
              <w:pStyle w:val="2"/>
              <w:jc w:val="both"/>
              <w:rPr>
                <w:rFonts w:hint="eastAsia" w:eastAsia="宋体"/>
                <w:color w:val="auto"/>
                <w:sz w:val="24"/>
                <w:szCs w:val="24"/>
                <w:highlight w:val="none"/>
                <w:lang w:eastAsia="zh-CN"/>
              </w:rPr>
            </w:pPr>
            <w:r>
              <w:rPr>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2993390</wp:posOffset>
                      </wp:positionH>
                      <wp:positionV relativeFrom="paragraph">
                        <wp:posOffset>99060</wp:posOffset>
                      </wp:positionV>
                      <wp:extent cx="421640" cy="6350"/>
                      <wp:effectExtent l="0" t="45720" r="16510" b="62230"/>
                      <wp:wrapNone/>
                      <wp:docPr id="56" name="直接箭头连接符 56"/>
                      <wp:cNvGraphicFramePr/>
                      <a:graphic xmlns:a="http://schemas.openxmlformats.org/drawingml/2006/main">
                        <a:graphicData uri="http://schemas.microsoft.com/office/word/2010/wordprocessingShape">
                          <wps:wsp>
                            <wps:cNvCnPr>
                              <a:stCxn id="52" idx="3"/>
                            </wps:cNvCnPr>
                            <wps:spPr>
                              <a:xfrm>
                                <a:off x="4235450" y="5507355"/>
                                <a:ext cx="421640" cy="63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5.7pt;margin-top:7.8pt;height:0.5pt;width:33.2pt;z-index:251712512;mso-width-relative:page;mso-height-relative:page;" filled="f" stroked="t" coordsize="21600,21600" o:gfxdata="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imZCNYA&#10;AAAJAQAADwAAAAAAAAABACAAAAAiAAAAZHJzL2Rvd25yZXYueG1sUEsBAhQAFAAAAAgAh07iQAwo&#10;APwhAgAAFgQAAA4AAAAAAAAAAQAgAAAAJQEAAGRycy9lMm9Eb2MueG1sUEsFBgAAAAAGAAYAWQEA&#10;ALgFAAAAAA==&#10;">
                      <v:fill on="f" focussize="0,0"/>
                      <v:stroke weight="1pt" color="#000000 [3213]" miterlimit="8" joinstyle="miter" endarrow="open"/>
                      <v:imagedata o:title=""/>
                      <o:lock v:ext="edit" aspectratio="f"/>
                    </v:shape>
                  </w:pict>
                </mc:Fallback>
              </mc:AlternateContent>
            </w:r>
            <w:r>
              <w:rPr>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1837055</wp:posOffset>
                      </wp:positionH>
                      <wp:positionV relativeFrom="paragraph">
                        <wp:posOffset>98425</wp:posOffset>
                      </wp:positionV>
                      <wp:extent cx="523875" cy="635"/>
                      <wp:effectExtent l="0" t="50165" r="9525" b="63500"/>
                      <wp:wrapNone/>
                      <wp:docPr id="50" name="直接箭头连接符 50"/>
                      <wp:cNvGraphicFramePr/>
                      <a:graphic xmlns:a="http://schemas.openxmlformats.org/drawingml/2006/main">
                        <a:graphicData uri="http://schemas.microsoft.com/office/word/2010/wordprocessingShape">
                          <wps:wsp>
                            <wps:cNvCnPr>
                              <a:endCxn id="52" idx="1"/>
                            </wps:cNvCnPr>
                            <wps:spPr>
                              <a:xfrm>
                                <a:off x="3072130" y="5501640"/>
                                <a:ext cx="523875"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4.65pt;margin-top:7.75pt;height:0.05pt;width:41.25pt;z-index:251706368;mso-width-relative:page;mso-height-relative:page;" filled="f" stroked="t" coordsize="21600,21600" o:gfxdata="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ei6&#10;ktYAAAAJAQAADwAAAAAAAAABACAAAAAiAAAAZHJzL2Rvd25yZXYueG1sUEsBAhQAFAAAAAgAh07i&#10;QIteuoAkAgAAFgQAAA4AAAAAAAAAAQAgAAAAJQEAAGRycy9lMm9Eb2MueG1sUEsFBgAAAAAGAAYA&#10;WQEAALsFAAAAAA==&#10;">
                      <v:fill on="f" focussize="0,0"/>
                      <v:stroke weight="1pt" color="#000000 [3213]" miterlimit="8" joinstyle="miter" endarrow="open"/>
                      <v:imagedata o:title=""/>
                      <o:lock v:ext="edit" aspectratio="f"/>
                    </v:shape>
                  </w:pict>
                </mc:Fallback>
              </mc:AlternateContent>
            </w:r>
          </w:p>
          <w:p w14:paraId="25925B2B">
            <w:pPr>
              <w:pStyle w:val="2"/>
              <w:ind w:left="0" w:leftChars="0" w:firstLine="0" w:firstLineChars="0"/>
              <w:jc w:val="both"/>
              <w:rPr>
                <w:rFonts w:hint="eastAsia" w:eastAsia="宋体"/>
                <w:color w:val="auto"/>
                <w:sz w:val="24"/>
                <w:szCs w:val="24"/>
                <w:highlight w:val="none"/>
                <w:lang w:eastAsia="zh-CN"/>
              </w:rPr>
            </w:pPr>
          </w:p>
          <w:p w14:paraId="583A1CEC">
            <w:pPr>
              <w:pStyle w:val="2"/>
              <w:jc w:val="center"/>
              <w:rPr>
                <w:rFonts w:hint="eastAsia" w:eastAsia="宋体"/>
                <w:color w:val="auto"/>
                <w:sz w:val="24"/>
                <w:szCs w:val="24"/>
                <w:highlight w:val="none"/>
                <w:lang w:val="en-US" w:eastAsia="zh-CN"/>
              </w:rPr>
            </w:pPr>
            <w:r>
              <w:rPr>
                <w:rFonts w:hint="eastAsia" w:eastAsia="宋体"/>
                <w:color w:val="auto"/>
                <w:sz w:val="24"/>
                <w:szCs w:val="24"/>
                <w:highlight w:val="none"/>
                <w:lang w:eastAsia="zh-CN"/>
              </w:rPr>
              <w:t>图</w:t>
            </w:r>
            <w:r>
              <w:rPr>
                <w:rFonts w:hint="eastAsia" w:eastAsia="宋体"/>
                <w:color w:val="auto"/>
                <w:sz w:val="24"/>
                <w:szCs w:val="24"/>
                <w:highlight w:val="none"/>
                <w:lang w:val="en-US" w:eastAsia="zh-CN"/>
              </w:rPr>
              <w:t>2-1  本项目水平衡图</w:t>
            </w:r>
            <w:r>
              <w:rPr>
                <w:rFonts w:hint="eastAsia"/>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color w:val="auto"/>
                <w:sz w:val="24"/>
                <w:szCs w:val="24"/>
                <w:highlight w:val="none"/>
                <w:lang w:val="en-US" w:eastAsia="zh-CN"/>
              </w:rPr>
              <w:t>）</w:t>
            </w:r>
          </w:p>
          <w:p w14:paraId="3CFC0859">
            <w:pPr>
              <w:pStyle w:val="2"/>
              <w:ind w:left="0" w:leftChars="0" w:firstLine="0" w:firstLineChars="0"/>
              <w:jc w:val="both"/>
              <w:rPr>
                <w:rFonts w:eastAsia="宋体"/>
                <w:b w:val="0"/>
                <w:bCs w:val="0"/>
                <w:color w:val="auto"/>
                <w:sz w:val="24"/>
                <w:szCs w:val="24"/>
                <w:highlight w:val="none"/>
              </w:rPr>
            </w:pP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lang w:val="en-US" w:eastAsia="zh-CN"/>
              </w:rPr>
              <w:t>2</w:t>
            </w:r>
            <w:r>
              <w:rPr>
                <w:rFonts w:hint="eastAsia" w:eastAsia="宋体"/>
                <w:b w:val="0"/>
                <w:bCs w:val="0"/>
                <w:color w:val="auto"/>
                <w:sz w:val="24"/>
                <w:szCs w:val="24"/>
                <w:highlight w:val="none"/>
                <w:lang w:eastAsia="zh-CN"/>
              </w:rPr>
              <w:t>）</w:t>
            </w:r>
            <w:r>
              <w:rPr>
                <w:rFonts w:eastAsia="宋体"/>
                <w:b w:val="0"/>
                <w:bCs w:val="0"/>
                <w:color w:val="auto"/>
                <w:sz w:val="24"/>
                <w:szCs w:val="24"/>
                <w:highlight w:val="none"/>
              </w:rPr>
              <w:t>排水</w:t>
            </w:r>
          </w:p>
          <w:p w14:paraId="37C7BB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b w:val="0"/>
                <w:bCs/>
                <w:color w:val="auto"/>
                <w:sz w:val="24"/>
                <w:szCs w:val="24"/>
                <w:highlight w:val="none"/>
                <w:lang w:eastAsia="zh-CN"/>
              </w:rPr>
            </w:pPr>
            <w:r>
              <w:rPr>
                <w:rFonts w:eastAsia="宋体"/>
                <w:b w:val="0"/>
                <w:bCs w:val="0"/>
                <w:color w:val="auto"/>
                <w:sz w:val="24"/>
                <w:szCs w:val="24"/>
                <w:highlight w:val="none"/>
              </w:rPr>
              <w:t>生产</w:t>
            </w:r>
            <w:r>
              <w:rPr>
                <w:rFonts w:hint="eastAsia" w:eastAsia="宋体"/>
                <w:b w:val="0"/>
                <w:bCs w:val="0"/>
                <w:color w:val="auto"/>
                <w:sz w:val="24"/>
                <w:szCs w:val="24"/>
                <w:highlight w:val="none"/>
                <w:lang w:eastAsia="zh-CN"/>
              </w:rPr>
              <w:t>用水：</w:t>
            </w:r>
            <w:r>
              <w:rPr>
                <w:rFonts w:eastAsia="宋体"/>
                <w:color w:val="auto"/>
                <w:sz w:val="24"/>
                <w:szCs w:val="24"/>
                <w:highlight w:val="none"/>
              </w:rPr>
              <w:t>设备间接冷却水经冷却塔冷却后循环使用（循环用水量为</w:t>
            </w:r>
            <w:r>
              <w:rPr>
                <w:rFonts w:hint="eastAsia" w:eastAsia="宋体"/>
                <w:color w:val="auto"/>
                <w:sz w:val="24"/>
                <w:szCs w:val="24"/>
                <w:highlight w:val="none"/>
                <w:lang w:val="en-US" w:eastAsia="zh-CN"/>
              </w:rPr>
              <w:t>70</w:t>
            </w:r>
            <w:r>
              <w:rPr>
                <w:rFonts w:eastAsia="宋体"/>
                <w:color w:val="auto"/>
                <w:sz w:val="24"/>
                <w:szCs w:val="24"/>
                <w:highlight w:val="none"/>
              </w:rPr>
              <w:t>0</w:t>
            </w:r>
            <w:r>
              <w:rPr>
                <w:rFonts w:hint="eastAsia" w:eastAsia="宋体"/>
                <w:color w:val="auto"/>
                <w:sz w:val="24"/>
                <w:szCs w:val="24"/>
                <w:highlight w:val="none"/>
                <w:lang w:eastAsia="zh-CN"/>
              </w:rPr>
              <w:t>m³</w:t>
            </w:r>
            <w:r>
              <w:rPr>
                <w:rFonts w:eastAsia="宋体"/>
                <w:color w:val="auto"/>
                <w:sz w:val="24"/>
                <w:szCs w:val="24"/>
                <w:highlight w:val="none"/>
              </w:rPr>
              <w:t>/h），定期有少量废水</w:t>
            </w:r>
            <w:r>
              <w:rPr>
                <w:rFonts w:hint="default" w:ascii="Times New Roman" w:hAnsi="Times New Roman" w:eastAsia="宋体" w:cs="Times New Roman"/>
                <w:color w:val="auto"/>
                <w:sz w:val="24"/>
                <w:szCs w:val="24"/>
                <w:highlight w:val="none"/>
                <w:lang w:val="en-US" w:eastAsia="zh-CN"/>
              </w:rPr>
              <w:t>16.80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eastAsia="宋体"/>
                <w:color w:val="auto"/>
                <w:sz w:val="24"/>
                <w:szCs w:val="24"/>
                <w:highlight w:val="none"/>
                <w:lang w:val="en-US" w:eastAsia="zh-CN"/>
              </w:rPr>
              <w:t>5040</w:t>
            </w:r>
            <w:r>
              <w:rPr>
                <w:rFonts w:hint="eastAsia" w:eastAsia="宋体"/>
                <w:color w:val="auto"/>
                <w:sz w:val="24"/>
                <w:szCs w:val="24"/>
                <w:highlight w:val="none"/>
                <w:lang w:eastAsia="zh-CN"/>
              </w:rPr>
              <w:t>m³</w:t>
            </w:r>
            <w:r>
              <w:rPr>
                <w:rFonts w:eastAsia="宋体"/>
                <w:color w:val="auto"/>
                <w:sz w:val="24"/>
                <w:szCs w:val="24"/>
                <w:highlight w:val="none"/>
              </w:rPr>
              <w:t>/a）</w:t>
            </w:r>
            <w:r>
              <w:rPr>
                <w:rFonts w:hint="eastAsia" w:eastAsia="宋体"/>
                <w:color w:val="auto"/>
                <w:sz w:val="24"/>
                <w:szCs w:val="24"/>
                <w:highlight w:val="none"/>
                <w:lang w:eastAsia="zh-CN"/>
              </w:rPr>
              <w:t>蒸发排放</w:t>
            </w:r>
            <w:r>
              <w:rPr>
                <w:rFonts w:eastAsia="宋体"/>
                <w:color w:val="auto"/>
                <w:sz w:val="24"/>
                <w:szCs w:val="24"/>
                <w:highlight w:val="none"/>
              </w:rPr>
              <w:t>，</w:t>
            </w:r>
            <w:r>
              <w:rPr>
                <w:rFonts w:hint="eastAsia" w:cs="Times New Roman"/>
                <w:color w:val="auto"/>
                <w:sz w:val="24"/>
                <w:szCs w:val="24"/>
                <w:highlight w:val="none"/>
                <w:lang w:val="en-US" w:eastAsia="zh-CN"/>
              </w:rPr>
              <w:t>淬火池</w:t>
            </w:r>
            <w:r>
              <w:rPr>
                <w:rFonts w:hint="eastAsia"/>
                <w:color w:val="auto"/>
                <w:sz w:val="24"/>
                <w:szCs w:val="24"/>
                <w:highlight w:val="none"/>
                <w:lang w:eastAsia="zh-CN"/>
              </w:rPr>
              <w:t>淬火蒸发用水</w:t>
            </w:r>
            <w:r>
              <w:rPr>
                <w:rFonts w:hint="eastAsia"/>
                <w:color w:val="auto"/>
                <w:sz w:val="24"/>
                <w:szCs w:val="24"/>
                <w:highlight w:val="none"/>
                <w:lang w:val="en-US" w:eastAsia="zh-CN"/>
              </w:rPr>
              <w:t>0.983</w:t>
            </w:r>
            <w:r>
              <w:rPr>
                <w:rFonts w:hint="eastAsia" w:eastAsia="宋体"/>
                <w:color w:val="auto"/>
                <w:sz w:val="24"/>
                <w:szCs w:val="24"/>
                <w:highlight w:val="none"/>
                <w:lang w:eastAsia="zh-CN"/>
              </w:rPr>
              <w:t>m³</w:t>
            </w:r>
            <w:r>
              <w:rPr>
                <w:rFonts w:hint="eastAsia"/>
                <w:color w:val="auto"/>
                <w:sz w:val="24"/>
                <w:szCs w:val="24"/>
                <w:highlight w:val="none"/>
                <w:lang w:val="en-US" w:eastAsia="zh-CN"/>
              </w:rPr>
              <w:t>/d（281.4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olor w:val="auto"/>
                <w:sz w:val="24"/>
                <w:szCs w:val="24"/>
                <w:highlight w:val="none"/>
                <w:lang w:val="en-US" w:eastAsia="zh-CN"/>
              </w:rPr>
              <w:t>）蒸发排放，</w:t>
            </w:r>
            <w:r>
              <w:rPr>
                <w:rFonts w:hint="eastAsia"/>
                <w:color w:val="auto"/>
                <w:sz w:val="24"/>
                <w:szCs w:val="24"/>
                <w:highlight w:val="none"/>
                <w:lang w:eastAsia="zh-CN"/>
              </w:rPr>
              <w:t>项目总用水量为</w:t>
            </w:r>
            <w:r>
              <w:rPr>
                <w:rFonts w:hint="eastAsia" w:cs="Times New Roman"/>
                <w:color w:val="auto"/>
                <w:sz w:val="24"/>
                <w:szCs w:val="24"/>
                <w:highlight w:val="none"/>
                <w:lang w:val="en-US" w:eastAsia="zh-CN"/>
              </w:rPr>
              <w:t>17.783</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w:t>
            </w:r>
            <w:r>
              <w:rPr>
                <w:rFonts w:hint="eastAsia"/>
                <w:color w:val="auto"/>
                <w:sz w:val="24"/>
                <w:szCs w:val="24"/>
                <w:highlight w:val="none"/>
                <w:lang w:val="en-US" w:eastAsia="zh-CN"/>
              </w:rPr>
              <w:t>5321.4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），蒸发排放</w:t>
            </w:r>
            <w:r>
              <w:rPr>
                <w:rFonts w:eastAsia="宋体"/>
                <w:color w:val="auto"/>
                <w:sz w:val="24"/>
                <w:szCs w:val="24"/>
                <w:highlight w:val="none"/>
              </w:rPr>
              <w:t>。</w:t>
            </w:r>
          </w:p>
          <w:p w14:paraId="2E1B26E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宋体"/>
                <w:b w:val="0"/>
                <w:bCs/>
                <w:color w:val="auto"/>
                <w:sz w:val="24"/>
                <w:szCs w:val="24"/>
                <w:highlight w:val="none"/>
                <w:lang w:eastAsia="zh-CN"/>
              </w:rPr>
            </w:pPr>
            <w:r>
              <w:rPr>
                <w:rFonts w:hint="eastAsia" w:eastAsia="宋体"/>
                <w:b w:val="0"/>
                <w:bCs/>
                <w:color w:val="auto"/>
                <w:sz w:val="24"/>
                <w:szCs w:val="24"/>
                <w:highlight w:val="none"/>
                <w:lang w:val="en-US" w:eastAsia="zh-CN"/>
              </w:rPr>
              <w:t>2、</w:t>
            </w:r>
            <w:r>
              <w:rPr>
                <w:rFonts w:hint="eastAsia" w:eastAsia="宋体"/>
                <w:b w:val="0"/>
                <w:bCs/>
                <w:color w:val="auto"/>
                <w:sz w:val="24"/>
                <w:szCs w:val="24"/>
                <w:highlight w:val="none"/>
                <w:lang w:eastAsia="zh-CN"/>
              </w:rPr>
              <w:t>全场用水</w:t>
            </w:r>
          </w:p>
          <w:p w14:paraId="2F2BE1AE">
            <w:pPr>
              <w:pStyle w:val="2"/>
              <w:keepNext w:val="0"/>
              <w:keepLines w:val="0"/>
              <w:pageBreakBefore w:val="0"/>
              <w:widowControl w:val="0"/>
              <w:numPr>
                <w:ilvl w:val="0"/>
                <w:numId w:val="2"/>
              </w:numPr>
              <w:kinsoku/>
              <w:wordWrap/>
              <w:overflowPunct/>
              <w:topLinePunct w:val="0"/>
              <w:autoSpaceDE/>
              <w:autoSpaceDN/>
              <w:bidi w:val="0"/>
              <w:adjustRightInd/>
              <w:snapToGrid/>
              <w:spacing w:line="480" w:lineRule="exact"/>
              <w:textAlignment w:val="auto"/>
              <w:rPr>
                <w:rFonts w:hint="default"/>
                <w:b w:val="0"/>
                <w:bCs/>
                <w:color w:val="auto"/>
                <w:sz w:val="24"/>
                <w:szCs w:val="24"/>
                <w:highlight w:val="none"/>
                <w:lang w:val="en-US" w:eastAsia="zh-CN"/>
              </w:rPr>
            </w:pPr>
            <w:r>
              <w:rPr>
                <w:rFonts w:hint="eastAsia"/>
                <w:color w:val="auto"/>
                <w:sz w:val="24"/>
                <w:szCs w:val="24"/>
                <w:highlight w:val="none"/>
                <w:lang w:val="en-US" w:eastAsia="zh-CN"/>
              </w:rPr>
              <w:t>给水</w:t>
            </w:r>
          </w:p>
          <w:p w14:paraId="0D68E2D9">
            <w:pPr>
              <w:pStyle w:val="11"/>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b w:val="0"/>
                <w:bCs/>
                <w:color w:val="auto"/>
                <w:sz w:val="24"/>
                <w:szCs w:val="24"/>
                <w:highlight w:val="none"/>
                <w:lang w:val="en-US" w:eastAsia="zh-CN"/>
              </w:rPr>
            </w:pPr>
            <w:r>
              <w:rPr>
                <w:rFonts w:hint="default"/>
                <w:b w:val="0"/>
                <w:bCs/>
                <w:color w:val="auto"/>
                <w:sz w:val="24"/>
                <w:szCs w:val="24"/>
                <w:highlight w:val="none"/>
                <w:lang w:val="en-US" w:eastAsia="zh-CN"/>
              </w:rPr>
              <w:t>生活用水：员工为附近居民，根据《河北省用水定额 生活与服务业用水定额第一部分 居民生活》（DB13T5405.1-2021）并结合当地实际情况，20立方米每人每年，项目劳动定员为120人，经核算，员工用水量为</w:t>
            </w:r>
            <w:r>
              <w:rPr>
                <w:rFonts w:hint="eastAsia"/>
                <w:b w:val="0"/>
                <w:bCs/>
                <w:color w:val="auto"/>
                <w:sz w:val="24"/>
                <w:szCs w:val="24"/>
                <w:highlight w:val="none"/>
                <w:lang w:val="en-US" w:eastAsia="zh-CN"/>
              </w:rPr>
              <w:t>8</w:t>
            </w:r>
            <w:r>
              <w:rPr>
                <w:rFonts w:hint="default"/>
                <w:b w:val="0"/>
                <w:bCs/>
                <w:color w:val="auto"/>
                <w:sz w:val="24"/>
                <w:szCs w:val="24"/>
                <w:highlight w:val="none"/>
                <w:lang w:val="en-US" w:eastAsia="zh-CN"/>
              </w:rPr>
              <w:t>m</w:t>
            </w:r>
            <w:r>
              <w:rPr>
                <w:rFonts w:hint="default"/>
                <w:b w:val="0"/>
                <w:bCs/>
                <w:color w:val="auto"/>
                <w:sz w:val="24"/>
                <w:szCs w:val="24"/>
                <w:highlight w:val="none"/>
                <w:vertAlign w:val="superscript"/>
                <w:lang w:val="en-US" w:eastAsia="zh-CN"/>
              </w:rPr>
              <w:t>3</w:t>
            </w:r>
            <w:r>
              <w:rPr>
                <w:rFonts w:hint="default"/>
                <w:b w:val="0"/>
                <w:bCs/>
                <w:color w:val="auto"/>
                <w:sz w:val="24"/>
                <w:szCs w:val="24"/>
                <w:highlight w:val="none"/>
                <w:lang w:val="en-US" w:eastAsia="zh-CN"/>
              </w:rPr>
              <w:t>/d（2400m</w:t>
            </w:r>
            <w:r>
              <w:rPr>
                <w:rFonts w:hint="default"/>
                <w:b w:val="0"/>
                <w:bCs/>
                <w:color w:val="auto"/>
                <w:sz w:val="24"/>
                <w:szCs w:val="24"/>
                <w:highlight w:val="none"/>
                <w:vertAlign w:val="superscript"/>
                <w:lang w:val="en-US" w:eastAsia="zh-CN"/>
              </w:rPr>
              <w:t>3</w:t>
            </w:r>
            <w:r>
              <w:rPr>
                <w:rFonts w:hint="default"/>
                <w:b w:val="0"/>
                <w:bCs/>
                <w:color w:val="auto"/>
                <w:sz w:val="24"/>
                <w:szCs w:val="24"/>
                <w:highlight w:val="none"/>
                <w:lang w:val="en-US" w:eastAsia="zh-CN"/>
              </w:rPr>
              <w:t>/a）。</w:t>
            </w:r>
          </w:p>
          <w:p w14:paraId="54CF0A7B">
            <w:pPr>
              <w:spacing w:line="480" w:lineRule="exact"/>
              <w:ind w:firstLine="480" w:firstLineChars="200"/>
              <w:rPr>
                <w:rFonts w:hint="default" w:ascii="Times New Roman" w:hAnsi="Times New Roman" w:eastAsia="宋体" w:cs="Times New Roman"/>
                <w:color w:val="auto"/>
                <w:sz w:val="24"/>
                <w:szCs w:val="24"/>
                <w:highlight w:val="none"/>
              </w:rPr>
            </w:pPr>
            <w:r>
              <w:rPr>
                <w:rFonts w:hint="default"/>
                <w:color w:val="auto"/>
                <w:sz w:val="24"/>
                <w:szCs w:val="24"/>
                <w:highlight w:val="none"/>
                <w:lang w:val="en-US" w:eastAsia="zh-CN"/>
              </w:rPr>
              <w:t>生产用水：</w:t>
            </w:r>
            <w:r>
              <w:rPr>
                <w:rFonts w:hint="eastAsia"/>
                <w:color w:val="auto"/>
                <w:sz w:val="24"/>
                <w:szCs w:val="24"/>
                <w:highlight w:val="none"/>
                <w:lang w:val="en-US" w:eastAsia="zh-CN"/>
              </w:rPr>
              <w:t>项目建成后，全场用水分为</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设备间接冷却用水</w:t>
            </w:r>
            <w:r>
              <w:rPr>
                <w:rFonts w:hint="default" w:ascii="Times New Roman" w:hAnsi="Times New Roman" w:eastAsia="宋体"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lang w:val="en-US" w:eastAsia="zh-CN"/>
              </w:rPr>
              <w:t>淬火池补水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项目生产用水主要为</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设备间接冷却用水</w:t>
            </w:r>
            <w:r>
              <w:rPr>
                <w:rFonts w:hint="default" w:ascii="Times New Roman" w:hAnsi="Times New Roman" w:eastAsia="宋体"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lang w:val="en-US" w:eastAsia="zh-CN"/>
              </w:rPr>
              <w:t>淬火池补水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设备间接冷却水总用水量为</w:t>
            </w:r>
            <w:r>
              <w:rPr>
                <w:rFonts w:hint="eastAsia" w:ascii="Times New Roman" w:hAnsi="Times New Roman" w:eastAsia="宋体" w:cs="Times New Roman"/>
                <w:color w:val="auto"/>
                <w:sz w:val="24"/>
                <w:szCs w:val="24"/>
                <w:highlight w:val="none"/>
                <w:lang w:val="en-US" w:eastAsia="zh-CN"/>
              </w:rPr>
              <w:t>1401.4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/h，其中循环用水量为</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/h，新水用量为</w:t>
            </w:r>
            <w:r>
              <w:rPr>
                <w:rFonts w:hint="eastAsia" w:ascii="Times New Roman" w:hAnsi="Times New Roman" w:eastAsia="宋体" w:cs="Times New Roman"/>
                <w:color w:val="auto"/>
                <w:sz w:val="24"/>
                <w:szCs w:val="24"/>
                <w:highlight w:val="none"/>
                <w:lang w:val="en-US" w:eastAsia="zh-CN"/>
              </w:rPr>
              <w:t>10080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（33.6</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铸件水润淬火，</w:t>
            </w:r>
            <w:r>
              <w:rPr>
                <w:rFonts w:hint="eastAsia" w:eastAsia="宋体" w:cs="Times New Roman"/>
                <w:color w:val="auto"/>
                <w:sz w:val="24"/>
                <w:szCs w:val="24"/>
                <w:highlight w:val="none"/>
                <w:lang w:val="en-US" w:eastAsia="zh-CN"/>
              </w:rPr>
              <w:t>日需淬火铸件</w:t>
            </w:r>
            <w:r>
              <w:rPr>
                <w:rFonts w:hint="eastAsia" w:cs="Times New Roman"/>
                <w:color w:val="auto"/>
                <w:sz w:val="24"/>
                <w:szCs w:val="24"/>
                <w:highlight w:val="none"/>
                <w:lang w:val="en-US" w:eastAsia="zh-CN"/>
              </w:rPr>
              <w:t>66</w:t>
            </w:r>
            <w:r>
              <w:rPr>
                <w:rFonts w:hint="eastAsia" w:eastAsia="宋体" w:cs="Times New Roman"/>
                <w:color w:val="auto"/>
                <w:sz w:val="24"/>
                <w:szCs w:val="24"/>
                <w:highlight w:val="none"/>
                <w:lang w:val="en-US" w:eastAsia="zh-CN"/>
              </w:rPr>
              <w:t>t，淬火池总</w:t>
            </w:r>
            <w:r>
              <w:rPr>
                <w:rFonts w:eastAsia="宋体"/>
                <w:color w:val="auto"/>
                <w:sz w:val="24"/>
                <w:szCs w:val="24"/>
                <w:highlight w:val="none"/>
              </w:rPr>
              <w:t>用水量为</w:t>
            </w:r>
            <w:r>
              <w:rPr>
                <w:rFonts w:hint="eastAsia" w:eastAsia="宋体"/>
                <w:color w:val="auto"/>
                <w:sz w:val="24"/>
                <w:szCs w:val="24"/>
                <w:highlight w:val="none"/>
                <w:lang w:val="en-US" w:eastAsia="zh-CN"/>
              </w:rPr>
              <w:t>28.00</w:t>
            </w:r>
            <w:r>
              <w:rPr>
                <w:rFonts w:hint="eastAsia" w:eastAsia="宋体"/>
                <w:color w:val="auto"/>
                <w:sz w:val="24"/>
                <w:szCs w:val="24"/>
                <w:highlight w:val="none"/>
                <w:lang w:eastAsia="zh-CN"/>
              </w:rPr>
              <w:t>m³</w:t>
            </w:r>
            <w:r>
              <w:rPr>
                <w:rFonts w:eastAsia="宋体"/>
                <w:color w:val="auto"/>
                <w:sz w:val="24"/>
                <w:szCs w:val="24"/>
                <w:highlight w:val="none"/>
              </w:rPr>
              <w:t>/</w:t>
            </w:r>
            <w:r>
              <w:rPr>
                <w:rFonts w:hint="eastAsia" w:eastAsia="宋体"/>
                <w:color w:val="auto"/>
                <w:sz w:val="24"/>
                <w:szCs w:val="24"/>
                <w:highlight w:val="none"/>
                <w:lang w:val="en-US" w:eastAsia="zh-CN"/>
              </w:rPr>
              <w:t>d，</w:t>
            </w:r>
            <w:r>
              <w:rPr>
                <w:rFonts w:hint="eastAsia"/>
                <w:color w:val="auto"/>
                <w:sz w:val="24"/>
                <w:szCs w:val="24"/>
                <w:highlight w:val="none"/>
                <w:lang w:val="en-US" w:eastAsia="zh-CN"/>
              </w:rPr>
              <w:t>根据企业提供资料，淬火过程中蒸发用水</w:t>
            </w:r>
            <w:r>
              <w:rPr>
                <w:rFonts w:hint="eastAsia" w:eastAsia="宋体"/>
                <w:color w:val="auto"/>
                <w:sz w:val="24"/>
                <w:szCs w:val="24"/>
                <w:highlight w:val="none"/>
                <w:lang w:val="en-US" w:eastAsia="zh-CN"/>
              </w:rPr>
              <w:t>需新水9.2</w:t>
            </w:r>
            <w:r>
              <w:rPr>
                <w:rFonts w:hint="eastAsia" w:eastAsia="宋体"/>
                <w:color w:val="auto"/>
                <w:sz w:val="24"/>
                <w:szCs w:val="24"/>
                <w:highlight w:val="none"/>
                <w:lang w:eastAsia="zh-CN"/>
              </w:rPr>
              <w:t>m³</w:t>
            </w:r>
            <w:r>
              <w:rPr>
                <w:rFonts w:eastAsia="宋体"/>
                <w:color w:val="auto"/>
                <w:sz w:val="24"/>
                <w:szCs w:val="24"/>
                <w:highlight w:val="none"/>
              </w:rPr>
              <w:t>/d</w:t>
            </w:r>
            <w:r>
              <w:rPr>
                <w:rFonts w:hint="eastAsia" w:eastAsia="宋体"/>
                <w:color w:val="auto"/>
                <w:sz w:val="24"/>
                <w:szCs w:val="24"/>
                <w:highlight w:val="none"/>
                <w:lang w:val="en-US" w:eastAsia="zh-CN"/>
              </w:rPr>
              <w:t>，即2760</w:t>
            </w:r>
            <w:r>
              <w:rPr>
                <w:rFonts w:hint="eastAsia" w:eastAsia="宋体"/>
                <w:color w:val="auto"/>
                <w:sz w:val="24"/>
                <w:szCs w:val="24"/>
                <w:highlight w:val="none"/>
                <w:lang w:eastAsia="zh-CN"/>
              </w:rPr>
              <w:t>m³</w:t>
            </w:r>
            <w:r>
              <w:rPr>
                <w:rFonts w:eastAsia="宋体"/>
                <w:color w:val="auto"/>
                <w:sz w:val="24"/>
                <w:szCs w:val="24"/>
                <w:highlight w:val="none"/>
              </w:rPr>
              <w:t>/</w:t>
            </w:r>
            <w:r>
              <w:rPr>
                <w:rFonts w:hint="eastAsia" w:eastAsia="宋体"/>
                <w:color w:val="auto"/>
                <w:sz w:val="24"/>
                <w:szCs w:val="24"/>
                <w:highlight w:val="none"/>
                <w:lang w:val="en-US" w:eastAsia="zh-CN"/>
              </w:rPr>
              <w:t>a；则全场</w:t>
            </w:r>
            <w:r>
              <w:rPr>
                <w:rFonts w:hint="default" w:ascii="Times New Roman" w:hAnsi="Times New Roman" w:eastAsia="宋体" w:cs="Times New Roman"/>
                <w:color w:val="auto"/>
                <w:sz w:val="24"/>
                <w:szCs w:val="24"/>
                <w:highlight w:val="none"/>
              </w:rPr>
              <w:t>生</w:t>
            </w:r>
            <w:r>
              <w:rPr>
                <w:rFonts w:hint="default" w:ascii="Times New Roman" w:hAnsi="Times New Roman" w:eastAsia="宋体" w:cs="Times New Roman"/>
                <w:color w:val="auto"/>
                <w:sz w:val="24"/>
                <w:szCs w:val="24"/>
                <w:highlight w:val="none"/>
                <w:lang w:val="en-US" w:eastAsia="zh-CN"/>
              </w:rPr>
              <w:t>产</w:t>
            </w:r>
            <w:r>
              <w:rPr>
                <w:rFonts w:hint="default" w:ascii="Times New Roman" w:hAnsi="Times New Roman" w:eastAsia="宋体" w:cs="Times New Roman"/>
                <w:color w:val="auto"/>
                <w:sz w:val="24"/>
                <w:szCs w:val="24"/>
                <w:highlight w:val="none"/>
              </w:rPr>
              <w:t>用水</w:t>
            </w:r>
            <w:r>
              <w:rPr>
                <w:rFonts w:hint="default" w:ascii="Times New Roman" w:hAnsi="Times New Roman" w:eastAsia="宋体" w:cs="Times New Roman"/>
                <w:color w:val="auto"/>
                <w:sz w:val="24"/>
                <w:szCs w:val="24"/>
                <w:highlight w:val="none"/>
                <w:lang w:val="en-US" w:eastAsia="zh-CN"/>
              </w:rPr>
              <w:t>新水总</w:t>
            </w:r>
            <w:r>
              <w:rPr>
                <w:rFonts w:hint="default"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12840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（42.8</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5B5A40B6">
            <w:pPr>
              <w:spacing w:line="480" w:lineRule="exact"/>
              <w:ind w:firstLine="480" w:firstLineChars="200"/>
              <w:rPr>
                <w:rFonts w:hint="eastAsia" w:eastAsia="宋体"/>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绿化用水：</w:t>
            </w:r>
            <w:r>
              <w:rPr>
                <w:rFonts w:hint="eastAsia" w:eastAsia="宋体"/>
                <w:color w:val="auto"/>
                <w:sz w:val="24"/>
                <w:szCs w:val="24"/>
                <w:highlight w:val="none"/>
                <w:lang w:val="en-US" w:eastAsia="zh-CN"/>
              </w:rPr>
              <w:t>全厂绿化面积4000m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，按</w:t>
            </w:r>
            <w:r>
              <w:rPr>
                <w:rFonts w:eastAsia="宋体"/>
                <w:color w:val="auto"/>
                <w:sz w:val="24"/>
                <w:szCs w:val="24"/>
                <w:highlight w:val="none"/>
              </w:rPr>
              <w:t>照《用水定额第3部分：生活用水》（DB13/T1611.3-2016）中</w:t>
            </w:r>
            <w:r>
              <w:rPr>
                <w:rFonts w:hint="eastAsia" w:eastAsia="宋体"/>
                <w:color w:val="auto"/>
                <w:sz w:val="24"/>
                <w:szCs w:val="24"/>
                <w:highlight w:val="none"/>
                <w:lang w:val="en-US" w:eastAsia="zh-CN"/>
              </w:rPr>
              <w:t>绿化</w:t>
            </w:r>
            <w:r>
              <w:rPr>
                <w:rFonts w:eastAsia="宋体"/>
                <w:color w:val="auto"/>
                <w:sz w:val="24"/>
                <w:szCs w:val="24"/>
                <w:highlight w:val="none"/>
              </w:rPr>
              <w:t>标准，用水按</w:t>
            </w:r>
            <w:r>
              <w:rPr>
                <w:rFonts w:hint="eastAsia" w:eastAsia="宋体"/>
                <w:color w:val="auto"/>
                <w:sz w:val="24"/>
                <w:szCs w:val="24"/>
                <w:highlight w:val="none"/>
                <w:lang w:val="en-US" w:eastAsia="zh-CN"/>
              </w:rPr>
              <w:t>0.6</w:t>
            </w:r>
            <w:r>
              <w:rPr>
                <w:rFonts w:hint="eastAsia" w:eastAsia="宋体"/>
                <w:color w:val="auto"/>
                <w:sz w:val="24"/>
                <w:szCs w:val="24"/>
                <w:highlight w:val="none"/>
                <w:lang w:eastAsia="zh-CN"/>
              </w:rPr>
              <w:t>m³</w:t>
            </w:r>
            <w:r>
              <w:rPr>
                <w:rFonts w:eastAsia="宋体"/>
                <w:color w:val="auto"/>
                <w:sz w:val="24"/>
                <w:szCs w:val="24"/>
                <w:highlight w:val="none"/>
              </w:rPr>
              <w:t>/</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2</w:t>
            </w:r>
            <w:r>
              <w:rPr>
                <w:rFonts w:eastAsia="宋体"/>
                <w:color w:val="auto"/>
                <w:sz w:val="24"/>
                <w:szCs w:val="24"/>
                <w:highlight w:val="none"/>
              </w:rPr>
              <w:t>•</w:t>
            </w:r>
            <w:r>
              <w:rPr>
                <w:rFonts w:hint="eastAsia" w:eastAsia="宋体"/>
                <w:color w:val="auto"/>
                <w:sz w:val="24"/>
                <w:szCs w:val="24"/>
                <w:highlight w:val="none"/>
                <w:lang w:val="en-US" w:eastAsia="zh-CN"/>
              </w:rPr>
              <w:t>a</w:t>
            </w:r>
            <w:r>
              <w:rPr>
                <w:rFonts w:eastAsia="宋体"/>
                <w:color w:val="auto"/>
                <w:sz w:val="24"/>
                <w:szCs w:val="24"/>
                <w:highlight w:val="none"/>
              </w:rPr>
              <w:t>计算，用水量为</w:t>
            </w:r>
            <w:r>
              <w:rPr>
                <w:rFonts w:hint="eastAsia" w:eastAsia="宋体"/>
                <w:color w:val="auto"/>
                <w:sz w:val="24"/>
                <w:szCs w:val="24"/>
                <w:highlight w:val="none"/>
                <w:lang w:val="en-US" w:eastAsia="zh-CN"/>
              </w:rPr>
              <w:t>2400</w:t>
            </w:r>
            <w:r>
              <w:rPr>
                <w:rFonts w:hint="eastAsia" w:eastAsia="宋体"/>
                <w:color w:val="auto"/>
                <w:sz w:val="24"/>
                <w:szCs w:val="24"/>
                <w:highlight w:val="none"/>
                <w:lang w:eastAsia="zh-CN"/>
              </w:rPr>
              <w:t>m³</w:t>
            </w:r>
            <w:r>
              <w:rPr>
                <w:rFonts w:eastAsia="宋体"/>
                <w:color w:val="auto"/>
                <w:sz w:val="24"/>
                <w:szCs w:val="24"/>
                <w:highlight w:val="none"/>
              </w:rPr>
              <w:t>/</w:t>
            </w:r>
            <w:r>
              <w:rPr>
                <w:rFonts w:hint="eastAsia" w:eastAsia="宋体"/>
                <w:color w:val="auto"/>
                <w:sz w:val="24"/>
                <w:szCs w:val="24"/>
                <w:highlight w:val="none"/>
                <w:lang w:val="en-US" w:eastAsia="zh-CN"/>
              </w:rPr>
              <w:t>a（8</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eastAsia" w:eastAsia="宋体"/>
                <w:color w:val="auto"/>
                <w:sz w:val="24"/>
                <w:szCs w:val="24"/>
                <w:highlight w:val="none"/>
                <w:lang w:val="en-US" w:eastAsia="zh-CN"/>
              </w:rPr>
              <w:t>）</w:t>
            </w:r>
            <w:r>
              <w:rPr>
                <w:rFonts w:hint="eastAsia" w:eastAsia="宋体"/>
                <w:color w:val="auto"/>
                <w:sz w:val="24"/>
                <w:szCs w:val="24"/>
                <w:highlight w:val="none"/>
                <w:lang w:eastAsia="zh-CN"/>
              </w:rPr>
              <w:t>。</w:t>
            </w:r>
          </w:p>
          <w:p w14:paraId="728E26FC">
            <w:pPr>
              <w:pStyle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综上所述，全场年新鲜用水量为</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7640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58.8</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p>
          <w:p w14:paraId="264EA4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drawing>
                <wp:anchor distT="0" distB="0" distL="114300" distR="114300" simplePos="0" relativeHeight="251666432" behindDoc="1" locked="0" layoutInCell="1" allowOverlap="1">
                  <wp:simplePos x="0" y="0"/>
                  <wp:positionH relativeFrom="column">
                    <wp:posOffset>290195</wp:posOffset>
                  </wp:positionH>
                  <wp:positionV relativeFrom="paragraph">
                    <wp:posOffset>92710</wp:posOffset>
                  </wp:positionV>
                  <wp:extent cx="4390390" cy="2235200"/>
                  <wp:effectExtent l="0" t="0" r="10160" b="12700"/>
                  <wp:wrapNone/>
                  <wp:docPr id="37" name="图片 15" descr="双兴水平衡图9.27 全场-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双兴水平衡图9.27 全场-Model"/>
                          <pic:cNvPicPr>
                            <a:picLocks noChangeAspect="1"/>
                          </pic:cNvPicPr>
                        </pic:nvPicPr>
                        <pic:blipFill>
                          <a:blip r:embed="rId11"/>
                          <a:srcRect t="31708" b="29675"/>
                          <a:stretch>
                            <a:fillRect/>
                          </a:stretch>
                        </pic:blipFill>
                        <pic:spPr>
                          <a:xfrm>
                            <a:off x="0" y="0"/>
                            <a:ext cx="4390390" cy="2235200"/>
                          </a:xfrm>
                          <a:prstGeom prst="rect">
                            <a:avLst/>
                          </a:prstGeom>
                          <a:noFill/>
                          <a:ln>
                            <a:noFill/>
                          </a:ln>
                        </pic:spPr>
                      </pic:pic>
                    </a:graphicData>
                  </a:graphic>
                </wp:anchor>
              </w:drawing>
            </w:r>
          </w:p>
          <w:p w14:paraId="78459DE7">
            <w:pPr>
              <w:pStyle w:val="2"/>
              <w:rPr>
                <w:rFonts w:hint="eastAsia"/>
                <w:color w:val="auto"/>
                <w:highlight w:val="none"/>
                <w:lang w:val="en-US" w:eastAsia="zh-CN"/>
              </w:rPr>
            </w:pPr>
          </w:p>
          <w:p w14:paraId="39F69D23">
            <w:pPr>
              <w:pStyle w:val="11"/>
              <w:rPr>
                <w:rFonts w:hint="eastAsia"/>
                <w:color w:val="auto"/>
                <w:highlight w:val="none"/>
                <w:lang w:val="en-US" w:eastAsia="zh-CN"/>
              </w:rPr>
            </w:pPr>
          </w:p>
          <w:p w14:paraId="0220655E">
            <w:pPr>
              <w:pStyle w:val="2"/>
              <w:rPr>
                <w:rFonts w:hint="eastAsia" w:eastAsia="宋体"/>
                <w:color w:val="auto"/>
                <w:sz w:val="24"/>
                <w:szCs w:val="24"/>
                <w:highlight w:val="none"/>
                <w:lang w:val="en-US" w:eastAsia="zh-CN"/>
              </w:rPr>
            </w:pPr>
          </w:p>
          <w:p w14:paraId="6452FE09">
            <w:pPr>
              <w:pStyle w:val="11"/>
              <w:rPr>
                <w:rFonts w:hint="eastAsia" w:eastAsia="宋体"/>
                <w:b w:val="0"/>
                <w:bCs/>
                <w:color w:val="auto"/>
                <w:sz w:val="24"/>
                <w:szCs w:val="24"/>
                <w:highlight w:val="none"/>
                <w:lang w:val="en-US" w:eastAsia="zh-CN"/>
              </w:rPr>
            </w:pPr>
          </w:p>
          <w:p w14:paraId="22D5445B">
            <w:pPr>
              <w:pStyle w:val="11"/>
              <w:rPr>
                <w:rFonts w:hint="eastAsia" w:eastAsia="宋体"/>
                <w:b w:val="0"/>
                <w:bCs/>
                <w:color w:val="auto"/>
                <w:sz w:val="24"/>
                <w:szCs w:val="24"/>
                <w:highlight w:val="none"/>
                <w:lang w:val="en-US" w:eastAsia="zh-CN"/>
              </w:rPr>
            </w:pPr>
          </w:p>
          <w:p w14:paraId="3B119651">
            <w:pPr>
              <w:pStyle w:val="11"/>
              <w:rPr>
                <w:rFonts w:hint="eastAsia" w:eastAsia="宋体"/>
                <w:b w:val="0"/>
                <w:bCs/>
                <w:color w:val="auto"/>
                <w:sz w:val="24"/>
                <w:szCs w:val="24"/>
                <w:highlight w:val="none"/>
                <w:lang w:val="en-US" w:eastAsia="zh-CN"/>
              </w:rPr>
            </w:pPr>
          </w:p>
          <w:p w14:paraId="7151C84D">
            <w:pPr>
              <w:pStyle w:val="11"/>
              <w:rPr>
                <w:rFonts w:hint="eastAsia" w:eastAsia="宋体"/>
                <w:b w:val="0"/>
                <w:bCs/>
                <w:color w:val="auto"/>
                <w:sz w:val="24"/>
                <w:szCs w:val="24"/>
                <w:highlight w:val="none"/>
                <w:lang w:val="en-US" w:eastAsia="zh-CN"/>
              </w:rPr>
            </w:pPr>
          </w:p>
          <w:p w14:paraId="43A65B34">
            <w:pPr>
              <w:pStyle w:val="11"/>
              <w:rPr>
                <w:rFonts w:hint="eastAsia" w:eastAsia="宋体"/>
                <w:b w:val="0"/>
                <w:bCs/>
                <w:color w:val="auto"/>
                <w:sz w:val="24"/>
                <w:szCs w:val="24"/>
                <w:highlight w:val="none"/>
                <w:lang w:val="en-US" w:eastAsia="zh-CN"/>
              </w:rPr>
            </w:pPr>
          </w:p>
          <w:p w14:paraId="4CCC666D">
            <w:pPr>
              <w:pStyle w:val="11"/>
              <w:rPr>
                <w:rFonts w:hint="eastAsia" w:eastAsia="宋体"/>
                <w:b w:val="0"/>
                <w:bCs/>
                <w:color w:val="auto"/>
                <w:sz w:val="24"/>
                <w:szCs w:val="24"/>
                <w:highlight w:val="none"/>
                <w:lang w:val="en-US" w:eastAsia="zh-CN"/>
              </w:rPr>
            </w:pPr>
          </w:p>
          <w:p w14:paraId="159DB809">
            <w:pPr>
              <w:pStyle w:val="11"/>
              <w:rPr>
                <w:rFonts w:hint="eastAsia" w:eastAsia="宋体"/>
                <w:b w:val="0"/>
                <w:bCs/>
                <w:color w:val="auto"/>
                <w:sz w:val="24"/>
                <w:szCs w:val="24"/>
                <w:highlight w:val="none"/>
                <w:lang w:val="en-US" w:eastAsia="zh-CN"/>
              </w:rPr>
            </w:pPr>
          </w:p>
          <w:p w14:paraId="6BBC5D87">
            <w:pPr>
              <w:pStyle w:val="11"/>
              <w:rPr>
                <w:rFonts w:hint="eastAsia" w:eastAsia="宋体"/>
                <w:b w:val="0"/>
                <w:bCs/>
                <w:color w:val="auto"/>
                <w:sz w:val="24"/>
                <w:szCs w:val="24"/>
                <w:highlight w:val="none"/>
                <w:lang w:val="en-US" w:eastAsia="zh-CN"/>
              </w:rPr>
            </w:pPr>
          </w:p>
          <w:p w14:paraId="205DEF0F">
            <w:pPr>
              <w:pStyle w:val="11"/>
              <w:rPr>
                <w:rFonts w:hint="eastAsia" w:eastAsia="宋体"/>
                <w:b w:val="0"/>
                <w:bCs/>
                <w:color w:val="auto"/>
                <w:sz w:val="24"/>
                <w:szCs w:val="24"/>
                <w:highlight w:val="none"/>
                <w:lang w:val="en-US" w:eastAsia="zh-CN"/>
              </w:rPr>
            </w:pPr>
          </w:p>
          <w:p w14:paraId="5EDFDDA9">
            <w:pPr>
              <w:pStyle w:val="11"/>
              <w:rPr>
                <w:rFonts w:hint="eastAsia" w:eastAsia="宋体"/>
                <w:b w:val="0"/>
                <w:bCs/>
                <w:color w:val="auto"/>
                <w:sz w:val="24"/>
                <w:szCs w:val="24"/>
                <w:highlight w:val="none"/>
                <w:lang w:val="en-US" w:eastAsia="zh-CN"/>
              </w:rPr>
            </w:pPr>
          </w:p>
          <w:p w14:paraId="4142393C">
            <w:pPr>
              <w:pStyle w:val="11"/>
              <w:rPr>
                <w:rFonts w:hint="eastAsia"/>
                <w:b w:val="0"/>
                <w:bCs/>
                <w:color w:val="auto"/>
                <w:highlight w:val="none"/>
                <w:lang w:val="en-US" w:eastAsia="zh-CN"/>
              </w:rPr>
            </w:pPr>
            <w:r>
              <w:rPr>
                <w:rFonts w:hint="eastAsia" w:eastAsia="宋体"/>
                <w:b w:val="0"/>
                <w:bCs/>
                <w:color w:val="auto"/>
                <w:sz w:val="24"/>
                <w:szCs w:val="24"/>
                <w:highlight w:val="none"/>
                <w:lang w:val="en-US" w:eastAsia="zh-CN"/>
              </w:rPr>
              <w:t>图2-2 全场水平衡图</w:t>
            </w:r>
            <w:r>
              <w:rPr>
                <w:rFonts w:hint="eastAsia"/>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eastAsia="zh-CN"/>
              </w:rPr>
              <w:t>m³</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d</w:t>
            </w:r>
            <w:r>
              <w:rPr>
                <w:rFonts w:hint="eastAsia"/>
                <w:b w:val="0"/>
                <w:bCs/>
                <w:color w:val="auto"/>
                <w:sz w:val="24"/>
                <w:szCs w:val="24"/>
                <w:highlight w:val="none"/>
                <w:lang w:val="en-US" w:eastAsia="zh-CN"/>
              </w:rPr>
              <w:t>）</w:t>
            </w:r>
          </w:p>
          <w:p w14:paraId="4E65660A">
            <w:pPr>
              <w:numPr>
                <w:ilvl w:val="0"/>
                <w:numId w:val="0"/>
              </w:numPr>
              <w:spacing w:line="360" w:lineRule="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三、厂区平面布置</w:t>
            </w:r>
          </w:p>
          <w:p w14:paraId="10C6714F">
            <w:pPr>
              <w:numPr>
                <w:ilvl w:val="0"/>
                <w:numId w:val="0"/>
              </w:num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铸造车间位于厂区东南侧，为东西向钢</w:t>
            </w:r>
            <w:r>
              <w:rPr>
                <w:rFonts w:hint="eastAsia" w:cs="Times New Roman"/>
                <w:color w:val="auto"/>
                <w:sz w:val="24"/>
                <w:szCs w:val="24"/>
                <w:highlight w:val="none"/>
                <w:lang w:val="en-US" w:eastAsia="zh-CN"/>
              </w:rPr>
              <w:t>结构厂房。2t的中频感应电炉位于厂房最东侧，向西依次为合箱、浇筑区、合金原料区域、树脂砂再生砂处理生产线、翻箱清件区域、斗提、砂处理除尘区域、模具摆放区、抛丸机等，抛丸机及其配套除尘器，由原铸造加工车间运至新建车间；新建冷却塔位于厂房外南侧。车间设备的安装顺序按照生产的顺序进行，结构合理。车间平面布置详见附图。</w:t>
            </w:r>
          </w:p>
          <w:p w14:paraId="28D4077D">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rPr>
              <w:t>环保投资</w:t>
            </w:r>
          </w:p>
          <w:p w14:paraId="69C42692">
            <w:pPr>
              <w:widowControl/>
              <w:jc w:val="center"/>
              <w:rPr>
                <w:rFonts w:hint="default" w:ascii="Times New Roman" w:hAnsi="Times New Roman" w:eastAsia="宋体" w:cs="Times New Roman"/>
                <w:b w:val="0"/>
                <w:bCs w:val="0"/>
                <w:color w:val="auto"/>
                <w:kern w:val="0"/>
                <w:sz w:val="24"/>
                <w:szCs w:val="24"/>
                <w:highlight w:val="none"/>
                <w:lang w:bidi="ar"/>
              </w:rPr>
            </w:pPr>
            <w:r>
              <w:rPr>
                <w:rFonts w:hint="default" w:ascii="Times New Roman" w:hAnsi="Times New Roman" w:eastAsia="宋体" w:cs="Times New Roman"/>
                <w:b w:val="0"/>
                <w:bCs w:val="0"/>
                <w:color w:val="auto"/>
                <w:kern w:val="0"/>
                <w:sz w:val="24"/>
                <w:szCs w:val="24"/>
                <w:highlight w:val="none"/>
                <w:lang w:bidi="ar"/>
              </w:rPr>
              <w:t>表2</w:t>
            </w:r>
            <w:r>
              <w:rPr>
                <w:rFonts w:hint="default" w:ascii="Times New Roman" w:hAnsi="Times New Roman" w:eastAsia="宋体" w:cs="Times New Roman"/>
                <w:b w:val="0"/>
                <w:bCs w:val="0"/>
                <w:color w:val="auto"/>
                <w:kern w:val="0"/>
                <w:sz w:val="24"/>
                <w:szCs w:val="24"/>
                <w:highlight w:val="none"/>
                <w:lang w:val="en-US" w:eastAsia="zh-CN" w:bidi="ar"/>
              </w:rPr>
              <w:t xml:space="preserve">-5 </w:t>
            </w:r>
            <w:r>
              <w:rPr>
                <w:rFonts w:hint="default" w:ascii="Times New Roman" w:hAnsi="Times New Roman" w:eastAsia="宋体" w:cs="Times New Roman"/>
                <w:b w:val="0"/>
                <w:bCs w:val="0"/>
                <w:color w:val="auto"/>
                <w:kern w:val="0"/>
                <w:sz w:val="24"/>
                <w:szCs w:val="24"/>
                <w:highlight w:val="none"/>
                <w:lang w:bidi="ar"/>
              </w:rPr>
              <w:t>环保投资一览表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0"/>
              <w:gridCol w:w="735"/>
              <w:gridCol w:w="612"/>
              <w:gridCol w:w="1380"/>
              <w:gridCol w:w="4105"/>
              <w:gridCol w:w="1004"/>
            </w:tblGrid>
            <w:tr w14:paraId="768D83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noWrap w:val="0"/>
                  <w:vAlign w:val="center"/>
                </w:tcPr>
                <w:p w14:paraId="640C7B2B">
                  <w:pPr>
                    <w:spacing w:line="240" w:lineRule="exact"/>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阶段</w:t>
                  </w:r>
                </w:p>
              </w:tc>
              <w:tc>
                <w:tcPr>
                  <w:tcW w:w="1622" w:type="pct"/>
                  <w:gridSpan w:val="3"/>
                  <w:noWrap w:val="0"/>
                  <w:vAlign w:val="center"/>
                </w:tcPr>
                <w:p w14:paraId="457DE178">
                  <w:pPr>
                    <w:spacing w:line="240" w:lineRule="exact"/>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污染因子</w:t>
                  </w:r>
                </w:p>
              </w:tc>
              <w:tc>
                <w:tcPr>
                  <w:tcW w:w="2441" w:type="pct"/>
                  <w:noWrap w:val="0"/>
                  <w:vAlign w:val="center"/>
                </w:tcPr>
                <w:p w14:paraId="675E8301">
                  <w:pPr>
                    <w:spacing w:line="240" w:lineRule="exact"/>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项目及措施</w:t>
                  </w:r>
                </w:p>
              </w:tc>
              <w:tc>
                <w:tcPr>
                  <w:tcW w:w="597" w:type="pct"/>
                  <w:noWrap w:val="0"/>
                  <w:vAlign w:val="center"/>
                </w:tcPr>
                <w:p w14:paraId="2D56E00B">
                  <w:pPr>
                    <w:spacing w:line="240" w:lineRule="exact"/>
                    <w:jc w:val="center"/>
                    <w:rPr>
                      <w:rFonts w:hint="default" w:ascii="Times New Roman" w:hAnsi="Times New Roman" w:eastAsia="宋体" w:cs="Times New Roman"/>
                      <w:b/>
                      <w:bCs/>
                      <w:color w:val="auto"/>
                      <w:kern w:val="21"/>
                      <w:sz w:val="21"/>
                      <w:szCs w:val="21"/>
                      <w:highlight w:val="none"/>
                    </w:rPr>
                  </w:pPr>
                  <w:r>
                    <w:rPr>
                      <w:rFonts w:hint="default" w:ascii="Times New Roman" w:hAnsi="Times New Roman" w:eastAsia="宋体" w:cs="Times New Roman"/>
                      <w:b/>
                      <w:bCs/>
                      <w:color w:val="auto"/>
                      <w:kern w:val="21"/>
                      <w:sz w:val="21"/>
                      <w:szCs w:val="21"/>
                      <w:highlight w:val="none"/>
                    </w:rPr>
                    <w:t>金额（万元）</w:t>
                  </w:r>
                </w:p>
              </w:tc>
            </w:tr>
            <w:tr w14:paraId="718F04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restart"/>
                  <w:tcBorders>
                    <w:right w:val="single" w:color="auto" w:sz="4" w:space="0"/>
                  </w:tcBorders>
                  <w:noWrap w:val="0"/>
                  <w:vAlign w:val="center"/>
                </w:tcPr>
                <w:p w14:paraId="3694985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施</w:t>
                  </w:r>
                </w:p>
                <w:p w14:paraId="48CD7C1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工</w:t>
                  </w:r>
                </w:p>
                <w:p w14:paraId="50505E87">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期</w:t>
                  </w:r>
                </w:p>
              </w:tc>
              <w:tc>
                <w:tcPr>
                  <w:tcW w:w="1622" w:type="pct"/>
                  <w:gridSpan w:val="3"/>
                  <w:tcBorders>
                    <w:left w:val="single" w:color="auto" w:sz="4" w:space="0"/>
                  </w:tcBorders>
                  <w:noWrap w:val="0"/>
                  <w:vAlign w:val="center"/>
                </w:tcPr>
                <w:p w14:paraId="5F1C3F5D">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施工期粉尘</w:t>
                  </w:r>
                </w:p>
              </w:tc>
              <w:tc>
                <w:tcPr>
                  <w:tcW w:w="2441" w:type="pct"/>
                  <w:noWrap w:val="0"/>
                  <w:vAlign w:val="center"/>
                </w:tcPr>
                <w:p w14:paraId="6661CF8A">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洒水降尘</w:t>
                  </w:r>
                </w:p>
              </w:tc>
              <w:tc>
                <w:tcPr>
                  <w:tcW w:w="597" w:type="pct"/>
                  <w:noWrap w:val="0"/>
                  <w:vAlign w:val="center"/>
                </w:tcPr>
                <w:p w14:paraId="2682818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r>
            <w:tr w14:paraId="13143E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3E5F72E9">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26DA7A5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施工废水</w:t>
                  </w:r>
                </w:p>
              </w:tc>
              <w:tc>
                <w:tcPr>
                  <w:tcW w:w="2441" w:type="pct"/>
                  <w:noWrap w:val="0"/>
                  <w:vAlign w:val="center"/>
                </w:tcPr>
                <w:p w14:paraId="6A3349F6">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主要为生活污水，用于泼洒抑尘</w:t>
                  </w:r>
                </w:p>
              </w:tc>
              <w:tc>
                <w:tcPr>
                  <w:tcW w:w="597" w:type="pct"/>
                  <w:noWrap w:val="0"/>
                  <w:vAlign w:val="center"/>
                </w:tcPr>
                <w:p w14:paraId="02A3D744">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r>
            <w:tr w14:paraId="10A309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11AC98F0">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41578A39">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施工噪声</w:t>
                  </w:r>
                </w:p>
              </w:tc>
              <w:tc>
                <w:tcPr>
                  <w:tcW w:w="2441" w:type="pct"/>
                  <w:noWrap w:val="0"/>
                  <w:vAlign w:val="center"/>
                </w:tcPr>
                <w:p w14:paraId="52AC8330">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设置隔声罩等措施</w:t>
                  </w:r>
                </w:p>
              </w:tc>
              <w:tc>
                <w:tcPr>
                  <w:tcW w:w="597" w:type="pct"/>
                  <w:noWrap w:val="0"/>
                  <w:vAlign w:val="center"/>
                </w:tcPr>
                <w:p w14:paraId="339B5A4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r>
            <w:tr w14:paraId="687134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3D6E3D19">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vMerge w:val="restart"/>
                  <w:tcBorders>
                    <w:left w:val="single" w:color="auto" w:sz="4" w:space="0"/>
                  </w:tcBorders>
                  <w:noWrap w:val="0"/>
                  <w:vAlign w:val="center"/>
                </w:tcPr>
                <w:p w14:paraId="17D7669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施工固废</w:t>
                  </w:r>
                </w:p>
              </w:tc>
              <w:tc>
                <w:tcPr>
                  <w:tcW w:w="1184" w:type="pct"/>
                  <w:gridSpan w:val="2"/>
                  <w:tcBorders>
                    <w:left w:val="single" w:color="auto" w:sz="4" w:space="0"/>
                  </w:tcBorders>
                  <w:noWrap w:val="0"/>
                  <w:vAlign w:val="center"/>
                </w:tcPr>
                <w:p w14:paraId="697DE87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设备安装下脚料</w:t>
                  </w:r>
                </w:p>
              </w:tc>
              <w:tc>
                <w:tcPr>
                  <w:tcW w:w="2441" w:type="pct"/>
                  <w:noWrap w:val="0"/>
                  <w:vAlign w:val="center"/>
                </w:tcPr>
                <w:p w14:paraId="10452E94">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外售</w:t>
                  </w:r>
                </w:p>
              </w:tc>
              <w:tc>
                <w:tcPr>
                  <w:tcW w:w="597" w:type="pct"/>
                  <w:noWrap w:val="0"/>
                  <w:vAlign w:val="center"/>
                </w:tcPr>
                <w:p w14:paraId="6FB509E5">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w:t>
                  </w:r>
                </w:p>
              </w:tc>
            </w:tr>
            <w:tr w14:paraId="70A955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53FE6680">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vMerge w:val="continue"/>
                  <w:tcBorders>
                    <w:left w:val="single" w:color="auto" w:sz="4" w:space="0"/>
                  </w:tcBorders>
                  <w:noWrap w:val="0"/>
                  <w:vAlign w:val="center"/>
                </w:tcPr>
                <w:p w14:paraId="4DBEE814">
                  <w:pPr>
                    <w:spacing w:line="240" w:lineRule="exact"/>
                    <w:jc w:val="center"/>
                    <w:rPr>
                      <w:rFonts w:hint="default" w:ascii="Times New Roman" w:hAnsi="Times New Roman" w:eastAsia="宋体" w:cs="Times New Roman"/>
                      <w:color w:val="auto"/>
                      <w:kern w:val="21"/>
                      <w:sz w:val="21"/>
                      <w:szCs w:val="21"/>
                      <w:highlight w:val="none"/>
                    </w:rPr>
                  </w:pPr>
                </w:p>
              </w:tc>
              <w:tc>
                <w:tcPr>
                  <w:tcW w:w="1184" w:type="pct"/>
                  <w:gridSpan w:val="2"/>
                  <w:tcBorders>
                    <w:left w:val="single" w:color="auto" w:sz="4" w:space="0"/>
                  </w:tcBorders>
                  <w:noWrap w:val="0"/>
                  <w:vAlign w:val="center"/>
                </w:tcPr>
                <w:p w14:paraId="497762E0">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生活垃圾</w:t>
                  </w:r>
                </w:p>
              </w:tc>
              <w:tc>
                <w:tcPr>
                  <w:tcW w:w="2441" w:type="pct"/>
                  <w:noWrap w:val="0"/>
                  <w:vAlign w:val="center"/>
                </w:tcPr>
                <w:p w14:paraId="44A933FF">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临时垃圾箱</w:t>
                  </w:r>
                </w:p>
              </w:tc>
              <w:tc>
                <w:tcPr>
                  <w:tcW w:w="597" w:type="pct"/>
                  <w:noWrap w:val="0"/>
                  <w:vAlign w:val="center"/>
                </w:tcPr>
                <w:p w14:paraId="77318D84">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r>
            <w:tr w14:paraId="26610C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39" w:type="pct"/>
                  <w:vMerge w:val="restart"/>
                  <w:tcBorders>
                    <w:right w:val="single" w:color="auto" w:sz="4" w:space="0"/>
                  </w:tcBorders>
                  <w:noWrap w:val="0"/>
                  <w:vAlign w:val="center"/>
                </w:tcPr>
                <w:p w14:paraId="758FABAD">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运营期</w:t>
                  </w:r>
                </w:p>
              </w:tc>
              <w:tc>
                <w:tcPr>
                  <w:tcW w:w="437" w:type="pct"/>
                  <w:vMerge w:val="restart"/>
                  <w:tcBorders>
                    <w:left w:val="single" w:color="auto" w:sz="4" w:space="0"/>
                  </w:tcBorders>
                  <w:noWrap w:val="0"/>
                  <w:vAlign w:val="center"/>
                </w:tcPr>
                <w:p w14:paraId="5A214AEF">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废气</w:t>
                  </w:r>
                </w:p>
                <w:p w14:paraId="2FE52E9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治理</w:t>
                  </w:r>
                </w:p>
              </w:tc>
              <w:tc>
                <w:tcPr>
                  <w:tcW w:w="364" w:type="pct"/>
                  <w:vMerge w:val="restart"/>
                  <w:noWrap w:val="0"/>
                  <w:vAlign w:val="center"/>
                </w:tcPr>
                <w:p w14:paraId="18D48F5F">
                  <w:pPr>
                    <w:widowControl/>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树脂</w:t>
                  </w:r>
                  <w:r>
                    <w:rPr>
                      <w:rFonts w:hint="default" w:ascii="Times New Roman" w:hAnsi="Times New Roman" w:eastAsia="宋体" w:cs="Times New Roman"/>
                      <w:color w:val="auto"/>
                      <w:sz w:val="21"/>
                      <w:szCs w:val="21"/>
                      <w:highlight w:val="none"/>
                    </w:rPr>
                    <w:t>砂生产线</w:t>
                  </w:r>
                </w:p>
              </w:tc>
              <w:tc>
                <w:tcPr>
                  <w:tcW w:w="820" w:type="pct"/>
                  <w:noWrap w:val="0"/>
                  <w:vAlign w:val="center"/>
                </w:tcPr>
                <w:p w14:paraId="2353BE28">
                  <w:pPr>
                    <w:widowControl/>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中频电炉</w:t>
                  </w:r>
                  <w:r>
                    <w:rPr>
                      <w:rFonts w:hint="eastAsia" w:ascii="Times New Roman" w:hAnsi="Times New Roman" w:eastAsia="宋体" w:cs="Times New Roman"/>
                      <w:color w:val="auto"/>
                      <w:sz w:val="21"/>
                      <w:szCs w:val="21"/>
                      <w:highlight w:val="none"/>
                      <w:lang w:eastAsia="zh-CN"/>
                    </w:rPr>
                    <w:t>熔化</w:t>
                  </w:r>
                </w:p>
              </w:tc>
              <w:tc>
                <w:tcPr>
                  <w:tcW w:w="2441" w:type="pct"/>
                  <w:noWrap w:val="0"/>
                  <w:vAlign w:val="center"/>
                </w:tcPr>
                <w:p w14:paraId="106989B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sz w:val="21"/>
                      <w:szCs w:val="21"/>
                      <w:highlight w:val="none"/>
                    </w:rPr>
                    <w:t>废气由集气罩收集后进入集气管路，经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J1</w:t>
                  </w:r>
                  <w:r>
                    <w:rPr>
                      <w:rFonts w:hint="default" w:ascii="Times New Roman" w:hAnsi="Times New Roman" w:eastAsia="宋体" w:cs="Times New Roman"/>
                      <w:color w:val="auto"/>
                      <w:sz w:val="21"/>
                      <w:szCs w:val="21"/>
                      <w:highlight w:val="none"/>
                    </w:rPr>
                    <w:t>排放</w:t>
                  </w:r>
                </w:p>
              </w:tc>
              <w:tc>
                <w:tcPr>
                  <w:tcW w:w="597" w:type="pct"/>
                  <w:vMerge w:val="restart"/>
                  <w:noWrap w:val="0"/>
                  <w:vAlign w:val="center"/>
                </w:tcPr>
                <w:p w14:paraId="09C2DD4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45</w:t>
                  </w:r>
                </w:p>
              </w:tc>
            </w:tr>
            <w:tr w14:paraId="552A1E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39" w:type="pct"/>
                  <w:vMerge w:val="continue"/>
                  <w:tcBorders>
                    <w:right w:val="single" w:color="auto" w:sz="4" w:space="0"/>
                  </w:tcBorders>
                  <w:noWrap w:val="0"/>
                  <w:vAlign w:val="center"/>
                </w:tcPr>
                <w:p w14:paraId="11B0E3D6">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vMerge w:val="continue"/>
                  <w:tcBorders>
                    <w:left w:val="single" w:color="auto" w:sz="4" w:space="0"/>
                  </w:tcBorders>
                  <w:noWrap w:val="0"/>
                  <w:vAlign w:val="center"/>
                </w:tcPr>
                <w:p w14:paraId="7F39D789">
                  <w:pPr>
                    <w:spacing w:line="240" w:lineRule="exact"/>
                    <w:jc w:val="center"/>
                    <w:rPr>
                      <w:rFonts w:hint="default" w:ascii="Times New Roman" w:hAnsi="Times New Roman" w:eastAsia="宋体" w:cs="Times New Roman"/>
                      <w:color w:val="auto"/>
                      <w:kern w:val="21"/>
                      <w:sz w:val="21"/>
                      <w:szCs w:val="21"/>
                      <w:highlight w:val="none"/>
                    </w:rPr>
                  </w:pPr>
                </w:p>
              </w:tc>
              <w:tc>
                <w:tcPr>
                  <w:tcW w:w="364" w:type="pct"/>
                  <w:vMerge w:val="continue"/>
                  <w:noWrap w:val="0"/>
                  <w:vAlign w:val="center"/>
                </w:tcPr>
                <w:p w14:paraId="616F0967">
                  <w:pPr>
                    <w:widowControl/>
                    <w:jc w:val="center"/>
                    <w:textAlignment w:val="center"/>
                    <w:rPr>
                      <w:rFonts w:hint="eastAsia" w:ascii="Times New Roman" w:hAnsi="Times New Roman" w:eastAsia="宋体" w:cs="Times New Roman"/>
                      <w:color w:val="auto"/>
                      <w:sz w:val="21"/>
                      <w:szCs w:val="21"/>
                      <w:highlight w:val="none"/>
                      <w:lang w:eastAsia="zh-CN"/>
                    </w:rPr>
                  </w:pPr>
                </w:p>
              </w:tc>
              <w:tc>
                <w:tcPr>
                  <w:tcW w:w="820" w:type="pct"/>
                  <w:noWrap w:val="0"/>
                  <w:vAlign w:val="center"/>
                </w:tcPr>
                <w:p w14:paraId="6BC03239">
                  <w:pPr>
                    <w:widowControl/>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浇筑</w:t>
                  </w:r>
                  <w:r>
                    <w:rPr>
                      <w:rFonts w:hint="default"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eastAsia="zh-CN"/>
                    </w:rPr>
                    <w:t>气</w:t>
                  </w:r>
                </w:p>
              </w:tc>
              <w:tc>
                <w:tcPr>
                  <w:tcW w:w="2441" w:type="pct"/>
                  <w:noWrap w:val="0"/>
                  <w:vAlign w:val="center"/>
                </w:tcPr>
                <w:p w14:paraId="7204684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w:t>
                  </w:r>
                  <w:r>
                    <w:rPr>
                      <w:rFonts w:hint="eastAsia" w:ascii="Times New Roman" w:hAnsi="Times New Roman" w:eastAsia="宋体" w:cs="Times New Roman"/>
                      <w:color w:val="auto"/>
                      <w:sz w:val="21"/>
                      <w:szCs w:val="21"/>
                      <w:highlight w:val="none"/>
                      <w:lang w:eastAsia="zh-CN"/>
                    </w:rPr>
                    <w:t>侧顶吸式</w:t>
                  </w:r>
                  <w:r>
                    <w:rPr>
                      <w:rFonts w:hint="default" w:ascii="Times New Roman" w:hAnsi="Times New Roman" w:eastAsia="宋体" w:cs="Times New Roman"/>
                      <w:color w:val="auto"/>
                      <w:sz w:val="21"/>
                      <w:szCs w:val="21"/>
                      <w:highlight w:val="none"/>
                    </w:rPr>
                    <w:t>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2+光氧机装置</w:t>
                  </w:r>
                  <w:r>
                    <w:rPr>
                      <w:rFonts w:hint="default" w:ascii="Times New Roman" w:hAnsi="Times New Roman" w:eastAsia="宋体" w:cs="Times New Roman"/>
                      <w:color w:val="auto"/>
                      <w:sz w:val="21"/>
                      <w:szCs w:val="21"/>
                      <w:highlight w:val="none"/>
                    </w:rPr>
                    <w:t>设备处理后由1根1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c>
                <w:tcPr>
                  <w:tcW w:w="597" w:type="pct"/>
                  <w:vMerge w:val="continue"/>
                  <w:noWrap w:val="0"/>
                  <w:vAlign w:val="center"/>
                </w:tcPr>
                <w:p w14:paraId="28CCB3B7">
                  <w:pPr>
                    <w:spacing w:line="240" w:lineRule="exact"/>
                    <w:jc w:val="center"/>
                    <w:rPr>
                      <w:rFonts w:hint="default" w:ascii="Times New Roman" w:hAnsi="Times New Roman" w:eastAsia="宋体" w:cs="Times New Roman"/>
                      <w:color w:val="auto"/>
                      <w:kern w:val="21"/>
                      <w:sz w:val="21"/>
                      <w:szCs w:val="21"/>
                      <w:highlight w:val="none"/>
                    </w:rPr>
                  </w:pPr>
                </w:p>
              </w:tc>
            </w:tr>
            <w:tr w14:paraId="44228C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2B443FED">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vMerge w:val="continue"/>
                  <w:tcBorders>
                    <w:left w:val="single" w:color="auto" w:sz="4" w:space="0"/>
                  </w:tcBorders>
                  <w:noWrap w:val="0"/>
                  <w:vAlign w:val="center"/>
                </w:tcPr>
                <w:p w14:paraId="2DC16AFE">
                  <w:pPr>
                    <w:spacing w:line="240" w:lineRule="exact"/>
                    <w:jc w:val="center"/>
                    <w:rPr>
                      <w:rFonts w:hint="default" w:ascii="Times New Roman" w:hAnsi="Times New Roman" w:eastAsia="宋体" w:cs="Times New Roman"/>
                      <w:color w:val="auto"/>
                      <w:kern w:val="21"/>
                      <w:sz w:val="21"/>
                      <w:szCs w:val="21"/>
                      <w:highlight w:val="none"/>
                    </w:rPr>
                  </w:pPr>
                </w:p>
              </w:tc>
              <w:tc>
                <w:tcPr>
                  <w:tcW w:w="364" w:type="pct"/>
                  <w:vMerge w:val="continue"/>
                  <w:noWrap w:val="0"/>
                  <w:vAlign w:val="center"/>
                </w:tcPr>
                <w:p w14:paraId="2ED76CCD">
                  <w:pPr>
                    <w:widowControl/>
                    <w:jc w:val="center"/>
                    <w:textAlignment w:val="center"/>
                    <w:rPr>
                      <w:rFonts w:hint="default" w:ascii="Times New Roman" w:hAnsi="Times New Roman" w:eastAsia="宋体" w:cs="Times New Roman"/>
                      <w:color w:val="auto"/>
                      <w:sz w:val="21"/>
                      <w:szCs w:val="21"/>
                      <w:highlight w:val="none"/>
                    </w:rPr>
                  </w:pPr>
                </w:p>
              </w:tc>
              <w:tc>
                <w:tcPr>
                  <w:tcW w:w="820" w:type="pct"/>
                  <w:noWrap w:val="0"/>
                  <w:vAlign w:val="center"/>
                </w:tcPr>
                <w:p w14:paraId="6DCCEFCD">
                  <w:pPr>
                    <w:widowControl/>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砂处理</w:t>
                  </w:r>
                  <w:r>
                    <w:rPr>
                      <w:rFonts w:hint="default" w:ascii="Times New Roman" w:hAnsi="Times New Roman" w:eastAsia="宋体" w:cs="Times New Roman"/>
                      <w:color w:val="auto"/>
                      <w:sz w:val="21"/>
                      <w:szCs w:val="21"/>
                      <w:highlight w:val="none"/>
                    </w:rPr>
                    <w:t>废气</w:t>
                  </w:r>
                  <w:r>
                    <w:rPr>
                      <w:rFonts w:hint="eastAsia" w:ascii="Times New Roman" w:hAnsi="Times New Roman" w:eastAsia="宋体" w:cs="Times New Roman"/>
                      <w:color w:val="auto"/>
                      <w:sz w:val="21"/>
                      <w:szCs w:val="21"/>
                      <w:highlight w:val="none"/>
                      <w:lang w:eastAsia="zh-CN"/>
                    </w:rPr>
                    <w:t>、混砂废气</w:t>
                  </w:r>
                </w:p>
              </w:tc>
              <w:tc>
                <w:tcPr>
                  <w:tcW w:w="2441" w:type="pct"/>
                  <w:noWrap w:val="0"/>
                  <w:vAlign w:val="center"/>
                </w:tcPr>
                <w:p w14:paraId="46596FC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废气由集气罩收集后进入集气管路，</w:t>
                  </w:r>
                  <w:r>
                    <w:rPr>
                      <w:rFonts w:hint="eastAsia" w:ascii="Times New Roman" w:hAnsi="Times New Roman" w:eastAsia="宋体" w:cs="Times New Roman"/>
                      <w:color w:val="auto"/>
                      <w:sz w:val="21"/>
                      <w:szCs w:val="21"/>
                      <w:highlight w:val="none"/>
                      <w:lang w:eastAsia="zh-CN"/>
                    </w:rPr>
                    <w:t>分别经脉冲布袋除尘器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c>
                <w:tcPr>
                  <w:tcW w:w="597" w:type="pct"/>
                  <w:vMerge w:val="continue"/>
                  <w:noWrap w:val="0"/>
                  <w:vAlign w:val="center"/>
                </w:tcPr>
                <w:p w14:paraId="36F709E3">
                  <w:pPr>
                    <w:spacing w:line="240" w:lineRule="exact"/>
                    <w:jc w:val="center"/>
                    <w:rPr>
                      <w:rFonts w:hint="default" w:ascii="Times New Roman" w:hAnsi="Times New Roman" w:eastAsia="宋体" w:cs="Times New Roman"/>
                      <w:color w:val="auto"/>
                      <w:kern w:val="21"/>
                      <w:sz w:val="21"/>
                      <w:szCs w:val="21"/>
                      <w:highlight w:val="none"/>
                    </w:rPr>
                  </w:pPr>
                </w:p>
              </w:tc>
            </w:tr>
            <w:tr w14:paraId="149922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15" w:hRule="atLeast"/>
                <w:jc w:val="center"/>
              </w:trPr>
              <w:tc>
                <w:tcPr>
                  <w:tcW w:w="339" w:type="pct"/>
                  <w:vMerge w:val="continue"/>
                  <w:tcBorders>
                    <w:right w:val="single" w:color="auto" w:sz="4" w:space="0"/>
                  </w:tcBorders>
                  <w:noWrap w:val="0"/>
                  <w:vAlign w:val="center"/>
                </w:tcPr>
                <w:p w14:paraId="664DA8C0">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vMerge w:val="continue"/>
                  <w:tcBorders>
                    <w:left w:val="single" w:color="auto" w:sz="4" w:space="0"/>
                  </w:tcBorders>
                  <w:noWrap w:val="0"/>
                  <w:vAlign w:val="center"/>
                </w:tcPr>
                <w:p w14:paraId="051319A0">
                  <w:pPr>
                    <w:spacing w:line="240" w:lineRule="exact"/>
                    <w:jc w:val="center"/>
                    <w:rPr>
                      <w:rFonts w:hint="default" w:ascii="Times New Roman" w:hAnsi="Times New Roman" w:eastAsia="宋体" w:cs="Times New Roman"/>
                      <w:color w:val="auto"/>
                      <w:kern w:val="21"/>
                      <w:sz w:val="21"/>
                      <w:szCs w:val="21"/>
                      <w:highlight w:val="none"/>
                    </w:rPr>
                  </w:pPr>
                </w:p>
              </w:tc>
              <w:tc>
                <w:tcPr>
                  <w:tcW w:w="364" w:type="pct"/>
                  <w:vMerge w:val="continue"/>
                  <w:noWrap w:val="0"/>
                  <w:vAlign w:val="center"/>
                </w:tcPr>
                <w:p w14:paraId="4A865CF1">
                  <w:pPr>
                    <w:widowControl/>
                    <w:jc w:val="center"/>
                    <w:textAlignment w:val="center"/>
                    <w:rPr>
                      <w:rFonts w:hint="default" w:ascii="Times New Roman" w:hAnsi="Times New Roman" w:eastAsia="宋体" w:cs="Times New Roman"/>
                      <w:color w:val="auto"/>
                      <w:sz w:val="21"/>
                      <w:szCs w:val="21"/>
                      <w:highlight w:val="none"/>
                    </w:rPr>
                  </w:pPr>
                </w:p>
              </w:tc>
              <w:tc>
                <w:tcPr>
                  <w:tcW w:w="820" w:type="pct"/>
                  <w:noWrap w:val="0"/>
                  <w:vAlign w:val="center"/>
                </w:tcPr>
                <w:p w14:paraId="4B4BFD0B">
                  <w:pPr>
                    <w:widowControl/>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抛丸</w:t>
                  </w:r>
                  <w:r>
                    <w:rPr>
                      <w:rFonts w:hint="eastAsia" w:ascii="Times New Roman" w:hAnsi="Times New Roman" w:eastAsia="宋体" w:cs="Times New Roman"/>
                      <w:color w:val="auto"/>
                      <w:sz w:val="21"/>
                      <w:szCs w:val="21"/>
                      <w:highlight w:val="none"/>
                      <w:lang w:eastAsia="zh-CN"/>
                    </w:rPr>
                    <w:t>废气</w:t>
                  </w:r>
                </w:p>
              </w:tc>
              <w:tc>
                <w:tcPr>
                  <w:tcW w:w="2441" w:type="pct"/>
                  <w:noWrap w:val="0"/>
                  <w:vAlign w:val="center"/>
                </w:tcPr>
                <w:p w14:paraId="209D90E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sz w:val="21"/>
                      <w:szCs w:val="21"/>
                      <w:highlight w:val="none"/>
                      <w:lang w:eastAsia="zh-CN"/>
                    </w:rPr>
                    <w:t>废气</w:t>
                  </w:r>
                  <w:r>
                    <w:rPr>
                      <w:rFonts w:hint="default" w:ascii="Times New Roman" w:hAnsi="Times New Roman" w:eastAsia="宋体" w:cs="Times New Roman"/>
                      <w:color w:val="auto"/>
                      <w:sz w:val="21"/>
                      <w:szCs w:val="21"/>
                      <w:highlight w:val="none"/>
                    </w:rPr>
                    <w:t>由集气罩收集后进入集气管路，经布袋除尘器处理后由1根1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m高排气筒</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排放。</w:t>
                  </w:r>
                </w:p>
              </w:tc>
              <w:tc>
                <w:tcPr>
                  <w:tcW w:w="597" w:type="pct"/>
                  <w:vMerge w:val="continue"/>
                  <w:noWrap w:val="0"/>
                  <w:vAlign w:val="center"/>
                </w:tcPr>
                <w:p w14:paraId="4394E01D">
                  <w:pPr>
                    <w:spacing w:line="240" w:lineRule="exact"/>
                    <w:jc w:val="center"/>
                    <w:rPr>
                      <w:rFonts w:hint="default" w:ascii="Times New Roman" w:hAnsi="Times New Roman" w:eastAsia="宋体" w:cs="Times New Roman"/>
                      <w:color w:val="auto"/>
                      <w:kern w:val="21"/>
                      <w:sz w:val="21"/>
                      <w:szCs w:val="21"/>
                      <w:highlight w:val="none"/>
                    </w:rPr>
                  </w:pPr>
                </w:p>
              </w:tc>
            </w:tr>
            <w:tr w14:paraId="0C367D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339" w:type="pct"/>
                  <w:vMerge w:val="continue"/>
                  <w:tcBorders>
                    <w:right w:val="single" w:color="auto" w:sz="4" w:space="0"/>
                  </w:tcBorders>
                  <w:noWrap w:val="0"/>
                  <w:vAlign w:val="center"/>
                </w:tcPr>
                <w:p w14:paraId="3246D94F">
                  <w:pPr>
                    <w:spacing w:line="240" w:lineRule="exact"/>
                    <w:jc w:val="center"/>
                    <w:rPr>
                      <w:rFonts w:hint="default" w:ascii="Times New Roman" w:hAnsi="Times New Roman" w:eastAsia="宋体" w:cs="Times New Roman"/>
                      <w:color w:val="auto"/>
                      <w:kern w:val="21"/>
                      <w:sz w:val="21"/>
                      <w:szCs w:val="21"/>
                      <w:highlight w:val="none"/>
                    </w:rPr>
                  </w:pPr>
                </w:p>
              </w:tc>
              <w:tc>
                <w:tcPr>
                  <w:tcW w:w="437" w:type="pct"/>
                  <w:tcBorders>
                    <w:left w:val="single" w:color="auto" w:sz="4" w:space="0"/>
                  </w:tcBorders>
                  <w:noWrap w:val="0"/>
                  <w:vAlign w:val="center"/>
                </w:tcPr>
                <w:p w14:paraId="44B209C0">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废水治理</w:t>
                  </w:r>
                </w:p>
              </w:tc>
              <w:tc>
                <w:tcPr>
                  <w:tcW w:w="1184" w:type="pct"/>
                  <w:gridSpan w:val="2"/>
                  <w:tcBorders>
                    <w:left w:val="single" w:color="auto" w:sz="4" w:space="0"/>
                  </w:tcBorders>
                  <w:noWrap w:val="0"/>
                  <w:vAlign w:val="center"/>
                </w:tcPr>
                <w:p w14:paraId="13EEA6B4">
                  <w:pPr>
                    <w:spacing w:line="240" w:lineRule="exact"/>
                    <w:jc w:val="center"/>
                    <w:rPr>
                      <w:rFonts w:hint="eastAsia"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生活污水</w:t>
                  </w:r>
                  <w:r>
                    <w:rPr>
                      <w:rFonts w:hint="eastAsia" w:ascii="Times New Roman" w:hAnsi="Times New Roman" w:eastAsia="宋体" w:cs="Times New Roman"/>
                      <w:color w:val="auto"/>
                      <w:kern w:val="21"/>
                      <w:sz w:val="21"/>
                      <w:szCs w:val="21"/>
                      <w:highlight w:val="none"/>
                      <w:lang w:eastAsia="zh-CN"/>
                    </w:rPr>
                    <w:t>、食堂废水</w:t>
                  </w:r>
                </w:p>
              </w:tc>
              <w:tc>
                <w:tcPr>
                  <w:tcW w:w="2441" w:type="pct"/>
                  <w:noWrap w:val="0"/>
                  <w:vAlign w:val="center"/>
                </w:tcPr>
                <w:p w14:paraId="74DAFFBC">
                  <w:pPr>
                    <w:spacing w:line="240" w:lineRule="exact"/>
                    <w:jc w:val="center"/>
                    <w:rPr>
                      <w:rFonts w:hint="default" w:ascii="Times New Roman" w:hAnsi="Times New Roman" w:eastAsia="宋体" w:cs="Times New Roman"/>
                      <w:color w:val="auto"/>
                      <w:kern w:val="21"/>
                      <w:sz w:val="21"/>
                      <w:szCs w:val="21"/>
                      <w:highlight w:val="none"/>
                      <w:lang w:eastAsia="zh-CN"/>
                    </w:rPr>
                  </w:pPr>
                  <w:r>
                    <w:rPr>
                      <w:rFonts w:hint="eastAsia" w:ascii="Times New Roman" w:hAnsi="Times New Roman" w:eastAsia="宋体" w:cs="Times New Roman"/>
                      <w:color w:val="auto"/>
                      <w:sz w:val="21"/>
                      <w:szCs w:val="21"/>
                      <w:highlight w:val="none"/>
                      <w:lang w:eastAsia="zh-CN"/>
                    </w:rPr>
                    <w:t>经</w:t>
                  </w:r>
                  <w:r>
                    <w:rPr>
                      <w:rFonts w:hint="eastAsia" w:ascii="Times New Roman" w:hAnsi="Times New Roman" w:eastAsia="宋体" w:cs="Times New Roman"/>
                      <w:color w:val="auto"/>
                      <w:sz w:val="21"/>
                      <w:szCs w:val="21"/>
                      <w:highlight w:val="none"/>
                      <w:lang w:val="en-US" w:eastAsia="zh-CN"/>
                    </w:rPr>
                    <w:t>厂区化粪池预处理后，定期由环卫部门抽取</w:t>
                  </w:r>
                </w:p>
              </w:tc>
              <w:tc>
                <w:tcPr>
                  <w:tcW w:w="597" w:type="pct"/>
                  <w:noWrap w:val="0"/>
                  <w:vAlign w:val="center"/>
                </w:tcPr>
                <w:p w14:paraId="6E3EEB53">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w:t>
                  </w:r>
                </w:p>
              </w:tc>
            </w:tr>
            <w:tr w14:paraId="3619D4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619E618B">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765C07CD">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噪声治理</w:t>
                  </w:r>
                </w:p>
              </w:tc>
              <w:tc>
                <w:tcPr>
                  <w:tcW w:w="2441" w:type="pct"/>
                  <w:noWrap w:val="0"/>
                  <w:vAlign w:val="center"/>
                </w:tcPr>
                <w:p w14:paraId="2459976C">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安装基础减振措施，厂房隔声</w:t>
                  </w:r>
                </w:p>
              </w:tc>
              <w:tc>
                <w:tcPr>
                  <w:tcW w:w="597" w:type="pct"/>
                  <w:noWrap w:val="0"/>
                  <w:vAlign w:val="center"/>
                </w:tcPr>
                <w:p w14:paraId="69414CB3">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10</w:t>
                  </w:r>
                </w:p>
              </w:tc>
            </w:tr>
            <w:tr w14:paraId="0A877E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24072B5A">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4EED80C8">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固废治理</w:t>
                  </w:r>
                </w:p>
              </w:tc>
              <w:tc>
                <w:tcPr>
                  <w:tcW w:w="2441" w:type="pct"/>
                  <w:noWrap w:val="0"/>
                  <w:vAlign w:val="center"/>
                </w:tcPr>
                <w:p w14:paraId="2B86430A">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垃圾收集装置</w:t>
                  </w:r>
                </w:p>
              </w:tc>
              <w:tc>
                <w:tcPr>
                  <w:tcW w:w="597" w:type="pct"/>
                  <w:noWrap w:val="0"/>
                  <w:vAlign w:val="center"/>
                </w:tcPr>
                <w:p w14:paraId="39BE7902">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2</w:t>
                  </w:r>
                </w:p>
              </w:tc>
            </w:tr>
            <w:tr w14:paraId="712A51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1D33637F">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69849972">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防渗</w:t>
                  </w:r>
                </w:p>
              </w:tc>
              <w:tc>
                <w:tcPr>
                  <w:tcW w:w="2441" w:type="pct"/>
                  <w:noWrap w:val="0"/>
                  <w:vAlign w:val="center"/>
                </w:tcPr>
                <w:p w14:paraId="3BA4E7C0">
                  <w:pPr>
                    <w:snapToGrid w:val="0"/>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lang w:val="zh-CN"/>
                    </w:rPr>
                    <w:t>危废暂存间进行防渗处理，厂区一般地面硬化，道路硬化</w:t>
                  </w:r>
                </w:p>
              </w:tc>
              <w:tc>
                <w:tcPr>
                  <w:tcW w:w="597" w:type="pct"/>
                  <w:noWrap w:val="0"/>
                  <w:vAlign w:val="center"/>
                </w:tcPr>
                <w:p w14:paraId="338C0909">
                  <w:pPr>
                    <w:spacing w:line="320" w:lineRule="exact"/>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10</w:t>
                  </w:r>
                </w:p>
              </w:tc>
            </w:tr>
            <w:tr w14:paraId="25E1EF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3DFA5F4A">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6BD81E95">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厂区自行监测</w:t>
                  </w:r>
                </w:p>
              </w:tc>
              <w:tc>
                <w:tcPr>
                  <w:tcW w:w="2441" w:type="pct"/>
                  <w:noWrap w:val="0"/>
                  <w:vAlign w:val="center"/>
                </w:tcPr>
                <w:p w14:paraId="1D94ACA3">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污染源自行监测费用</w:t>
                  </w:r>
                </w:p>
              </w:tc>
              <w:tc>
                <w:tcPr>
                  <w:tcW w:w="597" w:type="pct"/>
                  <w:noWrap w:val="0"/>
                  <w:vAlign w:val="center"/>
                </w:tcPr>
                <w:p w14:paraId="51C1D194">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10</w:t>
                  </w:r>
                </w:p>
              </w:tc>
            </w:tr>
            <w:tr w14:paraId="3B9CFF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Merge w:val="continue"/>
                  <w:tcBorders>
                    <w:right w:val="single" w:color="auto" w:sz="4" w:space="0"/>
                  </w:tcBorders>
                  <w:noWrap w:val="0"/>
                  <w:vAlign w:val="center"/>
                </w:tcPr>
                <w:p w14:paraId="1603D358">
                  <w:pPr>
                    <w:spacing w:line="240" w:lineRule="exact"/>
                    <w:jc w:val="center"/>
                    <w:rPr>
                      <w:rFonts w:hint="default" w:ascii="Times New Roman" w:hAnsi="Times New Roman" w:eastAsia="宋体" w:cs="Times New Roman"/>
                      <w:color w:val="auto"/>
                      <w:kern w:val="21"/>
                      <w:sz w:val="21"/>
                      <w:szCs w:val="21"/>
                      <w:highlight w:val="none"/>
                    </w:rPr>
                  </w:pPr>
                </w:p>
              </w:tc>
              <w:tc>
                <w:tcPr>
                  <w:tcW w:w="1622" w:type="pct"/>
                  <w:gridSpan w:val="3"/>
                  <w:tcBorders>
                    <w:left w:val="single" w:color="auto" w:sz="4" w:space="0"/>
                  </w:tcBorders>
                  <w:noWrap w:val="0"/>
                  <w:vAlign w:val="center"/>
                </w:tcPr>
                <w:p w14:paraId="2E288ADC">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运行维护费用</w:t>
                  </w:r>
                </w:p>
              </w:tc>
              <w:tc>
                <w:tcPr>
                  <w:tcW w:w="2441" w:type="pct"/>
                  <w:noWrap w:val="0"/>
                  <w:vAlign w:val="center"/>
                </w:tcPr>
                <w:p w14:paraId="4C00524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环境保护措施和设施的运行维护费用</w:t>
                  </w:r>
                </w:p>
              </w:tc>
              <w:tc>
                <w:tcPr>
                  <w:tcW w:w="597" w:type="pct"/>
                  <w:noWrap w:val="0"/>
                  <w:vAlign w:val="center"/>
                </w:tcPr>
                <w:p w14:paraId="03BA1C6B">
                  <w:pPr>
                    <w:spacing w:line="240" w:lineRule="exact"/>
                    <w:jc w:val="center"/>
                    <w:rPr>
                      <w:rFonts w:hint="default" w:ascii="Times New Roman" w:hAnsi="Times New Roman" w:eastAsia="宋体" w:cs="Times New Roman"/>
                      <w:color w:val="auto"/>
                      <w:kern w:val="21"/>
                      <w:sz w:val="21"/>
                      <w:szCs w:val="21"/>
                      <w:highlight w:val="none"/>
                      <w:lang w:eastAsia="zh-CN"/>
                    </w:rPr>
                  </w:pPr>
                  <w:r>
                    <w:rPr>
                      <w:rFonts w:hint="default" w:ascii="Times New Roman" w:hAnsi="Times New Roman" w:eastAsia="宋体" w:cs="Times New Roman"/>
                      <w:color w:val="auto"/>
                      <w:kern w:val="21"/>
                      <w:sz w:val="21"/>
                      <w:szCs w:val="21"/>
                      <w:highlight w:val="none"/>
                    </w:rPr>
                    <w:t>1</w:t>
                  </w:r>
                  <w:r>
                    <w:rPr>
                      <w:rFonts w:hint="default" w:ascii="Times New Roman" w:hAnsi="Times New Roman" w:eastAsia="宋体" w:cs="Times New Roman"/>
                      <w:color w:val="auto"/>
                      <w:kern w:val="21"/>
                      <w:sz w:val="21"/>
                      <w:szCs w:val="21"/>
                      <w:highlight w:val="none"/>
                      <w:lang w:val="en-US" w:eastAsia="zh-CN"/>
                    </w:rPr>
                    <w:t>0</w:t>
                  </w:r>
                </w:p>
              </w:tc>
            </w:tr>
            <w:tr w14:paraId="3D2B63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02" w:type="pct"/>
                  <w:gridSpan w:val="5"/>
                  <w:noWrap w:val="0"/>
                  <w:vAlign w:val="center"/>
                </w:tcPr>
                <w:p w14:paraId="512D7DD1">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合计</w:t>
                  </w:r>
                </w:p>
              </w:tc>
              <w:tc>
                <w:tcPr>
                  <w:tcW w:w="597" w:type="pct"/>
                  <w:noWrap w:val="0"/>
                  <w:vAlign w:val="center"/>
                </w:tcPr>
                <w:p w14:paraId="7669FA5D">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90</w:t>
                  </w:r>
                </w:p>
              </w:tc>
            </w:tr>
            <w:tr w14:paraId="020E1F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402" w:type="pct"/>
                  <w:gridSpan w:val="5"/>
                  <w:noWrap w:val="0"/>
                  <w:vAlign w:val="center"/>
                </w:tcPr>
                <w:p w14:paraId="7B8899B9">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总投资</w:t>
                  </w:r>
                </w:p>
              </w:tc>
              <w:tc>
                <w:tcPr>
                  <w:tcW w:w="597" w:type="pct"/>
                  <w:noWrap w:val="0"/>
                  <w:vAlign w:val="center"/>
                </w:tcPr>
                <w:p w14:paraId="03BB301B">
                  <w:pPr>
                    <w:spacing w:line="240" w:lineRule="exact"/>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670</w:t>
                  </w:r>
                </w:p>
              </w:tc>
            </w:tr>
            <w:tr w14:paraId="4BE378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402" w:type="pct"/>
                  <w:gridSpan w:val="5"/>
                  <w:noWrap w:val="0"/>
                  <w:vAlign w:val="center"/>
                </w:tcPr>
                <w:p w14:paraId="33063BCC">
                  <w:pPr>
                    <w:spacing w:line="240" w:lineRule="exact"/>
                    <w:jc w:val="center"/>
                    <w:rPr>
                      <w:rFonts w:hint="default" w:ascii="Times New Roman" w:hAnsi="Times New Roman" w:eastAsia="宋体" w:cs="Times New Roman"/>
                      <w:color w:val="auto"/>
                      <w:kern w:val="21"/>
                      <w:sz w:val="21"/>
                      <w:szCs w:val="21"/>
                      <w:highlight w:val="none"/>
                    </w:rPr>
                  </w:pPr>
                  <w:r>
                    <w:rPr>
                      <w:rFonts w:hint="default" w:ascii="Times New Roman" w:hAnsi="Times New Roman" w:eastAsia="宋体" w:cs="Times New Roman"/>
                      <w:color w:val="auto"/>
                      <w:kern w:val="21"/>
                      <w:sz w:val="21"/>
                      <w:szCs w:val="21"/>
                      <w:highlight w:val="none"/>
                    </w:rPr>
                    <w:t>环保投资比</w:t>
                  </w:r>
                </w:p>
              </w:tc>
              <w:tc>
                <w:tcPr>
                  <w:tcW w:w="597" w:type="pct"/>
                  <w:noWrap w:val="0"/>
                  <w:vAlign w:val="center"/>
                </w:tcPr>
                <w:p w14:paraId="66F9ED63">
                  <w:pPr>
                    <w:spacing w:line="240" w:lineRule="exact"/>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13.4</w:t>
                  </w:r>
                  <w:r>
                    <w:rPr>
                      <w:rFonts w:hint="default" w:ascii="Times New Roman" w:hAnsi="Times New Roman" w:eastAsia="宋体" w:cs="Times New Roman"/>
                      <w:color w:val="auto"/>
                      <w:kern w:val="21"/>
                      <w:sz w:val="21"/>
                      <w:szCs w:val="21"/>
                      <w:highlight w:val="none"/>
                    </w:rPr>
                    <w:t>%</w:t>
                  </w:r>
                </w:p>
              </w:tc>
            </w:tr>
          </w:tbl>
          <w:p w14:paraId="592780CE">
            <w:pPr>
              <w:adjustRightInd w:val="0"/>
              <w:snapToGrid w:val="0"/>
              <w:jc w:val="center"/>
              <w:rPr>
                <w:rFonts w:ascii="宋体" w:hAnsi="宋体" w:cs="宋体"/>
                <w:bCs/>
                <w:color w:val="auto"/>
                <w:szCs w:val="21"/>
                <w:highlight w:val="none"/>
              </w:rPr>
            </w:pPr>
          </w:p>
          <w:p w14:paraId="3D96F94C">
            <w:pPr>
              <w:adjustRightInd w:val="0"/>
              <w:snapToGrid w:val="0"/>
              <w:jc w:val="center"/>
              <w:rPr>
                <w:rFonts w:ascii="宋体" w:hAnsi="宋体" w:cs="宋体"/>
                <w:bCs/>
                <w:color w:val="auto"/>
                <w:szCs w:val="21"/>
                <w:highlight w:val="none"/>
              </w:rPr>
            </w:pPr>
          </w:p>
          <w:p w14:paraId="3F6600F4">
            <w:pPr>
              <w:adjustRightInd w:val="0"/>
              <w:snapToGrid w:val="0"/>
              <w:jc w:val="both"/>
              <w:rPr>
                <w:rFonts w:ascii="宋体" w:hAnsi="宋体" w:cs="宋体"/>
                <w:bCs/>
                <w:color w:val="auto"/>
                <w:szCs w:val="21"/>
                <w:highlight w:val="none"/>
              </w:rPr>
            </w:pPr>
          </w:p>
          <w:p w14:paraId="5FA5A472">
            <w:pPr>
              <w:pStyle w:val="2"/>
              <w:rPr>
                <w:rFonts w:ascii="宋体" w:hAnsi="宋体" w:cs="宋体"/>
                <w:bCs/>
                <w:color w:val="auto"/>
                <w:szCs w:val="21"/>
                <w:highlight w:val="none"/>
              </w:rPr>
            </w:pPr>
          </w:p>
          <w:p w14:paraId="14718B99">
            <w:pPr>
              <w:pStyle w:val="11"/>
              <w:rPr>
                <w:rFonts w:ascii="宋体" w:hAnsi="宋体" w:cs="宋体"/>
                <w:bCs/>
                <w:color w:val="auto"/>
                <w:szCs w:val="21"/>
                <w:highlight w:val="none"/>
              </w:rPr>
            </w:pPr>
          </w:p>
          <w:p w14:paraId="7C95EBF7">
            <w:pPr>
              <w:rPr>
                <w:rFonts w:ascii="宋体" w:hAnsi="宋体" w:cs="宋体"/>
                <w:bCs/>
                <w:color w:val="auto"/>
                <w:szCs w:val="21"/>
                <w:highlight w:val="none"/>
              </w:rPr>
            </w:pPr>
          </w:p>
          <w:p w14:paraId="76517FBD">
            <w:pPr>
              <w:pStyle w:val="2"/>
              <w:rPr>
                <w:rFonts w:ascii="宋体" w:hAnsi="宋体" w:cs="宋体"/>
                <w:bCs/>
                <w:color w:val="auto"/>
                <w:szCs w:val="21"/>
                <w:highlight w:val="none"/>
              </w:rPr>
            </w:pPr>
          </w:p>
          <w:p w14:paraId="4E2AAEF5">
            <w:pPr>
              <w:pStyle w:val="11"/>
              <w:rPr>
                <w:rFonts w:ascii="宋体" w:hAnsi="宋体" w:cs="宋体"/>
                <w:bCs/>
                <w:color w:val="auto"/>
                <w:szCs w:val="21"/>
                <w:highlight w:val="none"/>
              </w:rPr>
            </w:pPr>
          </w:p>
          <w:p w14:paraId="4524F67D">
            <w:pPr>
              <w:rPr>
                <w:rFonts w:ascii="宋体" w:hAnsi="宋体" w:cs="宋体"/>
                <w:bCs/>
                <w:color w:val="auto"/>
                <w:szCs w:val="21"/>
                <w:highlight w:val="none"/>
              </w:rPr>
            </w:pPr>
          </w:p>
          <w:p w14:paraId="0F3EFF6F">
            <w:pPr>
              <w:pStyle w:val="2"/>
              <w:rPr>
                <w:rFonts w:ascii="宋体" w:hAnsi="宋体" w:cs="宋体"/>
                <w:bCs/>
                <w:color w:val="auto"/>
                <w:szCs w:val="21"/>
                <w:highlight w:val="none"/>
              </w:rPr>
            </w:pPr>
          </w:p>
          <w:p w14:paraId="697548D5">
            <w:pPr>
              <w:pStyle w:val="11"/>
              <w:rPr>
                <w:rFonts w:ascii="宋体" w:hAnsi="宋体" w:cs="宋体"/>
                <w:bCs/>
                <w:color w:val="auto"/>
                <w:szCs w:val="21"/>
                <w:highlight w:val="none"/>
              </w:rPr>
            </w:pPr>
          </w:p>
          <w:p w14:paraId="67C6051F">
            <w:pPr>
              <w:rPr>
                <w:rFonts w:ascii="宋体" w:hAnsi="宋体" w:cs="宋体"/>
                <w:bCs/>
                <w:color w:val="auto"/>
                <w:szCs w:val="21"/>
                <w:highlight w:val="none"/>
              </w:rPr>
            </w:pPr>
          </w:p>
          <w:p w14:paraId="75B66EF3">
            <w:pPr>
              <w:pStyle w:val="2"/>
              <w:rPr>
                <w:rFonts w:ascii="宋体" w:hAnsi="宋体" w:cs="宋体"/>
                <w:bCs/>
                <w:color w:val="auto"/>
                <w:szCs w:val="21"/>
                <w:highlight w:val="none"/>
              </w:rPr>
            </w:pPr>
          </w:p>
          <w:p w14:paraId="32F0BBA7">
            <w:pPr>
              <w:pStyle w:val="11"/>
              <w:rPr>
                <w:rFonts w:ascii="宋体" w:hAnsi="宋体" w:cs="宋体"/>
                <w:bCs/>
                <w:color w:val="auto"/>
                <w:szCs w:val="21"/>
                <w:highlight w:val="none"/>
              </w:rPr>
            </w:pPr>
          </w:p>
          <w:p w14:paraId="4D292EEB">
            <w:pPr>
              <w:rPr>
                <w:rFonts w:ascii="宋体" w:hAnsi="宋体" w:cs="宋体"/>
                <w:bCs/>
                <w:color w:val="auto"/>
                <w:szCs w:val="21"/>
                <w:highlight w:val="none"/>
              </w:rPr>
            </w:pPr>
          </w:p>
          <w:p w14:paraId="44104435">
            <w:pPr>
              <w:pStyle w:val="2"/>
              <w:rPr>
                <w:rFonts w:ascii="宋体" w:hAnsi="宋体" w:cs="宋体"/>
                <w:bCs/>
                <w:color w:val="auto"/>
                <w:szCs w:val="21"/>
                <w:highlight w:val="none"/>
              </w:rPr>
            </w:pPr>
          </w:p>
          <w:p w14:paraId="351D9C30">
            <w:pPr>
              <w:pStyle w:val="11"/>
              <w:rPr>
                <w:rFonts w:ascii="宋体" w:hAnsi="宋体" w:cs="宋体"/>
                <w:bCs/>
                <w:color w:val="auto"/>
                <w:szCs w:val="21"/>
                <w:highlight w:val="none"/>
              </w:rPr>
            </w:pPr>
          </w:p>
          <w:p w14:paraId="3DE86D4B">
            <w:pPr>
              <w:rPr>
                <w:rFonts w:ascii="宋体" w:hAnsi="宋体" w:cs="宋体"/>
                <w:bCs/>
                <w:color w:val="auto"/>
                <w:szCs w:val="21"/>
                <w:highlight w:val="none"/>
              </w:rPr>
            </w:pPr>
          </w:p>
          <w:p w14:paraId="0CE28D25">
            <w:pPr>
              <w:pStyle w:val="2"/>
              <w:rPr>
                <w:rFonts w:ascii="宋体" w:hAnsi="宋体" w:cs="宋体"/>
                <w:bCs/>
                <w:color w:val="auto"/>
                <w:szCs w:val="21"/>
                <w:highlight w:val="none"/>
              </w:rPr>
            </w:pPr>
          </w:p>
          <w:p w14:paraId="6F16E4A1">
            <w:pPr>
              <w:pStyle w:val="11"/>
              <w:rPr>
                <w:rFonts w:ascii="宋体" w:hAnsi="宋体" w:cs="宋体"/>
                <w:bCs/>
                <w:color w:val="auto"/>
                <w:szCs w:val="21"/>
                <w:highlight w:val="none"/>
              </w:rPr>
            </w:pPr>
          </w:p>
          <w:p w14:paraId="7C1453A1">
            <w:pPr>
              <w:rPr>
                <w:rFonts w:ascii="宋体" w:hAnsi="宋体" w:cs="宋体"/>
                <w:bCs/>
                <w:color w:val="auto"/>
                <w:szCs w:val="21"/>
                <w:highlight w:val="none"/>
              </w:rPr>
            </w:pPr>
          </w:p>
          <w:p w14:paraId="24532C24">
            <w:pPr>
              <w:pStyle w:val="2"/>
              <w:rPr>
                <w:rFonts w:ascii="宋体" w:hAnsi="宋体" w:cs="宋体"/>
                <w:bCs/>
                <w:color w:val="auto"/>
                <w:szCs w:val="21"/>
                <w:highlight w:val="none"/>
              </w:rPr>
            </w:pPr>
          </w:p>
          <w:p w14:paraId="306C9DC2">
            <w:pPr>
              <w:pStyle w:val="11"/>
              <w:rPr>
                <w:rFonts w:ascii="宋体" w:hAnsi="宋体" w:cs="宋体"/>
                <w:bCs/>
                <w:color w:val="auto"/>
                <w:szCs w:val="21"/>
                <w:highlight w:val="none"/>
              </w:rPr>
            </w:pPr>
          </w:p>
          <w:p w14:paraId="6A697209">
            <w:pPr>
              <w:rPr>
                <w:rFonts w:ascii="宋体" w:hAnsi="宋体" w:cs="宋体"/>
                <w:bCs/>
                <w:color w:val="auto"/>
                <w:szCs w:val="21"/>
                <w:highlight w:val="none"/>
              </w:rPr>
            </w:pPr>
          </w:p>
          <w:p w14:paraId="6348F143">
            <w:pPr>
              <w:pStyle w:val="2"/>
              <w:rPr>
                <w:rFonts w:ascii="宋体" w:hAnsi="宋体" w:cs="宋体"/>
                <w:bCs/>
                <w:color w:val="auto"/>
                <w:szCs w:val="21"/>
                <w:highlight w:val="none"/>
              </w:rPr>
            </w:pPr>
          </w:p>
          <w:p w14:paraId="37B6EFC8">
            <w:pPr>
              <w:pStyle w:val="11"/>
              <w:rPr>
                <w:rFonts w:ascii="宋体" w:hAnsi="宋体" w:cs="宋体"/>
                <w:bCs/>
                <w:color w:val="auto"/>
                <w:szCs w:val="21"/>
                <w:highlight w:val="none"/>
              </w:rPr>
            </w:pPr>
          </w:p>
          <w:p w14:paraId="6B99750A">
            <w:pPr>
              <w:rPr>
                <w:color w:val="auto"/>
                <w:highlight w:val="none"/>
              </w:rPr>
            </w:pPr>
          </w:p>
        </w:tc>
      </w:tr>
    </w:tbl>
    <w:tbl>
      <w:tblPr>
        <w:tblStyle w:val="17"/>
        <w:tblpPr w:leftFromText="180" w:rightFromText="180" w:vertAnchor="text" w:horzAnchor="page" w:tblpX="1589" w:tblpY="-264"/>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26C5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823" w:type="dxa"/>
            <w:noWrap w:val="0"/>
            <w:vAlign w:val="center"/>
          </w:tcPr>
          <w:p w14:paraId="16EF7DCF">
            <w:pPr>
              <w:pStyle w:val="14"/>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161" w:type="dxa"/>
            <w:noWrap w:val="0"/>
            <w:vAlign w:val="top"/>
          </w:tcPr>
          <w:p w14:paraId="5B4A2746">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施工期工艺流程和产污环节</w:t>
            </w:r>
          </w:p>
          <w:p w14:paraId="4496F094">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本项目利用原有厂房建设树脂砂消失模生产线一条</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该过程</w:t>
            </w:r>
            <w:r>
              <w:rPr>
                <w:rFonts w:hint="default" w:ascii="Times New Roman" w:hAnsi="Times New Roman" w:eastAsia="宋体" w:cs="Times New Roman"/>
                <w:color w:val="auto"/>
                <w:sz w:val="24"/>
                <w:szCs w:val="24"/>
                <w:highlight w:val="none"/>
              </w:rPr>
              <w:t>主要内容为</w:t>
            </w:r>
            <w:r>
              <w:rPr>
                <w:rFonts w:hint="eastAsia" w:ascii="Times New Roman" w:hAnsi="Times New Roman" w:eastAsia="宋体" w:cs="Times New Roman"/>
                <w:color w:val="auto"/>
                <w:sz w:val="24"/>
                <w:szCs w:val="24"/>
                <w:highlight w:val="none"/>
                <w:lang w:eastAsia="zh-CN"/>
              </w:rPr>
              <w:t>原有设备的拆除、厂房改造、</w:t>
            </w:r>
            <w:r>
              <w:rPr>
                <w:rFonts w:hint="default" w:ascii="Times New Roman" w:hAnsi="Times New Roman" w:eastAsia="宋体" w:cs="Times New Roman"/>
                <w:color w:val="auto"/>
                <w:sz w:val="24"/>
                <w:szCs w:val="24"/>
                <w:highlight w:val="none"/>
              </w:rPr>
              <w:t>设备安装和调试，主要污染工序为：设备</w:t>
            </w:r>
            <w:r>
              <w:rPr>
                <w:rFonts w:hint="eastAsia" w:ascii="Times New Roman" w:hAnsi="Times New Roman" w:eastAsia="宋体" w:cs="Times New Roman"/>
                <w:color w:val="auto"/>
                <w:sz w:val="24"/>
                <w:szCs w:val="24"/>
                <w:highlight w:val="none"/>
                <w:lang w:eastAsia="zh-CN"/>
              </w:rPr>
              <w:t>拆卸、厂房改造和设备</w:t>
            </w:r>
            <w:r>
              <w:rPr>
                <w:rFonts w:hint="default" w:ascii="Times New Roman" w:hAnsi="Times New Roman" w:eastAsia="宋体" w:cs="Times New Roman"/>
                <w:color w:val="auto"/>
                <w:sz w:val="24"/>
                <w:szCs w:val="24"/>
                <w:highlight w:val="none"/>
              </w:rPr>
              <w:t>安装过程中产生的废气、噪声、固废等。</w:t>
            </w:r>
          </w:p>
          <w:p w14:paraId="1EC43680">
            <w:pPr>
              <w:spacing w:line="360" w:lineRule="auto"/>
              <w:ind w:firstLine="360" w:firstLineChars="200"/>
              <w:rPr>
                <w:rFonts w:hint="eastAsia" w:ascii="Times New Roman" w:hAnsi="Times New Roman" w:eastAsia="宋体" w:cs="Times New Roman"/>
                <w:color w:val="auto"/>
                <w:kern w:val="2"/>
                <w:sz w:val="24"/>
                <w:szCs w:val="24"/>
                <w:highlight w:val="none"/>
                <w:lang w:val="en-US" w:eastAsia="zh-CN" w:bidi="ar-SA"/>
              </w:rPr>
            </w:pPr>
            <w:r>
              <w:rPr>
                <w:color w:val="auto"/>
                <w:sz w:val="18"/>
                <w:highlight w:val="none"/>
              </w:rPr>
              <mc:AlternateContent>
                <mc:Choice Requires="wps">
                  <w:drawing>
                    <wp:anchor distT="0" distB="0" distL="114300" distR="114300" simplePos="0" relativeHeight="251694080" behindDoc="0" locked="0" layoutInCell="1" allowOverlap="1">
                      <wp:simplePos x="0" y="0"/>
                      <wp:positionH relativeFrom="column">
                        <wp:posOffset>2244090</wp:posOffset>
                      </wp:positionH>
                      <wp:positionV relativeFrom="paragraph">
                        <wp:posOffset>1177290</wp:posOffset>
                      </wp:positionV>
                      <wp:extent cx="551815" cy="25717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51815" cy="257175"/>
                              </a:xfrm>
                              <a:prstGeom prst="rect">
                                <a:avLst/>
                              </a:prstGeom>
                              <a:noFill/>
                              <a:ln>
                                <a:noFill/>
                              </a:ln>
                            </wps:spPr>
                            <wps:txbx>
                              <w:txbxContent>
                                <w:p w14:paraId="6AD9092E">
                                  <w:pPr>
                                    <w:rPr>
                                      <w:rFonts w:hint="eastAsia" w:eastAsia="宋体"/>
                                      <w:lang w:eastAsia="zh-CN"/>
                                    </w:rPr>
                                  </w:pPr>
                                  <w:r>
                                    <w:rPr>
                                      <w:rFonts w:hint="eastAsia"/>
                                      <w:lang w:eastAsia="zh-CN"/>
                                    </w:rPr>
                                    <w:t>废气</w:t>
                                  </w:r>
                                </w:p>
                              </w:txbxContent>
                            </wps:txbx>
                            <wps:bodyPr upright="1"/>
                          </wps:wsp>
                        </a:graphicData>
                      </a:graphic>
                    </wp:anchor>
                  </w:drawing>
                </mc:Choice>
                <mc:Fallback>
                  <w:pict>
                    <v:shape id="_x0000_s1026" o:spid="_x0000_s1026" o:spt="202" type="#_x0000_t202" style="position:absolute;left:0pt;margin-left:176.7pt;margin-top:92.7pt;height:20.25pt;width:43.45pt;z-index:251694080;mso-width-relative:page;mso-height-relative:page;" filled="f" stroked="f" coordsize="21600,21600" o:gfxdata="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r//0NgA&#10;AAALAQAADwAAAAAAAAABACAAAAAiAAAAZHJzL2Rvd25yZXYueG1sUEsBAhQAFAAAAAgAh07iQGAT&#10;FyatAQAATwMAAA4AAAAAAAAAAQAgAAAAJwEAAGRycy9lMm9Eb2MueG1sUEsFBgAAAAAGAAYAWQEA&#10;AEYFAAAAAA==&#10;">
                      <v:fill on="f" focussize="0,0"/>
                      <v:stroke on="f"/>
                      <v:imagedata o:title=""/>
                      <o:lock v:ext="edit" aspectratio="f"/>
                      <v:textbox>
                        <w:txbxContent>
                          <w:p w14:paraId="6AD9092E">
                            <w:pPr>
                              <w:rPr>
                                <w:rFonts w:hint="eastAsia" w:eastAsia="宋体"/>
                                <w:lang w:eastAsia="zh-CN"/>
                              </w:rPr>
                            </w:pPr>
                            <w:r>
                              <w:rPr>
                                <w:rFonts w:hint="eastAsia"/>
                                <w:lang w:eastAsia="zh-CN"/>
                              </w:rPr>
                              <w:t>废气</w:t>
                            </w:r>
                          </w:p>
                        </w:txbxContent>
                      </v:textbox>
                    </v:shape>
                  </w:pict>
                </mc:Fallback>
              </mc:AlternateContent>
            </w:r>
            <w:r>
              <w:rPr>
                <w:color w:val="auto"/>
                <w:sz w:val="18"/>
                <w:highlight w:val="none"/>
              </w:rPr>
              <mc:AlternateContent>
                <mc:Choice Requires="wps">
                  <w:drawing>
                    <wp:anchor distT="0" distB="0" distL="114300" distR="114300" simplePos="0" relativeHeight="251693056" behindDoc="0" locked="0" layoutInCell="1" allowOverlap="1">
                      <wp:simplePos x="0" y="0"/>
                      <wp:positionH relativeFrom="column">
                        <wp:posOffset>1324610</wp:posOffset>
                      </wp:positionH>
                      <wp:positionV relativeFrom="paragraph">
                        <wp:posOffset>1176655</wp:posOffset>
                      </wp:positionV>
                      <wp:extent cx="551815" cy="2571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551815" cy="257175"/>
                              </a:xfrm>
                              <a:prstGeom prst="rect">
                                <a:avLst/>
                              </a:prstGeom>
                              <a:noFill/>
                              <a:ln>
                                <a:noFill/>
                              </a:ln>
                            </wps:spPr>
                            <wps:txbx>
                              <w:txbxContent>
                                <w:p w14:paraId="71C97AA3">
                                  <w:pPr>
                                    <w:rPr>
                                      <w:rFonts w:hint="eastAsia" w:eastAsia="宋体"/>
                                      <w:lang w:eastAsia="zh-CN"/>
                                    </w:rPr>
                                  </w:pPr>
                                  <w:r>
                                    <w:rPr>
                                      <w:rFonts w:hint="eastAsia"/>
                                      <w:lang w:eastAsia="zh-CN"/>
                                    </w:rPr>
                                    <w:t>废气</w:t>
                                  </w:r>
                                </w:p>
                              </w:txbxContent>
                            </wps:txbx>
                            <wps:bodyPr upright="1"/>
                          </wps:wsp>
                        </a:graphicData>
                      </a:graphic>
                    </wp:anchor>
                  </w:drawing>
                </mc:Choice>
                <mc:Fallback>
                  <w:pict>
                    <v:shape id="_x0000_s1026" o:spid="_x0000_s1026" o:spt="202" type="#_x0000_t202" style="position:absolute;left:0pt;margin-left:104.3pt;margin-top:92.65pt;height:20.25pt;width:43.45pt;z-index:251693056;mso-width-relative:page;mso-height-relative:page;" filled="f" stroked="f" coordsize="21600,21600" o:gfxdata="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e0jLNcA&#10;AAALAQAADwAAAAAAAAABACAAAAAiAAAAZHJzL2Rvd25yZXYueG1sUEsBAhQAFAAAAAgAh07iQFOS&#10;Sj6uAQAATwMAAA4AAAAAAAAAAQAgAAAAJgEAAGRycy9lMm9Eb2MueG1sUEsFBgAAAAAGAAYAWQEA&#10;AEYFAAAAAA==&#10;">
                      <v:fill on="f" focussize="0,0"/>
                      <v:stroke on="f"/>
                      <v:imagedata o:title=""/>
                      <o:lock v:ext="edit" aspectratio="f"/>
                      <v:textbox>
                        <w:txbxContent>
                          <w:p w14:paraId="71C97AA3">
                            <w:pPr>
                              <w:rPr>
                                <w:rFonts w:hint="eastAsia" w:eastAsia="宋体"/>
                                <w:lang w:eastAsia="zh-CN"/>
                              </w:rPr>
                            </w:pPr>
                            <w:r>
                              <w:rPr>
                                <w:rFonts w:hint="eastAsia"/>
                                <w:lang w:eastAsia="zh-CN"/>
                              </w:rPr>
                              <w:t>废气</w:t>
                            </w:r>
                          </w:p>
                        </w:txbxContent>
                      </v:textbox>
                    </v:shape>
                  </w:pict>
                </mc:Fallback>
              </mc:AlternateContent>
            </w:r>
            <w:r>
              <w:rPr>
                <w:rFonts w:hint="eastAsia" w:ascii="Times New Roman" w:hAnsi="Times New Roman" w:eastAsia="宋体" w:cs="Times New Roman"/>
                <w:color w:val="auto"/>
                <w:kern w:val="2"/>
                <w:sz w:val="24"/>
                <w:szCs w:val="24"/>
                <w:highlight w:val="none"/>
                <w:lang w:val="en-US" w:eastAsia="zh-CN" w:bidi="ar-SA"/>
              </w:rPr>
              <w:t>另外，本项目利用原有空厂房，建设铸造车间。此过程施工主要为平整施工场地、基础建设、建筑施工，不涉及到拆除。项目使用商品混凝土，不设搅拌站。对环境的影响主要表现为：施工过程产生的扬尘、施工废水、施工噪声、建筑垃圾以及施工人员的生活排污等。</w:t>
            </w:r>
          </w:p>
          <w:p w14:paraId="5FF037F6">
            <w:pPr>
              <w:pStyle w:val="2"/>
              <w:ind w:left="0" w:leftChars="0" w:firstLine="0" w:firstLineChars="0"/>
              <w:rPr>
                <w:rFonts w:hint="eastAsia"/>
                <w:color w:val="auto"/>
                <w:highlight w:val="none"/>
                <w:lang w:val="en-US" w:eastAsia="zh-CN"/>
              </w:rPr>
            </w:pPr>
            <w:r>
              <w:rPr>
                <w:color w:val="auto"/>
                <w:sz w:val="18"/>
                <w:highlight w:val="none"/>
              </w:rPr>
              <mc:AlternateContent>
                <mc:Choice Requires="wps">
                  <w:drawing>
                    <wp:anchor distT="0" distB="0" distL="114300" distR="114300" simplePos="0" relativeHeight="251695104" behindDoc="0" locked="0" layoutInCell="1" allowOverlap="1">
                      <wp:simplePos x="0" y="0"/>
                      <wp:positionH relativeFrom="column">
                        <wp:posOffset>3218815</wp:posOffset>
                      </wp:positionH>
                      <wp:positionV relativeFrom="paragraph">
                        <wp:posOffset>10160</wp:posOffset>
                      </wp:positionV>
                      <wp:extent cx="551815" cy="25717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51815" cy="257175"/>
                              </a:xfrm>
                              <a:prstGeom prst="rect">
                                <a:avLst/>
                              </a:prstGeom>
                              <a:noFill/>
                              <a:ln>
                                <a:noFill/>
                              </a:ln>
                            </wps:spPr>
                            <wps:txbx>
                              <w:txbxContent>
                                <w:p w14:paraId="448F166A">
                                  <w:pPr>
                                    <w:rPr>
                                      <w:rFonts w:hint="eastAsia" w:eastAsia="宋体"/>
                                      <w:lang w:eastAsia="zh-CN"/>
                                    </w:rPr>
                                  </w:pPr>
                                  <w:r>
                                    <w:rPr>
                                      <w:rFonts w:hint="eastAsia"/>
                                      <w:lang w:eastAsia="zh-CN"/>
                                    </w:rPr>
                                    <w:t>废气</w:t>
                                  </w:r>
                                </w:p>
                              </w:txbxContent>
                            </wps:txbx>
                            <wps:bodyPr upright="1"/>
                          </wps:wsp>
                        </a:graphicData>
                      </a:graphic>
                    </wp:anchor>
                  </w:drawing>
                </mc:Choice>
                <mc:Fallback>
                  <w:pict>
                    <v:shape id="_x0000_s1026" o:spid="_x0000_s1026" o:spt="202" type="#_x0000_t202" style="position:absolute;left:0pt;margin-left:253.45pt;margin-top:0.8pt;height:20.25pt;width:43.45pt;z-index:251695104;mso-width-relative:page;mso-height-relative:page;" filled="f" stroked="f" coordsize="21600,21600" o:gfxdata="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6wOgbVAAAA&#10;CAEAAA8AAAAAAAAAAQAgAAAAIgAAAGRycy9kb3ducmV2LnhtbFBLAQIUABQAAAAIAIdO4kBcHOA2&#10;rgEAAE8DAAAOAAAAAAAAAAEAIAAAACQBAABkcnMvZTJvRG9jLnhtbFBLBQYAAAAABgAGAFkBAABE&#10;BQAAAAA=&#10;">
                      <v:fill on="f" focussize="0,0"/>
                      <v:stroke on="f"/>
                      <v:imagedata o:title=""/>
                      <o:lock v:ext="edit" aspectratio="f"/>
                      <v:textbox>
                        <w:txbxContent>
                          <w:p w14:paraId="448F166A">
                            <w:pPr>
                              <w:rPr>
                                <w:rFonts w:hint="eastAsia" w:eastAsia="宋体"/>
                                <w:lang w:eastAsia="zh-CN"/>
                              </w:rPr>
                            </w:pPr>
                            <w:r>
                              <w:rPr>
                                <w:rFonts w:hint="eastAsia"/>
                                <w:lang w:eastAsia="zh-CN"/>
                              </w:rPr>
                              <w:t>废气</w:t>
                            </w:r>
                          </w:p>
                        </w:txbxContent>
                      </v:textbox>
                    </v:shape>
                  </w:pict>
                </mc:Fallback>
              </mc:AlternateContent>
            </w:r>
          </w:p>
          <w:p w14:paraId="4E9B246D">
            <w:pPr>
              <w:pStyle w:val="15"/>
              <w:jc w:val="cente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86912" behindDoc="0" locked="0" layoutInCell="1" allowOverlap="1">
                      <wp:simplePos x="0" y="0"/>
                      <wp:positionH relativeFrom="column">
                        <wp:posOffset>3452495</wp:posOffset>
                      </wp:positionH>
                      <wp:positionV relativeFrom="paragraph">
                        <wp:posOffset>87630</wp:posOffset>
                      </wp:positionV>
                      <wp:extent cx="635" cy="146050"/>
                      <wp:effectExtent l="50800" t="0" r="62865" b="6350"/>
                      <wp:wrapNone/>
                      <wp:docPr id="12" name="直接连接符 12"/>
                      <wp:cNvGraphicFramePr/>
                      <a:graphic xmlns:a="http://schemas.openxmlformats.org/drawingml/2006/main">
                        <a:graphicData uri="http://schemas.microsoft.com/office/word/2010/wordprocessingShape">
                          <wps:wsp>
                            <wps:cNvCnPr/>
                            <wps:spPr>
                              <a:xfrm flipV="1">
                                <a:off x="0" y="0"/>
                                <a:ext cx="635" cy="146050"/>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271.85pt;margin-top:6.9pt;height:11.5pt;width:0.05pt;z-index:251686912;mso-width-relative:page;mso-height-relative:page;" filled="f" stroked="t" coordsize="21600,21600" o:gfxdata="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Wo9w1wAAAAkBAAAPAAAAAAAAAAEAIAAAACIAAABk&#10;cnMvZG93bnJldi54bWxQSwECFAAUAAAACACHTuJAA74iDQcCAADyAwAADgAAAAAAAAABACAAAAAm&#10;AQAAZHJzL2Uyb0RvYy54bWxQSwUGAAAAAAYABgBZAQAAnwUAAAAA&#10;">
                      <v:fill on="f" focussize="0,0"/>
                      <v:stroke weight="1pt" color="#000000" joinstyle="round" dashstyle="1 1" endcap="square"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2477135</wp:posOffset>
                      </wp:positionH>
                      <wp:positionV relativeFrom="paragraph">
                        <wp:posOffset>93345</wp:posOffset>
                      </wp:positionV>
                      <wp:extent cx="635" cy="162560"/>
                      <wp:effectExtent l="50165" t="0" r="63500" b="8890"/>
                      <wp:wrapNone/>
                      <wp:docPr id="11" name="直接连接符 11"/>
                      <wp:cNvGraphicFramePr/>
                      <a:graphic xmlns:a="http://schemas.openxmlformats.org/drawingml/2006/main">
                        <a:graphicData uri="http://schemas.microsoft.com/office/word/2010/wordprocessingShape">
                          <wps:wsp>
                            <wps:cNvCnPr/>
                            <wps:spPr>
                              <a:xfrm flipV="1">
                                <a:off x="0" y="0"/>
                                <a:ext cx="635" cy="162560"/>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195.05pt;margin-top:7.35pt;height:12.8pt;width:0.05pt;z-index:251683840;mso-width-relative:page;mso-height-relative:page;" filled="f" stroked="t" coordsize="21600,21600" o:gfxdata="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A0Fd1wAAAAkBAAAPAAAAAAAAAAEAIAAAACIAAABk&#10;cnMvZG93bnJldi54bWxQSwECFAAUAAAACACHTuJAg7h0kgcCAADyAwAADgAAAAAAAAABACAAAAAm&#10;AQAAZHJzL2Uyb0RvYy54bWxQSwUGAAAAAAYABgBZAQAAnwUAAAAA&#10;">
                      <v:fill on="f" focussize="0,0"/>
                      <v:stroke weight="1pt" color="#000000" joinstyle="round" dashstyle="1 1" endcap="square"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81792" behindDoc="0" locked="0" layoutInCell="1" allowOverlap="1">
                      <wp:simplePos x="0" y="0"/>
                      <wp:positionH relativeFrom="column">
                        <wp:posOffset>1542415</wp:posOffset>
                      </wp:positionH>
                      <wp:positionV relativeFrom="paragraph">
                        <wp:posOffset>94615</wp:posOffset>
                      </wp:positionV>
                      <wp:extent cx="635" cy="180975"/>
                      <wp:effectExtent l="50165" t="0" r="63500" b="9525"/>
                      <wp:wrapNone/>
                      <wp:docPr id="9" name="直接连接符 9"/>
                      <wp:cNvGraphicFramePr/>
                      <a:graphic xmlns:a="http://schemas.openxmlformats.org/drawingml/2006/main">
                        <a:graphicData uri="http://schemas.microsoft.com/office/word/2010/wordprocessingShape">
                          <wps:wsp>
                            <wps:cNvCnPr/>
                            <wps:spPr>
                              <a:xfrm flipV="1">
                                <a:off x="0" y="0"/>
                                <a:ext cx="635" cy="180975"/>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flip:y;margin-left:121.45pt;margin-top:7.45pt;height:14.25pt;width:0.05pt;z-index:251681792;mso-width-relative:page;mso-height-relative:page;" filled="f" stroked="t" coordsize="21600,21600" o:gfxdata="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UgRTYAAAACQEAAA8AAAAAAAAAAQAgAAAAIgAAAGRy&#10;cy9kb3ducmV2LnhtbFBLAQIUABQAAAAIAIdO4kBxJLmqBQIAAPADAAAOAAAAAAAAAAEAIAAAACcB&#10;AABkcnMvZTJvRG9jLnhtbFBLBQYAAAAABgAGAFkBAACeBQAAAAA=&#10;">
                      <v:fill on="f" focussize="0,0"/>
                      <v:stroke weight="1pt" color="#000000" joinstyle="round" dashstyle="1 1" endcap="square"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4104640</wp:posOffset>
                      </wp:positionH>
                      <wp:positionV relativeFrom="paragraph">
                        <wp:posOffset>238125</wp:posOffset>
                      </wp:positionV>
                      <wp:extent cx="476250" cy="466090"/>
                      <wp:effectExtent l="4445" t="4445" r="14605" b="5715"/>
                      <wp:wrapNone/>
                      <wp:docPr id="7" name="文本框 7"/>
                      <wp:cNvGraphicFramePr/>
                      <a:graphic xmlns:a="http://schemas.openxmlformats.org/drawingml/2006/main">
                        <a:graphicData uri="http://schemas.microsoft.com/office/word/2010/wordprocessingShape">
                          <wps:wsp>
                            <wps:cNvSpPr txBox="1"/>
                            <wps:spPr>
                              <a:xfrm>
                                <a:off x="0" y="0"/>
                                <a:ext cx="476250" cy="466090"/>
                              </a:xfrm>
                              <a:prstGeom prst="rect">
                                <a:avLst/>
                              </a:prstGeom>
                              <a:noFill/>
                              <a:ln w="9525" cap="flat" cmpd="sng">
                                <a:solidFill>
                                  <a:srgbClr val="000000"/>
                                </a:solidFill>
                                <a:prstDash val="solid"/>
                                <a:miter/>
                                <a:headEnd type="none" w="med" len="med"/>
                                <a:tailEnd type="none" w="med" len="med"/>
                              </a:ln>
                            </wps:spPr>
                            <wps:txbx>
                              <w:txbxContent>
                                <w:p w14:paraId="27B95CF1">
                                  <w:pPr>
                                    <w:rPr>
                                      <w:rFonts w:hint="eastAsia" w:eastAsia="宋体"/>
                                      <w:lang w:eastAsia="zh-CN"/>
                                    </w:rPr>
                                  </w:pPr>
                                  <w:r>
                                    <w:rPr>
                                      <w:rFonts w:hint="eastAsia"/>
                                      <w:lang w:eastAsia="zh-CN"/>
                                    </w:rPr>
                                    <w:t>设备安装</w:t>
                                  </w:r>
                                </w:p>
                              </w:txbxContent>
                            </wps:txbx>
                            <wps:bodyPr upright="1"/>
                          </wps:wsp>
                        </a:graphicData>
                      </a:graphic>
                    </wp:anchor>
                  </w:drawing>
                </mc:Choice>
                <mc:Fallback>
                  <w:pict>
                    <v:shape id="_x0000_s1026" o:spid="_x0000_s1026" o:spt="202" type="#_x0000_t202" style="position:absolute;left:0pt;margin-left:323.2pt;margin-top:18.75pt;height:36.7pt;width:37.5pt;z-index:251680768;mso-width-relative:page;mso-height-relative:page;" filled="f" stroked="t" coordsize="21600,21600" o:gfxdata="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1ouovXAAAACgEAAA8AAAAAAAAAAQAgAAAAIgAAAGRy&#10;cy9kb3ducmV2LnhtbFBLAQIUABQAAAAIAIdO4kChe6CBBgIAAAwEAAAOAAAAAAAAAAEAIAAAACYB&#10;AABkcnMvZTJvRG9jLnhtbFBLBQYAAAAABgAGAFkBAACeBQAAAAA=&#10;">
                      <v:fill on="f" focussize="0,0"/>
                      <v:stroke color="#000000" joinstyle="miter"/>
                      <v:imagedata o:title=""/>
                      <o:lock v:ext="edit" aspectratio="f"/>
                      <v:textbox>
                        <w:txbxContent>
                          <w:p w14:paraId="27B95CF1">
                            <w:pPr>
                              <w:rPr>
                                <w:rFonts w:hint="eastAsia" w:eastAsia="宋体"/>
                                <w:lang w:eastAsia="zh-CN"/>
                              </w:rPr>
                            </w:pPr>
                            <w:r>
                              <w:rPr>
                                <w:rFonts w:hint="eastAsia"/>
                                <w:lang w:eastAsia="zh-CN"/>
                              </w:rPr>
                              <w:t>设备安装</w:t>
                            </w:r>
                          </w:p>
                        </w:txbxContent>
                      </v:textbox>
                    </v:shape>
                  </w:pict>
                </mc:Fallback>
              </mc:AlternateContent>
            </w:r>
            <w:r>
              <w:rPr>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3180715</wp:posOffset>
                      </wp:positionH>
                      <wp:positionV relativeFrom="paragraph">
                        <wp:posOffset>237490</wp:posOffset>
                      </wp:positionV>
                      <wp:extent cx="514350" cy="466090"/>
                      <wp:effectExtent l="4445" t="4445" r="14605" b="5715"/>
                      <wp:wrapNone/>
                      <wp:docPr id="10" name="文本框 10"/>
                      <wp:cNvGraphicFramePr/>
                      <a:graphic xmlns:a="http://schemas.openxmlformats.org/drawingml/2006/main">
                        <a:graphicData uri="http://schemas.microsoft.com/office/word/2010/wordprocessingShape">
                          <wps:wsp>
                            <wps:cNvSpPr txBox="1"/>
                            <wps:spPr>
                              <a:xfrm>
                                <a:off x="0" y="0"/>
                                <a:ext cx="514350" cy="466090"/>
                              </a:xfrm>
                              <a:prstGeom prst="rect">
                                <a:avLst/>
                              </a:prstGeom>
                              <a:noFill/>
                              <a:ln w="9525" cap="flat" cmpd="sng">
                                <a:solidFill>
                                  <a:srgbClr val="000000"/>
                                </a:solidFill>
                                <a:prstDash val="solid"/>
                                <a:miter/>
                                <a:headEnd type="none" w="med" len="med"/>
                                <a:tailEnd type="none" w="med" len="med"/>
                              </a:ln>
                            </wps:spPr>
                            <wps:txbx>
                              <w:txbxContent>
                                <w:p w14:paraId="13C96C23">
                                  <w:pPr>
                                    <w:rPr>
                                      <w:rFonts w:hint="eastAsia" w:eastAsia="宋体"/>
                                      <w:lang w:eastAsia="zh-CN"/>
                                    </w:rPr>
                                  </w:pPr>
                                  <w:r>
                                    <w:rPr>
                                      <w:rFonts w:hint="eastAsia"/>
                                      <w:lang w:eastAsia="zh-CN"/>
                                    </w:rPr>
                                    <w:t>建筑施工</w:t>
                                  </w:r>
                                </w:p>
                              </w:txbxContent>
                            </wps:txbx>
                            <wps:bodyPr upright="1"/>
                          </wps:wsp>
                        </a:graphicData>
                      </a:graphic>
                    </wp:anchor>
                  </w:drawing>
                </mc:Choice>
                <mc:Fallback>
                  <w:pict>
                    <v:shape id="_x0000_s1026" o:spid="_x0000_s1026" o:spt="202" type="#_x0000_t202" style="position:absolute;left:0pt;margin-left:250.45pt;margin-top:18.7pt;height:36.7pt;width:40.5pt;z-index:251678720;mso-width-relative:page;mso-height-relative:page;" filled="f" stroked="t" coordsize="21600,21600" o:gfxdata="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hCU01gAAAAoBAAAPAAAAAAAAAAEAIAAAACIAAABkcnMv&#10;ZG93bnJldi54bWxQSwECFAAUAAAACACHTuJAl1GyvgUCAAAOBAAADgAAAAAAAAABACAAAAAlAQAA&#10;ZHJzL2Uyb0RvYy54bWxQSwUGAAAAAAYABgBZAQAAnAUAAAAA&#10;">
                      <v:fill on="f" focussize="0,0"/>
                      <v:stroke color="#000000" joinstyle="miter"/>
                      <v:imagedata o:title=""/>
                      <o:lock v:ext="edit" aspectratio="f"/>
                      <v:textbox>
                        <w:txbxContent>
                          <w:p w14:paraId="13C96C23">
                            <w:pPr>
                              <w:rPr>
                                <w:rFonts w:hint="eastAsia" w:eastAsia="宋体"/>
                                <w:lang w:eastAsia="zh-CN"/>
                              </w:rPr>
                            </w:pPr>
                            <w:r>
                              <w:rPr>
                                <w:rFonts w:hint="eastAsia"/>
                                <w:lang w:eastAsia="zh-CN"/>
                              </w:rPr>
                              <w:t>建筑施工</w:t>
                            </w:r>
                          </w:p>
                        </w:txbxContent>
                      </v:textbox>
                    </v:shape>
                  </w:pict>
                </mc:Fallback>
              </mc:AlternateContent>
            </w:r>
          </w:p>
          <w:p w14:paraId="55CA8F8D">
            <w:pP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2224405</wp:posOffset>
                      </wp:positionH>
                      <wp:positionV relativeFrom="paragraph">
                        <wp:posOffset>10795</wp:posOffset>
                      </wp:positionV>
                      <wp:extent cx="514350" cy="457200"/>
                      <wp:effectExtent l="4445" t="4445" r="14605" b="14605"/>
                      <wp:wrapNone/>
                      <wp:docPr id="8" name="文本框 8"/>
                      <wp:cNvGraphicFramePr/>
                      <a:graphic xmlns:a="http://schemas.openxmlformats.org/drawingml/2006/main">
                        <a:graphicData uri="http://schemas.microsoft.com/office/word/2010/wordprocessingShape">
                          <wps:wsp>
                            <wps:cNvSpPr txBox="1"/>
                            <wps:spPr>
                              <a:xfrm>
                                <a:off x="0" y="0"/>
                                <a:ext cx="514350" cy="457200"/>
                              </a:xfrm>
                              <a:prstGeom prst="rect">
                                <a:avLst/>
                              </a:prstGeom>
                              <a:noFill/>
                              <a:ln w="9525" cap="flat" cmpd="sng">
                                <a:solidFill>
                                  <a:srgbClr val="000000"/>
                                </a:solidFill>
                                <a:prstDash val="solid"/>
                                <a:miter/>
                                <a:headEnd type="none" w="med" len="med"/>
                                <a:tailEnd type="none" w="med" len="med"/>
                              </a:ln>
                            </wps:spPr>
                            <wps:txbx>
                              <w:txbxContent>
                                <w:p w14:paraId="5E907CB3">
                                  <w:pPr>
                                    <w:rPr>
                                      <w:rFonts w:hint="eastAsia" w:eastAsia="宋体"/>
                                      <w:lang w:eastAsia="zh-CN"/>
                                    </w:rPr>
                                  </w:pPr>
                                  <w:r>
                                    <w:rPr>
                                      <w:rFonts w:hint="eastAsia"/>
                                      <w:lang w:eastAsia="zh-CN"/>
                                    </w:rPr>
                                    <w:t>基础建设</w:t>
                                  </w:r>
                                </w:p>
                              </w:txbxContent>
                            </wps:txbx>
                            <wps:bodyPr upright="1"/>
                          </wps:wsp>
                        </a:graphicData>
                      </a:graphic>
                    </wp:anchor>
                  </w:drawing>
                </mc:Choice>
                <mc:Fallback>
                  <w:pict>
                    <v:shape id="_x0000_s1026" o:spid="_x0000_s1026" o:spt="202" type="#_x0000_t202" style="position:absolute;left:0pt;margin-left:175.15pt;margin-top:0.85pt;height:36pt;width:40.5pt;z-index:251676672;mso-width-relative:page;mso-height-relative:page;" filled="f" stroked="t" coordsize="21600,21600" o:gfxdata="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lUrr3UAAAACAEAAA8AAAAAAAAAAQAgAAAAIgAAAGRycy9kb3du&#10;cmV2LnhtbFBLAQIUABQAAAAIAIdO4kBv3BHYAwIAAAwEAAAOAAAAAAAAAAEAIAAAACMBAABkcnMv&#10;ZTJvRG9jLnhtbFBLBQYAAAAABgAGAFkBAACYBQAAAAA=&#10;">
                      <v:fill on="f" focussize="0,0"/>
                      <v:stroke color="#000000" joinstyle="miter"/>
                      <v:imagedata o:title=""/>
                      <o:lock v:ext="edit" aspectratio="f"/>
                      <v:textbox>
                        <w:txbxContent>
                          <w:p w14:paraId="5E907CB3">
                            <w:pPr>
                              <w:rPr>
                                <w:rFonts w:hint="eastAsia" w:eastAsia="宋体"/>
                                <w:lang w:eastAsia="zh-CN"/>
                              </w:rPr>
                            </w:pPr>
                            <w:r>
                              <w:rPr>
                                <w:rFonts w:hint="eastAsia"/>
                                <w:lang w:eastAsia="zh-CN"/>
                              </w:rPr>
                              <w:t>基础建设</w:t>
                            </w:r>
                          </w:p>
                        </w:txbxContent>
                      </v:textbox>
                    </v:shape>
                  </w:pict>
                </mc:Fallback>
              </mc:AlternateContent>
            </w:r>
            <w:r>
              <w:rPr>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1262380</wp:posOffset>
                      </wp:positionH>
                      <wp:positionV relativeFrom="paragraph">
                        <wp:posOffset>29845</wp:posOffset>
                      </wp:positionV>
                      <wp:extent cx="514350" cy="428625"/>
                      <wp:effectExtent l="4445" t="4445" r="14605" b="5080"/>
                      <wp:wrapNone/>
                      <wp:docPr id="6" name="文本框 6"/>
                      <wp:cNvGraphicFramePr/>
                      <a:graphic xmlns:a="http://schemas.openxmlformats.org/drawingml/2006/main">
                        <a:graphicData uri="http://schemas.microsoft.com/office/word/2010/wordprocessingShape">
                          <wps:wsp>
                            <wps:cNvSpPr txBox="1"/>
                            <wps:spPr>
                              <a:xfrm>
                                <a:off x="0" y="0"/>
                                <a:ext cx="514350" cy="428625"/>
                              </a:xfrm>
                              <a:prstGeom prst="rect">
                                <a:avLst/>
                              </a:prstGeom>
                              <a:noFill/>
                              <a:ln w="9525" cap="flat" cmpd="sng">
                                <a:solidFill>
                                  <a:srgbClr val="000000"/>
                                </a:solidFill>
                                <a:prstDash val="solid"/>
                                <a:miter/>
                                <a:headEnd type="none" w="med" len="med"/>
                                <a:tailEnd type="none" w="med" len="med"/>
                              </a:ln>
                            </wps:spPr>
                            <wps:txbx>
                              <w:txbxContent>
                                <w:p w14:paraId="59819B8E">
                                  <w:pPr>
                                    <w:rPr>
                                      <w:rFonts w:hint="eastAsia" w:eastAsia="宋体"/>
                                      <w:lang w:eastAsia="zh-CN"/>
                                    </w:rPr>
                                  </w:pPr>
                                  <w:r>
                                    <w:rPr>
                                      <w:rFonts w:hint="eastAsia"/>
                                      <w:lang w:eastAsia="zh-CN"/>
                                    </w:rPr>
                                    <w:t>平整场地</w:t>
                                  </w:r>
                                </w:p>
                              </w:txbxContent>
                            </wps:txbx>
                            <wps:bodyPr upright="1"/>
                          </wps:wsp>
                        </a:graphicData>
                      </a:graphic>
                    </wp:anchor>
                  </w:drawing>
                </mc:Choice>
                <mc:Fallback>
                  <w:pict>
                    <v:shape id="_x0000_s1026" o:spid="_x0000_s1026" o:spt="202" type="#_x0000_t202" style="position:absolute;left:0pt;margin-left:99.4pt;margin-top:2.35pt;height:33.75pt;width:40.5pt;z-index:251674624;mso-width-relative:page;mso-height-relative:page;" filled="f" stroked="t" coordsize="21600,21600" o:gfxdata="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A2w7zUAAAACAEAAA8AAAAAAAAAAQAgAAAAIgAAAGRycy9kb3du&#10;cmV2LnhtbFBLAQIUABQAAAAIAIdO4kDooHZjAwIAAAwEAAAOAAAAAAAAAAEAIAAAACMBAABkcnMv&#10;ZTJvRG9jLnhtbFBLBQYAAAAABgAGAFkBAACYBQAAAAA=&#10;">
                      <v:fill on="f" focussize="0,0"/>
                      <v:stroke color="#000000" joinstyle="miter"/>
                      <v:imagedata o:title=""/>
                      <o:lock v:ext="edit" aspectratio="f"/>
                      <v:textbox>
                        <w:txbxContent>
                          <w:p w14:paraId="59819B8E">
                            <w:pPr>
                              <w:rPr>
                                <w:rFonts w:hint="eastAsia" w:eastAsia="宋体"/>
                                <w:lang w:eastAsia="zh-CN"/>
                              </w:rPr>
                            </w:pPr>
                            <w:r>
                              <w:rPr>
                                <w:rFonts w:hint="eastAsia"/>
                                <w:lang w:eastAsia="zh-CN"/>
                              </w:rPr>
                              <w:t>平整场地</w:t>
                            </w:r>
                          </w:p>
                        </w:txbxContent>
                      </v:textbox>
                    </v:shape>
                  </w:pict>
                </mc:Fallback>
              </mc:AlternateContent>
            </w:r>
          </w:p>
          <w:p w14:paraId="24E05E4C">
            <w:pPr>
              <w:pStyle w:val="2"/>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3704590</wp:posOffset>
                      </wp:positionH>
                      <wp:positionV relativeFrom="paragraph">
                        <wp:posOffset>38735</wp:posOffset>
                      </wp:positionV>
                      <wp:extent cx="381000" cy="635"/>
                      <wp:effectExtent l="0" t="48895" r="0" b="64770"/>
                      <wp:wrapNone/>
                      <wp:docPr id="3" name="直接连接符 3"/>
                      <wp:cNvGraphicFramePr/>
                      <a:graphic xmlns:a="http://schemas.openxmlformats.org/drawingml/2006/main">
                        <a:graphicData uri="http://schemas.microsoft.com/office/word/2010/wordprocessingShape">
                          <wps:wsp>
                            <wps:cNvCnPr/>
                            <wps:spPr>
                              <a:xfrm>
                                <a:off x="0" y="0"/>
                                <a:ext cx="381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1.7pt;margin-top:3.05pt;height:0.05pt;width:30pt;z-index:251679744;mso-width-relative:page;mso-height-relative:page;" filled="f" stroked="t" coordsize="21600,21600" o:gfxdata="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cZXIvXAAAABwEAAA8AAAAAAAAAAQAgAAAAIgAAAGRycy9kb3ducmV2Lnht&#10;bFBLAQIUABQAAAAIAIdO4kCxadNo+gEAAOYDAAAOAAAAAAAAAAEAIAAAACYBAABkcnMvZTJvRG9j&#10;LnhtbFBLBQYAAAAABgAGAFkBAACSBQAAAAA=&#10;">
                      <v:fill on="f" focussize="0,0"/>
                      <v:stroke color="#000000" joinstyle="round"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2742565</wp:posOffset>
                      </wp:positionH>
                      <wp:positionV relativeFrom="paragraph">
                        <wp:posOffset>67310</wp:posOffset>
                      </wp:positionV>
                      <wp:extent cx="428625" cy="635"/>
                      <wp:effectExtent l="0" t="50165" r="9525" b="63500"/>
                      <wp:wrapNone/>
                      <wp:docPr id="1" name="直接连接符 1"/>
                      <wp:cNvGraphicFramePr/>
                      <a:graphic xmlns:a="http://schemas.openxmlformats.org/drawingml/2006/main">
                        <a:graphicData uri="http://schemas.microsoft.com/office/word/2010/wordprocessingShape">
                          <wps:wsp>
                            <wps:cNvCnPr/>
                            <wps:spPr>
                              <a:xfrm>
                                <a:off x="0" y="0"/>
                                <a:ext cx="42862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95pt;margin-top:5.3pt;height:0.05pt;width:33.75pt;z-index:251677696;mso-width-relative:page;mso-height-relative:page;" filled="f" stroked="t" coordsize="21600,21600" o:gfxdata="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6J3/PXAAAACQEAAA8AAAAAAAAAAQAgAAAAIgAAAGRycy9kb3ducmV2Lnht&#10;bFBLAQIUABQAAAAIAIdO4kBAKBSQ+gEAAOcDAAAOAAAAAAAAAAEAIAAAACYBAABkcnMvZTJvRG9j&#10;LnhtbFBLBQYAAAAABgAGAFkBAACSBQAAAAA=&#10;">
                      <v:fill on="f" focussize="0,0"/>
                      <v:stroke weight="1pt" color="#000000" joinstyle="round"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1776730</wp:posOffset>
                      </wp:positionH>
                      <wp:positionV relativeFrom="paragraph">
                        <wp:posOffset>67310</wp:posOffset>
                      </wp:positionV>
                      <wp:extent cx="409575" cy="635"/>
                      <wp:effectExtent l="0" t="50165" r="9525" b="63500"/>
                      <wp:wrapNone/>
                      <wp:docPr id="4" name="直接连接符 4"/>
                      <wp:cNvGraphicFramePr/>
                      <a:graphic xmlns:a="http://schemas.openxmlformats.org/drawingml/2006/main">
                        <a:graphicData uri="http://schemas.microsoft.com/office/word/2010/wordprocessingShape">
                          <wps:wsp>
                            <wps:cNvCnPr/>
                            <wps:spPr>
                              <a:xfrm>
                                <a:off x="0" y="0"/>
                                <a:ext cx="40957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9pt;margin-top:5.3pt;height:0.05pt;width:32.25pt;z-index:251675648;mso-width-relative:page;mso-height-relative:page;" filled="f" stroked="t" coordsize="21600,21600" o:gfxdata="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cWuutcAAAAJAQAADwAAAAAAAAABACAAAAAiAAAAZHJzL2Rvd25yZXYu&#10;eG1sUEsBAhQAFAAAAAgAh07iQBnAB+z8AQAA5wMAAA4AAAAAAAAAAQAgAAAAJgEAAGRycy9lMm9E&#10;b2MueG1sUEsFBgAAAAAGAAYAWQEAAJQFAAAAAA==&#10;">
                      <v:fill on="f" focussize="0,0"/>
                      <v:stroke weight="1pt" color="#000000" joinstyle="round" endarrow="open"/>
                      <v:imagedata o:title=""/>
                      <o:lock v:ext="edit" aspectratio="f"/>
                    </v:line>
                  </w:pict>
                </mc:Fallback>
              </mc:AlternateContent>
            </w:r>
          </w:p>
          <w:p w14:paraId="25CBE30E">
            <w:pPr>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87936" behindDoc="0" locked="0" layoutInCell="1" allowOverlap="1">
                      <wp:simplePos x="0" y="0"/>
                      <wp:positionH relativeFrom="column">
                        <wp:posOffset>4352290</wp:posOffset>
                      </wp:positionH>
                      <wp:positionV relativeFrom="paragraph">
                        <wp:posOffset>151765</wp:posOffset>
                      </wp:positionV>
                      <wp:extent cx="5715" cy="145415"/>
                      <wp:effectExtent l="48260" t="6350" r="60325" b="635"/>
                      <wp:wrapNone/>
                      <wp:docPr id="5" name="直接连接符 5"/>
                      <wp:cNvGraphicFramePr/>
                      <a:graphic xmlns:a="http://schemas.openxmlformats.org/drawingml/2006/main">
                        <a:graphicData uri="http://schemas.microsoft.com/office/word/2010/wordprocessingShape">
                          <wps:wsp>
                            <wps:cNvCnPr/>
                            <wps:spPr>
                              <a:xfrm>
                                <a:off x="0" y="0"/>
                                <a:ext cx="5715" cy="145415"/>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margin-left:342.7pt;margin-top:11.95pt;height:11.45pt;width:0.45pt;z-index:251687936;mso-width-relative:page;mso-height-relative:page;" filled="f" stroked="t" coordsize="21600,21600" o:gfxdata="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IkQ9oAAAAJAQAADwAAAAAAAAABACAAAAAiAAAAZHJzL2Rvd25y&#10;ZXYueG1sUEsBAhQAFAAAAAgAh07iQP6AC178AQAA5wMAAA4AAAAAAAAAAQAgAAAAKQEAAGRycy9l&#10;Mm9Eb2MueG1sUEsFBgAAAAAGAAYAWQEAAJcFAAAAAA==&#10;">
                      <v:fill on="f" focussize="0,0"/>
                      <v:stroke weight="1pt" color="#000000" joinstyle="round" dashstyle="1 1" endcap="square"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85888" behindDoc="0" locked="0" layoutInCell="1" allowOverlap="1">
                      <wp:simplePos x="0" y="0"/>
                      <wp:positionH relativeFrom="column">
                        <wp:posOffset>3452495</wp:posOffset>
                      </wp:positionH>
                      <wp:positionV relativeFrom="paragraph">
                        <wp:posOffset>151765</wp:posOffset>
                      </wp:positionV>
                      <wp:extent cx="635" cy="179070"/>
                      <wp:effectExtent l="50165" t="6350" r="63500" b="5080"/>
                      <wp:wrapNone/>
                      <wp:docPr id="2" name="直接连接符 2"/>
                      <wp:cNvGraphicFramePr/>
                      <a:graphic xmlns:a="http://schemas.openxmlformats.org/drawingml/2006/main">
                        <a:graphicData uri="http://schemas.microsoft.com/office/word/2010/wordprocessingShape">
                          <wps:wsp>
                            <wps:cNvCnPr/>
                            <wps:spPr>
                              <a:xfrm>
                                <a:off x="0" y="0"/>
                                <a:ext cx="635" cy="179070"/>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margin-left:271.85pt;margin-top:11.95pt;height:14.1pt;width:0.05pt;z-index:251685888;mso-width-relative:page;mso-height-relative:page;" filled="f" stroked="t" coordsize="21600,21600" o:gfxdata="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N6tR2QAAAAkBAAAPAAAAAAAAAAEAIAAAACIAAABkcnMvZG93&#10;bnJldi54bWxQSwECFAAUAAAACACHTuJA2bnLaP8BAADmAwAADgAAAAAAAAABACAAAAAoAQAAZHJz&#10;L2Uyb0RvYy54bWxQSwUGAAAAAAYABgBZAQAAmQUAAAAA&#10;">
                      <v:fill on="f" focussize="0,0"/>
                      <v:stroke weight="1pt" color="#000000" joinstyle="round" dashstyle="1 1" endcap="square" endarrow="open"/>
                      <v:imagedata o:title=""/>
                      <o:lock v:ext="edit" aspectratio="f"/>
                    </v:line>
                  </w:pict>
                </mc:Fallback>
              </mc:AlternateContent>
            </w:r>
            <w:r>
              <w:rPr>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1532890</wp:posOffset>
                      </wp:positionH>
                      <wp:positionV relativeFrom="paragraph">
                        <wp:posOffset>151765</wp:posOffset>
                      </wp:positionV>
                      <wp:extent cx="2540" cy="208280"/>
                      <wp:effectExtent l="49530" t="6350" r="62230" b="13970"/>
                      <wp:wrapNone/>
                      <wp:docPr id="26" name="直接连接符 26"/>
                      <wp:cNvGraphicFramePr/>
                      <a:graphic xmlns:a="http://schemas.openxmlformats.org/drawingml/2006/main">
                        <a:graphicData uri="http://schemas.microsoft.com/office/word/2010/wordprocessingShape">
                          <wps:wsp>
                            <wps:cNvCnPr/>
                            <wps:spPr>
                              <a:xfrm>
                                <a:off x="0" y="0"/>
                                <a:ext cx="2540" cy="208280"/>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margin-left:120.7pt;margin-top:11.95pt;height:16.4pt;width:0.2pt;z-index:251682816;mso-width-relative:page;mso-height-relative:page;" filled="f" stroked="t" coordsize="21600,21600" o:gfxdata="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rOgT2QAAAAkBAAAPAAAAAAAAAAEAIAAAACIAAABkcnMvZG93&#10;bnJldi54bWxQSwECFAAUAAAACACHTuJA8SfAh/8BAADpAwAADgAAAAAAAAABACAAAAAoAQAAZHJz&#10;L2Uyb0RvYy54bWxQSwUGAAAAAAYABgBZAQAAmQUAAAAA&#10;">
                      <v:fill on="f" focussize="0,0"/>
                      <v:stroke weight="1pt" color="#000000" joinstyle="round" dashstyle="1 1" endcap="square" endarrow="open"/>
                      <v:imagedata o:title=""/>
                      <o:lock v:ext="edit" aspectratio="f"/>
                    </v:line>
                  </w:pict>
                </mc:Fallback>
              </mc:AlternateContent>
            </w:r>
          </w:p>
          <w:p w14:paraId="02D32229">
            <w:pPr>
              <w:pStyle w:val="2"/>
              <w:rPr>
                <w:rFonts w:hint="eastAsia"/>
                <w:color w:val="auto"/>
                <w:highlight w:val="none"/>
                <w:lang w:val="en-US" w:eastAsia="zh-CN"/>
              </w:rPr>
            </w:pPr>
            <w:r>
              <w:rPr>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2489200</wp:posOffset>
                      </wp:positionH>
                      <wp:positionV relativeFrom="paragraph">
                        <wp:posOffset>4445</wp:posOffset>
                      </wp:positionV>
                      <wp:extent cx="5080" cy="196215"/>
                      <wp:effectExtent l="48260" t="6350" r="60960" b="6985"/>
                      <wp:wrapNone/>
                      <wp:docPr id="28" name="直接连接符 28"/>
                      <wp:cNvGraphicFramePr/>
                      <a:graphic xmlns:a="http://schemas.openxmlformats.org/drawingml/2006/main">
                        <a:graphicData uri="http://schemas.microsoft.com/office/word/2010/wordprocessingShape">
                          <wps:wsp>
                            <wps:cNvCnPr/>
                            <wps:spPr>
                              <a:xfrm flipH="1">
                                <a:off x="0" y="0"/>
                                <a:ext cx="5080" cy="196215"/>
                              </a:xfrm>
                              <a:prstGeom prst="line">
                                <a:avLst/>
                              </a:prstGeom>
                              <a:ln w="12700" cap="sq" cmpd="sng">
                                <a:solidFill>
                                  <a:srgbClr val="000000"/>
                                </a:solidFill>
                                <a:prstDash val="sysDot"/>
                                <a:headEnd type="none" w="med" len="med"/>
                                <a:tailEnd type="arrow" w="med" len="med"/>
                              </a:ln>
                            </wps:spPr>
                            <wps:bodyPr upright="1"/>
                          </wps:wsp>
                        </a:graphicData>
                      </a:graphic>
                    </wp:anchor>
                  </w:drawing>
                </mc:Choice>
                <mc:Fallback>
                  <w:pict>
                    <v:line id="_x0000_s1026" o:spid="_x0000_s1026" o:spt="20" style="position:absolute;left:0pt;flip:x;margin-left:196pt;margin-top:0.35pt;height:15.45pt;width:0.4pt;z-index:251684864;mso-width-relative:page;mso-height-relative:page;" filled="f" stroked="t" coordsize="21600,21600" o:gfxdata="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Ts+OXVAAAABwEAAA8AAAAAAAAAAQAgAAAAIgAAAGRycy9k&#10;b3ducmV2LnhtbFBLAQIUABQAAAAIAIdO4kB8H0FkBQIAAPMDAAAOAAAAAAAAAAEAIAAAACQBAABk&#10;cnMvZTJvRG9jLnhtbFBLBQYAAAAABgAGAFkBAACbBQAAAAA=&#10;">
                      <v:fill on="f" focussize="0,0"/>
                      <v:stroke weight="1pt" color="#000000" joinstyle="round" dashstyle="1 1" endcap="square" endarrow="open"/>
                      <v:imagedata o:title=""/>
                      <o:lock v:ext="edit" aspectratio="f"/>
                    </v:line>
                  </w:pict>
                </mc:Fallback>
              </mc:AlternateContent>
            </w:r>
          </w:p>
          <w:p w14:paraId="388B6807">
            <w:pPr>
              <w:rPr>
                <w:rFonts w:hint="eastAsia"/>
                <w:color w:val="auto"/>
                <w:highlight w:val="none"/>
                <w:lang w:val="en-US" w:eastAsia="zh-CN"/>
              </w:rPr>
            </w:pPr>
            <w:r>
              <w:rPr>
                <w:color w:val="auto"/>
                <w:sz w:val="18"/>
                <w:highlight w:val="none"/>
              </w:rPr>
              <mc:AlternateContent>
                <mc:Choice Requires="wps">
                  <w:drawing>
                    <wp:anchor distT="0" distB="0" distL="114300" distR="114300" simplePos="0" relativeHeight="251692032" behindDoc="0" locked="0" layoutInCell="1" allowOverlap="1">
                      <wp:simplePos x="0" y="0"/>
                      <wp:positionH relativeFrom="column">
                        <wp:posOffset>4147820</wp:posOffset>
                      </wp:positionH>
                      <wp:positionV relativeFrom="paragraph">
                        <wp:posOffset>57150</wp:posOffset>
                      </wp:positionV>
                      <wp:extent cx="586740" cy="2876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86740" cy="287655"/>
                              </a:xfrm>
                              <a:prstGeom prst="rect">
                                <a:avLst/>
                              </a:prstGeom>
                              <a:noFill/>
                              <a:ln>
                                <a:noFill/>
                              </a:ln>
                            </wps:spPr>
                            <wps:txbx>
                              <w:txbxContent>
                                <w:p w14:paraId="55B92D5A">
                                  <w:pPr>
                                    <w:rPr>
                                      <w:rFonts w:hint="eastAsia" w:eastAsia="宋体"/>
                                      <w:sz w:val="18"/>
                                      <w:szCs w:val="18"/>
                                      <w:lang w:eastAsia="zh-CN"/>
                                    </w:rPr>
                                  </w:pPr>
                                  <w:r>
                                    <w:rPr>
                                      <w:rFonts w:hint="eastAsia"/>
                                      <w:sz w:val="18"/>
                                      <w:szCs w:val="18"/>
                                      <w:lang w:eastAsia="zh-CN"/>
                                    </w:rPr>
                                    <w:t>噪声</w:t>
                                  </w:r>
                                </w:p>
                              </w:txbxContent>
                            </wps:txbx>
                            <wps:bodyPr upright="1"/>
                          </wps:wsp>
                        </a:graphicData>
                      </a:graphic>
                    </wp:anchor>
                  </w:drawing>
                </mc:Choice>
                <mc:Fallback>
                  <w:pict>
                    <v:shape id="_x0000_s1026" o:spid="_x0000_s1026" o:spt="202" type="#_x0000_t202" style="position:absolute;left:0pt;margin-left:326.6pt;margin-top:4.5pt;height:22.65pt;width:46.2pt;z-index:251692032;mso-width-relative:page;mso-height-relative:page;" filled="f" stroked="f" coordsize="21600,21600" o:gfxdata="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SftTvWAAAA&#10;CAEAAA8AAAAAAAAAAQAgAAAAIgAAAGRycy9kb3ducmV2LnhtbFBLAQIUABQAAAAIAIdO4kCux6nC&#10;rQEAAE8DAAAOAAAAAAAAAAEAIAAAACUBAABkcnMvZTJvRG9jLnhtbFBLBQYAAAAABgAGAFkBAABE&#10;BQAAAAA=&#10;">
                      <v:fill on="f" focussize="0,0"/>
                      <v:stroke on="f"/>
                      <v:imagedata o:title=""/>
                      <o:lock v:ext="edit" aspectratio="f"/>
                      <v:textbox>
                        <w:txbxContent>
                          <w:p w14:paraId="55B92D5A">
                            <w:pPr>
                              <w:rPr>
                                <w:rFonts w:hint="eastAsia" w:eastAsia="宋体"/>
                                <w:sz w:val="18"/>
                                <w:szCs w:val="18"/>
                                <w:lang w:eastAsia="zh-CN"/>
                              </w:rPr>
                            </w:pPr>
                            <w:r>
                              <w:rPr>
                                <w:rFonts w:hint="eastAsia"/>
                                <w:sz w:val="18"/>
                                <w:szCs w:val="18"/>
                                <w:lang w:eastAsia="zh-CN"/>
                              </w:rPr>
                              <w:t>噪声</w:t>
                            </w:r>
                          </w:p>
                        </w:txbxContent>
                      </v:textbox>
                    </v:shape>
                  </w:pict>
                </mc:Fallback>
              </mc:AlternateContent>
            </w:r>
            <w:r>
              <w:rPr>
                <w:color w:val="auto"/>
                <w:sz w:val="18"/>
                <w:highlight w:val="none"/>
              </w:rPr>
              <mc:AlternateContent>
                <mc:Choice Requires="wps">
                  <w:drawing>
                    <wp:anchor distT="0" distB="0" distL="114300" distR="114300" simplePos="0" relativeHeight="251688960" behindDoc="0" locked="0" layoutInCell="1" allowOverlap="1">
                      <wp:simplePos x="0" y="0"/>
                      <wp:positionH relativeFrom="column">
                        <wp:posOffset>883285</wp:posOffset>
                      </wp:positionH>
                      <wp:positionV relativeFrom="paragraph">
                        <wp:posOffset>30480</wp:posOffset>
                      </wp:positionV>
                      <wp:extent cx="1280795" cy="26860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280795" cy="268605"/>
                              </a:xfrm>
                              <a:prstGeom prst="rect">
                                <a:avLst/>
                              </a:prstGeom>
                              <a:noFill/>
                              <a:ln>
                                <a:noFill/>
                              </a:ln>
                            </wps:spPr>
                            <wps:txbx>
                              <w:txbxContent>
                                <w:p w14:paraId="7FE5E1E8">
                                  <w:pPr>
                                    <w:rPr>
                                      <w:rFonts w:hint="eastAsia" w:eastAsia="宋体"/>
                                      <w:sz w:val="18"/>
                                      <w:szCs w:val="18"/>
                                      <w:lang w:eastAsia="zh-CN"/>
                                    </w:rPr>
                                  </w:pPr>
                                  <w:r>
                                    <w:rPr>
                                      <w:rFonts w:hint="eastAsia"/>
                                      <w:sz w:val="18"/>
                                      <w:szCs w:val="18"/>
                                      <w:lang w:eastAsia="zh-CN"/>
                                    </w:rPr>
                                    <w:t>废水、噪声、固废</w:t>
                                  </w:r>
                                </w:p>
                              </w:txbxContent>
                            </wps:txbx>
                            <wps:bodyPr upright="1"/>
                          </wps:wsp>
                        </a:graphicData>
                      </a:graphic>
                    </wp:anchor>
                  </w:drawing>
                </mc:Choice>
                <mc:Fallback>
                  <w:pict>
                    <v:shape id="_x0000_s1026" o:spid="_x0000_s1026" o:spt="202" type="#_x0000_t202" style="position:absolute;left:0pt;margin-left:69.55pt;margin-top:2.4pt;height:21.15pt;width:100.85pt;z-index:251688960;mso-width-relative:page;mso-height-relative:page;" filled="f" stroked="f" coordsize="21600,21600" o:gfxdata="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kyJ51AAAAAgB&#10;AAAPAAAAAAAAAAEAIAAAACIAAABkcnMvZG93bnJldi54bWxQSwECFAAUAAAACACHTuJAEexcHK0B&#10;AABQAwAADgAAAAAAAAABACAAAAAjAQAAZHJzL2Uyb0RvYy54bWxQSwUGAAAAAAYABgBZAQAAQgUA&#10;AAAA&#10;">
                      <v:fill on="f" focussize="0,0"/>
                      <v:stroke on="f"/>
                      <v:imagedata o:title=""/>
                      <o:lock v:ext="edit" aspectratio="f"/>
                      <v:textbox>
                        <w:txbxContent>
                          <w:p w14:paraId="7FE5E1E8">
                            <w:pPr>
                              <w:rPr>
                                <w:rFonts w:hint="eastAsia" w:eastAsia="宋体"/>
                                <w:sz w:val="18"/>
                                <w:szCs w:val="18"/>
                                <w:lang w:eastAsia="zh-CN"/>
                              </w:rPr>
                            </w:pPr>
                            <w:r>
                              <w:rPr>
                                <w:rFonts w:hint="eastAsia"/>
                                <w:sz w:val="18"/>
                                <w:szCs w:val="18"/>
                                <w:lang w:eastAsia="zh-CN"/>
                              </w:rPr>
                              <w:t>废水、噪声、固废</w:t>
                            </w:r>
                          </w:p>
                        </w:txbxContent>
                      </v:textbox>
                    </v:shape>
                  </w:pict>
                </mc:Fallback>
              </mc:AlternateContent>
            </w:r>
            <w:r>
              <w:rPr>
                <w:color w:val="auto"/>
                <w:sz w:val="18"/>
                <w:highlight w:val="none"/>
              </w:rPr>
              <mc:AlternateContent>
                <mc:Choice Requires="wps">
                  <w:drawing>
                    <wp:anchor distT="0" distB="0" distL="114300" distR="114300" simplePos="0" relativeHeight="251689984" behindDoc="0" locked="0" layoutInCell="1" allowOverlap="1">
                      <wp:simplePos x="0" y="0"/>
                      <wp:positionH relativeFrom="column">
                        <wp:posOffset>1953260</wp:posOffset>
                      </wp:positionH>
                      <wp:positionV relativeFrom="paragraph">
                        <wp:posOffset>45085</wp:posOffset>
                      </wp:positionV>
                      <wp:extent cx="1280795" cy="2686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80795" cy="268605"/>
                              </a:xfrm>
                              <a:prstGeom prst="rect">
                                <a:avLst/>
                              </a:prstGeom>
                              <a:noFill/>
                              <a:ln>
                                <a:noFill/>
                              </a:ln>
                            </wps:spPr>
                            <wps:txbx>
                              <w:txbxContent>
                                <w:p w14:paraId="02EC3A13">
                                  <w:pPr>
                                    <w:rPr>
                                      <w:rFonts w:hint="eastAsia" w:eastAsia="宋体"/>
                                      <w:sz w:val="18"/>
                                      <w:szCs w:val="18"/>
                                      <w:lang w:eastAsia="zh-CN"/>
                                    </w:rPr>
                                  </w:pPr>
                                  <w:r>
                                    <w:rPr>
                                      <w:rFonts w:hint="eastAsia"/>
                                      <w:sz w:val="18"/>
                                      <w:szCs w:val="18"/>
                                      <w:lang w:eastAsia="zh-CN"/>
                                    </w:rPr>
                                    <w:t>废水、噪声、固废</w:t>
                                  </w:r>
                                </w:p>
                              </w:txbxContent>
                            </wps:txbx>
                            <wps:bodyPr upright="1"/>
                          </wps:wsp>
                        </a:graphicData>
                      </a:graphic>
                    </wp:anchor>
                  </w:drawing>
                </mc:Choice>
                <mc:Fallback>
                  <w:pict>
                    <v:shape id="_x0000_s1026" o:spid="_x0000_s1026" o:spt="202" type="#_x0000_t202" style="position:absolute;left:0pt;margin-left:153.8pt;margin-top:3.55pt;height:21.15pt;width:100.85pt;z-index:251689984;mso-width-relative:page;mso-height-relative:page;" filled="f" stroked="f" coordsize="21600,21600" o:gfxdata="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ElP61wAA&#10;AAgBAAAPAAAAAAAAAAEAIAAAACIAAABkcnMvZG93bnJldi54bWxQSwECFAAUAAAACACHTuJAEvyu&#10;/q0BAABQAwAADgAAAAAAAAABACAAAAAmAQAAZHJzL2Uyb0RvYy54bWxQSwUGAAAAAAYABgBZAQAA&#10;RQUAAAAA&#10;">
                      <v:fill on="f" focussize="0,0"/>
                      <v:stroke on="f"/>
                      <v:imagedata o:title=""/>
                      <o:lock v:ext="edit" aspectratio="f"/>
                      <v:textbox>
                        <w:txbxContent>
                          <w:p w14:paraId="02EC3A13">
                            <w:pPr>
                              <w:rPr>
                                <w:rFonts w:hint="eastAsia" w:eastAsia="宋体"/>
                                <w:sz w:val="18"/>
                                <w:szCs w:val="18"/>
                                <w:lang w:eastAsia="zh-CN"/>
                              </w:rPr>
                            </w:pPr>
                            <w:r>
                              <w:rPr>
                                <w:rFonts w:hint="eastAsia"/>
                                <w:sz w:val="18"/>
                                <w:szCs w:val="18"/>
                                <w:lang w:eastAsia="zh-CN"/>
                              </w:rPr>
                              <w:t>废水、噪声、固废</w:t>
                            </w:r>
                          </w:p>
                        </w:txbxContent>
                      </v:textbox>
                    </v:shape>
                  </w:pict>
                </mc:Fallback>
              </mc:AlternateContent>
            </w:r>
            <w:r>
              <w:rPr>
                <w:color w:val="auto"/>
                <w:sz w:val="18"/>
                <w:highlight w:val="none"/>
              </w:rPr>
              <mc:AlternateContent>
                <mc:Choice Requires="wps">
                  <w:drawing>
                    <wp:anchor distT="0" distB="0" distL="114300" distR="114300" simplePos="0" relativeHeight="251691008" behindDoc="0" locked="0" layoutInCell="1" allowOverlap="1">
                      <wp:simplePos x="0" y="0"/>
                      <wp:positionH relativeFrom="column">
                        <wp:posOffset>3056890</wp:posOffset>
                      </wp:positionH>
                      <wp:positionV relativeFrom="paragraph">
                        <wp:posOffset>40005</wp:posOffset>
                      </wp:positionV>
                      <wp:extent cx="1167130" cy="3117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67130" cy="311785"/>
                              </a:xfrm>
                              <a:prstGeom prst="rect">
                                <a:avLst/>
                              </a:prstGeom>
                              <a:noFill/>
                              <a:ln>
                                <a:noFill/>
                              </a:ln>
                            </wps:spPr>
                            <wps:txbx>
                              <w:txbxContent>
                                <w:p w14:paraId="76E4C54A">
                                  <w:pPr>
                                    <w:rPr>
                                      <w:rFonts w:hint="eastAsia" w:eastAsia="宋体"/>
                                      <w:sz w:val="18"/>
                                      <w:szCs w:val="18"/>
                                      <w:lang w:eastAsia="zh-CN"/>
                                    </w:rPr>
                                  </w:pPr>
                                  <w:r>
                                    <w:rPr>
                                      <w:rFonts w:hint="eastAsia"/>
                                      <w:sz w:val="18"/>
                                      <w:szCs w:val="18"/>
                                      <w:lang w:eastAsia="zh-CN"/>
                                    </w:rPr>
                                    <w:t>废水、噪声、固废</w:t>
                                  </w:r>
                                </w:p>
                              </w:txbxContent>
                            </wps:txbx>
                            <wps:bodyPr upright="1"/>
                          </wps:wsp>
                        </a:graphicData>
                      </a:graphic>
                    </wp:anchor>
                  </w:drawing>
                </mc:Choice>
                <mc:Fallback>
                  <w:pict>
                    <v:shape id="_x0000_s1026" o:spid="_x0000_s1026" o:spt="202" type="#_x0000_t202" style="position:absolute;left:0pt;margin-left:240.7pt;margin-top:3.15pt;height:24.55pt;width:91.9pt;z-index:251691008;mso-width-relative:page;mso-height-relative:page;" filled="f" stroked="f" coordsize="21600,21600" o:gfxdata="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IP173WAAAA&#10;CAEAAA8AAAAAAAAAAQAgAAAAIgAAAGRycy9kb3ducmV2LnhtbFBLAQIUABQAAAAIAIdO4kBuRi68&#10;rQEAAFADAAAOAAAAAAAAAAEAIAAAACUBAABkcnMvZTJvRG9jLnhtbFBLBQYAAAAABgAGAFkBAABE&#10;BQAAAAA=&#10;">
                      <v:fill on="f" focussize="0,0"/>
                      <v:stroke on="f"/>
                      <v:imagedata o:title=""/>
                      <o:lock v:ext="edit" aspectratio="f"/>
                      <v:textbox>
                        <w:txbxContent>
                          <w:p w14:paraId="76E4C54A">
                            <w:pPr>
                              <w:rPr>
                                <w:rFonts w:hint="eastAsia" w:eastAsia="宋体"/>
                                <w:sz w:val="18"/>
                                <w:szCs w:val="18"/>
                                <w:lang w:eastAsia="zh-CN"/>
                              </w:rPr>
                            </w:pPr>
                            <w:r>
                              <w:rPr>
                                <w:rFonts w:hint="eastAsia"/>
                                <w:sz w:val="18"/>
                                <w:szCs w:val="18"/>
                                <w:lang w:eastAsia="zh-CN"/>
                              </w:rPr>
                              <w:t>废水、噪声、固废</w:t>
                            </w:r>
                          </w:p>
                        </w:txbxContent>
                      </v:textbox>
                    </v:shape>
                  </w:pict>
                </mc:Fallback>
              </mc:AlternateContent>
            </w:r>
          </w:p>
          <w:p w14:paraId="2347BC0F">
            <w:pPr>
              <w:spacing w:line="360" w:lineRule="auto"/>
              <w:jc w:val="center"/>
              <w:rPr>
                <w:rFonts w:hint="default" w:ascii="Times New Roman" w:hAnsi="Times New Roman" w:eastAsia="宋体" w:cs="Times New Roman"/>
                <w:b/>
                <w:color w:val="auto"/>
                <w:kern w:val="21"/>
                <w:sz w:val="24"/>
                <w:szCs w:val="24"/>
                <w:highlight w:val="none"/>
              </w:rPr>
            </w:pPr>
          </w:p>
          <w:p w14:paraId="0A6825FC">
            <w:pPr>
              <w:spacing w:line="360" w:lineRule="auto"/>
              <w:jc w:val="center"/>
              <w:rPr>
                <w:rFonts w:hint="eastAsia"/>
                <w:b w:val="0"/>
                <w:bCs/>
                <w:color w:val="auto"/>
                <w:highlight w:val="none"/>
                <w:lang w:val="en-US" w:eastAsia="zh-CN"/>
              </w:rPr>
            </w:pPr>
            <w:r>
              <w:rPr>
                <w:rFonts w:hint="default" w:ascii="Times New Roman" w:hAnsi="Times New Roman" w:eastAsia="宋体" w:cs="Times New Roman"/>
                <w:b w:val="0"/>
                <w:bCs/>
                <w:color w:val="auto"/>
                <w:kern w:val="21"/>
                <w:sz w:val="24"/>
                <w:szCs w:val="24"/>
                <w:highlight w:val="none"/>
              </w:rPr>
              <w:t>图2</w:t>
            </w:r>
            <w:r>
              <w:rPr>
                <w:rFonts w:hint="default" w:ascii="Times New Roman" w:hAnsi="Times New Roman" w:eastAsia="宋体" w:cs="Times New Roman"/>
                <w:b w:val="0"/>
                <w:bCs/>
                <w:color w:val="auto"/>
                <w:kern w:val="21"/>
                <w:sz w:val="24"/>
                <w:szCs w:val="24"/>
                <w:highlight w:val="none"/>
                <w:lang w:val="en-US" w:eastAsia="zh-CN"/>
              </w:rPr>
              <w:t>-3</w:t>
            </w:r>
            <w:r>
              <w:rPr>
                <w:rFonts w:hint="eastAsia" w:ascii="Times New Roman" w:hAnsi="Times New Roman" w:eastAsia="宋体" w:cs="Times New Roman"/>
                <w:b w:val="0"/>
                <w:bCs/>
                <w:color w:val="auto"/>
                <w:kern w:val="21"/>
                <w:sz w:val="24"/>
                <w:szCs w:val="24"/>
                <w:highlight w:val="none"/>
                <w:lang w:val="en-US" w:eastAsia="zh-CN"/>
              </w:rPr>
              <w:t xml:space="preserve"> </w:t>
            </w:r>
            <w:r>
              <w:rPr>
                <w:rFonts w:hint="default" w:ascii="Times New Roman" w:hAnsi="Times New Roman" w:eastAsia="宋体" w:cs="Times New Roman"/>
                <w:b w:val="0"/>
                <w:bCs/>
                <w:color w:val="auto"/>
                <w:kern w:val="21"/>
                <w:sz w:val="24"/>
                <w:szCs w:val="24"/>
                <w:highlight w:val="none"/>
              </w:rPr>
              <w:t>施工期工艺流程和产污节点图</w:t>
            </w:r>
          </w:p>
          <w:p w14:paraId="70411592">
            <w:pPr>
              <w:spacing w:line="360" w:lineRule="auto"/>
              <w:ind w:firstLine="480" w:firstLineChars="200"/>
              <w:rPr>
                <w:rFonts w:hint="default" w:ascii="Times New Roman" w:hAnsi="Times New Roman" w:eastAsia="宋体" w:cs="Times New Roman"/>
                <w:bCs/>
                <w:color w:val="auto"/>
                <w:kern w:val="21"/>
                <w:sz w:val="24"/>
                <w:szCs w:val="24"/>
                <w:highlight w:val="none"/>
              </w:rPr>
            </w:pPr>
            <w:r>
              <w:rPr>
                <w:rFonts w:hint="default" w:ascii="Times New Roman" w:hAnsi="Times New Roman" w:eastAsia="宋体" w:cs="Times New Roman"/>
                <w:bCs/>
                <w:color w:val="auto"/>
                <w:kern w:val="21"/>
                <w:sz w:val="24"/>
                <w:szCs w:val="24"/>
                <w:highlight w:val="none"/>
              </w:rPr>
              <w:t>从总体上讲，该项工程在施工期以噪声、废弃物料</w:t>
            </w:r>
            <w:r>
              <w:rPr>
                <w:rFonts w:hint="eastAsia" w:cs="Times New Roman"/>
                <w:bCs/>
                <w:color w:val="auto"/>
                <w:kern w:val="21"/>
                <w:sz w:val="24"/>
                <w:szCs w:val="24"/>
                <w:highlight w:val="none"/>
                <w:lang w:eastAsia="zh-CN"/>
              </w:rPr>
              <w:t>，废水和</w:t>
            </w:r>
            <w:r>
              <w:rPr>
                <w:rFonts w:hint="default" w:ascii="Times New Roman" w:hAnsi="Times New Roman" w:eastAsia="宋体" w:cs="Times New Roman"/>
                <w:bCs/>
                <w:color w:val="auto"/>
                <w:kern w:val="21"/>
                <w:sz w:val="24"/>
                <w:szCs w:val="24"/>
                <w:highlight w:val="none"/>
              </w:rPr>
              <w:t>废气为主要污染物。但这些污染物将随着施工期的结束而消失。</w:t>
            </w:r>
          </w:p>
          <w:p w14:paraId="6EA6B70E">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运营期工艺流程和产污环节</w:t>
            </w:r>
          </w:p>
          <w:p w14:paraId="4A930724">
            <w:pPr>
              <w:spacing w:line="360" w:lineRule="auto"/>
              <w:ind w:firstLine="480" w:firstLineChars="200"/>
              <w:rPr>
                <w:rFonts w:hint="eastAsia"/>
                <w:b w:val="0"/>
                <w:bCs w:val="0"/>
                <w:color w:val="auto"/>
                <w:sz w:val="24"/>
                <w:szCs w:val="24"/>
                <w:highlight w:val="none"/>
              </w:rPr>
            </w:pPr>
            <w:r>
              <w:rPr>
                <w:rFonts w:hint="eastAsia"/>
                <w:b w:val="0"/>
                <w:bCs w:val="0"/>
                <w:color w:val="auto"/>
                <w:sz w:val="24"/>
                <w:szCs w:val="24"/>
                <w:highlight w:val="none"/>
                <w:lang w:val="en-US" w:eastAsia="zh-CN"/>
              </w:rPr>
              <w:t>1、</w:t>
            </w:r>
            <w:r>
              <w:rPr>
                <w:rFonts w:hint="eastAsia"/>
                <w:b w:val="0"/>
                <w:bCs w:val="0"/>
                <w:color w:val="auto"/>
                <w:sz w:val="24"/>
                <w:szCs w:val="24"/>
                <w:highlight w:val="none"/>
              </w:rPr>
              <w:t>消失模铸造</w:t>
            </w:r>
          </w:p>
          <w:p w14:paraId="4F31DBA2">
            <w:pPr>
              <w:spacing w:line="360" w:lineRule="auto"/>
              <w:ind w:firstLine="480" w:firstLineChars="200"/>
              <w:rPr>
                <w:color w:val="auto"/>
                <w:sz w:val="24"/>
                <w:szCs w:val="24"/>
                <w:highlight w:val="none"/>
              </w:rPr>
            </w:pPr>
            <w:r>
              <w:rPr>
                <w:rFonts w:hint="eastAsia"/>
                <w:color w:val="auto"/>
                <w:sz w:val="24"/>
                <w:szCs w:val="24"/>
                <w:highlight w:val="none"/>
              </w:rPr>
              <w:t>消失模铸造技术是将与铸件尺寸形状相似的聚苯乙烯泡沫塑料模型粘结组合成模型簇，刷涂耐火涂层并</w:t>
            </w:r>
            <w:r>
              <w:rPr>
                <w:rFonts w:hint="eastAsia"/>
                <w:color w:val="auto"/>
                <w:sz w:val="24"/>
                <w:szCs w:val="24"/>
                <w:highlight w:val="none"/>
                <w:lang w:val="en-US" w:eastAsia="zh-CN"/>
              </w:rPr>
              <w:t>晾</w:t>
            </w:r>
            <w:r>
              <w:rPr>
                <w:rFonts w:hint="eastAsia"/>
                <w:color w:val="auto"/>
                <w:sz w:val="24"/>
                <w:szCs w:val="24"/>
                <w:highlight w:val="none"/>
              </w:rPr>
              <w:t>干后，埋在</w:t>
            </w:r>
            <w:r>
              <w:rPr>
                <w:rFonts w:hint="eastAsia"/>
                <w:color w:val="auto"/>
                <w:sz w:val="24"/>
                <w:szCs w:val="24"/>
                <w:highlight w:val="none"/>
                <w:lang w:val="en-US" w:eastAsia="zh-CN"/>
              </w:rPr>
              <w:t>铸造</w:t>
            </w:r>
            <w:r>
              <w:rPr>
                <w:rFonts w:hint="eastAsia"/>
                <w:color w:val="auto"/>
                <w:sz w:val="24"/>
                <w:szCs w:val="24"/>
                <w:highlight w:val="none"/>
              </w:rPr>
              <w:t>砂中振动造型，在一定条件下浇注液体金属，使模型气化并占据模型位置，凝固冷却后形成所需铸件的方法。</w:t>
            </w:r>
          </w:p>
          <w:p w14:paraId="7C2F31C5">
            <w:pPr>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rPr>
              <w:t>模型制作</w:t>
            </w:r>
            <w:r>
              <w:rPr>
                <w:rFonts w:hint="eastAsia"/>
                <w:color w:val="auto"/>
                <w:sz w:val="24"/>
                <w:szCs w:val="24"/>
                <w:highlight w:val="none"/>
                <w:lang w:eastAsia="zh-CN"/>
              </w:rPr>
              <w:t>：</w:t>
            </w:r>
            <w:r>
              <w:rPr>
                <w:rFonts w:hint="eastAsia"/>
                <w:color w:val="auto"/>
                <w:sz w:val="24"/>
                <w:szCs w:val="24"/>
                <w:highlight w:val="none"/>
                <w:lang w:val="en-US" w:eastAsia="zh-CN"/>
              </w:rPr>
              <w:t>由泡塑板材制作：泡塑板材——电阻丝切割——粘结——模型，对简单模型，可利用电阻丝切割装置，将泡塑板材切割成所需的模型。对复杂模型，首先用电阻丝切割装置，将模型分割成几个部分，然后进行粘接，使之成为整体模型。</w:t>
            </w:r>
          </w:p>
          <w:p w14:paraId="35F72DC7">
            <w:pPr>
              <w:spacing w:line="360" w:lineRule="auto"/>
              <w:ind w:firstLine="480" w:firstLineChars="200"/>
              <w:rPr>
                <w:rFonts w:hint="eastAsia"/>
                <w:color w:val="auto"/>
                <w:sz w:val="24"/>
                <w:szCs w:val="24"/>
                <w:highlight w:val="none"/>
              </w:rPr>
            </w:pPr>
            <w:r>
              <w:rPr>
                <w:rFonts w:hint="eastAsia"/>
                <w:color w:val="auto"/>
                <w:sz w:val="24"/>
                <w:szCs w:val="24"/>
                <w:highlight w:val="none"/>
              </w:rPr>
              <w:t>模型组合成簇</w:t>
            </w:r>
            <w:r>
              <w:rPr>
                <w:rFonts w:hint="eastAsia"/>
                <w:color w:val="auto"/>
                <w:sz w:val="24"/>
                <w:szCs w:val="24"/>
                <w:highlight w:val="none"/>
                <w:lang w:eastAsia="zh-CN"/>
              </w:rPr>
              <w:t>：</w:t>
            </w:r>
            <w:r>
              <w:rPr>
                <w:rFonts w:hint="eastAsia"/>
                <w:color w:val="auto"/>
                <w:sz w:val="24"/>
                <w:szCs w:val="24"/>
                <w:highlight w:val="none"/>
              </w:rPr>
              <w:t>将自行加工好的泡塑模型与浇冒口模型组合粘结在一起，形成模型簇，目前使用的粘结材料：橡胶乳液、树脂溶剂和热熔胶及胶带纸等。</w:t>
            </w:r>
          </w:p>
          <w:p w14:paraId="0A64628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rPr>
            </w:pPr>
            <w:r>
              <w:rPr>
                <w:rFonts w:hint="eastAsia"/>
                <w:color w:val="auto"/>
                <w:sz w:val="24"/>
                <w:szCs w:val="24"/>
                <w:highlight w:val="none"/>
              </w:rPr>
              <w:t>模型涂层</w:t>
            </w:r>
            <w:r>
              <w:rPr>
                <w:rFonts w:hint="eastAsia"/>
                <w:color w:val="auto"/>
                <w:sz w:val="24"/>
                <w:szCs w:val="24"/>
                <w:highlight w:val="none"/>
                <w:lang w:eastAsia="zh-CN"/>
              </w:rPr>
              <w:t>：</w:t>
            </w:r>
            <w:r>
              <w:rPr>
                <w:rFonts w:hint="eastAsia"/>
                <w:color w:val="auto"/>
                <w:sz w:val="24"/>
                <w:szCs w:val="24"/>
                <w:highlight w:val="none"/>
              </w:rPr>
              <w:t>实型铸造泡塑模型表面涂一层一定厚度的涂料，形成铸型内壳。其涂层的作用是为了提高EPS模型的强度和刚度，提高模型表面抗型砂冲刷能力，防止加砂过程中模型表面破损及振动造型的变形，确保铸件的尺寸精度。在涂料搅拌机内加水搅拌</w:t>
            </w:r>
            <w:r>
              <w:rPr>
                <w:rFonts w:hint="eastAsia"/>
                <w:color w:val="auto"/>
                <w:sz w:val="24"/>
                <w:szCs w:val="24"/>
                <w:highlight w:val="none"/>
                <w:lang w:eastAsia="zh-CN"/>
              </w:rPr>
              <w:t>，</w:t>
            </w:r>
            <w:r>
              <w:rPr>
                <w:rFonts w:hint="eastAsia"/>
                <w:color w:val="auto"/>
                <w:sz w:val="24"/>
                <w:szCs w:val="24"/>
                <w:highlight w:val="none"/>
              </w:rPr>
              <w:t>使其得到合适的粘度。搅拌后的涂料放入容器内</w:t>
            </w:r>
            <w:r>
              <w:rPr>
                <w:rFonts w:hint="eastAsia"/>
                <w:color w:val="auto"/>
                <w:sz w:val="24"/>
                <w:szCs w:val="24"/>
                <w:highlight w:val="none"/>
                <w:lang w:eastAsia="zh-CN"/>
              </w:rPr>
              <w:t>，</w:t>
            </w:r>
            <w:r>
              <w:rPr>
                <w:rFonts w:hint="eastAsia"/>
                <w:color w:val="auto"/>
                <w:sz w:val="24"/>
                <w:szCs w:val="24"/>
                <w:highlight w:val="none"/>
              </w:rPr>
              <w:t>用浸、刷、淋和喷的方法将模型组涂覆。使涂层厚度为0.5~2mm。据铸件合金种类、结构形状及尺寸大小不同选定。涂层在40~50℃下烘干。</w:t>
            </w:r>
          </w:p>
          <w:p w14:paraId="3136B7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rPr>
              <w:t>振动造型</w:t>
            </w:r>
            <w:r>
              <w:rPr>
                <w:rFonts w:hint="eastAsia"/>
                <w:color w:val="auto"/>
                <w:sz w:val="24"/>
                <w:szCs w:val="24"/>
                <w:highlight w:val="none"/>
                <w:lang w:eastAsia="zh-CN"/>
              </w:rPr>
              <w:t>：</w:t>
            </w:r>
            <w:r>
              <w:rPr>
                <w:rFonts w:hint="eastAsia"/>
                <w:color w:val="auto"/>
                <w:sz w:val="24"/>
                <w:szCs w:val="24"/>
                <w:highlight w:val="none"/>
                <w:lang w:val="en-US" w:eastAsia="zh-CN"/>
              </w:rPr>
              <w:t>树脂砂消失模工艺生产采用自硬树脂砂，砂型自行硬化定型。</w:t>
            </w:r>
          </w:p>
          <w:p w14:paraId="071580C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rPr>
            </w:pPr>
            <w:r>
              <w:rPr>
                <w:rFonts w:hint="eastAsia"/>
                <w:color w:val="auto"/>
                <w:sz w:val="24"/>
                <w:szCs w:val="24"/>
                <w:highlight w:val="none"/>
              </w:rPr>
              <w:t>浇注置换</w:t>
            </w:r>
            <w:r>
              <w:rPr>
                <w:rFonts w:hint="eastAsia"/>
                <w:color w:val="auto"/>
                <w:sz w:val="24"/>
                <w:szCs w:val="24"/>
                <w:highlight w:val="none"/>
                <w:lang w:eastAsia="zh-CN"/>
              </w:rPr>
              <w:t>：</w:t>
            </w:r>
            <w:r>
              <w:rPr>
                <w:rFonts w:hint="eastAsia"/>
                <w:color w:val="auto"/>
                <w:sz w:val="24"/>
                <w:szCs w:val="24"/>
                <w:highlight w:val="none"/>
              </w:rPr>
              <w:t>实型铸造浇注，在液体金属的热作用下，EPS模型发生热解气化，产生大量气体，不断通过涂层型砂，向外排</w:t>
            </w:r>
            <w:r>
              <w:rPr>
                <w:rFonts w:hint="eastAsia"/>
                <w:color w:val="auto"/>
                <w:sz w:val="24"/>
                <w:szCs w:val="24"/>
                <w:highlight w:val="none"/>
              </w:rPr>
              <w:t>放，在铸型、模型及金属间隙内形成一定气压，液体金属不断地占据EPS模型位置，向前推进，发生液体金属与EPS模型的置换过程。置换的最终结果是形成铸件。</w:t>
            </w:r>
          </w:p>
          <w:p w14:paraId="0E8FA2F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color w:val="auto"/>
                <w:sz w:val="24"/>
                <w:szCs w:val="24"/>
                <w:highlight w:val="none"/>
              </w:rPr>
            </w:pPr>
            <w:r>
              <w:rPr>
                <w:rFonts w:hint="eastAsia"/>
                <w:color w:val="auto"/>
                <w:sz w:val="24"/>
                <w:szCs w:val="24"/>
                <w:highlight w:val="none"/>
              </w:rPr>
              <w:t>冷却清理</w:t>
            </w:r>
            <w:r>
              <w:rPr>
                <w:rFonts w:hint="eastAsia"/>
                <w:color w:val="auto"/>
                <w:sz w:val="24"/>
                <w:szCs w:val="24"/>
                <w:highlight w:val="none"/>
                <w:lang w:eastAsia="zh-CN"/>
              </w:rPr>
              <w:t>：</w:t>
            </w:r>
            <w:r>
              <w:rPr>
                <w:rFonts w:hint="eastAsia"/>
                <w:color w:val="auto"/>
                <w:sz w:val="24"/>
                <w:szCs w:val="24"/>
                <w:highlight w:val="none"/>
              </w:rPr>
              <w:t>冷却后，将砂箱倾斜吊出铸件或直接从砂箱中吊出铸件均可，铸件与干砂分离。分离出的干砂处理后重复使用。铸件在落砂机上落砂后，去掉浇冒口送到清理工部，采用抛丸</w:t>
            </w:r>
            <w:r>
              <w:rPr>
                <w:rFonts w:hint="eastAsia"/>
                <w:color w:val="auto"/>
                <w:sz w:val="24"/>
                <w:szCs w:val="24"/>
                <w:highlight w:val="none"/>
                <w:lang w:val="en-US" w:eastAsia="zh-CN"/>
              </w:rPr>
              <w:t>机</w:t>
            </w:r>
            <w:r>
              <w:rPr>
                <w:rFonts w:hint="eastAsia"/>
                <w:color w:val="auto"/>
                <w:sz w:val="24"/>
                <w:szCs w:val="24"/>
                <w:highlight w:val="none"/>
              </w:rPr>
              <w:t>进行清理。</w:t>
            </w:r>
          </w:p>
          <w:p w14:paraId="3D0B581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热处理</w:t>
            </w:r>
            <w:r>
              <w:rPr>
                <w:rFonts w:hint="eastAsia"/>
                <w:color w:val="auto"/>
                <w:sz w:val="24"/>
                <w:szCs w:val="24"/>
                <w:highlight w:val="none"/>
                <w:lang w:eastAsia="zh-CN"/>
              </w:rPr>
              <w:t>：利用原有铸造加工车间热处理系统，对</w:t>
            </w:r>
            <w:r>
              <w:rPr>
                <w:rFonts w:hint="eastAsia"/>
                <w:color w:val="auto"/>
                <w:sz w:val="24"/>
                <w:szCs w:val="24"/>
                <w:highlight w:val="none"/>
              </w:rPr>
              <w:t>铸钢件进行热处理。清理后的铸件用电动平板车运至热处理区域，入炉处理</w:t>
            </w:r>
            <w:r>
              <w:rPr>
                <w:rFonts w:hint="eastAsia"/>
                <w:color w:val="auto"/>
                <w:sz w:val="24"/>
                <w:szCs w:val="24"/>
                <w:highlight w:val="none"/>
                <w:lang w:eastAsia="zh-CN"/>
              </w:rPr>
              <w:t>，</w:t>
            </w:r>
            <w:r>
              <w:rPr>
                <w:rFonts w:hint="default" w:ascii="Times New Roman" w:hAnsi="Times New Roman" w:eastAsia="宋体" w:cs="Times New Roman"/>
                <w:color w:val="auto"/>
                <w:sz w:val="24"/>
                <w:szCs w:val="24"/>
                <w:highlight w:val="none"/>
              </w:rPr>
              <w:t>不合格产品返回熔化工序</w:t>
            </w:r>
            <w:r>
              <w:rPr>
                <w:rFonts w:hint="eastAsia"/>
                <w:color w:val="auto"/>
                <w:sz w:val="24"/>
                <w:szCs w:val="24"/>
                <w:highlight w:val="none"/>
              </w:rPr>
              <w:t>。</w:t>
            </w:r>
          </w:p>
          <w:p w14:paraId="2B41C1C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eastAsia="宋体"/>
                <w:b w:val="0"/>
                <w:bCs w:val="0"/>
                <w:color w:val="auto"/>
                <w:sz w:val="24"/>
                <w:szCs w:val="24"/>
                <w:highlight w:val="none"/>
                <w:lang w:eastAsia="zh-CN"/>
              </w:rPr>
            </w:pPr>
            <w:r>
              <w:rPr>
                <w:rFonts w:hint="eastAsia" w:eastAsia="宋体"/>
                <w:b w:val="0"/>
                <w:bCs w:val="0"/>
                <w:color w:val="auto"/>
                <w:sz w:val="24"/>
                <w:szCs w:val="24"/>
                <w:highlight w:val="none"/>
                <w:lang w:val="en-US" w:eastAsia="zh-CN"/>
              </w:rPr>
              <w:t>本项目消失模生产线主要</w:t>
            </w:r>
            <w:r>
              <w:rPr>
                <w:rFonts w:hint="eastAsia" w:eastAsia="宋体"/>
                <w:color w:val="auto"/>
                <w:sz w:val="24"/>
                <w:szCs w:val="24"/>
                <w:highlight w:val="none"/>
                <w:lang w:val="en-US" w:eastAsia="zh-CN"/>
              </w:rPr>
              <w:t>采用树脂砂消失模工艺</w:t>
            </w:r>
            <w:r>
              <w:rPr>
                <w:rFonts w:hint="eastAsia" w:eastAsia="宋体"/>
                <w:b w:val="0"/>
                <w:bCs w:val="0"/>
                <w:color w:val="auto"/>
                <w:sz w:val="24"/>
                <w:szCs w:val="24"/>
                <w:highlight w:val="none"/>
                <w:lang w:val="en-US" w:eastAsia="zh-CN"/>
              </w:rPr>
              <w:t>生产</w:t>
            </w:r>
            <w:r>
              <w:rPr>
                <w:rFonts w:hint="eastAsia" w:eastAsia="宋体"/>
                <w:color w:val="auto"/>
                <w:sz w:val="24"/>
                <w:szCs w:val="24"/>
                <w:highlight w:val="none"/>
              </w:rPr>
              <w:t>渣浆泵过流件</w:t>
            </w:r>
            <w:r>
              <w:rPr>
                <w:rFonts w:hint="eastAsia" w:eastAsia="宋体"/>
                <w:color w:val="auto"/>
                <w:sz w:val="24"/>
                <w:szCs w:val="24"/>
                <w:highlight w:val="none"/>
                <w:lang w:eastAsia="zh-CN"/>
              </w:rPr>
              <w:t>。</w:t>
            </w:r>
          </w:p>
          <w:p w14:paraId="379B122F">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eastAsia" w:eastAsia="宋体"/>
                <w:b w:val="0"/>
                <w:bCs w:val="0"/>
                <w:color w:val="auto"/>
                <w:sz w:val="24"/>
                <w:szCs w:val="24"/>
                <w:highlight w:val="none"/>
                <w:lang w:eastAsia="zh-CN"/>
              </w:rPr>
            </w:pPr>
            <w:r>
              <w:rPr>
                <w:rFonts w:hint="eastAsia" w:eastAsia="宋体"/>
                <w:b w:val="0"/>
                <w:bCs w:val="0"/>
                <w:color w:val="auto"/>
                <w:sz w:val="24"/>
                <w:szCs w:val="24"/>
                <w:highlight w:val="none"/>
                <w:lang w:eastAsia="zh-CN"/>
              </w:rPr>
              <w:t>①</w:t>
            </w:r>
            <w:r>
              <w:rPr>
                <w:rFonts w:eastAsia="宋体"/>
                <w:b w:val="0"/>
                <w:bCs w:val="0"/>
                <w:color w:val="auto"/>
                <w:sz w:val="24"/>
                <w:szCs w:val="24"/>
                <w:highlight w:val="none"/>
              </w:rPr>
              <w:t>熔</w:t>
            </w:r>
            <w:r>
              <w:rPr>
                <w:rFonts w:hint="eastAsia" w:eastAsia="宋体"/>
                <w:b w:val="0"/>
                <w:bCs w:val="0"/>
                <w:color w:val="auto"/>
                <w:sz w:val="24"/>
                <w:szCs w:val="24"/>
                <w:highlight w:val="none"/>
                <w:lang w:val="en-US" w:eastAsia="zh-CN"/>
              </w:rPr>
              <w:t>化</w:t>
            </w:r>
          </w:p>
          <w:p w14:paraId="6BF4E43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b w:val="0"/>
                <w:bCs w:val="0"/>
                <w:color w:val="auto"/>
                <w:sz w:val="24"/>
                <w:szCs w:val="24"/>
                <w:highlight w:val="none"/>
              </w:rPr>
            </w:pPr>
            <w:r>
              <w:rPr>
                <w:rFonts w:eastAsia="宋体"/>
                <w:b w:val="0"/>
                <w:bCs w:val="0"/>
                <w:color w:val="auto"/>
                <w:sz w:val="24"/>
                <w:szCs w:val="24"/>
                <w:highlight w:val="none"/>
              </w:rPr>
              <w:t>废钢（或硅铁、锰铁）经加料车加入到电炉中</w:t>
            </w:r>
            <w:r>
              <w:rPr>
                <w:rFonts w:hint="eastAsia" w:eastAsia="宋体"/>
                <w:b w:val="0"/>
                <w:bCs w:val="0"/>
                <w:color w:val="auto"/>
                <w:sz w:val="24"/>
                <w:szCs w:val="24"/>
                <w:highlight w:val="none"/>
              </w:rPr>
              <w:t>，</w:t>
            </w:r>
            <w:r>
              <w:rPr>
                <w:rFonts w:eastAsia="宋体"/>
                <w:b w:val="0"/>
                <w:bCs w:val="0"/>
                <w:color w:val="auto"/>
                <w:sz w:val="24"/>
                <w:szCs w:val="24"/>
                <w:highlight w:val="none"/>
              </w:rPr>
              <w:t>进行熔</w:t>
            </w:r>
            <w:r>
              <w:rPr>
                <w:rFonts w:hint="eastAsia" w:eastAsia="宋体"/>
                <w:b w:val="0"/>
                <w:bCs w:val="0"/>
                <w:color w:val="auto"/>
                <w:sz w:val="24"/>
                <w:szCs w:val="24"/>
                <w:highlight w:val="none"/>
                <w:lang w:val="en-US" w:eastAsia="zh-CN"/>
              </w:rPr>
              <w:t>化</w:t>
            </w:r>
            <w:r>
              <w:rPr>
                <w:rFonts w:hint="eastAsia" w:eastAsia="宋体"/>
                <w:b w:val="0"/>
                <w:bCs w:val="0"/>
                <w:color w:val="auto"/>
                <w:sz w:val="24"/>
                <w:szCs w:val="24"/>
                <w:highlight w:val="none"/>
              </w:rPr>
              <w:t>，本工序设置</w:t>
            </w:r>
            <w:r>
              <w:rPr>
                <w:rFonts w:hint="eastAsia" w:eastAsia="宋体"/>
                <w:b w:val="0"/>
                <w:bCs w:val="0"/>
                <w:color w:val="auto"/>
                <w:sz w:val="24"/>
                <w:szCs w:val="24"/>
                <w:highlight w:val="none"/>
                <w:lang w:val="en-US" w:eastAsia="zh-CN"/>
              </w:rPr>
              <w:t>1台2t</w:t>
            </w:r>
            <w:r>
              <w:rPr>
                <w:rFonts w:hint="eastAsia" w:eastAsia="宋体"/>
                <w:b w:val="0"/>
                <w:bCs w:val="0"/>
                <w:color w:val="auto"/>
                <w:sz w:val="24"/>
                <w:szCs w:val="24"/>
                <w:highlight w:val="none"/>
              </w:rPr>
              <w:t>中频感应电</w:t>
            </w:r>
            <w:r>
              <w:rPr>
                <w:rFonts w:eastAsia="宋体"/>
                <w:b w:val="0"/>
                <w:bCs w:val="0"/>
                <w:color w:val="auto"/>
                <w:sz w:val="24"/>
                <w:szCs w:val="24"/>
                <w:highlight w:val="none"/>
              </w:rPr>
              <w:t>炉</w:t>
            </w:r>
            <w:r>
              <w:rPr>
                <w:rFonts w:hint="eastAsia" w:eastAsia="宋体"/>
                <w:b w:val="0"/>
                <w:bCs w:val="0"/>
                <w:color w:val="auto"/>
                <w:sz w:val="24"/>
                <w:szCs w:val="24"/>
                <w:highlight w:val="none"/>
              </w:rPr>
              <w:t>。</w:t>
            </w:r>
          </w:p>
          <w:p w14:paraId="1E20397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hAnsi="宋体"/>
                <w:b w:val="0"/>
                <w:bCs w:val="0"/>
                <w:color w:val="auto"/>
                <w:sz w:val="24"/>
                <w:szCs w:val="24"/>
                <w:highlight w:val="none"/>
                <w:lang w:eastAsia="zh-CN"/>
              </w:rPr>
            </w:pPr>
            <w:r>
              <w:rPr>
                <w:rFonts w:eastAsia="宋体"/>
                <w:b w:val="0"/>
                <w:bCs w:val="0"/>
                <w:color w:val="auto"/>
                <w:sz w:val="24"/>
                <w:szCs w:val="24"/>
                <w:highlight w:val="none"/>
              </w:rPr>
              <w:t>中频感应电炉熔化时产生</w:t>
            </w:r>
            <w:r>
              <w:rPr>
                <w:rFonts w:hint="eastAsia" w:eastAsia="宋体"/>
                <w:b w:val="0"/>
                <w:bCs w:val="0"/>
                <w:color w:val="auto"/>
                <w:sz w:val="24"/>
                <w:szCs w:val="24"/>
                <w:highlight w:val="none"/>
                <w:lang w:eastAsia="zh-CN"/>
              </w:rPr>
              <w:t>废气</w:t>
            </w:r>
            <w:r>
              <w:rPr>
                <w:rFonts w:eastAsia="宋体"/>
                <w:b w:val="0"/>
                <w:bCs w:val="0"/>
                <w:color w:val="auto"/>
                <w:sz w:val="24"/>
                <w:szCs w:val="24"/>
                <w:highlight w:val="none"/>
              </w:rPr>
              <w:t>，</w:t>
            </w:r>
            <w:r>
              <w:rPr>
                <w:rFonts w:hint="eastAsia"/>
                <w:b w:val="0"/>
                <w:bCs w:val="0"/>
                <w:color w:val="auto"/>
                <w:sz w:val="24"/>
                <w:szCs w:val="24"/>
                <w:highlight w:val="none"/>
              </w:rPr>
              <w:t>中频感应电炉采用顶置整罩式除尘炉盖的集尘方式，废气由风机</w:t>
            </w:r>
            <w:r>
              <w:rPr>
                <w:rFonts w:hint="eastAsia"/>
                <w:b w:val="0"/>
                <w:bCs w:val="0"/>
                <w:color w:val="auto"/>
                <w:sz w:val="24"/>
                <w:szCs w:val="24"/>
                <w:highlight w:val="none"/>
                <w:lang w:val="en-US" w:eastAsia="zh-CN"/>
              </w:rPr>
              <w:t>分别</w:t>
            </w:r>
            <w:r>
              <w:rPr>
                <w:rFonts w:hint="eastAsia"/>
                <w:b w:val="0"/>
                <w:bCs w:val="0"/>
                <w:color w:val="auto"/>
                <w:sz w:val="24"/>
                <w:szCs w:val="24"/>
                <w:highlight w:val="none"/>
              </w:rPr>
              <w:t>引至</w:t>
            </w:r>
            <w:r>
              <w:rPr>
                <w:rFonts w:hint="eastAsia"/>
                <w:b w:val="0"/>
                <w:bCs w:val="0"/>
                <w:color w:val="auto"/>
                <w:sz w:val="24"/>
                <w:szCs w:val="24"/>
                <w:highlight w:val="none"/>
                <w:lang w:val="en-US" w:eastAsia="zh-CN"/>
              </w:rPr>
              <w:t>各自配套脉冲布袋除尘器1</w:t>
            </w:r>
            <w:r>
              <w:rPr>
                <w:rFonts w:hint="eastAsia"/>
                <w:b w:val="0"/>
                <w:bCs w:val="0"/>
                <w:color w:val="auto"/>
                <w:sz w:val="24"/>
                <w:szCs w:val="24"/>
                <w:highlight w:val="none"/>
              </w:rPr>
              <w:t>进行处理后经排气筒</w:t>
            </w:r>
            <w:r>
              <w:rPr>
                <w:rFonts w:hint="eastAsia"/>
                <w:b w:val="0"/>
                <w:bCs w:val="0"/>
                <w:color w:val="auto"/>
                <w:sz w:val="24"/>
                <w:szCs w:val="24"/>
                <w:highlight w:val="none"/>
                <w:lang w:val="en-US" w:eastAsia="zh-CN"/>
              </w:rPr>
              <w:t>J1</w:t>
            </w:r>
            <w:r>
              <w:rPr>
                <w:rFonts w:hint="eastAsia"/>
                <w:b w:val="0"/>
                <w:bCs w:val="0"/>
                <w:color w:val="auto"/>
                <w:sz w:val="24"/>
                <w:szCs w:val="24"/>
                <w:highlight w:val="none"/>
              </w:rPr>
              <w:t>排放，</w:t>
            </w:r>
            <w:r>
              <w:rPr>
                <w:rFonts w:hint="eastAsia" w:hAnsi="宋体"/>
                <w:b w:val="0"/>
                <w:bCs w:val="0"/>
                <w:color w:val="auto"/>
                <w:sz w:val="24"/>
                <w:szCs w:val="24"/>
                <w:highlight w:val="none"/>
              </w:rPr>
              <w:t>未捕集的废气通过车间通风无组织排放</w:t>
            </w:r>
            <w:r>
              <w:rPr>
                <w:rFonts w:hint="eastAsia"/>
                <w:b w:val="0"/>
                <w:bCs w:val="0"/>
                <w:color w:val="auto"/>
                <w:sz w:val="24"/>
                <w:szCs w:val="24"/>
                <w:highlight w:val="none"/>
              </w:rPr>
              <w:t>；</w:t>
            </w:r>
            <w:r>
              <w:rPr>
                <w:rFonts w:hint="eastAsia" w:hAnsi="宋体"/>
                <w:b w:val="0"/>
                <w:bCs w:val="0"/>
                <w:color w:val="auto"/>
                <w:sz w:val="24"/>
                <w:szCs w:val="24"/>
                <w:highlight w:val="none"/>
              </w:rPr>
              <w:t>噪声污染源主要为中频炉、除尘风机运行产生时的噪声，项目采取将中频炉安装基础减震并布置在厂房内的降噪措施；除尘风机进出口设软管连接，并安装消声器；固体废物主要为炉渣</w:t>
            </w:r>
            <w:r>
              <w:rPr>
                <w:rFonts w:hint="eastAsia" w:hAnsi="宋体"/>
                <w:b w:val="0"/>
                <w:bCs w:val="0"/>
                <w:color w:val="auto"/>
                <w:sz w:val="24"/>
                <w:szCs w:val="24"/>
                <w:highlight w:val="none"/>
                <w:lang w:eastAsia="zh-CN"/>
              </w:rPr>
              <w:t>、</w:t>
            </w:r>
            <w:r>
              <w:rPr>
                <w:rFonts w:hint="eastAsia" w:hAnsi="宋体"/>
                <w:b w:val="0"/>
                <w:bCs w:val="0"/>
                <w:color w:val="auto"/>
                <w:sz w:val="24"/>
                <w:szCs w:val="24"/>
                <w:highlight w:val="none"/>
              </w:rPr>
              <w:t>收集</w:t>
            </w:r>
            <w:r>
              <w:rPr>
                <w:rFonts w:hint="eastAsia" w:hAnsi="宋体"/>
                <w:b w:val="0"/>
                <w:bCs w:val="0"/>
                <w:color w:val="auto"/>
                <w:sz w:val="24"/>
                <w:szCs w:val="24"/>
                <w:highlight w:val="none"/>
                <w:lang w:val="en-US" w:eastAsia="zh-CN"/>
              </w:rPr>
              <w:t>尘灰和废炉衬，</w:t>
            </w:r>
            <w:r>
              <w:rPr>
                <w:rFonts w:hint="eastAsia" w:hAnsi="宋体"/>
                <w:b w:val="0"/>
                <w:bCs w:val="0"/>
                <w:color w:val="auto"/>
                <w:sz w:val="24"/>
                <w:szCs w:val="24"/>
                <w:highlight w:val="none"/>
                <w:lang w:eastAsia="zh-CN"/>
              </w:rPr>
              <w:t>全部外售。</w:t>
            </w:r>
          </w:p>
          <w:p w14:paraId="3D696A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b w:val="0"/>
                <w:bCs w:val="0"/>
                <w:color w:val="auto"/>
                <w:sz w:val="24"/>
                <w:szCs w:val="24"/>
                <w:highlight w:val="none"/>
              </w:rPr>
            </w:pPr>
            <w:r>
              <w:rPr>
                <w:rFonts w:hint="eastAsia" w:eastAsia="宋体"/>
                <w:b w:val="0"/>
                <w:bCs w:val="0"/>
                <w:color w:val="auto"/>
                <w:sz w:val="24"/>
                <w:szCs w:val="24"/>
                <w:highlight w:val="none"/>
                <w:lang w:eastAsia="zh-CN"/>
              </w:rPr>
              <w:t>②</w:t>
            </w:r>
            <w:r>
              <w:rPr>
                <w:rFonts w:eastAsia="宋体"/>
                <w:b w:val="0"/>
                <w:bCs w:val="0"/>
                <w:color w:val="auto"/>
                <w:sz w:val="24"/>
                <w:szCs w:val="24"/>
                <w:highlight w:val="none"/>
              </w:rPr>
              <w:t>造型</w:t>
            </w:r>
          </w:p>
          <w:p w14:paraId="42EF48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auto"/>
                <w:sz w:val="24"/>
                <w:szCs w:val="24"/>
                <w:highlight w:val="none"/>
              </w:rPr>
            </w:pPr>
            <w:r>
              <w:rPr>
                <w:rFonts w:hint="eastAsia" w:eastAsia="宋体" w:cs="Times New Roman"/>
                <w:b w:val="0"/>
                <w:bCs w:val="0"/>
                <w:color w:val="auto"/>
                <w:sz w:val="24"/>
                <w:szCs w:val="24"/>
                <w:highlight w:val="none"/>
                <w:lang w:val="en-US" w:eastAsia="zh-CN"/>
              </w:rPr>
              <w:t>外购成品白模，切割、组装、涂料，</w:t>
            </w:r>
            <w:r>
              <w:rPr>
                <w:rFonts w:hint="eastAsia" w:ascii="Times New Roman" w:hAnsi="Times New Roman" w:eastAsia="宋体" w:cs="Times New Roman"/>
                <w:b w:val="0"/>
                <w:bCs w:val="0"/>
                <w:color w:val="auto"/>
                <w:sz w:val="24"/>
                <w:szCs w:val="24"/>
                <w:highlight w:val="none"/>
              </w:rPr>
              <w:t>将砂箱放在振动台上，底部放入一定厚度的底砂，振动紧实。按工艺要求放置EPS模型组，并培砂固定。加砂同时施以振动，使型砂充满模型的各个部位，且使型砂的堆积密度增加。</w:t>
            </w:r>
          </w:p>
          <w:p w14:paraId="796045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s="Times New Roman"/>
                <w:b w:val="0"/>
                <w:bCs w:val="0"/>
                <w:color w:val="auto"/>
                <w:sz w:val="24"/>
                <w:szCs w:val="24"/>
                <w:highlight w:val="none"/>
                <w:lang w:val="en-US" w:eastAsia="zh-CN"/>
              </w:rPr>
            </w:pPr>
            <w:r>
              <w:rPr>
                <w:rFonts w:hint="eastAsia" w:eastAsia="宋体" w:cs="Times New Roman"/>
                <w:b w:val="0"/>
                <w:bCs w:val="0"/>
                <w:color w:val="auto"/>
                <w:sz w:val="24"/>
                <w:szCs w:val="24"/>
                <w:highlight w:val="none"/>
                <w:lang w:val="en-US" w:eastAsia="zh-CN"/>
              </w:rPr>
              <w:t>电阻丝切割白模过程产生少量非甲烷总烃废气，通过车间通风无组织排放；固体废物主要为白模切割边角料，全部外售。</w:t>
            </w:r>
          </w:p>
          <w:p w14:paraId="4E2623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b w:val="0"/>
                <w:bCs w:val="0"/>
                <w:color w:val="auto"/>
                <w:sz w:val="24"/>
                <w:szCs w:val="24"/>
                <w:highlight w:val="none"/>
              </w:rPr>
            </w:pPr>
            <w:r>
              <w:rPr>
                <w:rFonts w:hint="eastAsia" w:eastAsia="宋体"/>
                <w:b w:val="0"/>
                <w:bCs w:val="0"/>
                <w:color w:val="auto"/>
                <w:sz w:val="24"/>
                <w:szCs w:val="24"/>
                <w:highlight w:val="none"/>
                <w:lang w:eastAsia="zh-CN"/>
              </w:rPr>
              <w:t>③</w:t>
            </w:r>
            <w:r>
              <w:rPr>
                <w:rFonts w:eastAsia="宋体"/>
                <w:b w:val="0"/>
                <w:bCs w:val="0"/>
                <w:color w:val="auto"/>
                <w:sz w:val="24"/>
                <w:szCs w:val="24"/>
                <w:highlight w:val="none"/>
              </w:rPr>
              <w:t>浇</w:t>
            </w:r>
            <w:r>
              <w:rPr>
                <w:rFonts w:hint="eastAsia" w:eastAsia="宋体"/>
                <w:b w:val="0"/>
                <w:bCs w:val="0"/>
                <w:color w:val="auto"/>
                <w:sz w:val="24"/>
                <w:szCs w:val="24"/>
                <w:highlight w:val="none"/>
              </w:rPr>
              <w:t>注</w:t>
            </w:r>
          </w:p>
          <w:p w14:paraId="7D89A0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eastAsia="宋体"/>
                <w:b w:val="0"/>
                <w:bCs w:val="0"/>
                <w:color w:val="auto"/>
                <w:sz w:val="24"/>
                <w:szCs w:val="24"/>
                <w:highlight w:val="none"/>
              </w:rPr>
            </w:pPr>
            <w:r>
              <w:rPr>
                <w:rFonts w:eastAsia="宋体"/>
                <w:b w:val="0"/>
                <w:bCs w:val="0"/>
                <w:color w:val="auto"/>
                <w:sz w:val="24"/>
                <w:szCs w:val="24"/>
                <w:highlight w:val="none"/>
              </w:rPr>
              <w:t>熔</w:t>
            </w:r>
            <w:r>
              <w:rPr>
                <w:rFonts w:hint="eastAsia" w:eastAsia="宋体"/>
                <w:b w:val="0"/>
                <w:bCs w:val="0"/>
                <w:color w:val="auto"/>
                <w:sz w:val="24"/>
                <w:szCs w:val="24"/>
                <w:highlight w:val="none"/>
                <w:lang w:val="en-US" w:eastAsia="zh-CN"/>
              </w:rPr>
              <w:t>化</w:t>
            </w:r>
            <w:r>
              <w:rPr>
                <w:rFonts w:eastAsia="宋体"/>
                <w:b w:val="0"/>
                <w:bCs w:val="0"/>
                <w:color w:val="auto"/>
                <w:sz w:val="24"/>
                <w:szCs w:val="24"/>
                <w:highlight w:val="none"/>
              </w:rPr>
              <w:t>后将铁水倒入</w:t>
            </w:r>
            <w:r>
              <w:rPr>
                <w:rFonts w:hint="eastAsia" w:eastAsia="宋体"/>
                <w:b w:val="0"/>
                <w:bCs w:val="0"/>
                <w:color w:val="auto"/>
                <w:sz w:val="24"/>
                <w:szCs w:val="24"/>
                <w:highlight w:val="none"/>
                <w:lang w:val="en-US" w:eastAsia="zh-CN"/>
              </w:rPr>
              <w:t>消失模砂箱</w:t>
            </w:r>
            <w:r>
              <w:rPr>
                <w:rFonts w:eastAsia="宋体"/>
                <w:b w:val="0"/>
                <w:bCs w:val="0"/>
                <w:color w:val="auto"/>
                <w:sz w:val="24"/>
                <w:szCs w:val="24"/>
                <w:highlight w:val="none"/>
              </w:rPr>
              <w:t>中进行浇铸成型</w:t>
            </w:r>
            <w:r>
              <w:rPr>
                <w:rFonts w:hint="eastAsia" w:eastAsia="宋体"/>
                <w:b w:val="0"/>
                <w:bCs w:val="0"/>
                <w:color w:val="auto"/>
                <w:sz w:val="24"/>
                <w:szCs w:val="24"/>
                <w:highlight w:val="none"/>
                <w:lang w:eastAsia="zh-CN"/>
              </w:rPr>
              <w:t>。</w:t>
            </w:r>
            <w:r>
              <w:rPr>
                <w:rFonts w:eastAsia="宋体"/>
                <w:b w:val="0"/>
                <w:bCs w:val="0"/>
                <w:color w:val="auto"/>
                <w:sz w:val="24"/>
                <w:szCs w:val="24"/>
                <w:highlight w:val="none"/>
              </w:rPr>
              <w:t>浇铸时</w:t>
            </w:r>
            <w:r>
              <w:rPr>
                <w:rFonts w:hint="eastAsia" w:eastAsia="宋体"/>
                <w:b w:val="0"/>
                <w:bCs w:val="0"/>
                <w:color w:val="auto"/>
                <w:sz w:val="24"/>
                <w:szCs w:val="24"/>
                <w:highlight w:val="none"/>
              </w:rPr>
              <w:t>产生</w:t>
            </w:r>
            <w:r>
              <w:rPr>
                <w:rFonts w:hint="eastAsia" w:eastAsia="宋体"/>
                <w:b w:val="0"/>
                <w:bCs w:val="0"/>
                <w:color w:val="auto"/>
                <w:sz w:val="24"/>
                <w:szCs w:val="24"/>
                <w:highlight w:val="none"/>
                <w:lang w:eastAsia="zh-CN"/>
              </w:rPr>
              <w:t>废气</w:t>
            </w:r>
            <w:r>
              <w:rPr>
                <w:rFonts w:hint="eastAsia" w:eastAsia="宋体"/>
                <w:b w:val="0"/>
                <w:bCs w:val="0"/>
                <w:color w:val="auto"/>
                <w:sz w:val="24"/>
                <w:szCs w:val="24"/>
                <w:highlight w:val="none"/>
                <w:lang w:val="en-US" w:eastAsia="zh-CN"/>
              </w:rPr>
              <w:t>和EPS模型发生热解气化产生的有机废气</w:t>
            </w:r>
            <w:r>
              <w:rPr>
                <w:rFonts w:hint="eastAsia" w:eastAsia="宋体"/>
                <w:b w:val="0"/>
                <w:bCs w:val="0"/>
                <w:color w:val="auto"/>
                <w:sz w:val="24"/>
                <w:szCs w:val="24"/>
                <w:highlight w:val="none"/>
              </w:rPr>
              <w:t>，</w:t>
            </w:r>
            <w:r>
              <w:rPr>
                <w:rFonts w:hint="eastAsia"/>
                <w:b w:val="0"/>
                <w:bCs w:val="0"/>
                <w:color w:val="auto"/>
                <w:sz w:val="24"/>
                <w:szCs w:val="24"/>
                <w:highlight w:val="none"/>
              </w:rPr>
              <w:t>项目在浇注工位设置侧顶吸式集气罩，废气由风机引至</w:t>
            </w:r>
            <w:r>
              <w:rPr>
                <w:rFonts w:hint="eastAsia"/>
                <w:b w:val="0"/>
                <w:bCs w:val="0"/>
                <w:color w:val="auto"/>
                <w:sz w:val="24"/>
                <w:szCs w:val="24"/>
                <w:highlight w:val="none"/>
                <w:lang w:eastAsia="zh-CN"/>
              </w:rPr>
              <w:t>脉冲布袋除尘器</w:t>
            </w:r>
            <w:r>
              <w:rPr>
                <w:rFonts w:hint="eastAsia"/>
                <w:b w:val="0"/>
                <w:bCs w:val="0"/>
                <w:color w:val="auto"/>
                <w:sz w:val="24"/>
                <w:szCs w:val="24"/>
                <w:highlight w:val="none"/>
                <w:lang w:val="en-US" w:eastAsia="zh-CN"/>
              </w:rPr>
              <w:t>2+光氧机</w:t>
            </w:r>
            <w:r>
              <w:rPr>
                <w:rFonts w:hint="eastAsia"/>
                <w:b w:val="0"/>
                <w:bCs w:val="0"/>
                <w:color w:val="auto"/>
                <w:sz w:val="24"/>
                <w:szCs w:val="24"/>
                <w:highlight w:val="none"/>
              </w:rPr>
              <w:t>进行处理后经排气筒</w:t>
            </w:r>
            <w:r>
              <w:rPr>
                <w:rFonts w:hint="eastAsia"/>
                <w:b w:val="0"/>
                <w:bCs w:val="0"/>
                <w:color w:val="auto"/>
                <w:sz w:val="24"/>
                <w:szCs w:val="24"/>
                <w:highlight w:val="none"/>
                <w:lang w:val="en-US" w:eastAsia="zh-CN"/>
              </w:rPr>
              <w:t>J2</w:t>
            </w:r>
            <w:r>
              <w:rPr>
                <w:rFonts w:hint="eastAsia"/>
                <w:b w:val="0"/>
                <w:bCs w:val="0"/>
                <w:color w:val="auto"/>
                <w:sz w:val="24"/>
                <w:szCs w:val="24"/>
                <w:highlight w:val="none"/>
              </w:rPr>
              <w:t>排放，</w:t>
            </w:r>
            <w:r>
              <w:rPr>
                <w:rFonts w:hint="eastAsia" w:hAnsi="宋体"/>
                <w:b w:val="0"/>
                <w:bCs w:val="0"/>
                <w:color w:val="auto"/>
                <w:sz w:val="24"/>
                <w:szCs w:val="24"/>
                <w:highlight w:val="none"/>
              </w:rPr>
              <w:t>未捕集的废气通过车间通风无组织排放</w:t>
            </w:r>
            <w:r>
              <w:rPr>
                <w:rFonts w:hint="eastAsia"/>
                <w:b w:val="0"/>
                <w:bCs w:val="0"/>
                <w:color w:val="auto"/>
                <w:sz w:val="24"/>
                <w:szCs w:val="24"/>
                <w:highlight w:val="none"/>
              </w:rPr>
              <w:t>；</w:t>
            </w:r>
            <w:r>
              <w:rPr>
                <w:rFonts w:hint="eastAsia" w:hAnsi="宋体"/>
                <w:b w:val="0"/>
                <w:bCs w:val="0"/>
                <w:color w:val="auto"/>
                <w:sz w:val="24"/>
                <w:szCs w:val="24"/>
                <w:highlight w:val="none"/>
              </w:rPr>
              <w:t>噪声污染源为风机运行时产生的噪声，风机进出口设软管连接，并安装消声器；固体废物主要为</w:t>
            </w:r>
            <w:r>
              <w:rPr>
                <w:rFonts w:hint="eastAsia" w:hAnsi="宋体"/>
                <w:b w:val="0"/>
                <w:bCs w:val="0"/>
                <w:color w:val="auto"/>
                <w:sz w:val="24"/>
                <w:szCs w:val="24"/>
                <w:highlight w:val="none"/>
                <w:lang w:val="en-US" w:eastAsia="zh-CN"/>
              </w:rPr>
              <w:t>除尘器收集尘灰，尘灰外售</w:t>
            </w:r>
            <w:r>
              <w:rPr>
                <w:rFonts w:hint="eastAsia" w:hAnsi="宋体"/>
                <w:b w:val="0"/>
                <w:bCs w:val="0"/>
                <w:color w:val="auto"/>
                <w:sz w:val="24"/>
                <w:szCs w:val="24"/>
                <w:highlight w:val="none"/>
              </w:rPr>
              <w:t>。</w:t>
            </w:r>
          </w:p>
          <w:p w14:paraId="77134B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④</w:t>
            </w:r>
            <w:r>
              <w:rPr>
                <w:rFonts w:hint="default" w:ascii="Times New Roman" w:hAnsi="Times New Roman" w:eastAsia="宋体" w:cs="Times New Roman"/>
                <w:b w:val="0"/>
                <w:bCs w:val="0"/>
                <w:color w:val="auto"/>
                <w:sz w:val="24"/>
                <w:szCs w:val="24"/>
                <w:highlight w:val="none"/>
              </w:rPr>
              <w:t>落砂</w:t>
            </w:r>
          </w:p>
          <w:p w14:paraId="00D7A9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浇注后的砂型在冷却后即可开箱、落砂。落砂后作为旧砂进入砂处理系统进行回收再利用</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铸件进入热处理工序处理。</w:t>
            </w:r>
          </w:p>
          <w:p w14:paraId="08DA904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落砂</w:t>
            </w:r>
            <w:r>
              <w:rPr>
                <w:rFonts w:hint="default" w:ascii="Times New Roman" w:hAnsi="Times New Roman" w:eastAsia="宋体" w:cs="Times New Roman"/>
                <w:b w:val="0"/>
                <w:bCs w:val="0"/>
                <w:color w:val="auto"/>
                <w:sz w:val="24"/>
                <w:szCs w:val="24"/>
                <w:highlight w:val="none"/>
                <w:lang w:val="en-US" w:eastAsia="zh-CN"/>
              </w:rPr>
              <w:t>过程会产生一定的噪声</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采用将设备</w:t>
            </w:r>
            <w:r>
              <w:rPr>
                <w:rFonts w:hint="default" w:ascii="Times New Roman" w:hAnsi="Times New Roman" w:eastAsia="宋体" w:cs="Times New Roman"/>
                <w:b w:val="0"/>
                <w:bCs w:val="0"/>
                <w:color w:val="auto"/>
                <w:sz w:val="24"/>
                <w:szCs w:val="24"/>
                <w:highlight w:val="none"/>
              </w:rPr>
              <w:t>布置在厂房内的降噪措施</w:t>
            </w:r>
            <w:r>
              <w:rPr>
                <w:rFonts w:hint="default" w:ascii="Times New Roman" w:hAnsi="Times New Roman" w:eastAsia="宋体" w:cs="Times New Roman"/>
                <w:b w:val="0"/>
                <w:bCs w:val="0"/>
                <w:color w:val="auto"/>
                <w:sz w:val="24"/>
                <w:szCs w:val="24"/>
                <w:highlight w:val="none"/>
                <w:lang w:eastAsia="zh-CN"/>
              </w:rPr>
              <w:t>。</w:t>
            </w:r>
          </w:p>
          <w:p w14:paraId="654F838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⑤</w:t>
            </w:r>
            <w:r>
              <w:rPr>
                <w:rFonts w:hint="default" w:ascii="Times New Roman" w:hAnsi="Times New Roman" w:eastAsia="宋体" w:cs="Times New Roman"/>
                <w:b w:val="0"/>
                <w:bCs w:val="0"/>
                <w:color w:val="auto"/>
                <w:sz w:val="24"/>
                <w:szCs w:val="24"/>
                <w:highlight w:val="none"/>
              </w:rPr>
              <w:t>砂处理</w:t>
            </w:r>
          </w:p>
          <w:p w14:paraId="202DA94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旧树脂砂进入树脂砂再生设备进行</w:t>
            </w:r>
            <w:r>
              <w:rPr>
                <w:rFonts w:hint="default" w:ascii="Times New Roman" w:hAnsi="Times New Roman" w:eastAsia="宋体" w:cs="Times New Roman"/>
                <w:b w:val="0"/>
                <w:bCs w:val="0"/>
                <w:color w:val="auto"/>
                <w:sz w:val="24"/>
                <w:szCs w:val="24"/>
                <w:highlight w:val="none"/>
              </w:rPr>
              <w:t>处理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包括旧砂的筛分、</w:t>
            </w:r>
            <w:r>
              <w:rPr>
                <w:rFonts w:hint="default" w:ascii="Times New Roman" w:hAnsi="Times New Roman" w:eastAsia="宋体" w:cs="Times New Roman"/>
                <w:b w:val="0"/>
                <w:bCs w:val="0"/>
                <w:color w:val="auto"/>
                <w:sz w:val="24"/>
                <w:szCs w:val="24"/>
                <w:highlight w:val="none"/>
                <w:lang w:val="en-US" w:eastAsia="zh-CN"/>
              </w:rPr>
              <w:t>搓擦再生、降温、</w:t>
            </w:r>
            <w:r>
              <w:rPr>
                <w:rFonts w:hint="default" w:ascii="Times New Roman" w:hAnsi="Times New Roman" w:eastAsia="宋体" w:cs="Times New Roman"/>
                <w:b w:val="0"/>
                <w:bCs w:val="0"/>
                <w:color w:val="auto"/>
                <w:sz w:val="24"/>
                <w:szCs w:val="24"/>
                <w:highlight w:val="none"/>
              </w:rPr>
              <w:t>储存回用</w:t>
            </w:r>
            <w:r>
              <w:rPr>
                <w:rFonts w:hint="default" w:ascii="Times New Roman" w:hAnsi="Times New Roman" w:eastAsia="宋体" w:cs="Times New Roman"/>
                <w:b w:val="0"/>
                <w:bCs w:val="0"/>
                <w:color w:val="auto"/>
                <w:sz w:val="24"/>
                <w:szCs w:val="24"/>
                <w:highlight w:val="none"/>
                <w:lang w:val="en-US" w:eastAsia="zh-CN"/>
              </w:rPr>
              <w:t>以及</w:t>
            </w:r>
            <w:r>
              <w:rPr>
                <w:rFonts w:hint="default" w:ascii="Times New Roman" w:hAnsi="Times New Roman" w:eastAsia="宋体" w:cs="Times New Roman"/>
                <w:b w:val="0"/>
                <w:bCs w:val="0"/>
                <w:color w:val="auto"/>
                <w:sz w:val="24"/>
                <w:szCs w:val="24"/>
                <w:highlight w:val="none"/>
              </w:rPr>
              <w:t>新砂的补充</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新树脂砂的混砂</w:t>
            </w:r>
            <w:r>
              <w:rPr>
                <w:rFonts w:hint="default" w:ascii="Times New Roman" w:hAnsi="Times New Roman" w:eastAsia="宋体" w:cs="Times New Roman"/>
                <w:b w:val="0"/>
                <w:bCs w:val="0"/>
                <w:color w:val="auto"/>
                <w:sz w:val="24"/>
                <w:szCs w:val="24"/>
                <w:highlight w:val="none"/>
              </w:rPr>
              <w:t>。该过程排污节点为：砂处理线</w:t>
            </w:r>
            <w:r>
              <w:rPr>
                <w:rFonts w:hint="default"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由风机引至</w:t>
            </w:r>
            <w:r>
              <w:rPr>
                <w:rFonts w:hint="eastAsia" w:ascii="Times New Roman" w:hAnsi="Times New Roman" w:eastAsia="宋体" w:cs="Times New Roman"/>
                <w:b w:val="0"/>
                <w:bCs w:val="0"/>
                <w:color w:val="auto"/>
                <w:sz w:val="24"/>
                <w:szCs w:val="24"/>
                <w:highlight w:val="none"/>
                <w:lang w:eastAsia="zh-CN"/>
              </w:rPr>
              <w:t>脉冲布袋除尘器</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处理后经排气筒</w:t>
            </w:r>
            <w:r>
              <w:rPr>
                <w:rFonts w:hint="eastAsia" w:ascii="Times New Roman" w:hAnsi="Times New Roman" w:eastAsia="宋体" w:cs="Times New Roman"/>
                <w:b w:val="0"/>
                <w:bCs w:val="0"/>
                <w:color w:val="auto"/>
                <w:sz w:val="24"/>
                <w:szCs w:val="24"/>
                <w:highlight w:val="none"/>
                <w:lang w:val="en-US" w:eastAsia="zh-CN"/>
              </w:rPr>
              <w:t>J</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排放；噪声污染源为风机运行时产生的噪声，风机进出口设软管连接，并安装消声器；固体废物主要为废砂以及收集</w:t>
            </w:r>
            <w:r>
              <w:rPr>
                <w:rFonts w:hint="default" w:ascii="Times New Roman" w:hAnsi="Times New Roman" w:eastAsia="宋体" w:cs="Times New Roman"/>
                <w:b w:val="0"/>
                <w:bCs w:val="0"/>
                <w:color w:val="auto"/>
                <w:sz w:val="24"/>
                <w:szCs w:val="24"/>
                <w:highlight w:val="none"/>
                <w:lang w:val="en-US" w:eastAsia="zh-CN"/>
              </w:rPr>
              <w:t>尘灰</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全部</w:t>
            </w:r>
            <w:r>
              <w:rPr>
                <w:rFonts w:hint="default" w:ascii="Times New Roman" w:hAnsi="Times New Roman" w:eastAsia="宋体" w:cs="Times New Roman"/>
                <w:b w:val="0"/>
                <w:bCs w:val="0"/>
                <w:color w:val="auto"/>
                <w:sz w:val="24"/>
                <w:szCs w:val="24"/>
                <w:highlight w:val="none"/>
                <w:lang w:val="en-US" w:eastAsia="zh-CN"/>
              </w:rPr>
              <w:t>外售</w:t>
            </w:r>
            <w:r>
              <w:rPr>
                <w:rFonts w:hint="default" w:ascii="Times New Roman" w:hAnsi="Times New Roman" w:eastAsia="宋体" w:cs="Times New Roman"/>
                <w:b w:val="0"/>
                <w:bCs w:val="0"/>
                <w:color w:val="auto"/>
                <w:sz w:val="24"/>
                <w:szCs w:val="24"/>
                <w:highlight w:val="none"/>
              </w:rPr>
              <w:t>。</w:t>
            </w:r>
          </w:p>
          <w:p w14:paraId="52EBA365">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⑥混砂处理</w:t>
            </w:r>
          </w:p>
          <w:p w14:paraId="3A56704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旧树脂砂进入树脂砂再生设备进行</w:t>
            </w:r>
            <w:r>
              <w:rPr>
                <w:rFonts w:hint="default" w:ascii="Times New Roman" w:hAnsi="Times New Roman" w:eastAsia="宋体" w:cs="Times New Roman"/>
                <w:b w:val="0"/>
                <w:bCs w:val="0"/>
                <w:color w:val="auto"/>
                <w:sz w:val="24"/>
                <w:szCs w:val="24"/>
                <w:highlight w:val="none"/>
              </w:rPr>
              <w:t>处理</w:t>
            </w:r>
            <w:r>
              <w:rPr>
                <w:rFonts w:hint="default" w:ascii="Times New Roman" w:hAnsi="Times New Roman" w:eastAsia="宋体" w:cs="Times New Roman"/>
                <w:b w:val="0"/>
                <w:bCs w:val="0"/>
                <w:color w:val="auto"/>
                <w:sz w:val="24"/>
                <w:szCs w:val="24"/>
                <w:highlight w:val="none"/>
                <w:lang w:eastAsia="zh-CN"/>
              </w:rPr>
              <w:t>后，会有一定的废砂产生和新砂的加入，经过处理后的旧树脂砂和新树脂砂充分混合后，方可进行重新使用。</w:t>
            </w:r>
            <w:r>
              <w:rPr>
                <w:rFonts w:hint="default" w:ascii="Times New Roman" w:hAnsi="Times New Roman" w:eastAsia="宋体" w:cs="Times New Roman"/>
                <w:b w:val="0"/>
                <w:bCs w:val="0"/>
                <w:color w:val="auto"/>
                <w:sz w:val="24"/>
                <w:szCs w:val="24"/>
                <w:highlight w:val="none"/>
              </w:rPr>
              <w:t>该过程排污节点为：</w:t>
            </w:r>
            <w:r>
              <w:rPr>
                <w:rFonts w:hint="default" w:ascii="Times New Roman" w:hAnsi="Times New Roman" w:eastAsia="宋体" w:cs="Times New Roman"/>
                <w:b w:val="0"/>
                <w:bCs w:val="0"/>
                <w:color w:val="auto"/>
                <w:sz w:val="24"/>
                <w:szCs w:val="24"/>
                <w:highlight w:val="none"/>
                <w:lang w:eastAsia="zh-CN"/>
              </w:rPr>
              <w:t>混砂处理</w:t>
            </w:r>
            <w:r>
              <w:rPr>
                <w:rFonts w:hint="default"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由风机引至</w:t>
            </w:r>
            <w:r>
              <w:rPr>
                <w:rFonts w:hint="eastAsia" w:ascii="Times New Roman" w:hAnsi="Times New Roman" w:eastAsia="宋体" w:cs="Times New Roman"/>
                <w:b w:val="0"/>
                <w:bCs w:val="0"/>
                <w:color w:val="auto"/>
                <w:sz w:val="24"/>
                <w:szCs w:val="24"/>
                <w:highlight w:val="none"/>
                <w:lang w:eastAsia="zh-CN"/>
              </w:rPr>
              <w:t>脉冲布袋除尘器</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处理后经排气筒</w:t>
            </w:r>
            <w:r>
              <w:rPr>
                <w:rFonts w:hint="eastAsia" w:ascii="Times New Roman" w:hAnsi="Times New Roman" w:eastAsia="宋体" w:cs="Times New Roman"/>
                <w:b w:val="0"/>
                <w:bCs w:val="0"/>
                <w:color w:val="auto"/>
                <w:sz w:val="24"/>
                <w:szCs w:val="24"/>
                <w:highlight w:val="none"/>
                <w:lang w:val="en-US" w:eastAsia="zh-CN"/>
              </w:rPr>
              <w:t>J2</w:t>
            </w:r>
            <w:r>
              <w:rPr>
                <w:rFonts w:hint="default" w:ascii="Times New Roman" w:hAnsi="Times New Roman" w:eastAsia="宋体" w:cs="Times New Roman"/>
                <w:b w:val="0"/>
                <w:bCs w:val="0"/>
                <w:color w:val="auto"/>
                <w:sz w:val="24"/>
                <w:szCs w:val="24"/>
                <w:highlight w:val="none"/>
              </w:rPr>
              <w:t>排放</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噪声污染源为风机运行时产生的噪声，风机进出口设软管连接，并安装消声器；固体废物主要为收集</w:t>
            </w:r>
            <w:r>
              <w:rPr>
                <w:rFonts w:hint="default" w:ascii="Times New Roman" w:hAnsi="Times New Roman" w:eastAsia="宋体" w:cs="Times New Roman"/>
                <w:b w:val="0"/>
                <w:bCs w:val="0"/>
                <w:color w:val="auto"/>
                <w:sz w:val="24"/>
                <w:szCs w:val="24"/>
                <w:highlight w:val="none"/>
                <w:lang w:val="en-US" w:eastAsia="zh-CN"/>
              </w:rPr>
              <w:t>尘灰</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全部</w:t>
            </w:r>
            <w:r>
              <w:rPr>
                <w:rFonts w:hint="default" w:ascii="Times New Roman" w:hAnsi="Times New Roman" w:eastAsia="宋体" w:cs="Times New Roman"/>
                <w:b w:val="0"/>
                <w:bCs w:val="0"/>
                <w:color w:val="auto"/>
                <w:sz w:val="24"/>
                <w:szCs w:val="24"/>
                <w:highlight w:val="none"/>
                <w:lang w:val="en-US" w:eastAsia="zh-CN"/>
              </w:rPr>
              <w:t>外售</w:t>
            </w:r>
            <w:r>
              <w:rPr>
                <w:rFonts w:hint="default" w:ascii="Times New Roman" w:hAnsi="Times New Roman" w:eastAsia="宋体" w:cs="Times New Roman"/>
                <w:b w:val="0"/>
                <w:bCs w:val="0"/>
                <w:color w:val="auto"/>
                <w:sz w:val="24"/>
                <w:szCs w:val="24"/>
                <w:highlight w:val="none"/>
              </w:rPr>
              <w:t>。</w:t>
            </w:r>
          </w:p>
          <w:p w14:paraId="78FAC0A1">
            <w:pPr>
              <w:pStyle w:val="11"/>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⑦</w:t>
            </w:r>
            <w:r>
              <w:rPr>
                <w:rFonts w:hint="default" w:ascii="Times New Roman" w:hAnsi="Times New Roman" w:eastAsia="宋体" w:cs="Times New Roman"/>
                <w:b w:val="0"/>
                <w:bCs w:val="0"/>
                <w:color w:val="auto"/>
                <w:sz w:val="24"/>
                <w:szCs w:val="24"/>
                <w:highlight w:val="none"/>
                <w:lang w:eastAsia="zh-CN"/>
              </w:rPr>
              <w:t>抛丸</w:t>
            </w:r>
          </w:p>
          <w:p w14:paraId="0A77C75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本项目生产的渣浆泵过流件需进行抛丸加工。</w:t>
            </w:r>
            <w:r>
              <w:rPr>
                <w:rFonts w:hint="eastAsia" w:ascii="Times New Roman" w:hAnsi="Times New Roman" w:eastAsia="宋体" w:cs="Times New Roman"/>
                <w:color w:val="auto"/>
                <w:sz w:val="24"/>
                <w:szCs w:val="24"/>
                <w:highlight w:val="none"/>
                <w:lang w:val="en-US" w:eastAsia="zh-CN"/>
              </w:rPr>
              <w:t>将原铸造加工车间抛丸机及其配套的废气处理系统系统，搬运至新建车间，利用原有的废气处理系统，将</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b w:val="0"/>
                <w:bCs w:val="0"/>
                <w:color w:val="auto"/>
                <w:sz w:val="24"/>
                <w:szCs w:val="24"/>
                <w:highlight w:val="none"/>
              </w:rPr>
              <w:t>风机引至布袋除尘器处理后经排气筒</w:t>
            </w:r>
            <w:r>
              <w:rPr>
                <w:rFonts w:hint="default" w:ascii="Times New Roman" w:hAnsi="Times New Roman" w:eastAsia="宋体" w:cs="Times New Roman"/>
                <w:b w:val="0"/>
                <w:bCs w:val="0"/>
                <w:color w:val="auto"/>
                <w:sz w:val="24"/>
                <w:szCs w:val="24"/>
                <w:highlight w:val="none"/>
                <w:lang w:val="en-US" w:eastAsia="zh-CN"/>
              </w:rPr>
              <w:t>P</w:t>
            </w:r>
            <w:r>
              <w:rPr>
                <w:rFonts w:hint="eastAsia"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rPr>
              <w:t>排放</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噪声污染源为风机运行时产生的噪声，风机进出口设软管连接，并安装消声器；固体废物主要为收集</w:t>
            </w:r>
            <w:r>
              <w:rPr>
                <w:rFonts w:hint="default" w:ascii="Times New Roman" w:hAnsi="Times New Roman" w:eastAsia="宋体" w:cs="Times New Roman"/>
                <w:b w:val="0"/>
                <w:bCs w:val="0"/>
                <w:color w:val="auto"/>
                <w:sz w:val="24"/>
                <w:szCs w:val="24"/>
                <w:highlight w:val="none"/>
                <w:lang w:val="en-US" w:eastAsia="zh-CN"/>
              </w:rPr>
              <w:t>尘灰</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全部</w:t>
            </w:r>
            <w:r>
              <w:rPr>
                <w:rFonts w:hint="default" w:ascii="Times New Roman" w:hAnsi="Times New Roman" w:eastAsia="宋体" w:cs="Times New Roman"/>
                <w:b w:val="0"/>
                <w:bCs w:val="0"/>
                <w:color w:val="auto"/>
                <w:sz w:val="24"/>
                <w:szCs w:val="24"/>
                <w:highlight w:val="none"/>
                <w:lang w:val="en-US" w:eastAsia="zh-CN"/>
              </w:rPr>
              <w:t>外售</w:t>
            </w:r>
            <w:r>
              <w:rPr>
                <w:rFonts w:hint="default" w:ascii="Times New Roman" w:hAnsi="Times New Roman" w:eastAsia="宋体" w:cs="Times New Roman"/>
                <w:color w:val="auto"/>
                <w:sz w:val="24"/>
                <w:szCs w:val="24"/>
                <w:highlight w:val="none"/>
                <w:lang w:val="en-US" w:eastAsia="zh-CN"/>
              </w:rPr>
              <w:t>。</w:t>
            </w:r>
          </w:p>
          <w:p w14:paraId="1D17A4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eastAsia="zh-CN"/>
              </w:rPr>
              <w:t>⑧</w:t>
            </w:r>
            <w:r>
              <w:rPr>
                <w:rFonts w:hint="default" w:ascii="Times New Roman" w:hAnsi="Times New Roman" w:eastAsia="宋体" w:cs="Times New Roman"/>
                <w:b w:val="0"/>
                <w:bCs w:val="0"/>
                <w:color w:val="auto"/>
                <w:sz w:val="24"/>
                <w:szCs w:val="24"/>
                <w:highlight w:val="none"/>
              </w:rPr>
              <w:t>检</w:t>
            </w:r>
            <w:r>
              <w:rPr>
                <w:rFonts w:hint="default" w:ascii="Times New Roman" w:hAnsi="Times New Roman" w:eastAsia="宋体" w:cs="Times New Roman"/>
                <w:b w:val="0"/>
                <w:bCs w:val="0"/>
                <w:color w:val="auto"/>
                <w:sz w:val="24"/>
                <w:szCs w:val="24"/>
                <w:highlight w:val="none"/>
                <w:lang w:val="en-US" w:eastAsia="zh-CN"/>
              </w:rPr>
              <w:t>查</w:t>
            </w:r>
          </w:p>
          <w:p w14:paraId="49C628B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对</w:t>
            </w:r>
            <w:r>
              <w:rPr>
                <w:rFonts w:hint="default" w:ascii="Times New Roman" w:hAnsi="Times New Roman" w:eastAsia="宋体" w:cs="Times New Roman"/>
                <w:b w:val="0"/>
                <w:bCs w:val="0"/>
                <w:color w:val="auto"/>
                <w:sz w:val="24"/>
                <w:szCs w:val="24"/>
                <w:highlight w:val="none"/>
                <w:lang w:val="en-US" w:eastAsia="zh-CN"/>
              </w:rPr>
              <w:t>合格产品进入热处理工序，热处理后进入加工工序</w:t>
            </w:r>
            <w:r>
              <w:rPr>
                <w:rFonts w:hint="eastAsia" w:ascii="Times New Roman" w:hAnsi="Times New Roman" w:eastAsia="宋体" w:cs="Times New Roman"/>
                <w:b w:val="0"/>
                <w:bCs w:val="0"/>
                <w:color w:val="auto"/>
                <w:sz w:val="24"/>
                <w:szCs w:val="24"/>
                <w:highlight w:val="none"/>
                <w:lang w:eastAsia="zh-CN"/>
              </w:rPr>
              <w:t>，合格品入库，</w:t>
            </w:r>
            <w:r>
              <w:rPr>
                <w:rFonts w:hint="default" w:ascii="Times New Roman" w:hAnsi="Times New Roman" w:eastAsia="宋体" w:cs="Times New Roman"/>
                <w:b w:val="0"/>
                <w:bCs w:val="0"/>
                <w:color w:val="auto"/>
                <w:sz w:val="24"/>
                <w:szCs w:val="24"/>
                <w:highlight w:val="none"/>
              </w:rPr>
              <w:t>不合格产品返回</w:t>
            </w:r>
            <w:r>
              <w:rPr>
                <w:rFonts w:hint="default" w:ascii="Times New Roman" w:hAnsi="Times New Roman" w:eastAsia="宋体" w:cs="Times New Roman"/>
                <w:b w:val="0"/>
                <w:bCs w:val="0"/>
                <w:color w:val="auto"/>
                <w:sz w:val="24"/>
                <w:szCs w:val="24"/>
                <w:highlight w:val="none"/>
                <w:lang w:eastAsia="zh-CN"/>
              </w:rPr>
              <w:t>熔化</w:t>
            </w:r>
            <w:r>
              <w:rPr>
                <w:rFonts w:hint="default" w:ascii="Times New Roman" w:hAnsi="Times New Roman" w:eastAsia="宋体" w:cs="Times New Roman"/>
                <w:b w:val="0"/>
                <w:bCs w:val="0"/>
                <w:color w:val="auto"/>
                <w:sz w:val="24"/>
                <w:szCs w:val="24"/>
                <w:highlight w:val="none"/>
              </w:rPr>
              <w:t>炉</w:t>
            </w:r>
            <w:r>
              <w:rPr>
                <w:rFonts w:hint="eastAsia" w:ascii="Times New Roman" w:hAnsi="Times New Roman" w:eastAsia="宋体" w:cs="Times New Roman"/>
                <w:b w:val="0"/>
                <w:bCs w:val="0"/>
                <w:color w:val="auto"/>
                <w:sz w:val="24"/>
                <w:szCs w:val="24"/>
                <w:highlight w:val="none"/>
                <w:lang w:eastAsia="zh-CN"/>
              </w:rPr>
              <w:t>。</w:t>
            </w:r>
          </w:p>
          <w:p w14:paraId="630DD59F">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⑨热处理</w:t>
            </w:r>
          </w:p>
          <w:p w14:paraId="093B6FF1">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highlight w:val="none"/>
                <w:lang w:val="en-US" w:eastAsia="zh-CN"/>
              </w:rPr>
            </w:pPr>
            <w:r>
              <w:rPr>
                <w:rFonts w:hint="eastAsia" w:eastAsia="宋体"/>
                <w:b w:val="0"/>
                <w:bCs w:val="0"/>
                <w:color w:val="auto"/>
                <w:sz w:val="24"/>
                <w:szCs w:val="24"/>
                <w:highlight w:val="none"/>
                <w:lang w:eastAsia="zh-CN"/>
              </w:rPr>
              <w:drawing>
                <wp:anchor distT="0" distB="0" distL="114300" distR="114300" simplePos="0" relativeHeight="251665408" behindDoc="1" locked="0" layoutInCell="1" allowOverlap="1">
                  <wp:simplePos x="0" y="0"/>
                  <wp:positionH relativeFrom="column">
                    <wp:posOffset>1059180</wp:posOffset>
                  </wp:positionH>
                  <wp:positionV relativeFrom="paragraph">
                    <wp:posOffset>776605</wp:posOffset>
                  </wp:positionV>
                  <wp:extent cx="2800985" cy="4025900"/>
                  <wp:effectExtent l="0" t="0" r="18415" b="12700"/>
                  <wp:wrapNone/>
                  <wp:docPr id="17" name="图片 37" descr="铸造车间 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铸造车间 工艺流程图"/>
                          <pic:cNvPicPr>
                            <a:picLocks noChangeAspect="1"/>
                          </pic:cNvPicPr>
                        </pic:nvPicPr>
                        <pic:blipFill>
                          <a:blip r:embed="rId12"/>
                          <a:srcRect r="16898" b="9404"/>
                          <a:stretch>
                            <a:fillRect/>
                          </a:stretch>
                        </pic:blipFill>
                        <pic:spPr>
                          <a:xfrm>
                            <a:off x="0" y="0"/>
                            <a:ext cx="2800985" cy="4025900"/>
                          </a:xfrm>
                          <a:prstGeom prst="rect">
                            <a:avLst/>
                          </a:prstGeom>
                          <a:noFill/>
                          <a:ln>
                            <a:noFill/>
                          </a:ln>
                        </pic:spPr>
                      </pic:pic>
                    </a:graphicData>
                  </a:graphic>
                </wp:anchor>
              </w:drawing>
            </w:r>
            <w:r>
              <w:rPr>
                <w:rFonts w:hint="eastAsia" w:ascii="Times New Roman" w:hAnsi="Times New Roman" w:eastAsia="宋体" w:cs="Times New Roman"/>
                <w:color w:val="auto"/>
                <w:sz w:val="24"/>
                <w:szCs w:val="24"/>
                <w:highlight w:val="none"/>
                <w:lang w:val="en-US" w:eastAsia="zh-CN"/>
              </w:rPr>
              <w:t>采用空冷</w:t>
            </w:r>
            <w:r>
              <w:rPr>
                <w:rFonts w:hint="default" w:ascii="Times New Roman" w:hAnsi="Times New Roman" w:eastAsia="宋体" w:cs="Times New Roman"/>
                <w:color w:val="auto"/>
                <w:sz w:val="24"/>
                <w:szCs w:val="24"/>
                <w:highlight w:val="none"/>
                <w:lang w:val="en-US" w:eastAsia="zh-CN"/>
              </w:rPr>
              <w:t>淬火，</w:t>
            </w:r>
            <w:r>
              <w:rPr>
                <w:rFonts w:hint="eastAsia" w:ascii="Times New Roman" w:hAnsi="Times New Roman" w:eastAsia="宋体" w:cs="Times New Roman"/>
                <w:color w:val="auto"/>
                <w:sz w:val="24"/>
                <w:szCs w:val="24"/>
                <w:highlight w:val="none"/>
                <w:lang w:val="en-US" w:eastAsia="zh-CN"/>
              </w:rPr>
              <w:t>即</w:t>
            </w:r>
            <w:r>
              <w:rPr>
                <w:rFonts w:hint="default" w:ascii="Times New Roman" w:hAnsi="Times New Roman" w:eastAsia="宋体" w:cs="Times New Roman"/>
                <w:color w:val="auto"/>
                <w:sz w:val="24"/>
                <w:szCs w:val="24"/>
                <w:highlight w:val="none"/>
                <w:lang w:val="en-US" w:eastAsia="zh-CN"/>
              </w:rPr>
              <w:t>使用热处理炉（电加热）对</w:t>
            </w:r>
            <w:r>
              <w:rPr>
                <w:rFonts w:hint="eastAsia" w:ascii="Times New Roman" w:hAnsi="Times New Roman" w:eastAsia="宋体" w:cs="Times New Roman"/>
                <w:color w:val="auto"/>
                <w:sz w:val="24"/>
                <w:szCs w:val="24"/>
                <w:highlight w:val="none"/>
                <w:lang w:val="en-US" w:eastAsia="zh-CN"/>
              </w:rPr>
              <w:t>产品</w:t>
            </w:r>
            <w:r>
              <w:rPr>
                <w:rFonts w:hint="default" w:ascii="Times New Roman" w:hAnsi="Times New Roman" w:eastAsia="宋体" w:cs="Times New Roman"/>
                <w:color w:val="auto"/>
                <w:sz w:val="24"/>
                <w:szCs w:val="24"/>
                <w:highlight w:val="none"/>
                <w:lang w:val="en-US" w:eastAsia="zh-CN"/>
              </w:rPr>
              <w:t>进行加热，加热完成后</w:t>
            </w:r>
            <w:r>
              <w:rPr>
                <w:rFonts w:hint="eastAsia" w:ascii="Times New Roman" w:hAnsi="Times New Roman" w:eastAsia="宋体" w:cs="Times New Roman"/>
                <w:color w:val="auto"/>
                <w:sz w:val="24"/>
                <w:szCs w:val="24"/>
                <w:highlight w:val="none"/>
                <w:lang w:val="en-US" w:eastAsia="zh-CN"/>
              </w:rPr>
              <w:t>让其在空气中自然冷却</w:t>
            </w:r>
            <w:r>
              <w:rPr>
                <w:rFonts w:hint="default" w:ascii="Times New Roman" w:hAnsi="Times New Roman" w:eastAsia="宋体" w:cs="Times New Roman"/>
                <w:color w:val="auto"/>
                <w:sz w:val="24"/>
                <w:szCs w:val="24"/>
                <w:highlight w:val="none"/>
                <w:lang w:val="en-US" w:eastAsia="zh-CN"/>
              </w:rPr>
              <w:t>。此过程主要污染物为加热炉产生的噪声</w:t>
            </w:r>
            <w:r>
              <w:rPr>
                <w:rFonts w:hint="eastAsia" w:cs="Times New Roman"/>
                <w:color w:val="auto"/>
                <w:sz w:val="24"/>
                <w:szCs w:val="24"/>
                <w:highlight w:val="none"/>
                <w:lang w:val="en-US" w:eastAsia="zh-CN"/>
              </w:rPr>
              <w:t>，通过厂房隔音，基础减震降噪。</w:t>
            </w:r>
          </w:p>
          <w:p w14:paraId="0668FB84">
            <w:pPr>
              <w:pStyle w:val="2"/>
              <w:rPr>
                <w:rFonts w:hint="eastAsia"/>
                <w:color w:val="auto"/>
                <w:highlight w:val="none"/>
                <w:lang w:eastAsia="zh-CN"/>
              </w:rPr>
            </w:pPr>
          </w:p>
          <w:p w14:paraId="108EF6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b w:val="0"/>
                <w:bCs w:val="0"/>
                <w:color w:val="auto"/>
                <w:sz w:val="24"/>
                <w:szCs w:val="24"/>
                <w:highlight w:val="none"/>
                <w:lang w:eastAsia="zh-CN"/>
              </w:rPr>
            </w:pPr>
          </w:p>
          <w:p w14:paraId="6B8EE8ED">
            <w:pPr>
              <w:pStyle w:val="2"/>
              <w:rPr>
                <w:rFonts w:hint="eastAsia"/>
                <w:color w:val="auto"/>
                <w:highlight w:val="none"/>
                <w:lang w:eastAsia="zh-CN"/>
              </w:rPr>
            </w:pPr>
          </w:p>
          <w:p w14:paraId="73D4994D">
            <w:pPr>
              <w:pStyle w:val="2"/>
              <w:rPr>
                <w:rFonts w:hint="eastAsia" w:ascii="宋体" w:hAnsi="宋体"/>
                <w:bCs/>
                <w:color w:val="auto"/>
                <w:szCs w:val="21"/>
                <w:highlight w:val="none"/>
                <w:lang w:eastAsia="zh-CN"/>
              </w:rPr>
            </w:pPr>
          </w:p>
          <w:p w14:paraId="12B353F6">
            <w:pPr>
              <w:rPr>
                <w:rFonts w:hint="eastAsia" w:ascii="宋体" w:hAnsi="宋体"/>
                <w:bCs/>
                <w:color w:val="auto"/>
                <w:szCs w:val="21"/>
                <w:highlight w:val="none"/>
                <w:lang w:eastAsia="zh-CN"/>
              </w:rPr>
            </w:pPr>
          </w:p>
          <w:p w14:paraId="776A4D86">
            <w:pPr>
              <w:pStyle w:val="2"/>
              <w:rPr>
                <w:rFonts w:hint="eastAsia" w:ascii="宋体" w:hAnsi="宋体"/>
                <w:bCs/>
                <w:color w:val="auto"/>
                <w:szCs w:val="21"/>
                <w:highlight w:val="none"/>
                <w:lang w:eastAsia="zh-CN"/>
              </w:rPr>
            </w:pPr>
          </w:p>
          <w:p w14:paraId="5AC888A8">
            <w:pPr>
              <w:pStyle w:val="11"/>
              <w:rPr>
                <w:rFonts w:hint="eastAsia" w:ascii="宋体" w:hAnsi="宋体"/>
                <w:bCs/>
                <w:color w:val="auto"/>
                <w:szCs w:val="21"/>
                <w:highlight w:val="none"/>
                <w:lang w:eastAsia="zh-CN"/>
              </w:rPr>
            </w:pPr>
          </w:p>
          <w:p w14:paraId="0B603855">
            <w:pPr>
              <w:rPr>
                <w:rFonts w:hint="eastAsia" w:ascii="宋体" w:hAnsi="宋体"/>
                <w:bCs/>
                <w:color w:val="auto"/>
                <w:szCs w:val="21"/>
                <w:highlight w:val="none"/>
                <w:lang w:eastAsia="zh-CN"/>
              </w:rPr>
            </w:pPr>
          </w:p>
          <w:p w14:paraId="5AED4DF7">
            <w:pPr>
              <w:pStyle w:val="2"/>
              <w:rPr>
                <w:rFonts w:hint="eastAsia" w:ascii="宋体" w:hAnsi="宋体"/>
                <w:bCs/>
                <w:color w:val="auto"/>
                <w:szCs w:val="21"/>
                <w:highlight w:val="none"/>
                <w:lang w:eastAsia="zh-CN"/>
              </w:rPr>
            </w:pPr>
          </w:p>
          <w:p w14:paraId="1458CB06">
            <w:pPr>
              <w:pStyle w:val="11"/>
              <w:rPr>
                <w:rFonts w:hint="eastAsia" w:ascii="宋体" w:hAnsi="宋体"/>
                <w:bCs/>
                <w:color w:val="auto"/>
                <w:szCs w:val="21"/>
                <w:highlight w:val="none"/>
                <w:lang w:eastAsia="zh-CN"/>
              </w:rPr>
            </w:pPr>
          </w:p>
          <w:p w14:paraId="267C3FE7">
            <w:pPr>
              <w:rPr>
                <w:rFonts w:hint="eastAsia" w:ascii="宋体" w:hAnsi="宋体"/>
                <w:bCs/>
                <w:color w:val="auto"/>
                <w:szCs w:val="21"/>
                <w:highlight w:val="none"/>
                <w:lang w:eastAsia="zh-CN"/>
              </w:rPr>
            </w:pPr>
          </w:p>
          <w:p w14:paraId="65F359C8">
            <w:pPr>
              <w:pStyle w:val="2"/>
              <w:rPr>
                <w:rFonts w:hint="eastAsia" w:ascii="宋体" w:hAnsi="宋体"/>
                <w:bCs/>
                <w:color w:val="auto"/>
                <w:szCs w:val="21"/>
                <w:highlight w:val="none"/>
                <w:lang w:eastAsia="zh-CN"/>
              </w:rPr>
            </w:pPr>
          </w:p>
          <w:p w14:paraId="208A6BAE">
            <w:pPr>
              <w:pStyle w:val="11"/>
              <w:rPr>
                <w:rFonts w:hint="eastAsia" w:ascii="宋体" w:hAnsi="宋体"/>
                <w:bCs/>
                <w:color w:val="auto"/>
                <w:szCs w:val="21"/>
                <w:highlight w:val="none"/>
                <w:lang w:eastAsia="zh-CN"/>
              </w:rPr>
            </w:pPr>
          </w:p>
          <w:p w14:paraId="018918DD">
            <w:pPr>
              <w:rPr>
                <w:rFonts w:hint="eastAsia" w:ascii="宋体" w:hAnsi="宋体"/>
                <w:bCs/>
                <w:color w:val="auto"/>
                <w:szCs w:val="21"/>
                <w:highlight w:val="none"/>
                <w:lang w:eastAsia="zh-CN"/>
              </w:rPr>
            </w:pPr>
          </w:p>
          <w:p w14:paraId="746E0743">
            <w:pPr>
              <w:pStyle w:val="2"/>
              <w:rPr>
                <w:rFonts w:hint="eastAsia" w:ascii="宋体" w:hAnsi="宋体"/>
                <w:bCs/>
                <w:color w:val="auto"/>
                <w:szCs w:val="21"/>
                <w:highlight w:val="none"/>
                <w:lang w:eastAsia="zh-CN"/>
              </w:rPr>
            </w:pPr>
          </w:p>
          <w:p w14:paraId="6F0E7A65">
            <w:pPr>
              <w:pStyle w:val="11"/>
              <w:rPr>
                <w:rFonts w:hint="eastAsia" w:ascii="宋体" w:hAnsi="宋体"/>
                <w:bCs/>
                <w:color w:val="auto"/>
                <w:szCs w:val="21"/>
                <w:highlight w:val="none"/>
                <w:lang w:eastAsia="zh-CN"/>
              </w:rPr>
            </w:pPr>
          </w:p>
          <w:p w14:paraId="24A4D477">
            <w:pPr>
              <w:rPr>
                <w:rFonts w:hint="eastAsia" w:ascii="宋体" w:hAnsi="宋体"/>
                <w:bCs/>
                <w:color w:val="auto"/>
                <w:szCs w:val="21"/>
                <w:highlight w:val="none"/>
                <w:lang w:eastAsia="zh-CN"/>
              </w:rPr>
            </w:pPr>
          </w:p>
          <w:p w14:paraId="10048D69">
            <w:pPr>
              <w:pStyle w:val="2"/>
              <w:rPr>
                <w:rFonts w:hint="eastAsia" w:ascii="宋体" w:hAnsi="宋体"/>
                <w:bCs/>
                <w:color w:val="auto"/>
                <w:szCs w:val="21"/>
                <w:highlight w:val="none"/>
                <w:lang w:eastAsia="zh-CN"/>
              </w:rPr>
            </w:pPr>
          </w:p>
          <w:p w14:paraId="117DFD5A">
            <w:pPr>
              <w:pStyle w:val="11"/>
              <w:rPr>
                <w:rFonts w:hint="eastAsia" w:ascii="宋体" w:hAnsi="宋体"/>
                <w:bCs/>
                <w:color w:val="auto"/>
                <w:szCs w:val="21"/>
                <w:highlight w:val="none"/>
                <w:lang w:eastAsia="zh-CN"/>
              </w:rPr>
            </w:pPr>
          </w:p>
          <w:p w14:paraId="4A369BEB">
            <w:pPr>
              <w:rPr>
                <w:rFonts w:hint="eastAsia" w:ascii="宋体" w:hAnsi="宋体"/>
                <w:bCs/>
                <w:color w:val="auto"/>
                <w:szCs w:val="21"/>
                <w:highlight w:val="none"/>
                <w:lang w:eastAsia="zh-CN"/>
              </w:rPr>
            </w:pPr>
          </w:p>
          <w:p w14:paraId="2086D73E">
            <w:pPr>
              <w:pStyle w:val="2"/>
              <w:rPr>
                <w:rFonts w:hint="eastAsia" w:ascii="宋体" w:hAnsi="宋体"/>
                <w:bCs/>
                <w:color w:val="auto"/>
                <w:szCs w:val="21"/>
                <w:highlight w:val="none"/>
                <w:lang w:eastAsia="zh-CN"/>
              </w:rPr>
            </w:pPr>
          </w:p>
          <w:p w14:paraId="7366B4B4">
            <w:pPr>
              <w:pStyle w:val="11"/>
              <w:rPr>
                <w:rFonts w:hint="eastAsia" w:ascii="宋体" w:hAnsi="宋体"/>
                <w:bCs/>
                <w:color w:val="auto"/>
                <w:szCs w:val="21"/>
                <w:highlight w:val="none"/>
                <w:lang w:eastAsia="zh-CN"/>
              </w:rPr>
            </w:pPr>
          </w:p>
          <w:p w14:paraId="21939739">
            <w:pPr>
              <w:pStyle w:val="13"/>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宋体" w:hAnsi="宋体"/>
                <w:b w:val="0"/>
                <w:bCs w:val="0"/>
                <w:color w:val="auto"/>
                <w:szCs w:val="21"/>
                <w:highlight w:val="none"/>
                <w:lang w:eastAsia="zh-CN"/>
              </w:rPr>
            </w:pPr>
            <w:r>
              <w:rPr>
                <w:rFonts w:hint="eastAsia" w:ascii="宋体" w:hAnsi="宋体" w:eastAsia="宋体" w:cs="宋体"/>
                <w:b w:val="0"/>
                <w:bCs w:val="0"/>
                <w:color w:val="auto"/>
                <w:sz w:val="24"/>
                <w:szCs w:val="24"/>
                <w:highlight w:val="none"/>
                <w:lang w:val="en-US" w:eastAsia="zh-CN"/>
              </w:rPr>
              <w:t>图2-4 树脂砂消失模工艺流程及排污节点图</w:t>
            </w:r>
          </w:p>
          <w:p w14:paraId="6B5D24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项目排污节点及污染治理措施一览表</w:t>
            </w:r>
            <w:r>
              <w:rPr>
                <w:rFonts w:hint="eastAsia" w:ascii="Times New Roman" w:hAnsi="Times New Roman" w:eastAsia="宋体" w:cs="Times New Roman"/>
                <w:b w:val="0"/>
                <w:bCs w:val="0"/>
                <w:color w:val="auto"/>
                <w:sz w:val="24"/>
                <w:szCs w:val="24"/>
                <w:highlight w:val="none"/>
                <w:lang w:eastAsia="zh-CN"/>
              </w:rPr>
              <w:t>。</w:t>
            </w:r>
          </w:p>
          <w:p w14:paraId="129736A0">
            <w:pPr>
              <w:pStyle w:val="6"/>
              <w:keepNext w:val="0"/>
              <w:keepLines w:val="0"/>
              <w:pageBreakBefore w:val="0"/>
              <w:widowControl w:val="0"/>
              <w:tabs>
                <w:tab w:val="left" w:pos="3205"/>
                <w:tab w:val="center" w:pos="4509"/>
              </w:tabs>
              <w:kinsoku/>
              <w:wordWrap/>
              <w:overflowPunct/>
              <w:topLinePunct w:val="0"/>
              <w:autoSpaceDE/>
              <w:autoSpaceDN/>
              <w:bidi w:val="0"/>
              <w:adjustRightInd/>
              <w:snapToGrid/>
              <w:spacing w:after="0" w:line="480" w:lineRule="exact"/>
              <w:ind w:left="0" w:left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表2</w:t>
            </w:r>
            <w:r>
              <w:rPr>
                <w:rFonts w:hint="eastAsia" w:ascii="Times New Roman" w:hAnsi="Times New Roman" w:eastAsia="宋体" w:cs="Times New Roman"/>
                <w:b w:val="0"/>
                <w:bCs w:val="0"/>
                <w:color w:val="auto"/>
                <w:sz w:val="24"/>
                <w:szCs w:val="24"/>
                <w:highlight w:val="none"/>
                <w:lang w:val="en-US" w:eastAsia="zh-CN"/>
              </w:rPr>
              <w:t xml:space="preserve">-6 </w:t>
            </w:r>
            <w:r>
              <w:rPr>
                <w:rFonts w:hint="default" w:ascii="Times New Roman" w:hAnsi="Times New Roman" w:eastAsia="宋体" w:cs="Times New Roman"/>
                <w:b w:val="0"/>
                <w:bCs w:val="0"/>
                <w:color w:val="auto"/>
                <w:sz w:val="24"/>
                <w:szCs w:val="24"/>
                <w:highlight w:val="none"/>
              </w:rPr>
              <w:t>项目排污节点及污染治理措施一览表</w:t>
            </w:r>
          </w:p>
          <w:tbl>
            <w:tblPr>
              <w:tblStyle w:val="30"/>
              <w:tblW w:w="4996"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28"/>
              <w:gridCol w:w="725"/>
              <w:gridCol w:w="1434"/>
              <w:gridCol w:w="1434"/>
              <w:gridCol w:w="747"/>
              <w:gridCol w:w="996"/>
              <w:gridCol w:w="1865"/>
            </w:tblGrid>
            <w:tr w14:paraId="3E936C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459" w:type="pct"/>
                  <w:tcBorders>
                    <w:tl2br w:val="nil"/>
                    <w:tr2bl w:val="nil"/>
                  </w:tcBorders>
                  <w:noWrap w:val="0"/>
                  <w:vAlign w:val="center"/>
                </w:tcPr>
                <w:p w14:paraId="1584C52D">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57" w:type="pct"/>
                  <w:tcBorders>
                    <w:tl2br w:val="nil"/>
                    <w:tr2bl w:val="nil"/>
                  </w:tcBorders>
                  <w:noWrap w:val="0"/>
                  <w:vAlign w:val="center"/>
                </w:tcPr>
                <w:p w14:paraId="68E5DFAD">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阶段</w:t>
                  </w:r>
                </w:p>
              </w:tc>
              <w:tc>
                <w:tcPr>
                  <w:tcW w:w="904" w:type="pct"/>
                  <w:tcBorders>
                    <w:tl2br w:val="nil"/>
                    <w:tr2bl w:val="nil"/>
                  </w:tcBorders>
                  <w:noWrap w:val="0"/>
                  <w:vAlign w:val="center"/>
                </w:tcPr>
                <w:p w14:paraId="558447AD">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污染工序或源</w:t>
                  </w:r>
                </w:p>
              </w:tc>
              <w:tc>
                <w:tcPr>
                  <w:tcW w:w="904" w:type="pct"/>
                  <w:tcBorders>
                    <w:tl2br w:val="nil"/>
                    <w:tr2bl w:val="nil"/>
                  </w:tcBorders>
                  <w:noWrap w:val="0"/>
                  <w:vAlign w:val="center"/>
                </w:tcPr>
                <w:p w14:paraId="6FE755CC">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主要污染因子</w:t>
                  </w:r>
                </w:p>
              </w:tc>
              <w:tc>
                <w:tcPr>
                  <w:tcW w:w="471" w:type="pct"/>
                  <w:tcBorders>
                    <w:tl2br w:val="nil"/>
                    <w:tr2bl w:val="nil"/>
                  </w:tcBorders>
                  <w:noWrap w:val="0"/>
                  <w:vAlign w:val="center"/>
                </w:tcPr>
                <w:p w14:paraId="45070C99">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产生特征</w:t>
                  </w:r>
                </w:p>
              </w:tc>
              <w:tc>
                <w:tcPr>
                  <w:tcW w:w="628" w:type="pct"/>
                  <w:tcBorders>
                    <w:tl2br w:val="nil"/>
                    <w:tr2bl w:val="nil"/>
                  </w:tcBorders>
                  <w:noWrap w:val="0"/>
                  <w:vAlign w:val="center"/>
                </w:tcPr>
                <w:p w14:paraId="30B9FE88">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c>
                <w:tcPr>
                  <w:tcW w:w="1176" w:type="pct"/>
                  <w:tcBorders>
                    <w:tl2br w:val="nil"/>
                    <w:tr2bl w:val="nil"/>
                  </w:tcBorders>
                  <w:noWrap w:val="0"/>
                  <w:vAlign w:val="center"/>
                </w:tcPr>
                <w:p w14:paraId="6B00C3E0">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r>
            <w:tr w14:paraId="162143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restart"/>
                  <w:tcBorders>
                    <w:tl2br w:val="nil"/>
                    <w:tr2bl w:val="nil"/>
                  </w:tcBorders>
                  <w:noWrap w:val="0"/>
                  <w:vAlign w:val="center"/>
                </w:tcPr>
                <w:p w14:paraId="0E03E62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57" w:type="pct"/>
                  <w:vMerge w:val="restart"/>
                  <w:tcBorders>
                    <w:tl2br w:val="nil"/>
                    <w:tr2bl w:val="nil"/>
                  </w:tcBorders>
                  <w:noWrap w:val="0"/>
                  <w:vAlign w:val="center"/>
                </w:tcPr>
                <w:p w14:paraId="65C77B66">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w:t>
                  </w:r>
                </w:p>
              </w:tc>
              <w:tc>
                <w:tcPr>
                  <w:tcW w:w="904" w:type="pct"/>
                  <w:tcBorders>
                    <w:tl2br w:val="nil"/>
                    <w:tr2bl w:val="nil"/>
                  </w:tcBorders>
                  <w:noWrap w:val="0"/>
                  <w:vAlign w:val="center"/>
                </w:tcPr>
                <w:p w14:paraId="2876BB9B">
                  <w:pPr>
                    <w:pStyle w:val="32"/>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厂房建设、设备安装</w:t>
                  </w:r>
                </w:p>
              </w:tc>
              <w:tc>
                <w:tcPr>
                  <w:tcW w:w="904" w:type="pct"/>
                  <w:tcBorders>
                    <w:tl2br w:val="nil"/>
                    <w:tr2bl w:val="nil"/>
                  </w:tcBorders>
                  <w:noWrap w:val="0"/>
                  <w:vAlign w:val="center"/>
                </w:tcPr>
                <w:p w14:paraId="589ABF0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471" w:type="pct"/>
                  <w:tcBorders>
                    <w:tl2br w:val="nil"/>
                    <w:tr2bl w:val="nil"/>
                  </w:tcBorders>
                  <w:noWrap w:val="0"/>
                  <w:vAlign w:val="center"/>
                </w:tcPr>
                <w:p w14:paraId="79C88EE8">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628" w:type="pct"/>
                  <w:tcBorders>
                    <w:tl2br w:val="nil"/>
                    <w:tr2bl w:val="nil"/>
                  </w:tcBorders>
                  <w:noWrap w:val="0"/>
                  <w:vAlign w:val="center"/>
                </w:tcPr>
                <w:p w14:paraId="75B5D2ED">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176" w:type="pct"/>
                  <w:vMerge w:val="restart"/>
                  <w:tcBorders>
                    <w:tl2br w:val="nil"/>
                    <w:tr2bl w:val="nil"/>
                  </w:tcBorders>
                  <w:noWrap w:val="0"/>
                  <w:vAlign w:val="center"/>
                </w:tcPr>
                <w:p w14:paraId="5583F5B7">
                  <w:pPr>
                    <w:pStyle w:val="32"/>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施工场地定时洒水，防止扬尘。</w:t>
                  </w:r>
                </w:p>
              </w:tc>
            </w:tr>
            <w:tr w14:paraId="1DC8E3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2A460CF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5F93CEA4">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3627C6AE">
                  <w:pPr>
                    <w:pStyle w:val="32"/>
                    <w:spacing w:line="240" w:lineRule="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原料成品库房</w:t>
                  </w:r>
                </w:p>
              </w:tc>
              <w:tc>
                <w:tcPr>
                  <w:tcW w:w="904" w:type="pct"/>
                  <w:tcBorders>
                    <w:tl2br w:val="nil"/>
                    <w:tr2bl w:val="nil"/>
                  </w:tcBorders>
                  <w:noWrap w:val="0"/>
                  <w:vAlign w:val="center"/>
                </w:tcPr>
                <w:p w14:paraId="0BFC1F3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颗粒物</w:t>
                  </w:r>
                </w:p>
              </w:tc>
              <w:tc>
                <w:tcPr>
                  <w:tcW w:w="471" w:type="pct"/>
                  <w:tcBorders>
                    <w:tl2br w:val="nil"/>
                    <w:tr2bl w:val="nil"/>
                  </w:tcBorders>
                  <w:noWrap w:val="0"/>
                  <w:vAlign w:val="center"/>
                </w:tcPr>
                <w:p w14:paraId="67FB079F">
                  <w:pPr>
                    <w:pStyle w:val="32"/>
                    <w:spacing w:line="240" w:lineRule="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间断</w:t>
                  </w:r>
                </w:p>
              </w:tc>
              <w:tc>
                <w:tcPr>
                  <w:tcW w:w="628" w:type="pct"/>
                  <w:tcBorders>
                    <w:tl2br w:val="nil"/>
                    <w:tr2bl w:val="nil"/>
                  </w:tcBorders>
                  <w:noWrap w:val="0"/>
                  <w:vAlign w:val="center"/>
                </w:tcPr>
                <w:p w14:paraId="6FA242DF">
                  <w:pPr>
                    <w:pStyle w:val="32"/>
                    <w:spacing w:line="240" w:lineRule="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无组织</w:t>
                  </w:r>
                </w:p>
              </w:tc>
              <w:tc>
                <w:tcPr>
                  <w:tcW w:w="1176" w:type="pct"/>
                  <w:vMerge w:val="continue"/>
                  <w:tcBorders>
                    <w:tl2br w:val="nil"/>
                    <w:tr2bl w:val="nil"/>
                  </w:tcBorders>
                  <w:noWrap w:val="0"/>
                  <w:vAlign w:val="center"/>
                </w:tcPr>
                <w:p w14:paraId="40474E3B">
                  <w:pPr>
                    <w:pStyle w:val="32"/>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p>
              </w:tc>
            </w:tr>
            <w:tr w14:paraId="5042F8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900" w:hRule="atLeast"/>
              </w:trPr>
              <w:tc>
                <w:tcPr>
                  <w:tcW w:w="459" w:type="pct"/>
                  <w:vMerge w:val="continue"/>
                  <w:tcBorders>
                    <w:tl2br w:val="nil"/>
                    <w:tr2bl w:val="nil"/>
                  </w:tcBorders>
                  <w:noWrap w:val="0"/>
                  <w:vAlign w:val="center"/>
                </w:tcPr>
                <w:p w14:paraId="15131CC3">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restart"/>
                  <w:tcBorders>
                    <w:tl2br w:val="nil"/>
                    <w:tr2bl w:val="nil"/>
                  </w:tcBorders>
                  <w:noWrap w:val="0"/>
                  <w:vAlign w:val="center"/>
                </w:tcPr>
                <w:p w14:paraId="1FD0580B">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生产运行</w:t>
                  </w:r>
                </w:p>
              </w:tc>
              <w:tc>
                <w:tcPr>
                  <w:tcW w:w="904" w:type="pct"/>
                  <w:tcBorders>
                    <w:tl2br w:val="nil"/>
                    <w:tr2bl w:val="nil"/>
                  </w:tcBorders>
                  <w:noWrap w:val="0"/>
                  <w:vAlign w:val="center"/>
                </w:tcPr>
                <w:p w14:paraId="4469430F">
                  <w:pPr>
                    <w:pStyle w:val="32"/>
                    <w:spacing w:line="240" w:lineRule="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熔化</w:t>
                  </w:r>
                  <w:r>
                    <w:rPr>
                      <w:rFonts w:hint="default" w:ascii="Times New Roman" w:hAnsi="Times New Roman" w:eastAsia="宋体" w:cs="Times New Roman"/>
                      <w:color w:val="auto"/>
                      <w:sz w:val="21"/>
                      <w:szCs w:val="21"/>
                      <w:highlight w:val="none"/>
                    </w:rPr>
                    <w:t>废气</w:t>
                  </w:r>
                </w:p>
              </w:tc>
              <w:tc>
                <w:tcPr>
                  <w:tcW w:w="904" w:type="pct"/>
                  <w:tcBorders>
                    <w:tl2br w:val="nil"/>
                    <w:tr2bl w:val="nil"/>
                  </w:tcBorders>
                  <w:noWrap w:val="0"/>
                  <w:vAlign w:val="center"/>
                </w:tcPr>
                <w:p w14:paraId="1DC9193F">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471" w:type="pct"/>
                  <w:tcBorders>
                    <w:tl2br w:val="nil"/>
                    <w:tr2bl w:val="nil"/>
                  </w:tcBorders>
                  <w:noWrap w:val="0"/>
                  <w:vAlign w:val="center"/>
                </w:tcPr>
                <w:p w14:paraId="0C87032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连续</w:t>
                  </w:r>
                </w:p>
              </w:tc>
              <w:tc>
                <w:tcPr>
                  <w:tcW w:w="628" w:type="pct"/>
                  <w:tcBorders>
                    <w:tl2br w:val="nil"/>
                    <w:tr2bl w:val="nil"/>
                  </w:tcBorders>
                  <w:noWrap w:val="0"/>
                  <w:vAlign w:val="center"/>
                </w:tcPr>
                <w:p w14:paraId="01E38673">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1176" w:type="pct"/>
                  <w:tcBorders>
                    <w:tl2br w:val="nil"/>
                    <w:tr2bl w:val="nil"/>
                  </w:tcBorders>
                  <w:noWrap w:val="0"/>
                  <w:vAlign w:val="center"/>
                </w:tcPr>
                <w:p w14:paraId="3D3E093E">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废气由</w:t>
                  </w:r>
                  <w:r>
                    <w:rPr>
                      <w:rFonts w:hint="eastAsia" w:ascii="Times New Roman" w:hAnsi="Times New Roman" w:eastAsia="宋体" w:cs="Times New Roman"/>
                      <w:color w:val="auto"/>
                      <w:sz w:val="21"/>
                      <w:szCs w:val="21"/>
                      <w:highlight w:val="none"/>
                      <w:lang w:eastAsia="zh-CN"/>
                    </w:rPr>
                    <w:t>顶置</w:t>
                  </w:r>
                  <w:r>
                    <w:rPr>
                      <w:rFonts w:hint="default" w:ascii="Times New Roman" w:hAnsi="Times New Roman" w:eastAsia="宋体" w:cs="Times New Roman"/>
                      <w:color w:val="auto"/>
                      <w:sz w:val="21"/>
                      <w:szCs w:val="21"/>
                      <w:highlight w:val="none"/>
                    </w:rPr>
                    <w:t>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m高排气筒</w:t>
                  </w:r>
                  <w:r>
                    <w:rPr>
                      <w:rFonts w:hint="eastAsia" w:ascii="Times New Roman" w:hAnsi="Times New Roman" w:eastAsia="宋体" w:cs="Times New Roman"/>
                      <w:color w:val="auto"/>
                      <w:sz w:val="21"/>
                      <w:szCs w:val="21"/>
                      <w:highlight w:val="none"/>
                      <w:lang w:val="en-US" w:eastAsia="zh-CN"/>
                    </w:rPr>
                    <w:t>J1</w:t>
                  </w:r>
                  <w:r>
                    <w:rPr>
                      <w:rFonts w:hint="default" w:ascii="Times New Roman" w:hAnsi="Times New Roman" w:eastAsia="宋体" w:cs="Times New Roman"/>
                      <w:color w:val="auto"/>
                      <w:sz w:val="21"/>
                      <w:szCs w:val="21"/>
                      <w:highlight w:val="none"/>
                    </w:rPr>
                    <w:t>排放</w:t>
                  </w:r>
                </w:p>
              </w:tc>
            </w:tr>
            <w:tr w14:paraId="111AB6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900" w:hRule="atLeast"/>
              </w:trPr>
              <w:tc>
                <w:tcPr>
                  <w:tcW w:w="459" w:type="pct"/>
                  <w:vMerge w:val="continue"/>
                  <w:tcBorders>
                    <w:tl2br w:val="nil"/>
                    <w:tr2bl w:val="nil"/>
                  </w:tcBorders>
                  <w:noWrap w:val="0"/>
                  <w:vAlign w:val="center"/>
                </w:tcPr>
                <w:p w14:paraId="66230D2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44C6A753">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03FA669E">
                  <w:pPr>
                    <w:pStyle w:val="32"/>
                    <w:spacing w:line="240" w:lineRule="auto"/>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浇注</w:t>
                  </w:r>
                  <w:r>
                    <w:rPr>
                      <w:rFonts w:hint="default" w:ascii="Times New Roman" w:hAnsi="Times New Roman" w:eastAsia="宋体" w:cs="Times New Roman"/>
                      <w:color w:val="auto"/>
                      <w:sz w:val="21"/>
                      <w:szCs w:val="21"/>
                      <w:highlight w:val="none"/>
                    </w:rPr>
                    <w:t>废气</w:t>
                  </w:r>
                </w:p>
              </w:tc>
              <w:tc>
                <w:tcPr>
                  <w:tcW w:w="904" w:type="pct"/>
                  <w:tcBorders>
                    <w:tl2br w:val="nil"/>
                    <w:tr2bl w:val="nil"/>
                  </w:tcBorders>
                  <w:noWrap w:val="0"/>
                  <w:vAlign w:val="center"/>
                </w:tcPr>
                <w:p w14:paraId="592C53BD">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r>
                    <w:rPr>
                      <w:rFonts w:hint="eastAsia" w:ascii="Times New Roman" w:hAnsi="Times New Roman" w:eastAsia="宋体" w:cs="Times New Roman"/>
                      <w:color w:val="auto"/>
                      <w:sz w:val="21"/>
                      <w:szCs w:val="21"/>
                      <w:highlight w:val="none"/>
                      <w:lang w:eastAsia="zh-CN"/>
                    </w:rPr>
                    <w:t>、非甲烷总烃</w:t>
                  </w:r>
                </w:p>
              </w:tc>
              <w:tc>
                <w:tcPr>
                  <w:tcW w:w="471" w:type="pct"/>
                  <w:tcBorders>
                    <w:tl2br w:val="nil"/>
                    <w:tr2bl w:val="nil"/>
                  </w:tcBorders>
                  <w:noWrap w:val="0"/>
                  <w:vAlign w:val="center"/>
                </w:tcPr>
                <w:p w14:paraId="17DC322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628" w:type="pct"/>
                  <w:tcBorders>
                    <w:tl2br w:val="nil"/>
                    <w:tr2bl w:val="nil"/>
                  </w:tcBorders>
                  <w:noWrap w:val="0"/>
                  <w:vAlign w:val="center"/>
                </w:tcPr>
                <w:p w14:paraId="664853F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76" w:type="pct"/>
                  <w:tcBorders>
                    <w:tl2br w:val="nil"/>
                    <w:tr2bl w:val="nil"/>
                  </w:tcBorders>
                  <w:noWrap w:val="0"/>
                  <w:vAlign w:val="center"/>
                </w:tcPr>
                <w:p w14:paraId="096F9C12">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w:t>
                  </w:r>
                  <w:r>
                    <w:rPr>
                      <w:rFonts w:hint="eastAsia" w:ascii="Times New Roman" w:hAnsi="Times New Roman" w:eastAsia="宋体" w:cs="Times New Roman"/>
                      <w:color w:val="auto"/>
                      <w:sz w:val="21"/>
                      <w:szCs w:val="21"/>
                      <w:highlight w:val="none"/>
                      <w:lang w:eastAsia="zh-CN"/>
                    </w:rPr>
                    <w:t>侧顶吸式</w:t>
                  </w:r>
                  <w:r>
                    <w:rPr>
                      <w:rFonts w:hint="default" w:ascii="Times New Roman" w:hAnsi="Times New Roman" w:eastAsia="宋体" w:cs="Times New Roman"/>
                      <w:color w:val="auto"/>
                      <w:sz w:val="21"/>
                      <w:szCs w:val="21"/>
                      <w:highlight w:val="none"/>
                    </w:rPr>
                    <w:t>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2+光氧机</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r>
            <w:tr w14:paraId="337455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459" w:type="pct"/>
                  <w:vMerge w:val="continue"/>
                  <w:tcBorders>
                    <w:tl2br w:val="nil"/>
                    <w:tr2bl w:val="nil"/>
                  </w:tcBorders>
                  <w:noWrap w:val="0"/>
                  <w:vAlign w:val="center"/>
                </w:tcPr>
                <w:p w14:paraId="3460F5BD">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0B6B74E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3304D364">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砂处理废气、</w:t>
                  </w:r>
                  <w:r>
                    <w:rPr>
                      <w:rFonts w:hint="eastAsia" w:ascii="Times New Roman" w:hAnsi="Times New Roman" w:eastAsia="宋体" w:cs="Times New Roman"/>
                      <w:color w:val="auto"/>
                      <w:sz w:val="21"/>
                      <w:szCs w:val="21"/>
                      <w:highlight w:val="none"/>
                      <w:lang w:eastAsia="zh-CN"/>
                    </w:rPr>
                    <w:t>混砂废气</w:t>
                  </w:r>
                </w:p>
              </w:tc>
              <w:tc>
                <w:tcPr>
                  <w:tcW w:w="904" w:type="pct"/>
                  <w:tcBorders>
                    <w:tl2br w:val="nil"/>
                    <w:tr2bl w:val="nil"/>
                  </w:tcBorders>
                  <w:noWrap w:val="0"/>
                  <w:vAlign w:val="center"/>
                </w:tcPr>
                <w:p w14:paraId="201AB84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471" w:type="pct"/>
                  <w:tcBorders>
                    <w:tl2br w:val="nil"/>
                    <w:tr2bl w:val="nil"/>
                  </w:tcBorders>
                  <w:noWrap w:val="0"/>
                  <w:vAlign w:val="center"/>
                </w:tcPr>
                <w:p w14:paraId="2D5B9EE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连续</w:t>
                  </w:r>
                </w:p>
              </w:tc>
              <w:tc>
                <w:tcPr>
                  <w:tcW w:w="628" w:type="pct"/>
                  <w:tcBorders>
                    <w:tl2br w:val="nil"/>
                    <w:tr2bl w:val="nil"/>
                  </w:tcBorders>
                  <w:noWrap w:val="0"/>
                  <w:vAlign w:val="center"/>
                </w:tcPr>
                <w:p w14:paraId="1B87B912">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1176" w:type="pct"/>
                  <w:tcBorders>
                    <w:tl2br w:val="nil"/>
                    <w:tr2bl w:val="nil"/>
                  </w:tcBorders>
                  <w:noWrap w:val="0"/>
                  <w:vAlign w:val="center"/>
                </w:tcPr>
                <w:p w14:paraId="33CE8C26">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各工序废气由集气罩收集后进入集气管路，经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r>
            <w:tr w14:paraId="13E7FF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459" w:type="pct"/>
                  <w:vMerge w:val="continue"/>
                  <w:tcBorders>
                    <w:tl2br w:val="nil"/>
                    <w:tr2bl w:val="nil"/>
                  </w:tcBorders>
                  <w:noWrap w:val="0"/>
                  <w:vAlign w:val="center"/>
                </w:tcPr>
                <w:p w14:paraId="4C91F60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28C5205F">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1E7B3590">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抛丸废气</w:t>
                  </w:r>
                </w:p>
              </w:tc>
              <w:tc>
                <w:tcPr>
                  <w:tcW w:w="904" w:type="pct"/>
                  <w:tcBorders>
                    <w:tl2br w:val="nil"/>
                    <w:tr2bl w:val="nil"/>
                  </w:tcBorders>
                  <w:noWrap w:val="0"/>
                  <w:vAlign w:val="center"/>
                </w:tcPr>
                <w:p w14:paraId="5220E6F3">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471" w:type="pct"/>
                  <w:tcBorders>
                    <w:tl2br w:val="nil"/>
                    <w:tr2bl w:val="nil"/>
                  </w:tcBorders>
                  <w:noWrap w:val="0"/>
                  <w:vAlign w:val="center"/>
                </w:tcPr>
                <w:p w14:paraId="39B2424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连续</w:t>
                  </w:r>
                </w:p>
              </w:tc>
              <w:tc>
                <w:tcPr>
                  <w:tcW w:w="628" w:type="pct"/>
                  <w:tcBorders>
                    <w:tl2br w:val="nil"/>
                    <w:tr2bl w:val="nil"/>
                  </w:tcBorders>
                  <w:noWrap w:val="0"/>
                  <w:vAlign w:val="center"/>
                </w:tcPr>
                <w:p w14:paraId="637B28B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1176" w:type="pct"/>
                  <w:tcBorders>
                    <w:tl2br w:val="nil"/>
                    <w:tr2bl w:val="nil"/>
                  </w:tcBorders>
                  <w:noWrap w:val="0"/>
                  <w:vAlign w:val="center"/>
                </w:tcPr>
                <w:p w14:paraId="14BCC2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废气由集气罩收集后进入集气管路，经</w:t>
                  </w:r>
                  <w:r>
                    <w:rPr>
                      <w:rFonts w:hint="eastAsia" w:ascii="Times New Roman" w:hAnsi="Times New Roman" w:eastAsia="宋体" w:cs="Times New Roman"/>
                      <w:color w:val="auto"/>
                      <w:sz w:val="21"/>
                      <w:szCs w:val="21"/>
                      <w:highlight w:val="none"/>
                      <w:lang w:eastAsia="zh-CN"/>
                    </w:rPr>
                    <w:t>脉冲布袋除尘器</w:t>
                  </w:r>
                  <w:r>
                    <w:rPr>
                      <w:rFonts w:hint="default" w:ascii="Times New Roman" w:hAnsi="Times New Roman" w:eastAsia="宋体" w:cs="Times New Roman"/>
                      <w:color w:val="auto"/>
                      <w:sz w:val="21"/>
                      <w:szCs w:val="21"/>
                      <w:highlight w:val="none"/>
                    </w:rPr>
                    <w:t>处理后由1根1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5m高排气筒P</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排放。</w:t>
                  </w:r>
                </w:p>
              </w:tc>
            </w:tr>
            <w:tr w14:paraId="58FDCF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459" w:type="pct"/>
                  <w:vMerge w:val="restart"/>
                  <w:tcBorders>
                    <w:tl2br w:val="nil"/>
                    <w:tr2bl w:val="nil"/>
                  </w:tcBorders>
                  <w:noWrap w:val="0"/>
                  <w:vAlign w:val="center"/>
                </w:tcPr>
                <w:p w14:paraId="7F743C1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457" w:type="pct"/>
                  <w:vMerge w:val="restart"/>
                  <w:tcBorders>
                    <w:tl2br w:val="nil"/>
                    <w:tr2bl w:val="nil"/>
                  </w:tcBorders>
                  <w:noWrap w:val="0"/>
                  <w:vAlign w:val="center"/>
                </w:tcPr>
                <w:p w14:paraId="02A5A3AC">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生产运行</w:t>
                  </w:r>
                </w:p>
              </w:tc>
              <w:tc>
                <w:tcPr>
                  <w:tcW w:w="904" w:type="pct"/>
                  <w:tcBorders>
                    <w:tl2br w:val="nil"/>
                    <w:tr2bl w:val="nil"/>
                  </w:tcBorders>
                  <w:noWrap w:val="0"/>
                  <w:vAlign w:val="center"/>
                </w:tcPr>
                <w:p w14:paraId="69F6D5F0">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感应电炉冷却循环用水</w:t>
                  </w:r>
                </w:p>
              </w:tc>
              <w:tc>
                <w:tcPr>
                  <w:tcW w:w="904" w:type="pct"/>
                  <w:tcBorders>
                    <w:tl2br w:val="nil"/>
                    <w:tr2bl w:val="nil"/>
                  </w:tcBorders>
                  <w:noWrap w:val="0"/>
                  <w:vAlign w:val="center"/>
                </w:tcPr>
                <w:p w14:paraId="31865DE8">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471" w:type="pct"/>
                  <w:tcBorders>
                    <w:tl2br w:val="nil"/>
                    <w:tr2bl w:val="nil"/>
                  </w:tcBorders>
                  <w:noWrap w:val="0"/>
                  <w:vAlign w:val="center"/>
                </w:tcPr>
                <w:p w14:paraId="59E903D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628" w:type="pct"/>
                  <w:tcBorders>
                    <w:tl2br w:val="nil"/>
                    <w:tr2bl w:val="nil"/>
                  </w:tcBorders>
                  <w:noWrap w:val="0"/>
                  <w:vAlign w:val="center"/>
                </w:tcPr>
                <w:p w14:paraId="418BB84F">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不外排</w:t>
                  </w:r>
                </w:p>
              </w:tc>
              <w:tc>
                <w:tcPr>
                  <w:tcW w:w="1176" w:type="pct"/>
                  <w:tcBorders>
                    <w:tl2br w:val="nil"/>
                    <w:tr2bl w:val="nil"/>
                  </w:tcBorders>
                  <w:noWrap w:val="0"/>
                  <w:vAlign w:val="center"/>
                </w:tcPr>
                <w:p w14:paraId="46E0F3B5">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部分蒸发，剩余</w:t>
                  </w:r>
                  <w:r>
                    <w:rPr>
                      <w:rFonts w:hint="default" w:ascii="Times New Roman" w:hAnsi="Times New Roman" w:eastAsia="宋体" w:cs="Times New Roman"/>
                      <w:color w:val="auto"/>
                      <w:sz w:val="21"/>
                      <w:szCs w:val="21"/>
                      <w:highlight w:val="none"/>
                    </w:rPr>
                    <w:t>循环使用</w:t>
                  </w:r>
                </w:p>
              </w:tc>
            </w:tr>
            <w:tr w14:paraId="69B13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46" w:hRule="atLeast"/>
              </w:trPr>
              <w:tc>
                <w:tcPr>
                  <w:tcW w:w="459" w:type="pct"/>
                  <w:vMerge w:val="continue"/>
                  <w:tcBorders>
                    <w:tl2br w:val="nil"/>
                    <w:tr2bl w:val="nil"/>
                  </w:tcBorders>
                  <w:noWrap w:val="0"/>
                  <w:vAlign w:val="center"/>
                </w:tcPr>
                <w:p w14:paraId="2C67859B">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5BD6215E">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6421F6E5">
                  <w:pPr>
                    <w:pStyle w:val="32"/>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淬火用水</w:t>
                  </w:r>
                </w:p>
              </w:tc>
              <w:tc>
                <w:tcPr>
                  <w:tcW w:w="904" w:type="pct"/>
                  <w:tcBorders>
                    <w:tl2br w:val="nil"/>
                    <w:tr2bl w:val="nil"/>
                  </w:tcBorders>
                  <w:noWrap w:val="0"/>
                  <w:vAlign w:val="center"/>
                </w:tcPr>
                <w:p w14:paraId="410F0285">
                  <w:pPr>
                    <w:pStyle w:val="32"/>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471" w:type="pct"/>
                  <w:tcBorders>
                    <w:tl2br w:val="nil"/>
                    <w:tr2bl w:val="nil"/>
                  </w:tcBorders>
                  <w:noWrap w:val="0"/>
                  <w:vAlign w:val="center"/>
                </w:tcPr>
                <w:p w14:paraId="610A0594">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连续</w:t>
                  </w:r>
                </w:p>
              </w:tc>
              <w:tc>
                <w:tcPr>
                  <w:tcW w:w="628" w:type="pct"/>
                  <w:tcBorders>
                    <w:tl2br w:val="nil"/>
                    <w:tr2bl w:val="nil"/>
                  </w:tcBorders>
                  <w:noWrap w:val="0"/>
                  <w:vAlign w:val="center"/>
                </w:tcPr>
                <w:p w14:paraId="44E3BDB2">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不外排</w:t>
                  </w:r>
                </w:p>
              </w:tc>
              <w:tc>
                <w:tcPr>
                  <w:tcW w:w="1176" w:type="pct"/>
                  <w:tcBorders>
                    <w:tl2br w:val="nil"/>
                    <w:tr2bl w:val="nil"/>
                  </w:tcBorders>
                  <w:noWrap w:val="0"/>
                  <w:vAlign w:val="center"/>
                </w:tcPr>
                <w:p w14:paraId="1A77023A">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蒸发</w:t>
                  </w:r>
                </w:p>
              </w:tc>
            </w:tr>
            <w:tr w14:paraId="693BE2A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59" w:type="pct"/>
                  <w:vMerge w:val="continue"/>
                  <w:tcBorders>
                    <w:tl2br w:val="nil"/>
                    <w:tr2bl w:val="nil"/>
                  </w:tcBorders>
                  <w:noWrap w:val="0"/>
                  <w:vAlign w:val="center"/>
                </w:tcPr>
                <w:p w14:paraId="4C45C5A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6B0F5E58">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28EFD0D4">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职工日常生活废水</w:t>
                  </w:r>
                </w:p>
              </w:tc>
              <w:tc>
                <w:tcPr>
                  <w:tcW w:w="904" w:type="pct"/>
                  <w:tcBorders>
                    <w:tl2br w:val="nil"/>
                    <w:tr2bl w:val="nil"/>
                  </w:tcBorders>
                  <w:noWrap w:val="0"/>
                  <w:vAlign w:val="center"/>
                </w:tcPr>
                <w:p w14:paraId="316EFDF8">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COD、SS、氨氮</w:t>
                  </w:r>
                </w:p>
              </w:tc>
              <w:tc>
                <w:tcPr>
                  <w:tcW w:w="471" w:type="pct"/>
                  <w:tcBorders>
                    <w:tl2br w:val="nil"/>
                    <w:tr2bl w:val="nil"/>
                  </w:tcBorders>
                  <w:noWrap w:val="0"/>
                  <w:vAlign w:val="center"/>
                </w:tcPr>
                <w:p w14:paraId="1A50D64A">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628" w:type="pct"/>
                  <w:tcBorders>
                    <w:tl2br w:val="nil"/>
                    <w:tr2bl w:val="nil"/>
                  </w:tcBorders>
                  <w:noWrap w:val="0"/>
                  <w:vAlign w:val="center"/>
                </w:tcPr>
                <w:p w14:paraId="448C2601">
                  <w:pPr>
                    <w:pStyle w:val="31"/>
                    <w:pBdr>
                      <w:top w:val="none" w:color="auto" w:sz="0" w:space="0"/>
                      <w:left w:val="none" w:color="auto" w:sz="0" w:space="0"/>
                      <w:bottom w:val="none" w:color="auto" w:sz="0" w:space="0"/>
                      <w:right w:val="none" w:color="auto" w:sz="0" w:space="0"/>
                    </w:pBd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76" w:type="pct"/>
                  <w:vMerge w:val="restart"/>
                  <w:tcBorders>
                    <w:tl2br w:val="nil"/>
                    <w:tr2bl w:val="nil"/>
                  </w:tcBorders>
                  <w:noWrap w:val="0"/>
                  <w:vAlign w:val="center"/>
                </w:tcPr>
                <w:p w14:paraId="424B8821">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经</w:t>
                  </w:r>
                  <w:r>
                    <w:rPr>
                      <w:rFonts w:hint="eastAsia" w:ascii="Times New Roman" w:hAnsi="Times New Roman" w:eastAsia="宋体" w:cs="Times New Roman"/>
                      <w:color w:val="auto"/>
                      <w:sz w:val="21"/>
                      <w:szCs w:val="21"/>
                      <w:highlight w:val="none"/>
                      <w:lang w:val="en-US" w:eastAsia="zh-CN"/>
                    </w:rPr>
                    <w:t>厂区化粪池预处理后，定期由环卫部门抽取</w:t>
                  </w:r>
                  <w:r>
                    <w:rPr>
                      <w:rFonts w:hint="eastAsia" w:ascii="Times New Roman" w:hAnsi="Times New Roman" w:eastAsia="宋体" w:cs="Times New Roman"/>
                      <w:color w:val="auto"/>
                      <w:sz w:val="21"/>
                      <w:szCs w:val="21"/>
                      <w:highlight w:val="none"/>
                      <w:lang w:eastAsia="zh-CN"/>
                    </w:rPr>
                    <w:t>。</w:t>
                  </w:r>
                </w:p>
              </w:tc>
            </w:tr>
            <w:tr w14:paraId="4D98FE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6739D91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17F3D60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6B3AA6C5">
                  <w:pPr>
                    <w:pStyle w:val="32"/>
                    <w:spacing w:line="240" w:lineRule="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食堂用水</w:t>
                  </w:r>
                </w:p>
              </w:tc>
              <w:tc>
                <w:tcPr>
                  <w:tcW w:w="904" w:type="pct"/>
                  <w:tcBorders>
                    <w:tl2br w:val="nil"/>
                    <w:tr2bl w:val="nil"/>
                  </w:tcBorders>
                  <w:noWrap w:val="0"/>
                  <w:vAlign w:val="center"/>
                </w:tcPr>
                <w:p w14:paraId="074424F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COD、SS、氨氮</w:t>
                  </w:r>
                </w:p>
              </w:tc>
              <w:tc>
                <w:tcPr>
                  <w:tcW w:w="471" w:type="pct"/>
                  <w:tcBorders>
                    <w:tl2br w:val="nil"/>
                    <w:tr2bl w:val="nil"/>
                  </w:tcBorders>
                  <w:noWrap w:val="0"/>
                  <w:vAlign w:val="center"/>
                </w:tcPr>
                <w:p w14:paraId="5FF19E19">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628" w:type="pct"/>
                  <w:tcBorders>
                    <w:tl2br w:val="nil"/>
                    <w:tr2bl w:val="nil"/>
                  </w:tcBorders>
                  <w:noWrap w:val="0"/>
                  <w:vAlign w:val="center"/>
                </w:tcPr>
                <w:p w14:paraId="3085390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76" w:type="pct"/>
                  <w:vMerge w:val="continue"/>
                  <w:tcBorders>
                    <w:tl2br w:val="nil"/>
                    <w:tr2bl w:val="nil"/>
                  </w:tcBorders>
                  <w:noWrap w:val="0"/>
                  <w:vAlign w:val="center"/>
                </w:tcPr>
                <w:p w14:paraId="06B77164">
                  <w:pPr>
                    <w:pStyle w:val="31"/>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color w:val="auto"/>
                      <w:sz w:val="21"/>
                      <w:szCs w:val="21"/>
                      <w:highlight w:val="none"/>
                      <w:lang w:eastAsia="zh-CN"/>
                    </w:rPr>
                  </w:pPr>
                </w:p>
              </w:tc>
            </w:tr>
            <w:tr w14:paraId="23DF32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459" w:type="pct"/>
                  <w:vMerge w:val="restart"/>
                  <w:tcBorders>
                    <w:tl2br w:val="nil"/>
                    <w:tr2bl w:val="nil"/>
                  </w:tcBorders>
                  <w:noWrap w:val="0"/>
                  <w:vAlign w:val="center"/>
                </w:tcPr>
                <w:p w14:paraId="1D6B407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457" w:type="pct"/>
                  <w:vMerge w:val="restart"/>
                  <w:tcBorders>
                    <w:tl2br w:val="nil"/>
                    <w:tr2bl w:val="nil"/>
                  </w:tcBorders>
                  <w:noWrap w:val="0"/>
                  <w:vAlign w:val="center"/>
                </w:tcPr>
                <w:p w14:paraId="690E1474">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w:t>
                  </w:r>
                </w:p>
              </w:tc>
              <w:tc>
                <w:tcPr>
                  <w:tcW w:w="904" w:type="pct"/>
                  <w:tcBorders>
                    <w:tl2br w:val="nil"/>
                    <w:tr2bl w:val="nil"/>
                  </w:tcBorders>
                  <w:noWrap w:val="0"/>
                  <w:vAlign w:val="center"/>
                </w:tcPr>
                <w:p w14:paraId="29047101">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w:t>
                  </w:r>
                  <w:r>
                    <w:rPr>
                      <w:rFonts w:hint="eastAsia" w:ascii="Times New Roman" w:hAnsi="Times New Roman" w:eastAsia="宋体" w:cs="Times New Roman"/>
                      <w:color w:val="auto"/>
                      <w:sz w:val="21"/>
                      <w:szCs w:val="21"/>
                      <w:highlight w:val="none"/>
                      <w:lang w:eastAsia="zh-CN"/>
                    </w:rPr>
                    <w:t>拆除及</w:t>
                  </w:r>
                  <w:r>
                    <w:rPr>
                      <w:rFonts w:hint="default" w:ascii="Times New Roman" w:hAnsi="Times New Roman" w:eastAsia="宋体" w:cs="Times New Roman"/>
                      <w:color w:val="auto"/>
                      <w:sz w:val="21"/>
                      <w:szCs w:val="21"/>
                      <w:highlight w:val="none"/>
                    </w:rPr>
                    <w:t>安装</w:t>
                  </w:r>
                </w:p>
              </w:tc>
              <w:tc>
                <w:tcPr>
                  <w:tcW w:w="904" w:type="pct"/>
                  <w:vMerge w:val="restart"/>
                  <w:tcBorders>
                    <w:tl2br w:val="nil"/>
                    <w:tr2bl w:val="nil"/>
                  </w:tcBorders>
                  <w:noWrap w:val="0"/>
                  <w:vAlign w:val="center"/>
                </w:tcPr>
                <w:p w14:paraId="659ECE5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w:t>
                  </w:r>
                </w:p>
                <w:p w14:paraId="68A8AEF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A声级</w:t>
                  </w:r>
                </w:p>
              </w:tc>
              <w:tc>
                <w:tcPr>
                  <w:tcW w:w="471" w:type="pct"/>
                  <w:vMerge w:val="restart"/>
                  <w:tcBorders>
                    <w:tl2br w:val="nil"/>
                    <w:tr2bl w:val="nil"/>
                  </w:tcBorders>
                  <w:noWrap w:val="0"/>
                  <w:vAlign w:val="center"/>
                </w:tcPr>
                <w:p w14:paraId="0AB22362">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628" w:type="pct"/>
                  <w:vMerge w:val="restart"/>
                  <w:tcBorders>
                    <w:tl2br w:val="nil"/>
                    <w:tr2bl w:val="nil"/>
                  </w:tcBorders>
                  <w:noWrap w:val="0"/>
                  <w:vAlign w:val="center"/>
                </w:tcPr>
                <w:p w14:paraId="0F287934">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76" w:type="pct"/>
                  <w:vMerge w:val="restart"/>
                  <w:tcBorders>
                    <w:tl2br w:val="nil"/>
                    <w:tr2bl w:val="nil"/>
                  </w:tcBorders>
                  <w:noWrap w:val="0"/>
                  <w:vAlign w:val="center"/>
                </w:tcPr>
                <w:p w14:paraId="1634DC29">
                  <w:pPr>
                    <w:pStyle w:val="32"/>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基础减振，厂房隔声等措施</w:t>
                  </w:r>
                </w:p>
              </w:tc>
            </w:tr>
            <w:tr w14:paraId="36DA1A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459" w:type="pct"/>
                  <w:vMerge w:val="continue"/>
                  <w:tcBorders>
                    <w:tl2br w:val="nil"/>
                    <w:tr2bl w:val="nil"/>
                  </w:tcBorders>
                  <w:noWrap w:val="0"/>
                  <w:vAlign w:val="center"/>
                </w:tcPr>
                <w:p w14:paraId="34E45CE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63EA63D4">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6FDF24C1">
                  <w:pPr>
                    <w:pStyle w:val="32"/>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厂房建设</w:t>
                  </w:r>
                </w:p>
              </w:tc>
              <w:tc>
                <w:tcPr>
                  <w:tcW w:w="904" w:type="pct"/>
                  <w:vMerge w:val="continue"/>
                  <w:tcBorders>
                    <w:tl2br w:val="nil"/>
                    <w:tr2bl w:val="nil"/>
                  </w:tcBorders>
                  <w:noWrap w:val="0"/>
                  <w:vAlign w:val="center"/>
                </w:tcPr>
                <w:p w14:paraId="4AC20863">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74C29551">
                  <w:pPr>
                    <w:pStyle w:val="32"/>
                    <w:spacing w:line="240" w:lineRule="auto"/>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BE294EB">
                  <w:pPr>
                    <w:pStyle w:val="32"/>
                    <w:spacing w:line="240" w:lineRule="auto"/>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1973DCE6">
                  <w:pPr>
                    <w:pStyle w:val="32"/>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21"/>
                      <w:szCs w:val="21"/>
                      <w:highlight w:val="none"/>
                    </w:rPr>
                  </w:pPr>
                </w:p>
              </w:tc>
            </w:tr>
            <w:tr w14:paraId="672846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02C7AE5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restart"/>
                  <w:tcBorders>
                    <w:tl2br w:val="nil"/>
                    <w:tr2bl w:val="nil"/>
                  </w:tcBorders>
                  <w:noWrap w:val="0"/>
                  <w:vAlign w:val="center"/>
                </w:tcPr>
                <w:p w14:paraId="08BDBE75">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生产运行</w:t>
                  </w:r>
                </w:p>
              </w:tc>
              <w:tc>
                <w:tcPr>
                  <w:tcW w:w="904" w:type="pct"/>
                  <w:tcBorders>
                    <w:tl2br w:val="nil"/>
                    <w:tr2bl w:val="nil"/>
                  </w:tcBorders>
                  <w:noWrap w:val="0"/>
                  <w:vAlign w:val="center"/>
                </w:tcPr>
                <w:p w14:paraId="6EF1ED0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w:t>
                  </w:r>
                  <w:r>
                    <w:rPr>
                      <w:rFonts w:hint="default" w:ascii="Times New Roman" w:hAnsi="Times New Roman" w:eastAsia="宋体" w:cs="Times New Roman"/>
                      <w:color w:val="auto"/>
                      <w:sz w:val="21"/>
                      <w:szCs w:val="21"/>
                      <w:highlight w:val="none"/>
                      <w:lang w:eastAsia="zh-CN"/>
                    </w:rPr>
                    <w:t>感应</w:t>
                  </w:r>
                  <w:r>
                    <w:rPr>
                      <w:rFonts w:hint="default" w:ascii="Times New Roman" w:hAnsi="Times New Roman" w:eastAsia="宋体" w:cs="Times New Roman"/>
                      <w:color w:val="auto"/>
                      <w:sz w:val="21"/>
                      <w:szCs w:val="21"/>
                      <w:highlight w:val="none"/>
                    </w:rPr>
                    <w:t>电炉</w:t>
                  </w:r>
                </w:p>
              </w:tc>
              <w:tc>
                <w:tcPr>
                  <w:tcW w:w="904" w:type="pct"/>
                  <w:vMerge w:val="continue"/>
                  <w:tcBorders>
                    <w:tl2br w:val="nil"/>
                    <w:tr2bl w:val="nil"/>
                  </w:tcBorders>
                  <w:noWrap w:val="0"/>
                  <w:vAlign w:val="center"/>
                </w:tcPr>
                <w:p w14:paraId="1BC262A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37921E1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EC1BE6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352840C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r>
            <w:tr w14:paraId="4D46D1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002031C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537A067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5422E5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冷却塔</w:t>
                  </w:r>
                </w:p>
              </w:tc>
              <w:tc>
                <w:tcPr>
                  <w:tcW w:w="904" w:type="pct"/>
                  <w:vMerge w:val="continue"/>
                  <w:tcBorders>
                    <w:tl2br w:val="nil"/>
                    <w:tr2bl w:val="nil"/>
                  </w:tcBorders>
                  <w:noWrap w:val="0"/>
                  <w:vAlign w:val="center"/>
                </w:tcPr>
                <w:p w14:paraId="7DCE9EEA">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58B4288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C30EDB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758CAC5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r>
            <w:tr w14:paraId="77A300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34B2E143">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42B323EE">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09DEC23A">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空气压缩机</w:t>
                  </w:r>
                </w:p>
              </w:tc>
              <w:tc>
                <w:tcPr>
                  <w:tcW w:w="904" w:type="pct"/>
                  <w:vMerge w:val="continue"/>
                  <w:tcBorders>
                    <w:tl2br w:val="nil"/>
                    <w:tr2bl w:val="nil"/>
                  </w:tcBorders>
                  <w:noWrap w:val="0"/>
                  <w:vAlign w:val="center"/>
                </w:tcPr>
                <w:p w14:paraId="018FD3AB">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27D343CB">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5195FE22">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12959AE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r>
            <w:tr w14:paraId="626C941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0AA0637F">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0BD363F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172BE23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除尘器风机</w:t>
                  </w:r>
                </w:p>
              </w:tc>
              <w:tc>
                <w:tcPr>
                  <w:tcW w:w="904" w:type="pct"/>
                  <w:vMerge w:val="continue"/>
                  <w:tcBorders>
                    <w:tl2br w:val="nil"/>
                    <w:tr2bl w:val="nil"/>
                  </w:tcBorders>
                  <w:noWrap w:val="0"/>
                  <w:vAlign w:val="center"/>
                </w:tcPr>
                <w:p w14:paraId="31950C3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5F711DA8">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13618BB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28A387D2">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r>
            <w:tr w14:paraId="5D7880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0233772C">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5A5BFC0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5155EF9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热处理炉</w:t>
                  </w:r>
                </w:p>
              </w:tc>
              <w:tc>
                <w:tcPr>
                  <w:tcW w:w="904" w:type="pct"/>
                  <w:vMerge w:val="continue"/>
                  <w:tcBorders>
                    <w:tl2br w:val="nil"/>
                    <w:tr2bl w:val="nil"/>
                  </w:tcBorders>
                  <w:noWrap w:val="0"/>
                  <w:vAlign w:val="center"/>
                </w:tcPr>
                <w:p w14:paraId="1A77B92D">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71" w:type="pct"/>
                  <w:vMerge w:val="continue"/>
                  <w:tcBorders>
                    <w:tl2br w:val="nil"/>
                    <w:tr2bl w:val="nil"/>
                  </w:tcBorders>
                  <w:noWrap w:val="0"/>
                  <w:vAlign w:val="center"/>
                </w:tcPr>
                <w:p w14:paraId="721EFA2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9F5C09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1DCE8C4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r>
            <w:tr w14:paraId="5F3424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restart"/>
                  <w:tcBorders>
                    <w:tl2br w:val="nil"/>
                    <w:tr2bl w:val="nil"/>
                  </w:tcBorders>
                  <w:noWrap w:val="0"/>
                  <w:vAlign w:val="center"/>
                </w:tcPr>
                <w:p w14:paraId="7542DD02">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457" w:type="pct"/>
                  <w:tcBorders>
                    <w:tl2br w:val="nil"/>
                    <w:tr2bl w:val="nil"/>
                  </w:tcBorders>
                  <w:noWrap w:val="0"/>
                  <w:vAlign w:val="center"/>
                </w:tcPr>
                <w:p w14:paraId="67DDF04F">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w:t>
                  </w:r>
                </w:p>
              </w:tc>
              <w:tc>
                <w:tcPr>
                  <w:tcW w:w="904" w:type="pct"/>
                  <w:tcBorders>
                    <w:tl2br w:val="nil"/>
                    <w:tr2bl w:val="nil"/>
                  </w:tcBorders>
                  <w:noWrap w:val="0"/>
                  <w:vAlign w:val="center"/>
                </w:tcPr>
                <w:p w14:paraId="4570B772">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施工人员</w:t>
                  </w:r>
                </w:p>
              </w:tc>
              <w:tc>
                <w:tcPr>
                  <w:tcW w:w="904" w:type="pct"/>
                  <w:tcBorders>
                    <w:tl2br w:val="nil"/>
                    <w:tr2bl w:val="nil"/>
                  </w:tcBorders>
                  <w:noWrap w:val="0"/>
                  <w:vAlign w:val="center"/>
                </w:tcPr>
                <w:p w14:paraId="48A6F6BB">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71" w:type="pct"/>
                  <w:vMerge w:val="restart"/>
                  <w:tcBorders>
                    <w:tl2br w:val="nil"/>
                    <w:tr2bl w:val="nil"/>
                  </w:tcBorders>
                  <w:noWrap w:val="0"/>
                  <w:vAlign w:val="center"/>
                </w:tcPr>
                <w:p w14:paraId="0657DE7F">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628" w:type="pct"/>
                  <w:vMerge w:val="restart"/>
                  <w:tcBorders>
                    <w:tl2br w:val="nil"/>
                    <w:tr2bl w:val="nil"/>
                  </w:tcBorders>
                  <w:noWrap w:val="0"/>
                  <w:vAlign w:val="center"/>
                </w:tcPr>
                <w:p w14:paraId="3B2E3265">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合理处置</w:t>
                  </w:r>
                </w:p>
              </w:tc>
              <w:tc>
                <w:tcPr>
                  <w:tcW w:w="1176" w:type="pct"/>
                  <w:vMerge w:val="restart"/>
                  <w:tcBorders>
                    <w:tl2br w:val="nil"/>
                    <w:tr2bl w:val="nil"/>
                  </w:tcBorders>
                  <w:noWrap w:val="0"/>
                  <w:vAlign w:val="center"/>
                </w:tcPr>
                <w:p w14:paraId="3B94C3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收集后定期委托环卫部门处理</w:t>
                  </w:r>
                </w:p>
              </w:tc>
            </w:tr>
            <w:tr w14:paraId="37307F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459" w:type="pct"/>
                  <w:vMerge w:val="continue"/>
                  <w:tcBorders>
                    <w:tl2br w:val="nil"/>
                    <w:tr2bl w:val="nil"/>
                  </w:tcBorders>
                  <w:noWrap w:val="0"/>
                  <w:vAlign w:val="center"/>
                </w:tcPr>
                <w:p w14:paraId="1D021A4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restart"/>
                  <w:tcBorders>
                    <w:tl2br w:val="nil"/>
                    <w:tr2bl w:val="nil"/>
                  </w:tcBorders>
                  <w:noWrap w:val="0"/>
                  <w:vAlign w:val="center"/>
                </w:tcPr>
                <w:p w14:paraId="2E97561C">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生产运行</w:t>
                  </w:r>
                </w:p>
              </w:tc>
              <w:tc>
                <w:tcPr>
                  <w:tcW w:w="904" w:type="pct"/>
                  <w:tcBorders>
                    <w:tl2br w:val="nil"/>
                    <w:tr2bl w:val="nil"/>
                  </w:tcBorders>
                  <w:noWrap w:val="0"/>
                  <w:vAlign w:val="center"/>
                </w:tcPr>
                <w:p w14:paraId="472E73DD">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办公人员</w:t>
                  </w:r>
                </w:p>
              </w:tc>
              <w:tc>
                <w:tcPr>
                  <w:tcW w:w="904" w:type="pct"/>
                  <w:tcBorders>
                    <w:tl2br w:val="nil"/>
                    <w:tr2bl w:val="nil"/>
                  </w:tcBorders>
                  <w:noWrap w:val="0"/>
                  <w:vAlign w:val="center"/>
                </w:tcPr>
                <w:p w14:paraId="2E3E5DCB">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71" w:type="pct"/>
                  <w:vMerge w:val="continue"/>
                  <w:tcBorders>
                    <w:tl2br w:val="nil"/>
                    <w:tr2bl w:val="nil"/>
                  </w:tcBorders>
                  <w:noWrap w:val="0"/>
                  <w:vAlign w:val="center"/>
                </w:tcPr>
                <w:p w14:paraId="501FB079">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59A239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60E0F378">
                  <w:pPr>
                    <w:jc w:val="center"/>
                    <w:rPr>
                      <w:rFonts w:hint="default" w:ascii="Times New Roman" w:hAnsi="Times New Roman" w:eastAsia="宋体" w:cs="Times New Roman"/>
                      <w:color w:val="auto"/>
                      <w:sz w:val="21"/>
                      <w:szCs w:val="21"/>
                      <w:highlight w:val="none"/>
                    </w:rPr>
                  </w:pPr>
                </w:p>
              </w:tc>
            </w:tr>
            <w:tr w14:paraId="6D186A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459" w:type="pct"/>
                  <w:vMerge w:val="continue"/>
                  <w:tcBorders>
                    <w:tl2br w:val="nil"/>
                    <w:tr2bl w:val="nil"/>
                  </w:tcBorders>
                  <w:noWrap w:val="0"/>
                  <w:vAlign w:val="center"/>
                </w:tcPr>
                <w:p w14:paraId="33CBC850">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69F805D7">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vMerge w:val="restart"/>
                  <w:tcBorders>
                    <w:tl2br w:val="nil"/>
                    <w:tr2bl w:val="nil"/>
                  </w:tcBorders>
                  <w:noWrap w:val="0"/>
                  <w:vAlign w:val="center"/>
                </w:tcPr>
                <w:p w14:paraId="596854B8">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感应电炉熔化</w:t>
                  </w:r>
                </w:p>
              </w:tc>
              <w:tc>
                <w:tcPr>
                  <w:tcW w:w="904" w:type="pct"/>
                  <w:tcBorders>
                    <w:tl2br w:val="nil"/>
                    <w:tr2bl w:val="nil"/>
                  </w:tcBorders>
                  <w:noWrap w:val="0"/>
                  <w:vAlign w:val="center"/>
                </w:tcPr>
                <w:p w14:paraId="17A7F23D">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21"/>
                      <w:sz w:val="21"/>
                      <w:szCs w:val="21"/>
                      <w:highlight w:val="none"/>
                      <w:lang w:eastAsia="zh-CN"/>
                    </w:rPr>
                    <w:t>白膜切割边角料</w:t>
                  </w:r>
                </w:p>
              </w:tc>
              <w:tc>
                <w:tcPr>
                  <w:tcW w:w="471" w:type="pct"/>
                  <w:vMerge w:val="continue"/>
                  <w:tcBorders>
                    <w:tl2br w:val="nil"/>
                    <w:tr2bl w:val="nil"/>
                  </w:tcBorders>
                  <w:noWrap w:val="0"/>
                  <w:vAlign w:val="center"/>
                </w:tcPr>
                <w:p w14:paraId="2CB61A7A">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0FDE8E0E">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66911FB7">
                  <w:pPr>
                    <w:pStyle w:val="33"/>
                    <w:jc w:val="center"/>
                    <w:rPr>
                      <w:rFonts w:hint="default" w:ascii="Times New Roman" w:hAnsi="Times New Roman" w:eastAsia="宋体" w:cs="Times New Roman"/>
                      <w:color w:val="auto"/>
                      <w:sz w:val="21"/>
                      <w:szCs w:val="21"/>
                      <w:highlight w:val="none"/>
                      <w:lang w:eastAsia="zh-CN"/>
                    </w:rPr>
                  </w:pPr>
                </w:p>
              </w:tc>
            </w:tr>
            <w:tr w14:paraId="6841A1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459" w:type="pct"/>
                  <w:vMerge w:val="continue"/>
                  <w:tcBorders>
                    <w:tl2br w:val="nil"/>
                    <w:tr2bl w:val="nil"/>
                  </w:tcBorders>
                  <w:noWrap w:val="0"/>
                  <w:vAlign w:val="center"/>
                </w:tcPr>
                <w:p w14:paraId="06BAB9BF">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0EFC4FEA">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vMerge w:val="continue"/>
                  <w:tcBorders>
                    <w:tl2br w:val="nil"/>
                    <w:tr2bl w:val="nil"/>
                  </w:tcBorders>
                  <w:noWrap w:val="0"/>
                  <w:vAlign w:val="center"/>
                </w:tcPr>
                <w:p w14:paraId="05DF53AF">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51E4B289">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炉渣</w:t>
                  </w:r>
                </w:p>
              </w:tc>
              <w:tc>
                <w:tcPr>
                  <w:tcW w:w="471" w:type="pct"/>
                  <w:vMerge w:val="continue"/>
                  <w:tcBorders>
                    <w:tl2br w:val="nil"/>
                    <w:tr2bl w:val="nil"/>
                  </w:tcBorders>
                  <w:noWrap w:val="0"/>
                  <w:vAlign w:val="center"/>
                </w:tcPr>
                <w:p w14:paraId="33C26B2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0E83534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restart"/>
                  <w:tcBorders>
                    <w:tl2br w:val="nil"/>
                    <w:tr2bl w:val="nil"/>
                  </w:tcBorders>
                  <w:noWrap w:val="0"/>
                  <w:vAlign w:val="center"/>
                </w:tcPr>
                <w:p w14:paraId="24799D5E">
                  <w:pPr>
                    <w:pStyle w:val="33"/>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外售</w:t>
                  </w:r>
                </w:p>
              </w:tc>
            </w:tr>
            <w:tr w14:paraId="655780C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459" w:type="pct"/>
                  <w:vMerge w:val="continue"/>
                  <w:tcBorders>
                    <w:tl2br w:val="nil"/>
                    <w:tr2bl w:val="nil"/>
                  </w:tcBorders>
                  <w:noWrap w:val="0"/>
                  <w:vAlign w:val="center"/>
                </w:tcPr>
                <w:p w14:paraId="48CD5F2E">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08505B5E">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vMerge w:val="continue"/>
                  <w:tcBorders>
                    <w:tl2br w:val="nil"/>
                    <w:tr2bl w:val="nil"/>
                  </w:tcBorders>
                  <w:noWrap w:val="0"/>
                  <w:vAlign w:val="center"/>
                </w:tcPr>
                <w:p w14:paraId="0A3AE207">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699A8937">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废炉衬</w:t>
                  </w:r>
                </w:p>
              </w:tc>
              <w:tc>
                <w:tcPr>
                  <w:tcW w:w="471" w:type="pct"/>
                  <w:vMerge w:val="continue"/>
                  <w:tcBorders>
                    <w:tl2br w:val="nil"/>
                    <w:tr2bl w:val="nil"/>
                  </w:tcBorders>
                  <w:noWrap w:val="0"/>
                  <w:vAlign w:val="center"/>
                </w:tcPr>
                <w:p w14:paraId="0DB738B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77038B9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60F92F98">
                  <w:pPr>
                    <w:pStyle w:val="33"/>
                    <w:jc w:val="center"/>
                    <w:rPr>
                      <w:rFonts w:hint="default" w:ascii="Times New Roman" w:hAnsi="Times New Roman" w:eastAsia="宋体" w:cs="Times New Roman"/>
                      <w:color w:val="auto"/>
                      <w:sz w:val="21"/>
                      <w:szCs w:val="21"/>
                      <w:highlight w:val="none"/>
                      <w:lang w:eastAsia="zh-CN"/>
                    </w:rPr>
                  </w:pPr>
                </w:p>
              </w:tc>
            </w:tr>
            <w:tr w14:paraId="404317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459" w:type="pct"/>
                  <w:vMerge w:val="continue"/>
                  <w:tcBorders>
                    <w:tl2br w:val="nil"/>
                    <w:tr2bl w:val="nil"/>
                  </w:tcBorders>
                  <w:noWrap w:val="0"/>
                  <w:vAlign w:val="center"/>
                </w:tcPr>
                <w:p w14:paraId="50A7729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50FF4481">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219F5212">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除尘器</w:t>
                  </w:r>
                </w:p>
              </w:tc>
              <w:tc>
                <w:tcPr>
                  <w:tcW w:w="904" w:type="pct"/>
                  <w:tcBorders>
                    <w:tl2br w:val="nil"/>
                    <w:tr2bl w:val="nil"/>
                  </w:tcBorders>
                  <w:noWrap w:val="0"/>
                  <w:vAlign w:val="center"/>
                </w:tcPr>
                <w:p w14:paraId="6F0682F5">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除尘灰</w:t>
                  </w:r>
                </w:p>
              </w:tc>
              <w:tc>
                <w:tcPr>
                  <w:tcW w:w="471" w:type="pct"/>
                  <w:vMerge w:val="continue"/>
                  <w:tcBorders>
                    <w:tl2br w:val="nil"/>
                    <w:tr2bl w:val="nil"/>
                  </w:tcBorders>
                  <w:noWrap w:val="0"/>
                  <w:vAlign w:val="center"/>
                </w:tcPr>
                <w:p w14:paraId="61C666A6">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3FF550F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2F569C6E">
                  <w:pPr>
                    <w:pStyle w:val="33"/>
                    <w:jc w:val="center"/>
                    <w:rPr>
                      <w:rFonts w:hint="eastAsia" w:ascii="Times New Roman" w:hAnsi="Times New Roman" w:eastAsia="宋体" w:cs="Times New Roman"/>
                      <w:color w:val="auto"/>
                      <w:sz w:val="21"/>
                      <w:szCs w:val="21"/>
                      <w:highlight w:val="none"/>
                      <w:lang w:eastAsia="zh-CN"/>
                    </w:rPr>
                  </w:pPr>
                </w:p>
              </w:tc>
            </w:tr>
            <w:tr w14:paraId="4A1223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459" w:type="pct"/>
                  <w:vMerge w:val="continue"/>
                  <w:tcBorders>
                    <w:tl2br w:val="nil"/>
                    <w:tr2bl w:val="nil"/>
                  </w:tcBorders>
                  <w:noWrap w:val="0"/>
                  <w:vAlign w:val="center"/>
                </w:tcPr>
                <w:p w14:paraId="2D31A468">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191903DF">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904" w:type="pct"/>
                  <w:vMerge w:val="restart"/>
                  <w:tcBorders>
                    <w:tl2br w:val="nil"/>
                    <w:tr2bl w:val="nil"/>
                  </w:tcBorders>
                  <w:noWrap w:val="0"/>
                  <w:vAlign w:val="center"/>
                </w:tcPr>
                <w:p w14:paraId="71AAA7D2">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砂处理</w:t>
                  </w:r>
                </w:p>
              </w:tc>
              <w:tc>
                <w:tcPr>
                  <w:tcW w:w="904" w:type="pct"/>
                  <w:tcBorders>
                    <w:tl2br w:val="nil"/>
                    <w:tr2bl w:val="nil"/>
                  </w:tcBorders>
                  <w:noWrap w:val="0"/>
                  <w:vAlign w:val="center"/>
                </w:tcPr>
                <w:p w14:paraId="06756AF2">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废砂</w:t>
                  </w:r>
                </w:p>
              </w:tc>
              <w:tc>
                <w:tcPr>
                  <w:tcW w:w="471" w:type="pct"/>
                  <w:vMerge w:val="continue"/>
                  <w:tcBorders>
                    <w:tl2br w:val="nil"/>
                    <w:tr2bl w:val="nil"/>
                  </w:tcBorders>
                  <w:noWrap w:val="0"/>
                  <w:vAlign w:val="center"/>
                </w:tcPr>
                <w:p w14:paraId="548730C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4C3888C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36AF1BE6">
                  <w:pPr>
                    <w:pStyle w:val="33"/>
                    <w:jc w:val="center"/>
                    <w:rPr>
                      <w:rFonts w:hint="eastAsia" w:ascii="Times New Roman" w:hAnsi="Times New Roman" w:eastAsia="宋体" w:cs="Times New Roman"/>
                      <w:color w:val="auto"/>
                      <w:sz w:val="21"/>
                      <w:szCs w:val="21"/>
                      <w:highlight w:val="none"/>
                      <w:lang w:eastAsia="zh-CN"/>
                    </w:rPr>
                  </w:pPr>
                </w:p>
              </w:tc>
            </w:tr>
            <w:tr w14:paraId="5C3165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075E20C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65EA6FC9">
                  <w:pPr>
                    <w:pStyle w:val="32"/>
                    <w:spacing w:line="240" w:lineRule="auto"/>
                    <w:rPr>
                      <w:rFonts w:hint="default" w:ascii="Times New Roman" w:hAnsi="Times New Roman" w:eastAsia="宋体" w:cs="Times New Roman"/>
                      <w:color w:val="auto"/>
                      <w:sz w:val="21"/>
                      <w:szCs w:val="21"/>
                      <w:highlight w:val="none"/>
                    </w:rPr>
                  </w:pPr>
                </w:p>
              </w:tc>
              <w:tc>
                <w:tcPr>
                  <w:tcW w:w="904" w:type="pct"/>
                  <w:vMerge w:val="continue"/>
                  <w:tcBorders>
                    <w:tl2br w:val="nil"/>
                    <w:tr2bl w:val="nil"/>
                  </w:tcBorders>
                  <w:noWrap w:val="0"/>
                  <w:vAlign w:val="center"/>
                </w:tcPr>
                <w:p w14:paraId="5EA5FD22">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28A83F00">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废包装袋</w:t>
                  </w:r>
                </w:p>
              </w:tc>
              <w:tc>
                <w:tcPr>
                  <w:tcW w:w="471" w:type="pct"/>
                  <w:vMerge w:val="continue"/>
                  <w:tcBorders>
                    <w:tl2br w:val="nil"/>
                    <w:tr2bl w:val="nil"/>
                  </w:tcBorders>
                  <w:noWrap w:val="0"/>
                  <w:vAlign w:val="center"/>
                </w:tcPr>
                <w:p w14:paraId="48C7EA1B">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002CAB9D">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tcBorders>
                    <w:tl2br w:val="nil"/>
                    <w:tr2bl w:val="nil"/>
                  </w:tcBorders>
                  <w:noWrap w:val="0"/>
                  <w:vAlign w:val="center"/>
                </w:tcPr>
                <w:p w14:paraId="7D9DE50A">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收集后定期委托环卫部门处理</w:t>
                  </w:r>
                </w:p>
              </w:tc>
            </w:tr>
            <w:tr w14:paraId="554562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4232E6D9">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0865DBD4">
                  <w:pPr>
                    <w:pStyle w:val="32"/>
                    <w:spacing w:line="240" w:lineRule="auto"/>
                    <w:rPr>
                      <w:rFonts w:hint="default" w:ascii="Times New Roman" w:hAnsi="Times New Roman" w:eastAsia="宋体" w:cs="Times New Roman"/>
                      <w:color w:val="auto"/>
                      <w:sz w:val="21"/>
                      <w:szCs w:val="21"/>
                      <w:highlight w:val="none"/>
                    </w:rPr>
                  </w:pPr>
                </w:p>
              </w:tc>
              <w:tc>
                <w:tcPr>
                  <w:tcW w:w="904" w:type="pct"/>
                  <w:vMerge w:val="restart"/>
                  <w:tcBorders>
                    <w:tl2br w:val="nil"/>
                    <w:tr2bl w:val="nil"/>
                  </w:tcBorders>
                  <w:noWrap w:val="0"/>
                  <w:vAlign w:val="center"/>
                </w:tcPr>
                <w:p w14:paraId="7022FBD4">
                  <w:pPr>
                    <w:pStyle w:val="32"/>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检查</w:t>
                  </w:r>
                </w:p>
              </w:tc>
              <w:tc>
                <w:tcPr>
                  <w:tcW w:w="904" w:type="pct"/>
                  <w:tcBorders>
                    <w:tl2br w:val="nil"/>
                    <w:tr2bl w:val="nil"/>
                  </w:tcBorders>
                  <w:noWrap w:val="0"/>
                  <w:vAlign w:val="center"/>
                </w:tcPr>
                <w:p w14:paraId="083A93D6">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铁屑</w:t>
                  </w:r>
                </w:p>
              </w:tc>
              <w:tc>
                <w:tcPr>
                  <w:tcW w:w="471" w:type="pct"/>
                  <w:vMerge w:val="continue"/>
                  <w:tcBorders>
                    <w:tl2br w:val="nil"/>
                    <w:tr2bl w:val="nil"/>
                  </w:tcBorders>
                  <w:noWrap w:val="0"/>
                  <w:vAlign w:val="center"/>
                </w:tcPr>
                <w:p w14:paraId="0FC0848A">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2E3BD195">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restart"/>
                  <w:tcBorders>
                    <w:tl2br w:val="nil"/>
                    <w:tr2bl w:val="nil"/>
                  </w:tcBorders>
                  <w:noWrap w:val="0"/>
                  <w:vAlign w:val="center"/>
                </w:tcPr>
                <w:p w14:paraId="3762319A">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收集后返回中频电炉回用于生产</w:t>
                  </w:r>
                </w:p>
              </w:tc>
            </w:tr>
            <w:tr w14:paraId="014C0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459" w:type="pct"/>
                  <w:vMerge w:val="continue"/>
                  <w:tcBorders>
                    <w:tl2br w:val="nil"/>
                    <w:tr2bl w:val="nil"/>
                  </w:tcBorders>
                  <w:noWrap w:val="0"/>
                  <w:vAlign w:val="center"/>
                </w:tcPr>
                <w:p w14:paraId="323F190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457" w:type="pct"/>
                  <w:vMerge w:val="continue"/>
                  <w:tcBorders>
                    <w:tl2br w:val="nil"/>
                    <w:tr2bl w:val="nil"/>
                  </w:tcBorders>
                  <w:noWrap w:val="0"/>
                  <w:vAlign w:val="center"/>
                </w:tcPr>
                <w:p w14:paraId="31D8ADEA">
                  <w:pPr>
                    <w:pStyle w:val="32"/>
                    <w:spacing w:line="240" w:lineRule="auto"/>
                    <w:rPr>
                      <w:rFonts w:hint="default" w:ascii="Times New Roman" w:hAnsi="Times New Roman" w:eastAsia="宋体" w:cs="Times New Roman"/>
                      <w:color w:val="auto"/>
                      <w:sz w:val="21"/>
                      <w:szCs w:val="21"/>
                      <w:highlight w:val="none"/>
                    </w:rPr>
                  </w:pPr>
                </w:p>
              </w:tc>
              <w:tc>
                <w:tcPr>
                  <w:tcW w:w="904" w:type="pct"/>
                  <w:vMerge w:val="continue"/>
                  <w:tcBorders>
                    <w:tl2br w:val="nil"/>
                    <w:tr2bl w:val="nil"/>
                  </w:tcBorders>
                  <w:noWrap w:val="0"/>
                  <w:vAlign w:val="center"/>
                </w:tcPr>
                <w:p w14:paraId="6F7A7C07">
                  <w:pPr>
                    <w:pStyle w:val="32"/>
                    <w:spacing w:line="240" w:lineRule="auto"/>
                    <w:rPr>
                      <w:rFonts w:hint="default" w:ascii="Times New Roman" w:hAnsi="Times New Roman" w:eastAsia="宋体" w:cs="Times New Roman"/>
                      <w:color w:val="auto"/>
                      <w:sz w:val="21"/>
                      <w:szCs w:val="21"/>
                      <w:highlight w:val="none"/>
                    </w:rPr>
                  </w:pPr>
                </w:p>
              </w:tc>
              <w:tc>
                <w:tcPr>
                  <w:tcW w:w="904" w:type="pct"/>
                  <w:tcBorders>
                    <w:tl2br w:val="nil"/>
                    <w:tr2bl w:val="nil"/>
                  </w:tcBorders>
                  <w:noWrap w:val="0"/>
                  <w:vAlign w:val="center"/>
                </w:tcPr>
                <w:p w14:paraId="4AB84E7E">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不合格产品</w:t>
                  </w:r>
                </w:p>
              </w:tc>
              <w:tc>
                <w:tcPr>
                  <w:tcW w:w="471" w:type="pct"/>
                  <w:vMerge w:val="continue"/>
                  <w:tcBorders>
                    <w:tl2br w:val="nil"/>
                    <w:tr2bl w:val="nil"/>
                  </w:tcBorders>
                  <w:noWrap w:val="0"/>
                  <w:vAlign w:val="center"/>
                </w:tcPr>
                <w:p w14:paraId="5009A244">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628" w:type="pct"/>
                  <w:vMerge w:val="continue"/>
                  <w:tcBorders>
                    <w:tl2br w:val="nil"/>
                    <w:tr2bl w:val="nil"/>
                  </w:tcBorders>
                  <w:noWrap w:val="0"/>
                  <w:vAlign w:val="center"/>
                </w:tcPr>
                <w:p w14:paraId="2BDF3D48">
                  <w:pPr>
                    <w:pStyle w:val="31"/>
                    <w:pBdr>
                      <w:top w:val="none" w:color="auto" w:sz="0" w:space="0"/>
                      <w:left w:val="none" w:color="auto" w:sz="0" w:space="0"/>
                      <w:bottom w:val="none" w:color="auto" w:sz="0" w:space="0"/>
                      <w:right w:val="none" w:color="auto" w:sz="0" w:space="0"/>
                    </w:pBdr>
                    <w:rPr>
                      <w:rFonts w:hint="default" w:ascii="Times New Roman" w:hAnsi="Times New Roman" w:eastAsia="宋体" w:cs="Times New Roman"/>
                      <w:color w:val="auto"/>
                      <w:sz w:val="21"/>
                      <w:szCs w:val="21"/>
                      <w:highlight w:val="none"/>
                    </w:rPr>
                  </w:pPr>
                </w:p>
              </w:tc>
              <w:tc>
                <w:tcPr>
                  <w:tcW w:w="1176" w:type="pct"/>
                  <w:vMerge w:val="continue"/>
                  <w:tcBorders>
                    <w:tl2br w:val="nil"/>
                    <w:tr2bl w:val="nil"/>
                  </w:tcBorders>
                  <w:noWrap w:val="0"/>
                  <w:vAlign w:val="center"/>
                </w:tcPr>
                <w:p w14:paraId="2926C82C">
                  <w:pPr>
                    <w:pStyle w:val="33"/>
                    <w:jc w:val="center"/>
                    <w:rPr>
                      <w:rFonts w:hint="default" w:ascii="Times New Roman" w:hAnsi="Times New Roman" w:eastAsia="宋体" w:cs="Times New Roman"/>
                      <w:color w:val="auto"/>
                      <w:sz w:val="21"/>
                      <w:szCs w:val="21"/>
                      <w:highlight w:val="none"/>
                    </w:rPr>
                  </w:pPr>
                </w:p>
              </w:tc>
            </w:tr>
          </w:tbl>
          <w:p w14:paraId="54C70043">
            <w:pPr>
              <w:rPr>
                <w:rFonts w:hint="eastAsia"/>
                <w:color w:val="auto"/>
                <w:highlight w:val="none"/>
                <w:lang w:eastAsia="zh-CN"/>
              </w:rPr>
            </w:pPr>
          </w:p>
        </w:tc>
      </w:tr>
      <w:tr w14:paraId="10A0A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2" w:hRule="atLeast"/>
        </w:trPr>
        <w:tc>
          <w:tcPr>
            <w:tcW w:w="823" w:type="dxa"/>
            <w:noWrap w:val="0"/>
            <w:vAlign w:val="center"/>
          </w:tcPr>
          <w:p w14:paraId="09F710E3">
            <w:pPr>
              <w:pStyle w:val="14"/>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161" w:type="dxa"/>
            <w:noWrap w:val="0"/>
            <w:vAlign w:val="top"/>
          </w:tcPr>
          <w:p w14:paraId="775045CD">
            <w:pPr>
              <w:autoSpaceDE w:val="0"/>
              <w:autoSpaceDN w:val="0"/>
              <w:adjustRightInd w:val="0"/>
              <w:snapToGrid w:val="0"/>
              <w:spacing w:line="480" w:lineRule="exact"/>
              <w:ind w:firstLine="480" w:firstLineChars="200"/>
              <w:jc w:val="left"/>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1、</w:t>
            </w:r>
            <w:r>
              <w:rPr>
                <w:rFonts w:hint="eastAsia" w:ascii="宋体" w:hAnsi="宋体" w:cs="宋体"/>
                <w:b w:val="0"/>
                <w:bCs w:val="0"/>
                <w:color w:val="auto"/>
                <w:sz w:val="24"/>
                <w:highlight w:val="none"/>
                <w:lang w:eastAsia="zh-CN"/>
              </w:rPr>
              <w:t>原</w:t>
            </w:r>
            <w:r>
              <w:rPr>
                <w:rFonts w:hint="eastAsia" w:ascii="宋体" w:hAnsi="宋体" w:cs="宋体"/>
                <w:b w:val="0"/>
                <w:bCs w:val="0"/>
                <w:color w:val="auto"/>
                <w:sz w:val="24"/>
                <w:highlight w:val="none"/>
              </w:rPr>
              <w:t>有工程环保手续</w:t>
            </w:r>
          </w:p>
          <w:p w14:paraId="08108042">
            <w:pPr>
              <w:autoSpaceDE w:val="0"/>
              <w:autoSpaceDN w:val="0"/>
              <w:adjustRightInd w:val="0"/>
              <w:snapToGrid w:val="0"/>
              <w:spacing w:line="480" w:lineRule="exact"/>
              <w:ind w:firstLine="420" w:firstLineChars="200"/>
              <w:jc w:val="left"/>
              <w:rPr>
                <w:b w:val="0"/>
                <w:bCs w:val="0"/>
                <w:color w:val="auto"/>
                <w:sz w:val="24"/>
                <w:highlight w:val="none"/>
              </w:rPr>
            </w:pPr>
            <w:r>
              <w:rPr>
                <w:rFonts w:hint="eastAsia"/>
                <w:b w:val="0"/>
                <w:bCs w:val="0"/>
                <w:color w:val="auto"/>
                <w:highlight w:val="none"/>
              </w:rPr>
              <w:t>（</w:t>
            </w:r>
            <w:r>
              <w:rPr>
                <w:b w:val="0"/>
                <w:bCs w:val="0"/>
                <w:color w:val="auto"/>
                <w:sz w:val="24"/>
                <w:highlight w:val="none"/>
              </w:rPr>
              <w:t>1）环评及竣工环保验收手续</w:t>
            </w:r>
          </w:p>
          <w:p w14:paraId="7681274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宋体" w:hAnsi="宋体" w:eastAsia="宋体"/>
                <w:bCs/>
                <w:color w:val="auto"/>
                <w:szCs w:val="21"/>
                <w:highlight w:val="none"/>
                <w:lang w:val="en-US" w:eastAsia="zh-CN"/>
              </w:rPr>
            </w:pPr>
            <w:r>
              <w:rPr>
                <w:rFonts w:hint="default" w:ascii="Times New Roman" w:hAnsi="Times New Roman" w:eastAsia="宋体" w:cs="Times New Roman"/>
                <w:color w:val="auto"/>
                <w:sz w:val="24"/>
                <w:szCs w:val="24"/>
                <w:highlight w:val="none"/>
                <w:lang w:val="en-GB" w:eastAsia="zh-CN"/>
              </w:rPr>
              <w:t>宽城双兴矿山设备制造有限公司</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位于</w:t>
            </w:r>
            <w:r>
              <w:rPr>
                <w:rFonts w:hint="default" w:ascii="Times New Roman" w:hAnsi="Times New Roman" w:eastAsia="宋体" w:cs="Times New Roman"/>
                <w:color w:val="auto"/>
                <w:sz w:val="24"/>
                <w:szCs w:val="24"/>
                <w:highlight w:val="none"/>
                <w:lang w:val="en-US" w:eastAsia="zh-CN"/>
              </w:rPr>
              <w:t>宽城满族自治县松岭镇木匠屯村。2020年9月委托河北资环勘测工程有限公司编制了《宽城双兴矿山设备制造有限公司年产30000吨矿山设备铸件项目》环境影响报告表，于2021年</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月取得</w:t>
            </w:r>
            <w:r>
              <w:rPr>
                <w:rFonts w:hint="default" w:ascii="Times New Roman" w:hAnsi="Times New Roman" w:eastAsia="宋体" w:cs="Times New Roman"/>
                <w:color w:val="auto"/>
                <w:sz w:val="24"/>
                <w:szCs w:val="24"/>
                <w:highlight w:val="none"/>
              </w:rPr>
              <w:t>承德市</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局</w:t>
            </w:r>
            <w:r>
              <w:rPr>
                <w:rFonts w:hint="default" w:ascii="Times New Roman" w:hAnsi="Times New Roman" w:eastAsia="宋体" w:cs="Times New Roman"/>
                <w:color w:val="auto"/>
                <w:sz w:val="24"/>
                <w:szCs w:val="24"/>
                <w:highlight w:val="none"/>
                <w:lang w:eastAsia="zh-CN"/>
              </w:rPr>
              <w:t>宽城满族自治县分局的</w:t>
            </w:r>
            <w:r>
              <w:rPr>
                <w:rFonts w:hint="default" w:ascii="Times New Roman" w:hAnsi="Times New Roman" w:eastAsia="宋体" w:cs="Times New Roman"/>
                <w:color w:val="auto"/>
                <w:sz w:val="24"/>
                <w:szCs w:val="24"/>
                <w:highlight w:val="none"/>
              </w:rPr>
              <w:t>审批意见，批复文号为</w:t>
            </w:r>
            <w:r>
              <w:rPr>
                <w:rFonts w:hint="default" w:ascii="Times New Roman" w:hAnsi="Times New Roman" w:eastAsia="宋体" w:cs="Times New Roman"/>
                <w:color w:val="auto"/>
                <w:sz w:val="24"/>
                <w:szCs w:val="24"/>
                <w:highlight w:val="none"/>
                <w:lang w:eastAsia="zh-CN"/>
              </w:rPr>
              <w:t>宽</w:t>
            </w:r>
            <w:r>
              <w:rPr>
                <w:rFonts w:hint="default" w:ascii="Times New Roman" w:hAnsi="Times New Roman" w:eastAsia="宋体" w:cs="Times New Roman"/>
                <w:color w:val="auto"/>
                <w:sz w:val="24"/>
                <w:szCs w:val="24"/>
                <w:highlight w:val="none"/>
              </w:rPr>
              <w:t>环</w:t>
            </w:r>
            <w:r>
              <w:rPr>
                <w:rFonts w:hint="default" w:ascii="Times New Roman" w:hAnsi="Times New Roman" w:eastAsia="宋体" w:cs="Times New Roman"/>
                <w:color w:val="auto"/>
                <w:sz w:val="24"/>
                <w:szCs w:val="24"/>
                <w:highlight w:val="none"/>
                <w:lang w:eastAsia="zh-CN"/>
              </w:rPr>
              <w:t>管批</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1号。</w:t>
            </w:r>
            <w:r>
              <w:rPr>
                <w:rFonts w:hint="default" w:ascii="Times New Roman" w:hAnsi="Times New Roman" w:eastAsia="宋体" w:cs="Times New Roman"/>
                <w:bCs/>
                <w:color w:val="auto"/>
                <w:sz w:val="24"/>
                <w:szCs w:val="24"/>
                <w:highlight w:val="none"/>
                <w:lang w:val="en-US" w:eastAsia="zh-CN"/>
              </w:rPr>
              <w:t>该项目于202</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年</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月完成环保设施的竣工环境保护</w:t>
            </w:r>
            <w:r>
              <w:rPr>
                <w:rFonts w:hint="eastAsia" w:ascii="Times New Roman" w:hAnsi="Times New Roman" w:eastAsia="宋体" w:cs="Times New Roman"/>
                <w:bCs/>
                <w:color w:val="auto"/>
                <w:sz w:val="24"/>
                <w:szCs w:val="24"/>
                <w:highlight w:val="none"/>
                <w:lang w:val="en-US" w:eastAsia="zh-CN"/>
              </w:rPr>
              <w:t>阶段性</w:t>
            </w:r>
            <w:r>
              <w:rPr>
                <w:rFonts w:hint="default" w:ascii="Times New Roman" w:hAnsi="Times New Roman" w:eastAsia="宋体" w:cs="Times New Roman"/>
                <w:bCs/>
                <w:color w:val="auto"/>
                <w:sz w:val="24"/>
                <w:szCs w:val="24"/>
                <w:highlight w:val="none"/>
                <w:lang w:val="en-US" w:eastAsia="zh-CN"/>
              </w:rPr>
              <w:t>验收，并取得验收意见</w:t>
            </w:r>
            <w:r>
              <w:rPr>
                <w:rFonts w:hint="eastAsia" w:ascii="Times New Roman" w:hAnsi="Times New Roman" w:eastAsia="宋体" w:cs="Times New Roman"/>
                <w:bCs/>
                <w:color w:val="auto"/>
                <w:sz w:val="24"/>
                <w:szCs w:val="24"/>
                <w:highlight w:val="none"/>
                <w:lang w:val="en-US" w:eastAsia="zh-CN"/>
              </w:rPr>
              <w:t>。本次验收涉及产能为17700t/a，剩余12300t/a产能未进行验收。</w:t>
            </w:r>
          </w:p>
          <w:p w14:paraId="53DE2EF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（2）</w:t>
            </w:r>
            <w:r>
              <w:rPr>
                <w:rFonts w:hint="default" w:ascii="Times New Roman" w:hAnsi="Times New Roman" w:eastAsia="宋体" w:cs="Times New Roman"/>
                <w:b w:val="0"/>
                <w:bCs w:val="0"/>
                <w:color w:val="auto"/>
                <w:sz w:val="24"/>
                <w:szCs w:val="24"/>
                <w:highlight w:val="none"/>
                <w:lang w:eastAsia="zh-CN"/>
              </w:rPr>
              <w:t>排污许可证</w:t>
            </w:r>
          </w:p>
          <w:p w14:paraId="24EE42B7">
            <w:pPr>
              <w:pStyle w:val="2"/>
              <w:keepNext w:val="0"/>
              <w:keepLines w:val="0"/>
              <w:pageBreakBefore w:val="0"/>
              <w:widowControl w:val="0"/>
              <w:kinsoku/>
              <w:wordWrap/>
              <w:overflowPunct/>
              <w:topLinePunct w:val="0"/>
              <w:bidi w:val="0"/>
              <w:spacing w:line="480" w:lineRule="exact"/>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排污许可证编号：</w:t>
            </w:r>
            <w:r>
              <w:rPr>
                <w:rFonts w:hint="default" w:ascii="Times New Roman" w:hAnsi="Times New Roman" w:eastAsia="宋体" w:cs="Times New Roman"/>
                <w:bCs/>
                <w:color w:val="auto"/>
                <w:sz w:val="24"/>
                <w:szCs w:val="24"/>
                <w:highlight w:val="none"/>
                <w:lang w:val="en-US" w:eastAsia="zh-CN"/>
              </w:rPr>
              <w:t>91130827598279324W001R</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有限期限：自2023年07月31至2028年07年30日止</w:t>
            </w:r>
            <w:r>
              <w:rPr>
                <w:rFonts w:hint="eastAsia" w:ascii="Times New Roman" w:hAnsi="Times New Roman" w:eastAsia="宋体" w:cs="Times New Roman"/>
                <w:bCs/>
                <w:color w:val="auto"/>
                <w:sz w:val="24"/>
                <w:szCs w:val="24"/>
                <w:highlight w:val="none"/>
                <w:lang w:val="en-US" w:eastAsia="zh-CN"/>
              </w:rPr>
              <w:t>。</w:t>
            </w:r>
          </w:p>
          <w:p w14:paraId="5D68B14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eastAsia="宋体"/>
                <w:b w:val="0"/>
                <w:bCs w:val="0"/>
                <w:color w:val="auto"/>
                <w:sz w:val="24"/>
                <w:highlight w:val="none"/>
                <w:lang w:eastAsia="zh-CN"/>
              </w:rPr>
            </w:pPr>
            <w:r>
              <w:rPr>
                <w:rFonts w:hint="eastAsia"/>
                <w:b w:val="0"/>
                <w:bCs w:val="0"/>
                <w:color w:val="auto"/>
                <w:sz w:val="24"/>
                <w:highlight w:val="none"/>
              </w:rPr>
              <w:t>2、</w:t>
            </w:r>
            <w:r>
              <w:rPr>
                <w:rFonts w:hint="eastAsia"/>
                <w:b w:val="0"/>
                <w:bCs w:val="0"/>
                <w:color w:val="auto"/>
                <w:sz w:val="24"/>
                <w:highlight w:val="none"/>
                <w:lang w:eastAsia="zh-CN"/>
              </w:rPr>
              <w:t>原有项目情况</w:t>
            </w:r>
          </w:p>
          <w:p w14:paraId="717ED9B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b w:val="0"/>
                <w:bCs w:val="0"/>
                <w:color w:val="auto"/>
                <w:sz w:val="24"/>
                <w:highlight w:val="none"/>
              </w:rPr>
            </w:pPr>
            <w:r>
              <w:rPr>
                <w:b w:val="0"/>
                <w:bCs w:val="0"/>
                <w:color w:val="auto"/>
                <w:sz w:val="24"/>
                <w:highlight w:val="none"/>
              </w:rPr>
              <w:t>（1）</w:t>
            </w:r>
            <w:r>
              <w:rPr>
                <w:rFonts w:hint="eastAsia"/>
                <w:b w:val="0"/>
                <w:bCs w:val="0"/>
                <w:color w:val="auto"/>
                <w:sz w:val="24"/>
                <w:highlight w:val="none"/>
                <w:lang w:eastAsia="zh-CN"/>
              </w:rPr>
              <w:t>原有</w:t>
            </w:r>
            <w:r>
              <w:rPr>
                <w:b w:val="0"/>
                <w:bCs w:val="0"/>
                <w:color w:val="auto"/>
                <w:sz w:val="24"/>
                <w:highlight w:val="none"/>
              </w:rPr>
              <w:t>项目基本概况</w:t>
            </w:r>
          </w:p>
          <w:p w14:paraId="781FD74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color w:val="auto"/>
                <w:sz w:val="24"/>
                <w:highlight w:val="none"/>
              </w:rPr>
            </w:pPr>
            <w:r>
              <w:rPr>
                <w:color w:val="auto"/>
                <w:sz w:val="24"/>
                <w:highlight w:val="none"/>
              </w:rPr>
              <w:t>项目名称：</w:t>
            </w:r>
            <w:r>
              <w:rPr>
                <w:rFonts w:hint="default" w:ascii="Times New Roman" w:hAnsi="Times New Roman" w:eastAsia="宋体" w:cs="Times New Roman"/>
                <w:color w:val="auto"/>
                <w:sz w:val="24"/>
                <w:szCs w:val="24"/>
                <w:highlight w:val="none"/>
                <w:lang w:val="en-US" w:eastAsia="zh-CN"/>
              </w:rPr>
              <w:t>宽城双兴矿山设备制造有限公司年产30000吨矿山设备铸件项目</w:t>
            </w:r>
            <w:r>
              <w:rPr>
                <w:color w:val="auto"/>
                <w:sz w:val="24"/>
                <w:highlight w:val="none"/>
              </w:rPr>
              <w:t>；</w:t>
            </w:r>
          </w:p>
          <w:p w14:paraId="434EDD99">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color w:val="auto"/>
                <w:sz w:val="24"/>
                <w:highlight w:val="none"/>
              </w:rPr>
            </w:pPr>
            <w:r>
              <w:rPr>
                <w:color w:val="auto"/>
                <w:sz w:val="24"/>
                <w:highlight w:val="none"/>
              </w:rPr>
              <w:t>项目性质：</w:t>
            </w:r>
            <w:r>
              <w:rPr>
                <w:rFonts w:hint="eastAsia"/>
                <w:color w:val="auto"/>
                <w:sz w:val="24"/>
                <w:highlight w:val="none"/>
                <w:lang w:eastAsia="zh-CN"/>
              </w:rPr>
              <w:t>新</w:t>
            </w:r>
            <w:r>
              <w:rPr>
                <w:color w:val="auto"/>
                <w:sz w:val="24"/>
                <w:highlight w:val="none"/>
              </w:rPr>
              <w:t>建；</w:t>
            </w:r>
          </w:p>
          <w:p w14:paraId="53F7168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color w:val="auto"/>
                <w:sz w:val="24"/>
                <w:highlight w:val="none"/>
              </w:rPr>
            </w:pPr>
            <w:r>
              <w:rPr>
                <w:color w:val="auto"/>
                <w:sz w:val="24"/>
                <w:highlight w:val="none"/>
              </w:rPr>
              <w:t>建设单位：</w:t>
            </w:r>
            <w:r>
              <w:rPr>
                <w:rFonts w:hint="default" w:ascii="Times New Roman" w:hAnsi="Times New Roman" w:eastAsia="宋体" w:cs="Times New Roman"/>
                <w:color w:val="auto"/>
                <w:sz w:val="24"/>
                <w:szCs w:val="24"/>
                <w:highlight w:val="none"/>
                <w:lang w:val="en-GB" w:eastAsia="zh-CN"/>
              </w:rPr>
              <w:t>宽城双兴矿山设备制造有限公司</w:t>
            </w:r>
            <w:r>
              <w:rPr>
                <w:color w:val="auto"/>
                <w:sz w:val="24"/>
                <w:highlight w:val="none"/>
              </w:rPr>
              <w:t>；</w:t>
            </w:r>
          </w:p>
          <w:p w14:paraId="276D3B50">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color w:val="auto"/>
                <w:sz w:val="24"/>
                <w:highlight w:val="none"/>
              </w:rPr>
            </w:pPr>
            <w:r>
              <w:rPr>
                <w:color w:val="auto"/>
                <w:sz w:val="24"/>
                <w:highlight w:val="none"/>
              </w:rPr>
              <w:t>建设地点：本项目位于河北省承德市</w:t>
            </w:r>
            <w:r>
              <w:rPr>
                <w:rFonts w:hint="eastAsia" w:ascii="宋体" w:hAnsi="宋体"/>
                <w:color w:val="auto"/>
                <w:sz w:val="24"/>
                <w:szCs w:val="24"/>
                <w:highlight w:val="none"/>
                <w:lang w:val="en-US" w:eastAsia="zh-CN"/>
              </w:rPr>
              <w:t>宽城满族自治县松岭镇木匠屯村</w:t>
            </w:r>
            <w:r>
              <w:rPr>
                <w:color w:val="auto"/>
                <w:sz w:val="24"/>
                <w:highlight w:val="none"/>
              </w:rPr>
              <w:t>。中心坐标</w:t>
            </w:r>
            <w:r>
              <w:rPr>
                <w:rFonts w:hint="eastAsia"/>
                <w:color w:val="auto"/>
                <w:sz w:val="24"/>
                <w:highlight w:val="none"/>
                <w:lang w:eastAsia="zh-CN"/>
              </w:rPr>
              <w:t>：</w:t>
            </w:r>
            <w:r>
              <w:rPr>
                <w:rFonts w:hint="default" w:ascii="Times New Roman" w:hAnsi="Times New Roman" w:cs="Times New Roman"/>
                <w:color w:val="auto"/>
                <w:sz w:val="24"/>
                <w:szCs w:val="24"/>
                <w:highlight w:val="none"/>
                <w:lang w:val="en-GB"/>
              </w:rPr>
              <w:t>E118.56324</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lang w:val="en-GB" w:eastAsia="zh-CN"/>
              </w:rPr>
              <w:t>、</w:t>
            </w:r>
            <w:r>
              <w:rPr>
                <w:rFonts w:hint="default" w:ascii="Times New Roman" w:hAnsi="Times New Roman" w:cs="Times New Roman"/>
                <w:color w:val="auto"/>
                <w:sz w:val="24"/>
                <w:szCs w:val="24"/>
                <w:highlight w:val="none"/>
                <w:lang w:val="en-GB"/>
              </w:rPr>
              <w:t>N40.434841°</w:t>
            </w:r>
            <w:r>
              <w:rPr>
                <w:color w:val="auto"/>
                <w:sz w:val="24"/>
                <w:highlight w:val="none"/>
              </w:rPr>
              <w:t>。</w:t>
            </w:r>
          </w:p>
          <w:p w14:paraId="581E2A7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color w:val="auto"/>
                <w:highlight w:val="none"/>
                <w:lang w:val="en-US"/>
              </w:rPr>
            </w:pPr>
            <w:r>
              <w:rPr>
                <w:color w:val="auto"/>
                <w:sz w:val="24"/>
                <w:highlight w:val="none"/>
              </w:rPr>
              <w:t>建设内容：</w:t>
            </w:r>
            <w:r>
              <w:rPr>
                <w:rFonts w:hint="eastAsia"/>
                <w:color w:val="auto"/>
                <w:sz w:val="24"/>
                <w:highlight w:val="none"/>
                <w:lang w:eastAsia="zh-CN"/>
              </w:rPr>
              <w:t>厂区占地面积</w:t>
            </w:r>
            <w:r>
              <w:rPr>
                <w:rFonts w:hint="eastAsia"/>
                <w:color w:val="auto"/>
                <w:sz w:val="24"/>
                <w:highlight w:val="none"/>
                <w:lang w:val="en-US" w:eastAsia="zh-CN"/>
              </w:rPr>
              <w:t>25亩，总建筑面积14500平方米，包括铸件车间，热处理车间、清洁车间、机加工车间、库房、办公楼、生产辅房等配套设施。</w:t>
            </w:r>
          </w:p>
          <w:p w14:paraId="6E5493B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color w:val="auto"/>
                <w:sz w:val="24"/>
                <w:highlight w:val="none"/>
                <w:lang w:val="en-US" w:eastAsia="zh-CN"/>
              </w:rPr>
            </w:pPr>
            <w:r>
              <w:rPr>
                <w:color w:val="auto"/>
                <w:sz w:val="24"/>
                <w:highlight w:val="none"/>
              </w:rPr>
              <w:t>建设规模：</w:t>
            </w:r>
            <w:r>
              <w:rPr>
                <w:rFonts w:hint="eastAsia"/>
                <w:color w:val="auto"/>
                <w:sz w:val="24"/>
                <w:highlight w:val="none"/>
                <w:lang w:eastAsia="zh-CN"/>
              </w:rPr>
              <w:t>购置主要设备中频感应电炉、消失模生产线、真空负压系统、发泡机、成型机、振实台等，年产</w:t>
            </w:r>
            <w:r>
              <w:rPr>
                <w:rFonts w:hint="eastAsia"/>
                <w:color w:val="auto"/>
                <w:sz w:val="24"/>
                <w:highlight w:val="none"/>
                <w:lang w:val="en-US" w:eastAsia="zh-CN"/>
              </w:rPr>
              <w:t>30000吨铸件。</w:t>
            </w:r>
          </w:p>
          <w:p w14:paraId="2C622756">
            <w:pPr>
              <w:keepNext w:val="0"/>
              <w:keepLines w:val="0"/>
              <w:pageBreakBefore w:val="0"/>
              <w:widowControl w:val="0"/>
              <w:numPr>
                <w:ilvl w:val="0"/>
                <w:numId w:val="3"/>
              </w:numPr>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color w:val="auto"/>
                <w:sz w:val="24"/>
                <w:highlight w:val="none"/>
                <w:lang w:val="en-US" w:eastAsia="zh-CN"/>
              </w:rPr>
            </w:pPr>
            <w:r>
              <w:rPr>
                <w:rFonts w:hint="eastAsia"/>
                <w:color w:val="auto"/>
                <w:sz w:val="24"/>
                <w:highlight w:val="none"/>
                <w:lang w:val="en-US" w:eastAsia="zh-CN"/>
              </w:rPr>
              <w:t>工程内容</w:t>
            </w:r>
          </w:p>
          <w:p w14:paraId="4F806EB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center"/>
              <w:textAlignment w:val="auto"/>
              <w:rPr>
                <w:rFonts w:hint="eastAsia"/>
                <w:color w:val="auto"/>
                <w:sz w:val="24"/>
                <w:highlight w:val="none"/>
                <w:lang w:val="en-US" w:eastAsia="zh-CN"/>
              </w:rPr>
            </w:pPr>
            <w:r>
              <w:rPr>
                <w:rFonts w:hint="eastAsia"/>
                <w:color w:val="auto"/>
                <w:sz w:val="24"/>
                <w:highlight w:val="none"/>
                <w:lang w:val="en-US" w:eastAsia="zh-CN"/>
              </w:rPr>
              <w:t>表2-7 主要工程内容一览表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652"/>
              <w:gridCol w:w="5138"/>
            </w:tblGrid>
            <w:tr w14:paraId="0CF2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720" w:type="pct"/>
                  <w:tcBorders>
                    <w:top w:val="single" w:color="auto" w:sz="4" w:space="0"/>
                    <w:left w:val="single" w:color="auto" w:sz="4" w:space="0"/>
                    <w:bottom w:val="single" w:color="auto" w:sz="4" w:space="0"/>
                    <w:right w:val="single" w:color="auto" w:sz="4" w:space="0"/>
                  </w:tcBorders>
                  <w:noWrap w:val="0"/>
                  <w:vAlign w:val="center"/>
                </w:tcPr>
                <w:p w14:paraId="741D024E">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工程类别</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7EC2CDC7">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p w14:paraId="5F961D68">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0122652C">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建设内容</w:t>
                  </w:r>
                </w:p>
              </w:tc>
            </w:tr>
            <w:tr w14:paraId="7FA5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exact"/>
                <w:jc w:val="center"/>
              </w:trPr>
              <w:tc>
                <w:tcPr>
                  <w:tcW w:w="720" w:type="pct"/>
                  <w:vMerge w:val="restart"/>
                  <w:tcBorders>
                    <w:top w:val="single" w:color="auto" w:sz="4" w:space="0"/>
                    <w:left w:val="single" w:color="auto" w:sz="4" w:space="0"/>
                    <w:right w:val="single" w:color="auto" w:sz="4" w:space="0"/>
                  </w:tcBorders>
                  <w:noWrap w:val="0"/>
                  <w:vAlign w:val="center"/>
                </w:tcPr>
                <w:p w14:paraId="35E35110">
                  <w:pPr>
                    <w:keepNext w:val="0"/>
                    <w:keepLines w:val="0"/>
                    <w:pageBreakBefore w:val="0"/>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3C281EE1">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铸造厂房</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62A80CC9">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1#合金球生产线</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val="en-US" w:eastAsia="zh-CN"/>
                    </w:rPr>
                    <w:t>合金球自动化生产线，电炉为2台1.2t钢壳中频感应电炉；</w:t>
                  </w:r>
                </w:p>
                <w:p w14:paraId="3E7B1802">
                  <w:pPr>
                    <w:keepNext w:val="0"/>
                    <w:keepLines w:val="0"/>
                    <w:pageBreakBefore w:val="0"/>
                    <w:widowControl/>
                    <w:kinsoku/>
                    <w:wordWrap/>
                    <w:overflowPunct/>
                    <w:topLinePunct w:val="0"/>
                    <w:autoSpaceDE/>
                    <w:autoSpaceDN/>
                    <w:bidi w:val="0"/>
                    <w:adjustRightInd/>
                    <w:snapToGrid/>
                    <w:spacing w:after="0" w:line="28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2#合金球生产线为1.5t钢壳中频感应电炉</w:t>
                  </w:r>
                  <w:r>
                    <w:rPr>
                      <w:rFonts w:hint="eastAsia" w:ascii="Times New Roman" w:hAnsi="Times New Roman" w:eastAsia="宋体" w:cs="Times New Roman"/>
                      <w:color w:val="auto"/>
                      <w:sz w:val="21"/>
                      <w:szCs w:val="21"/>
                      <w:highlight w:val="none"/>
                      <w:lang w:val="en-US" w:eastAsia="zh-CN"/>
                    </w:rPr>
                    <w:t>。</w:t>
                  </w:r>
                </w:p>
                <w:p w14:paraId="067A687C">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厂房内西侧场地建设1#消失模生产线，生产线设备分区设置，分为北侧熔化区，为1台3.5t钢壳中频感应电炉，中部为浇注区，东南侧热处理区，西侧为砂处理区。</w:t>
                  </w:r>
                </w:p>
              </w:tc>
            </w:tr>
            <w:tr w14:paraId="44D2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720" w:type="pct"/>
                  <w:vMerge w:val="continue"/>
                  <w:tcBorders>
                    <w:left w:val="single" w:color="auto" w:sz="4" w:space="0"/>
                    <w:right w:val="single" w:color="auto" w:sz="4" w:space="0"/>
                  </w:tcBorders>
                  <w:noWrap w:val="0"/>
                  <w:vAlign w:val="center"/>
                </w:tcPr>
                <w:p w14:paraId="54AF5DE4">
                  <w:pPr>
                    <w:keepNext w:val="0"/>
                    <w:keepLines w:val="0"/>
                    <w:pageBreakBefore w:val="0"/>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top w:val="single" w:color="auto" w:sz="4" w:space="0"/>
                    <w:left w:val="single" w:color="auto" w:sz="4" w:space="0"/>
                    <w:right w:val="single" w:color="auto" w:sz="4" w:space="0"/>
                  </w:tcBorders>
                  <w:noWrap w:val="0"/>
                  <w:vAlign w:val="center"/>
                </w:tcPr>
                <w:p w14:paraId="28299A60">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自动化厂房</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7DD7A4F8">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铸造厂房建设自动化厂房一座，面积1800㎡，</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一条合金球自动化生产线，北侧熔化区建设2台1.2t钢壳中频感应电炉，西部为合金球自动化设备，东部为合金球清理区，南侧为热处理区。</w:t>
                  </w:r>
                </w:p>
              </w:tc>
            </w:tr>
            <w:tr w14:paraId="4AAA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exact"/>
                <w:jc w:val="center"/>
              </w:trPr>
              <w:tc>
                <w:tcPr>
                  <w:tcW w:w="720" w:type="pct"/>
                  <w:vMerge w:val="continue"/>
                  <w:tcBorders>
                    <w:left w:val="single" w:color="auto" w:sz="4" w:space="0"/>
                    <w:right w:val="single" w:color="auto" w:sz="4" w:space="0"/>
                  </w:tcBorders>
                  <w:noWrap w:val="0"/>
                  <w:vAlign w:val="center"/>
                </w:tcPr>
                <w:p w14:paraId="55132CD9">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left w:val="single" w:color="auto" w:sz="4" w:space="0"/>
                    <w:right w:val="single" w:color="auto" w:sz="4" w:space="0"/>
                  </w:tcBorders>
                  <w:noWrap w:val="0"/>
                  <w:vAlign w:val="center"/>
                </w:tcPr>
                <w:p w14:paraId="629D2384">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铸造加工厂房</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670586E6">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面积3080㎡，厂房分作南北两间。北侧为2#消失模生产线车间（1540㎡），生产线设备分区设置，东侧为熔化区，设置1.5t钢壳中频感应电炉1台，中部北侧为设置再生成套设备1套，南部为浇注区，西部为热处理区，封闭抛丸机位于车间西北；南侧车间为机加工车间（1540㎡），设备分区设置，中南部依次排列车床、镗床、摇臂钻等加工设备。</w:t>
                  </w:r>
                </w:p>
                <w:p w14:paraId="79717055">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rPr>
                  </w:pPr>
                </w:p>
              </w:tc>
            </w:tr>
            <w:tr w14:paraId="6BD4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jc w:val="center"/>
              </w:trPr>
              <w:tc>
                <w:tcPr>
                  <w:tcW w:w="720" w:type="pct"/>
                  <w:vMerge w:val="continue"/>
                  <w:tcBorders>
                    <w:left w:val="single" w:color="auto" w:sz="4" w:space="0"/>
                    <w:right w:val="single" w:color="auto" w:sz="4" w:space="0"/>
                  </w:tcBorders>
                  <w:noWrap w:val="0"/>
                  <w:vAlign w:val="center"/>
                </w:tcPr>
                <w:p w14:paraId="1316EB0A">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left w:val="single" w:color="auto" w:sz="4" w:space="0"/>
                    <w:right w:val="single" w:color="auto" w:sz="4" w:space="0"/>
                  </w:tcBorders>
                  <w:noWrap w:val="0"/>
                  <w:vAlign w:val="center"/>
                </w:tcPr>
                <w:p w14:paraId="303D304E">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产品库房一</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04ADC2F8">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自动化车间东侧，用于存储附近车间产品。</w:t>
                  </w:r>
                </w:p>
                <w:p w14:paraId="44860054">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p>
              </w:tc>
            </w:tr>
            <w:tr w14:paraId="1B6B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720" w:type="pct"/>
                  <w:vMerge w:val="continue"/>
                  <w:tcBorders>
                    <w:left w:val="single" w:color="auto" w:sz="4" w:space="0"/>
                    <w:right w:val="single" w:color="auto" w:sz="4" w:space="0"/>
                  </w:tcBorders>
                  <w:noWrap w:val="0"/>
                  <w:vAlign w:val="center"/>
                </w:tcPr>
                <w:p w14:paraId="71BFF075">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left w:val="single" w:color="auto" w:sz="4" w:space="0"/>
                    <w:right w:val="single" w:color="auto" w:sz="4" w:space="0"/>
                  </w:tcBorders>
                  <w:noWrap w:val="0"/>
                  <w:vAlign w:val="center"/>
                </w:tcPr>
                <w:p w14:paraId="3368F59D">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产品库房二</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3D03BFAE">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铸造厂房西侧，用于存储附近车间产品。</w:t>
                  </w:r>
                </w:p>
                <w:p w14:paraId="179289BD">
                  <w:pPr>
                    <w:keepNext w:val="0"/>
                    <w:keepLines w:val="0"/>
                    <w:pageBreakBefore w:val="0"/>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p>
              </w:tc>
            </w:tr>
            <w:tr w14:paraId="5078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jc w:val="center"/>
              </w:trPr>
              <w:tc>
                <w:tcPr>
                  <w:tcW w:w="720" w:type="pct"/>
                  <w:vMerge w:val="continue"/>
                  <w:tcBorders>
                    <w:left w:val="single" w:color="auto" w:sz="4" w:space="0"/>
                    <w:right w:val="single" w:color="auto" w:sz="4" w:space="0"/>
                  </w:tcBorders>
                  <w:noWrap w:val="0"/>
                  <w:vAlign w:val="center"/>
                </w:tcPr>
                <w:p w14:paraId="68CD601D">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left w:val="single" w:color="auto" w:sz="4" w:space="0"/>
                    <w:right w:val="single" w:color="auto" w:sz="4" w:space="0"/>
                  </w:tcBorders>
                  <w:noWrap w:val="0"/>
                  <w:vAlign w:val="center"/>
                </w:tcPr>
                <w:p w14:paraId="2B6ADE82">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原料库</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766B0ADA">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紧邻</w:t>
                  </w:r>
                  <w:r>
                    <w:rPr>
                      <w:rFonts w:hint="eastAsia" w:ascii="Times New Roman" w:hAnsi="Times New Roman" w:eastAsia="宋体" w:cs="Times New Roman"/>
                      <w:b w:val="0"/>
                      <w:bCs w:val="0"/>
                      <w:color w:val="auto"/>
                      <w:sz w:val="21"/>
                      <w:szCs w:val="21"/>
                      <w:highlight w:val="none"/>
                      <w:lang w:val="en-US" w:eastAsia="zh-CN"/>
                    </w:rPr>
                    <w:t>产品</w:t>
                  </w:r>
                  <w:r>
                    <w:rPr>
                      <w:rFonts w:hint="default" w:ascii="Times New Roman" w:hAnsi="Times New Roman" w:eastAsia="宋体" w:cs="Times New Roman"/>
                      <w:b w:val="0"/>
                      <w:bCs w:val="0"/>
                      <w:color w:val="auto"/>
                      <w:sz w:val="21"/>
                      <w:szCs w:val="21"/>
                      <w:highlight w:val="none"/>
                      <w:lang w:val="en-US" w:eastAsia="zh-CN"/>
                    </w:rPr>
                    <w:t>库房二，建筑面积约</w:t>
                  </w:r>
                  <w:r>
                    <w:rPr>
                      <w:rFonts w:hint="default" w:ascii="Times New Roman" w:hAnsi="Times New Roman" w:eastAsia="宋体" w:cs="Times New Roman"/>
                      <w:color w:val="auto"/>
                      <w:sz w:val="21"/>
                      <w:szCs w:val="21"/>
                      <w:highlight w:val="none"/>
                      <w:lang w:val="en-US" w:eastAsia="zh-CN"/>
                    </w:rPr>
                    <w:t>36㎡。</w:t>
                  </w:r>
                </w:p>
              </w:tc>
            </w:tr>
            <w:tr w14:paraId="02BE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exact"/>
                <w:jc w:val="center"/>
              </w:trPr>
              <w:tc>
                <w:tcPr>
                  <w:tcW w:w="720" w:type="pct"/>
                  <w:vMerge w:val="continue"/>
                  <w:tcBorders>
                    <w:left w:val="single" w:color="auto" w:sz="4" w:space="0"/>
                    <w:bottom w:val="single" w:color="auto" w:sz="4" w:space="0"/>
                    <w:right w:val="single" w:color="auto" w:sz="4" w:space="0"/>
                  </w:tcBorders>
                  <w:noWrap w:val="0"/>
                  <w:vAlign w:val="center"/>
                </w:tcPr>
                <w:p w14:paraId="670962A2">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left w:val="single" w:color="auto" w:sz="4" w:space="0"/>
                    <w:right w:val="single" w:color="auto" w:sz="4" w:space="0"/>
                  </w:tcBorders>
                  <w:noWrap w:val="0"/>
                  <w:vAlign w:val="center"/>
                </w:tcPr>
                <w:p w14:paraId="30B850A7">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白模车间</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4DA7CBAB">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厂区东侧，面积约187m³。</w:t>
                  </w:r>
                </w:p>
              </w:tc>
            </w:tr>
            <w:tr w14:paraId="5922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exact"/>
                <w:jc w:val="center"/>
              </w:trPr>
              <w:tc>
                <w:tcPr>
                  <w:tcW w:w="720" w:type="pct"/>
                  <w:vMerge w:val="restart"/>
                  <w:tcBorders>
                    <w:top w:val="single" w:color="auto" w:sz="4" w:space="0"/>
                    <w:left w:val="single" w:color="auto" w:sz="4" w:space="0"/>
                    <w:right w:val="single" w:color="auto" w:sz="4" w:space="0"/>
                  </w:tcBorders>
                  <w:noWrap w:val="0"/>
                  <w:vAlign w:val="center"/>
                </w:tcPr>
                <w:p w14:paraId="051CC07E">
                  <w:pPr>
                    <w:keepNext w:val="0"/>
                    <w:keepLines w:val="0"/>
                    <w:pageBreakBefore w:val="0"/>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041" w:type="pct"/>
                  <w:tcBorders>
                    <w:left w:val="single" w:color="auto" w:sz="4" w:space="0"/>
                    <w:bottom w:val="single" w:color="auto" w:sz="4" w:space="0"/>
                    <w:right w:val="single" w:color="auto" w:sz="4" w:space="0"/>
                  </w:tcBorders>
                  <w:noWrap w:val="0"/>
                  <w:vAlign w:val="center"/>
                </w:tcPr>
                <w:p w14:paraId="2CC352C9">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办公楼</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365A91E4">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厂区西侧北部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建筑面积2500㎡。</w:t>
                  </w:r>
                </w:p>
              </w:tc>
            </w:tr>
            <w:tr w14:paraId="62EB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720" w:type="pct"/>
                  <w:vMerge w:val="continue"/>
                  <w:tcBorders>
                    <w:left w:val="single" w:color="auto" w:sz="4" w:space="0"/>
                    <w:right w:val="single" w:color="auto" w:sz="4" w:space="0"/>
                  </w:tcBorders>
                  <w:noWrap w:val="0"/>
                  <w:vAlign w:val="center"/>
                </w:tcPr>
                <w:p w14:paraId="31E86C6D">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top w:val="single" w:color="auto" w:sz="4" w:space="0"/>
                    <w:left w:val="single" w:color="auto" w:sz="4" w:space="0"/>
                    <w:bottom w:val="single" w:color="auto" w:sz="4" w:space="0"/>
                    <w:right w:val="single" w:color="auto" w:sz="4" w:space="0"/>
                  </w:tcBorders>
                  <w:noWrap w:val="0"/>
                  <w:vAlign w:val="center"/>
                </w:tcPr>
                <w:p w14:paraId="620D3C4F">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w:t>
                  </w:r>
                  <w:r>
                    <w:rPr>
                      <w:rFonts w:hint="default" w:ascii="Times New Roman" w:hAnsi="Times New Roman" w:eastAsia="宋体" w:cs="Times New Roman"/>
                      <w:color w:val="auto"/>
                      <w:sz w:val="21"/>
                      <w:szCs w:val="21"/>
                      <w:highlight w:val="none"/>
                      <w:lang w:val="en-US" w:eastAsia="zh-CN"/>
                    </w:rPr>
                    <w:t>宿舍</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64C0A562">
                  <w:pPr>
                    <w:keepNext w:val="0"/>
                    <w:keepLines w:val="0"/>
                    <w:pageBreakBefore w:val="0"/>
                    <w:widowControl/>
                    <w:kinsoku/>
                    <w:wordWrap/>
                    <w:overflowPunct/>
                    <w:topLinePunct w:val="0"/>
                    <w:autoSpaceDE/>
                    <w:autoSpaceDN/>
                    <w:bidi w:val="0"/>
                    <w:adjustRightInd/>
                    <w:snapToGrid/>
                    <w:spacing w:after="0" w:line="28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厂区西侧，建筑面积1800㎡</w:t>
                  </w:r>
                  <w:r>
                    <w:rPr>
                      <w:rFonts w:hint="default" w:ascii="Times New Roman" w:hAnsi="Times New Roman" w:eastAsia="宋体" w:cs="Times New Roman"/>
                      <w:color w:val="auto"/>
                      <w:sz w:val="21"/>
                      <w:szCs w:val="21"/>
                      <w:highlight w:val="none"/>
                      <w:vertAlign w:val="baseline"/>
                      <w:lang w:val="en-US" w:eastAsia="zh-CN"/>
                    </w:rPr>
                    <w:t>。一层为食堂和浴室，其余楼层为宿舍。</w:t>
                  </w:r>
                </w:p>
              </w:tc>
            </w:tr>
            <w:tr w14:paraId="54A6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jc w:val="center"/>
              </w:trPr>
              <w:tc>
                <w:tcPr>
                  <w:tcW w:w="720" w:type="pct"/>
                  <w:vMerge w:val="continue"/>
                  <w:tcBorders>
                    <w:left w:val="single" w:color="auto" w:sz="4" w:space="0"/>
                    <w:right w:val="single" w:color="auto" w:sz="4" w:space="0"/>
                  </w:tcBorders>
                  <w:noWrap w:val="0"/>
                  <w:vAlign w:val="center"/>
                </w:tcPr>
                <w:p w14:paraId="042F0D5F">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p>
              </w:tc>
              <w:tc>
                <w:tcPr>
                  <w:tcW w:w="1041" w:type="pct"/>
                  <w:tcBorders>
                    <w:top w:val="single" w:color="auto" w:sz="4" w:space="0"/>
                    <w:left w:val="single" w:color="auto" w:sz="4" w:space="0"/>
                    <w:bottom w:val="single" w:color="auto" w:sz="4" w:space="0"/>
                    <w:right w:val="single" w:color="auto" w:sz="4" w:space="0"/>
                  </w:tcBorders>
                  <w:noWrap w:val="0"/>
                  <w:vAlign w:val="center"/>
                </w:tcPr>
                <w:p w14:paraId="1AAD17A3">
                  <w:pPr>
                    <w:keepNext w:val="0"/>
                    <w:keepLines w:val="0"/>
                    <w:pageBreakBefore w:val="0"/>
                    <w:widowControl/>
                    <w:kinsoku/>
                    <w:wordWrap/>
                    <w:overflowPunct/>
                    <w:topLinePunct w:val="0"/>
                    <w:autoSpaceDE/>
                    <w:autoSpaceDN/>
                    <w:bidi w:val="0"/>
                    <w:adjustRightInd/>
                    <w:snapToGrid/>
                    <w:spacing w:after="0"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c>
                <w:tcPr>
                  <w:tcW w:w="3238" w:type="pct"/>
                  <w:tcBorders>
                    <w:top w:val="single" w:color="auto" w:sz="4" w:space="0"/>
                    <w:left w:val="single" w:color="auto" w:sz="4" w:space="0"/>
                    <w:bottom w:val="single" w:color="auto" w:sz="4" w:space="0"/>
                    <w:right w:val="single" w:color="auto" w:sz="4" w:space="0"/>
                  </w:tcBorders>
                  <w:noWrap w:val="0"/>
                  <w:vAlign w:val="center"/>
                </w:tcPr>
                <w:p w14:paraId="3FABB9D8">
                  <w:pPr>
                    <w:keepNext w:val="0"/>
                    <w:keepLines w:val="0"/>
                    <w:pageBreakBefore w:val="0"/>
                    <w:widowControl/>
                    <w:kinsoku/>
                    <w:wordWrap/>
                    <w:overflowPunct/>
                    <w:topLinePunct w:val="0"/>
                    <w:autoSpaceDE/>
                    <w:autoSpaceDN/>
                    <w:bidi w:val="0"/>
                    <w:adjustRightInd/>
                    <w:snapToGrid/>
                    <w:spacing w:after="0"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于成品库西侧</w:t>
                  </w:r>
                  <w:r>
                    <w:rPr>
                      <w:rFonts w:hint="default" w:ascii="Times New Roman" w:hAnsi="Times New Roman" w:eastAsia="宋体" w:cs="Times New Roman"/>
                      <w:color w:val="auto"/>
                      <w:sz w:val="21"/>
                      <w:szCs w:val="21"/>
                      <w:highlight w:val="none"/>
                      <w:lang w:val="en-US" w:eastAsia="zh-CN"/>
                    </w:rPr>
                    <w:t>，面积约15㎡。</w:t>
                  </w:r>
                </w:p>
              </w:tc>
            </w:tr>
          </w:tbl>
          <w:p w14:paraId="1C361E1D">
            <w:pPr>
              <w:keepNext w:val="0"/>
              <w:keepLines w:val="0"/>
              <w:pageBreakBefore w:val="0"/>
              <w:widowControl w:val="0"/>
              <w:numPr>
                <w:ilvl w:val="0"/>
                <w:numId w:val="0"/>
              </w:numPr>
              <w:shd w:val="clear" w:color="auto" w:fill="auto"/>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4、原辅材料</w:t>
            </w:r>
          </w:p>
          <w:p w14:paraId="6CBB3378">
            <w:pPr>
              <w:pStyle w:val="2"/>
              <w:keepNext w:val="0"/>
              <w:keepLines w:val="0"/>
              <w:pageBreakBefore w:val="0"/>
              <w:widowControl w:val="0"/>
              <w:kinsoku/>
              <w:wordWrap/>
              <w:overflowPunct/>
              <w:topLinePunct w:val="0"/>
              <w:bidi w:val="0"/>
              <w:spacing w:line="480" w:lineRule="exact"/>
              <w:textAlignment w:val="auto"/>
              <w:rPr>
                <w:rFonts w:hint="eastAsia"/>
                <w:color w:val="auto"/>
                <w:sz w:val="24"/>
                <w:szCs w:val="24"/>
                <w:highlight w:val="none"/>
                <w:lang w:val="en-US" w:eastAsia="zh-CN"/>
              </w:rPr>
            </w:pPr>
            <w:r>
              <w:rPr>
                <w:rFonts w:hint="eastAsia"/>
                <w:color w:val="auto"/>
                <w:sz w:val="24"/>
                <w:szCs w:val="24"/>
                <w:highlight w:val="none"/>
                <w:lang w:val="en-US" w:eastAsia="zh-CN"/>
              </w:rPr>
              <w:t>原有项目主要原辅材料如下表所示：</w:t>
            </w:r>
          </w:p>
          <w:p w14:paraId="431B1148">
            <w:pPr>
              <w:pStyle w:val="11"/>
              <w:rPr>
                <w:rFonts w:hint="eastAsia"/>
                <w:color w:val="auto"/>
                <w:sz w:val="24"/>
                <w:szCs w:val="24"/>
                <w:highlight w:val="none"/>
                <w:lang w:val="en-US" w:eastAsia="zh-CN"/>
              </w:rPr>
            </w:pPr>
            <w:r>
              <w:rPr>
                <w:rFonts w:hint="eastAsia"/>
                <w:b w:val="0"/>
                <w:bCs/>
                <w:color w:val="auto"/>
                <w:sz w:val="24"/>
                <w:szCs w:val="24"/>
                <w:highlight w:val="none"/>
                <w:lang w:val="en-US" w:eastAsia="zh-CN"/>
              </w:rPr>
              <w:t>表2-8  原辅材料表</w:t>
            </w:r>
          </w:p>
          <w:tbl>
            <w:tblPr>
              <w:tblStyle w:val="17"/>
              <w:tblW w:w="47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73"/>
              <w:gridCol w:w="1182"/>
              <w:gridCol w:w="1036"/>
              <w:gridCol w:w="1921"/>
              <w:gridCol w:w="1499"/>
            </w:tblGrid>
            <w:tr w14:paraId="42C0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7B88388F">
                  <w:pPr>
                    <w:pStyle w:val="16"/>
                    <w:spacing w:after="0" w:line="24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序</w:t>
                  </w:r>
                  <w:r>
                    <w:rPr>
                      <w:rFonts w:hint="eastAsia" w:ascii="宋体" w:hAnsi="宋体" w:eastAsia="宋体" w:cs="宋体"/>
                      <w:b/>
                      <w:bCs/>
                      <w:color w:val="auto"/>
                      <w:sz w:val="21"/>
                      <w:szCs w:val="21"/>
                      <w:highlight w:val="none"/>
                      <w:lang w:val="en-US" w:eastAsia="zh-CN"/>
                    </w:rPr>
                    <w:t>号</w:t>
                  </w:r>
                </w:p>
              </w:tc>
              <w:tc>
                <w:tcPr>
                  <w:tcW w:w="836" w:type="pct"/>
                  <w:noWrap w:val="0"/>
                  <w:vAlign w:val="center"/>
                </w:tcPr>
                <w:p w14:paraId="6D479036">
                  <w:pPr>
                    <w:pStyle w:val="16"/>
                    <w:spacing w:after="0" w:line="24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名</w:t>
                  </w:r>
                  <w:r>
                    <w:rPr>
                      <w:rFonts w:hint="eastAsia" w:ascii="宋体" w:hAnsi="宋体" w:eastAsia="宋体" w:cs="宋体"/>
                      <w:b/>
                      <w:bCs/>
                      <w:color w:val="auto"/>
                      <w:sz w:val="21"/>
                      <w:szCs w:val="21"/>
                      <w:highlight w:val="none"/>
                      <w:lang w:val="en-US" w:eastAsia="zh-CN"/>
                    </w:rPr>
                    <w:t>称</w:t>
                  </w:r>
                </w:p>
              </w:tc>
              <w:tc>
                <w:tcPr>
                  <w:tcW w:w="776" w:type="pct"/>
                  <w:noWrap w:val="0"/>
                  <w:vAlign w:val="center"/>
                </w:tcPr>
                <w:p w14:paraId="75EF4CDF">
                  <w:pPr>
                    <w:pStyle w:val="16"/>
                    <w:spacing w:after="0" w:line="240" w:lineRule="auto"/>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年用</w:t>
                  </w:r>
                  <w:r>
                    <w:rPr>
                      <w:rFonts w:hint="eastAsia" w:ascii="宋体" w:hAnsi="宋体" w:eastAsia="宋体" w:cs="宋体"/>
                      <w:b/>
                      <w:bCs/>
                      <w:color w:val="auto"/>
                      <w:sz w:val="21"/>
                      <w:szCs w:val="21"/>
                      <w:highlight w:val="none"/>
                      <w:lang w:val="en-US" w:eastAsia="zh-CN"/>
                    </w:rPr>
                    <w:t>量</w:t>
                  </w:r>
                  <w:r>
                    <w:rPr>
                      <w:rFonts w:hint="eastAsia" w:ascii="宋体" w:hAnsi="宋体" w:cs="宋体"/>
                      <w:b/>
                      <w:bCs/>
                      <w:color w:val="auto"/>
                      <w:sz w:val="21"/>
                      <w:szCs w:val="21"/>
                      <w:highlight w:val="none"/>
                      <w:lang w:val="en-US" w:eastAsia="zh-CN"/>
                    </w:rPr>
                    <w:t>/t</w:t>
                  </w:r>
                </w:p>
              </w:tc>
              <w:tc>
                <w:tcPr>
                  <w:tcW w:w="680" w:type="pct"/>
                  <w:noWrap w:val="0"/>
                  <w:vAlign w:val="center"/>
                </w:tcPr>
                <w:p w14:paraId="6B430B42">
                  <w:pPr>
                    <w:pStyle w:val="16"/>
                    <w:spacing w:after="0" w:line="240" w:lineRule="auto"/>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pacing w:val="0"/>
                      <w:sz w:val="21"/>
                      <w:szCs w:val="21"/>
                      <w:highlight w:val="none"/>
                      <w:lang w:val="en-US" w:eastAsia="zh-CN"/>
                    </w:rPr>
                    <w:t>来源</w:t>
                  </w:r>
                </w:p>
              </w:tc>
              <w:tc>
                <w:tcPr>
                  <w:tcW w:w="1261" w:type="pct"/>
                  <w:noWrap w:val="0"/>
                  <w:vAlign w:val="center"/>
                </w:tcPr>
                <w:p w14:paraId="329F3C9A">
                  <w:pPr>
                    <w:pStyle w:val="16"/>
                    <w:spacing w:after="0" w:line="240" w:lineRule="auto"/>
                    <w:ind w:left="0" w:leftChars="0" w:firstLine="0" w:firstLineChars="0"/>
                    <w:jc w:val="center"/>
                    <w:rPr>
                      <w:rFonts w:hint="default" w:ascii="宋体" w:hAnsi="宋体" w:eastAsia="宋体" w:cs="宋体"/>
                      <w:b/>
                      <w:bCs/>
                      <w:color w:val="auto"/>
                      <w:spacing w:val="0"/>
                      <w:sz w:val="21"/>
                      <w:szCs w:val="21"/>
                      <w:highlight w:val="none"/>
                      <w:lang w:val="en-US" w:eastAsia="zh-CN"/>
                    </w:rPr>
                  </w:pPr>
                  <w:r>
                    <w:rPr>
                      <w:rFonts w:hint="eastAsia" w:ascii="宋体" w:hAnsi="宋体" w:cs="宋体"/>
                      <w:b/>
                      <w:bCs/>
                      <w:color w:val="auto"/>
                      <w:spacing w:val="0"/>
                      <w:sz w:val="21"/>
                      <w:szCs w:val="21"/>
                      <w:highlight w:val="none"/>
                      <w:lang w:val="en-US" w:eastAsia="zh-CN"/>
                    </w:rPr>
                    <w:t>使用工序</w:t>
                  </w:r>
                </w:p>
              </w:tc>
              <w:tc>
                <w:tcPr>
                  <w:tcW w:w="984" w:type="pct"/>
                  <w:noWrap w:val="0"/>
                  <w:vAlign w:val="center"/>
                </w:tcPr>
                <w:p w14:paraId="0D5507F9">
                  <w:pPr>
                    <w:pStyle w:val="16"/>
                    <w:spacing w:after="0" w:line="240" w:lineRule="auto"/>
                    <w:ind w:left="0" w:leftChars="0" w:firstLine="0" w:firstLineChars="0"/>
                    <w:jc w:val="center"/>
                    <w:rPr>
                      <w:rFonts w:hint="default" w:ascii="宋体" w:hAnsi="宋体" w:eastAsia="宋体" w:cs="宋体"/>
                      <w:b/>
                      <w:bCs/>
                      <w:color w:val="auto"/>
                      <w:spacing w:val="0"/>
                      <w:sz w:val="21"/>
                      <w:szCs w:val="21"/>
                      <w:highlight w:val="none"/>
                      <w:lang w:val="en-US" w:eastAsia="zh-CN"/>
                    </w:rPr>
                  </w:pPr>
                  <w:r>
                    <w:rPr>
                      <w:rFonts w:hint="eastAsia" w:ascii="宋体" w:hAnsi="宋体" w:cs="宋体"/>
                      <w:b/>
                      <w:bCs/>
                      <w:color w:val="auto"/>
                      <w:spacing w:val="0"/>
                      <w:sz w:val="21"/>
                      <w:szCs w:val="21"/>
                      <w:highlight w:val="none"/>
                      <w:lang w:val="en-US" w:eastAsia="zh-CN"/>
                    </w:rPr>
                    <w:t>年用量/t</w:t>
                  </w:r>
                </w:p>
              </w:tc>
            </w:tr>
            <w:tr w14:paraId="702F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1EB3019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36" w:type="pct"/>
                  <w:noWrap w:val="0"/>
                  <w:vAlign w:val="center"/>
                </w:tcPr>
                <w:p w14:paraId="5CCAF4E2">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rPr>
                    <w:t>废</w:t>
                  </w:r>
                  <w:r>
                    <w:rPr>
                      <w:rFonts w:hint="eastAsia" w:ascii="宋体" w:hAnsi="宋体" w:eastAsia="宋体" w:cs="宋体"/>
                      <w:color w:val="auto"/>
                      <w:sz w:val="21"/>
                      <w:szCs w:val="21"/>
                      <w:highlight w:val="none"/>
                    </w:rPr>
                    <w:t>钢</w:t>
                  </w:r>
                </w:p>
              </w:tc>
              <w:tc>
                <w:tcPr>
                  <w:tcW w:w="776" w:type="pct"/>
                  <w:noWrap w:val="0"/>
                  <w:vAlign w:val="center"/>
                </w:tcPr>
                <w:p w14:paraId="6EFC4E17">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2349</w:t>
                  </w:r>
                  <w:r>
                    <w:rPr>
                      <w:rFonts w:hint="eastAsia" w:ascii="宋体" w:hAnsi="宋体" w:eastAsia="宋体" w:cs="宋体"/>
                      <w:color w:val="auto"/>
                      <w:sz w:val="21"/>
                      <w:szCs w:val="21"/>
                      <w:highlight w:val="none"/>
                      <w:lang w:val="en-US" w:eastAsia="zh-CN"/>
                    </w:rPr>
                    <w:t>0</w:t>
                  </w:r>
                </w:p>
              </w:tc>
              <w:tc>
                <w:tcPr>
                  <w:tcW w:w="680" w:type="pct"/>
                  <w:vMerge w:val="restart"/>
                  <w:noWrap w:val="0"/>
                  <w:vAlign w:val="center"/>
                </w:tcPr>
                <w:p w14:paraId="72210AB9">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外</w:t>
                  </w:r>
                  <w:r>
                    <w:rPr>
                      <w:rFonts w:hint="eastAsia" w:ascii="宋体" w:hAnsi="宋体" w:eastAsia="宋体" w:cs="宋体"/>
                      <w:color w:val="auto"/>
                      <w:sz w:val="21"/>
                      <w:szCs w:val="21"/>
                      <w:highlight w:val="none"/>
                      <w:lang w:val="en-US" w:eastAsia="zh-CN"/>
                    </w:rPr>
                    <w:t>购</w:t>
                  </w:r>
                </w:p>
              </w:tc>
              <w:tc>
                <w:tcPr>
                  <w:tcW w:w="1261" w:type="pct"/>
                  <w:vMerge w:val="restart"/>
                  <w:noWrap w:val="0"/>
                  <w:vAlign w:val="center"/>
                </w:tcPr>
                <w:p w14:paraId="280AFAC0">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1#、2#消失模、合金球、离心铸造、自动化生产线</w:t>
                  </w:r>
                </w:p>
              </w:tc>
              <w:tc>
                <w:tcPr>
                  <w:tcW w:w="984" w:type="pct"/>
                  <w:noWrap w:val="0"/>
                  <w:vAlign w:val="center"/>
                </w:tcPr>
                <w:p w14:paraId="22A33637">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13860</w:t>
                  </w:r>
                </w:p>
              </w:tc>
            </w:tr>
            <w:tr w14:paraId="74D9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3A0214F">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36" w:type="pct"/>
                  <w:noWrap w:val="0"/>
                  <w:vAlign w:val="center"/>
                </w:tcPr>
                <w:p w14:paraId="66809785">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锰</w:t>
                  </w:r>
                  <w:r>
                    <w:rPr>
                      <w:rFonts w:hint="eastAsia" w:ascii="宋体" w:hAnsi="宋体" w:eastAsia="宋体" w:cs="宋体"/>
                      <w:color w:val="auto"/>
                      <w:sz w:val="21"/>
                      <w:szCs w:val="21"/>
                      <w:highlight w:val="none"/>
                      <w:lang w:val="en-US" w:eastAsia="zh-CN"/>
                    </w:rPr>
                    <w:t>铁</w:t>
                  </w:r>
                </w:p>
              </w:tc>
              <w:tc>
                <w:tcPr>
                  <w:tcW w:w="776" w:type="pct"/>
                  <w:noWrap w:val="0"/>
                  <w:vAlign w:val="center"/>
                </w:tcPr>
                <w:p w14:paraId="2AFA6564">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154</w:t>
                  </w:r>
                  <w:r>
                    <w:rPr>
                      <w:rFonts w:hint="eastAsia" w:ascii="宋体" w:hAnsi="宋体" w:eastAsia="宋体" w:cs="宋体"/>
                      <w:color w:val="auto"/>
                      <w:sz w:val="21"/>
                      <w:szCs w:val="21"/>
                      <w:highlight w:val="none"/>
                      <w:lang w:val="en-US" w:eastAsia="zh-CN"/>
                    </w:rPr>
                    <w:t>5</w:t>
                  </w:r>
                </w:p>
              </w:tc>
              <w:tc>
                <w:tcPr>
                  <w:tcW w:w="680" w:type="pct"/>
                  <w:vMerge w:val="continue"/>
                  <w:noWrap w:val="0"/>
                  <w:vAlign w:val="center"/>
                </w:tcPr>
                <w:p w14:paraId="3C5A0B8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continue"/>
                  <w:noWrap w:val="0"/>
                  <w:vAlign w:val="center"/>
                </w:tcPr>
                <w:p w14:paraId="66AC335B">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984" w:type="pct"/>
                  <w:noWrap w:val="0"/>
                  <w:vAlign w:val="center"/>
                </w:tcPr>
                <w:p w14:paraId="1012878A">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912</w:t>
                  </w:r>
                </w:p>
              </w:tc>
            </w:tr>
            <w:tr w14:paraId="6F10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1536A26C">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36" w:type="pct"/>
                  <w:noWrap w:val="0"/>
                  <w:vAlign w:val="center"/>
                </w:tcPr>
                <w:p w14:paraId="606127B2">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铬</w:t>
                  </w:r>
                  <w:r>
                    <w:rPr>
                      <w:rFonts w:hint="eastAsia" w:ascii="宋体" w:hAnsi="宋体" w:eastAsia="宋体" w:cs="宋体"/>
                      <w:color w:val="auto"/>
                      <w:sz w:val="21"/>
                      <w:szCs w:val="21"/>
                      <w:highlight w:val="none"/>
                      <w:lang w:val="en-US" w:eastAsia="zh-CN"/>
                    </w:rPr>
                    <w:t>铁</w:t>
                  </w:r>
                </w:p>
              </w:tc>
              <w:tc>
                <w:tcPr>
                  <w:tcW w:w="776" w:type="pct"/>
                  <w:noWrap w:val="0"/>
                  <w:vAlign w:val="center"/>
                </w:tcPr>
                <w:p w14:paraId="4FB4F0B1">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615</w:t>
                  </w:r>
                  <w:r>
                    <w:rPr>
                      <w:rFonts w:hint="eastAsia" w:ascii="宋体" w:hAnsi="宋体" w:eastAsia="宋体" w:cs="宋体"/>
                      <w:color w:val="auto"/>
                      <w:sz w:val="21"/>
                      <w:szCs w:val="21"/>
                      <w:highlight w:val="none"/>
                      <w:lang w:val="en-US" w:eastAsia="zh-CN"/>
                    </w:rPr>
                    <w:t>0</w:t>
                  </w:r>
                </w:p>
              </w:tc>
              <w:tc>
                <w:tcPr>
                  <w:tcW w:w="680" w:type="pct"/>
                  <w:vMerge w:val="continue"/>
                  <w:noWrap w:val="0"/>
                  <w:vAlign w:val="center"/>
                </w:tcPr>
                <w:p w14:paraId="2816B78F">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continue"/>
                  <w:noWrap w:val="0"/>
                  <w:vAlign w:val="center"/>
                </w:tcPr>
                <w:p w14:paraId="5AFE4D07">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984" w:type="pct"/>
                  <w:noWrap w:val="0"/>
                  <w:vAlign w:val="center"/>
                </w:tcPr>
                <w:p w14:paraId="1FD92335">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29.5</w:t>
                  </w:r>
                </w:p>
              </w:tc>
            </w:tr>
            <w:tr w14:paraId="4EAB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76F4AE0E">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36" w:type="pct"/>
                  <w:noWrap w:val="0"/>
                  <w:vAlign w:val="center"/>
                </w:tcPr>
                <w:p w14:paraId="6AAA620D">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硅</w:t>
                  </w:r>
                  <w:r>
                    <w:rPr>
                      <w:rFonts w:hint="eastAsia" w:ascii="宋体" w:hAnsi="宋体" w:eastAsia="宋体" w:cs="宋体"/>
                      <w:color w:val="auto"/>
                      <w:sz w:val="21"/>
                      <w:szCs w:val="21"/>
                      <w:highlight w:val="none"/>
                      <w:lang w:val="en-US" w:eastAsia="zh-CN"/>
                    </w:rPr>
                    <w:t>铁</w:t>
                  </w:r>
                </w:p>
              </w:tc>
              <w:tc>
                <w:tcPr>
                  <w:tcW w:w="776" w:type="pct"/>
                  <w:noWrap w:val="0"/>
                  <w:vAlign w:val="center"/>
                </w:tcPr>
                <w:p w14:paraId="53A31EF9">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5</w:t>
                  </w:r>
                </w:p>
              </w:tc>
              <w:tc>
                <w:tcPr>
                  <w:tcW w:w="680" w:type="pct"/>
                  <w:vMerge w:val="continue"/>
                  <w:noWrap w:val="0"/>
                  <w:vAlign w:val="center"/>
                </w:tcPr>
                <w:p w14:paraId="5300C728">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56AB6DC8">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1#消失模、离心铸造</w:t>
                  </w:r>
                </w:p>
              </w:tc>
              <w:tc>
                <w:tcPr>
                  <w:tcW w:w="984" w:type="pct"/>
                  <w:noWrap w:val="0"/>
                  <w:vAlign w:val="center"/>
                </w:tcPr>
                <w:p w14:paraId="54C7C7A6">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1.13</w:t>
                  </w:r>
                </w:p>
              </w:tc>
            </w:tr>
            <w:tr w14:paraId="2557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0D33F56F">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36" w:type="pct"/>
                  <w:noWrap w:val="0"/>
                  <w:vAlign w:val="center"/>
                </w:tcPr>
                <w:p w14:paraId="791B2CA5">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钼</w:t>
                  </w:r>
                  <w:r>
                    <w:rPr>
                      <w:rFonts w:hint="eastAsia" w:ascii="宋体" w:hAnsi="宋体" w:eastAsia="宋体" w:cs="宋体"/>
                      <w:color w:val="auto"/>
                      <w:sz w:val="21"/>
                      <w:szCs w:val="21"/>
                      <w:highlight w:val="none"/>
                      <w:lang w:val="en-US" w:eastAsia="zh-CN"/>
                    </w:rPr>
                    <w:t>铁</w:t>
                  </w:r>
                </w:p>
              </w:tc>
              <w:tc>
                <w:tcPr>
                  <w:tcW w:w="776" w:type="pct"/>
                  <w:noWrap w:val="0"/>
                  <w:vAlign w:val="center"/>
                </w:tcPr>
                <w:p w14:paraId="5AF89723">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10</w:t>
                  </w:r>
                  <w:r>
                    <w:rPr>
                      <w:rFonts w:hint="eastAsia" w:ascii="宋体" w:hAnsi="宋体" w:eastAsia="宋体" w:cs="宋体"/>
                      <w:color w:val="auto"/>
                      <w:sz w:val="21"/>
                      <w:szCs w:val="21"/>
                      <w:highlight w:val="none"/>
                      <w:lang w:val="en-US" w:eastAsia="zh-CN"/>
                    </w:rPr>
                    <w:t>2</w:t>
                  </w:r>
                </w:p>
              </w:tc>
              <w:tc>
                <w:tcPr>
                  <w:tcW w:w="680" w:type="pct"/>
                  <w:vMerge w:val="continue"/>
                  <w:noWrap w:val="0"/>
                  <w:vAlign w:val="center"/>
                </w:tcPr>
                <w:p w14:paraId="3979069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3B8E111D">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1#、2#消失模、合金球、自动化生产线</w:t>
                  </w:r>
                </w:p>
              </w:tc>
              <w:tc>
                <w:tcPr>
                  <w:tcW w:w="984" w:type="pct"/>
                  <w:noWrap w:val="0"/>
                  <w:vAlign w:val="center"/>
                </w:tcPr>
                <w:p w14:paraId="2D02BFCC">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60.2</w:t>
                  </w:r>
                </w:p>
              </w:tc>
            </w:tr>
            <w:tr w14:paraId="42D7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5C618F21">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836" w:type="pct"/>
                  <w:noWrap w:val="0"/>
                  <w:vAlign w:val="center"/>
                </w:tcPr>
                <w:p w14:paraId="20A3D9C9">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镍钨合</w:t>
                  </w:r>
                  <w:r>
                    <w:rPr>
                      <w:rFonts w:hint="eastAsia" w:ascii="宋体" w:hAnsi="宋体" w:eastAsia="宋体" w:cs="宋体"/>
                      <w:color w:val="auto"/>
                      <w:sz w:val="21"/>
                      <w:szCs w:val="21"/>
                      <w:highlight w:val="none"/>
                      <w:lang w:val="en-US" w:eastAsia="zh-CN"/>
                    </w:rPr>
                    <w:t>金</w:t>
                  </w:r>
                </w:p>
              </w:tc>
              <w:tc>
                <w:tcPr>
                  <w:tcW w:w="776" w:type="pct"/>
                  <w:noWrap w:val="0"/>
                  <w:vAlign w:val="center"/>
                </w:tcPr>
                <w:p w14:paraId="4B9D023E">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4</w:t>
                  </w:r>
                  <w:r>
                    <w:rPr>
                      <w:rFonts w:hint="eastAsia" w:ascii="宋体" w:hAnsi="宋体" w:eastAsia="宋体" w:cs="宋体"/>
                      <w:color w:val="auto"/>
                      <w:sz w:val="21"/>
                      <w:szCs w:val="21"/>
                      <w:highlight w:val="none"/>
                      <w:lang w:val="en-US" w:eastAsia="zh-CN"/>
                    </w:rPr>
                    <w:t>5</w:t>
                  </w:r>
                </w:p>
              </w:tc>
              <w:tc>
                <w:tcPr>
                  <w:tcW w:w="680" w:type="pct"/>
                  <w:vMerge w:val="continue"/>
                  <w:noWrap w:val="0"/>
                  <w:vAlign w:val="center"/>
                </w:tcPr>
                <w:p w14:paraId="30DE40D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restart"/>
                  <w:noWrap w:val="0"/>
                  <w:vAlign w:val="center"/>
                </w:tcPr>
                <w:p w14:paraId="605F0571">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2#消失模、合金球、自动化生产线</w:t>
                  </w:r>
                </w:p>
              </w:tc>
              <w:tc>
                <w:tcPr>
                  <w:tcW w:w="984" w:type="pct"/>
                  <w:noWrap w:val="0"/>
                  <w:vAlign w:val="center"/>
                </w:tcPr>
                <w:p w14:paraId="6D98F549">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r>
            <w:tr w14:paraId="2B20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51175ACF">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836" w:type="pct"/>
                  <w:noWrap w:val="0"/>
                  <w:vAlign w:val="center"/>
                </w:tcPr>
                <w:p w14:paraId="004E9E67">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钨</w:t>
                  </w:r>
                  <w:r>
                    <w:rPr>
                      <w:rFonts w:hint="eastAsia" w:ascii="宋体" w:hAnsi="宋体" w:eastAsia="宋体" w:cs="宋体"/>
                      <w:color w:val="auto"/>
                      <w:sz w:val="21"/>
                      <w:szCs w:val="21"/>
                      <w:highlight w:val="none"/>
                      <w:lang w:val="en-US" w:eastAsia="zh-CN"/>
                    </w:rPr>
                    <w:t>铁</w:t>
                  </w:r>
                </w:p>
              </w:tc>
              <w:tc>
                <w:tcPr>
                  <w:tcW w:w="776" w:type="pct"/>
                  <w:noWrap w:val="0"/>
                  <w:vAlign w:val="center"/>
                </w:tcPr>
                <w:p w14:paraId="556F6039">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5</w:t>
                  </w:r>
                </w:p>
              </w:tc>
              <w:tc>
                <w:tcPr>
                  <w:tcW w:w="680" w:type="pct"/>
                  <w:vMerge w:val="continue"/>
                  <w:noWrap w:val="0"/>
                  <w:vAlign w:val="center"/>
                </w:tcPr>
                <w:p w14:paraId="71E6618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continue"/>
                  <w:noWrap w:val="0"/>
                  <w:vAlign w:val="center"/>
                </w:tcPr>
                <w:p w14:paraId="17925E34">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984" w:type="pct"/>
                  <w:noWrap w:val="0"/>
                  <w:vAlign w:val="center"/>
                </w:tcPr>
                <w:p w14:paraId="7D3342C0">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0.73</w:t>
                  </w:r>
                </w:p>
              </w:tc>
            </w:tr>
            <w:tr w14:paraId="0E45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1B77C943">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836" w:type="pct"/>
                  <w:noWrap w:val="0"/>
                  <w:vAlign w:val="center"/>
                </w:tcPr>
                <w:p w14:paraId="264DB938">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镍</w:t>
                  </w:r>
                </w:p>
              </w:tc>
              <w:tc>
                <w:tcPr>
                  <w:tcW w:w="776" w:type="pct"/>
                  <w:noWrap w:val="0"/>
                  <w:vAlign w:val="center"/>
                </w:tcPr>
                <w:p w14:paraId="4BA0A715">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10</w:t>
                  </w:r>
                  <w:r>
                    <w:rPr>
                      <w:rFonts w:hint="eastAsia" w:ascii="宋体" w:hAnsi="宋体" w:eastAsia="宋体" w:cs="宋体"/>
                      <w:color w:val="auto"/>
                      <w:sz w:val="21"/>
                      <w:szCs w:val="21"/>
                      <w:highlight w:val="none"/>
                      <w:lang w:val="en-US" w:eastAsia="zh-CN"/>
                    </w:rPr>
                    <w:t>5</w:t>
                  </w:r>
                </w:p>
              </w:tc>
              <w:tc>
                <w:tcPr>
                  <w:tcW w:w="680" w:type="pct"/>
                  <w:vMerge w:val="continue"/>
                  <w:noWrap w:val="0"/>
                  <w:vAlign w:val="center"/>
                </w:tcPr>
                <w:p w14:paraId="10E381E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659D337E">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1#消失模</w:t>
                  </w:r>
                </w:p>
              </w:tc>
              <w:tc>
                <w:tcPr>
                  <w:tcW w:w="984" w:type="pct"/>
                  <w:noWrap w:val="0"/>
                  <w:vAlign w:val="center"/>
                </w:tcPr>
                <w:p w14:paraId="3AD6391C">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105</w:t>
                  </w:r>
                </w:p>
              </w:tc>
            </w:tr>
            <w:tr w14:paraId="23DE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0B5EE03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836" w:type="pct"/>
                  <w:noWrap w:val="0"/>
                  <w:vAlign w:val="center"/>
                </w:tcPr>
                <w:p w14:paraId="3B3D185C">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稀土</w:t>
                  </w:r>
                  <w:r>
                    <w:rPr>
                      <w:rFonts w:hint="eastAsia" w:ascii="宋体" w:hAnsi="宋体" w:eastAsia="宋体" w:cs="宋体"/>
                      <w:color w:val="auto"/>
                      <w:sz w:val="21"/>
                      <w:szCs w:val="21"/>
                      <w:highlight w:val="none"/>
                      <w:lang w:val="en-US" w:eastAsia="zh-CN"/>
                    </w:rPr>
                    <w:t>硅</w:t>
                  </w:r>
                </w:p>
              </w:tc>
              <w:tc>
                <w:tcPr>
                  <w:tcW w:w="776" w:type="pct"/>
                  <w:noWrap w:val="0"/>
                  <w:vAlign w:val="center"/>
                </w:tcPr>
                <w:p w14:paraId="55785A6C">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6</w:t>
                  </w:r>
                  <w:r>
                    <w:rPr>
                      <w:rFonts w:hint="eastAsia" w:ascii="宋体" w:hAnsi="宋体" w:eastAsia="宋体" w:cs="宋体"/>
                      <w:color w:val="auto"/>
                      <w:sz w:val="21"/>
                      <w:szCs w:val="21"/>
                      <w:highlight w:val="none"/>
                      <w:lang w:val="en-US" w:eastAsia="zh-CN"/>
                    </w:rPr>
                    <w:t>0</w:t>
                  </w:r>
                </w:p>
              </w:tc>
              <w:tc>
                <w:tcPr>
                  <w:tcW w:w="680" w:type="pct"/>
                  <w:vMerge w:val="continue"/>
                  <w:noWrap w:val="0"/>
                  <w:vAlign w:val="center"/>
                </w:tcPr>
                <w:p w14:paraId="18A2D70B">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2C652BE8">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1#消失模</w:t>
                  </w:r>
                </w:p>
              </w:tc>
              <w:tc>
                <w:tcPr>
                  <w:tcW w:w="984" w:type="pct"/>
                  <w:noWrap w:val="0"/>
                  <w:vAlign w:val="center"/>
                </w:tcPr>
                <w:p w14:paraId="374810F1">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60</w:t>
                  </w:r>
                </w:p>
              </w:tc>
            </w:tr>
            <w:tr w14:paraId="0C2E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100F3F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0</w:t>
                  </w:r>
                </w:p>
              </w:tc>
              <w:tc>
                <w:tcPr>
                  <w:tcW w:w="836" w:type="pct"/>
                  <w:noWrap w:val="0"/>
                  <w:vAlign w:val="center"/>
                </w:tcPr>
                <w:p w14:paraId="20BE053C">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原</w:t>
                  </w:r>
                  <w:r>
                    <w:rPr>
                      <w:rFonts w:hint="eastAsia" w:ascii="宋体" w:hAnsi="宋体" w:eastAsia="宋体" w:cs="宋体"/>
                      <w:color w:val="auto"/>
                      <w:sz w:val="21"/>
                      <w:szCs w:val="21"/>
                      <w:highlight w:val="none"/>
                    </w:rPr>
                    <w:t>砂</w:t>
                  </w:r>
                </w:p>
              </w:tc>
              <w:tc>
                <w:tcPr>
                  <w:tcW w:w="776" w:type="pct"/>
                  <w:noWrap w:val="0"/>
                  <w:vAlign w:val="center"/>
                </w:tcPr>
                <w:p w14:paraId="3D7F2DDA">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316</w:t>
                  </w:r>
                  <w:r>
                    <w:rPr>
                      <w:rFonts w:hint="eastAsia" w:ascii="宋体" w:hAnsi="宋体" w:eastAsia="宋体" w:cs="宋体"/>
                      <w:color w:val="auto"/>
                      <w:sz w:val="21"/>
                      <w:szCs w:val="21"/>
                      <w:highlight w:val="none"/>
                      <w:lang w:val="en-US" w:eastAsia="zh-CN"/>
                    </w:rPr>
                    <w:t>3</w:t>
                  </w:r>
                </w:p>
              </w:tc>
              <w:tc>
                <w:tcPr>
                  <w:tcW w:w="680" w:type="pct"/>
                  <w:vMerge w:val="continue"/>
                  <w:noWrap w:val="0"/>
                  <w:vAlign w:val="center"/>
                </w:tcPr>
                <w:p w14:paraId="16AE0D6D">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37E83FE1">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1#、2#消失模、合金球生产线</w:t>
                  </w:r>
                </w:p>
              </w:tc>
              <w:tc>
                <w:tcPr>
                  <w:tcW w:w="984" w:type="pct"/>
                  <w:noWrap w:val="0"/>
                  <w:vAlign w:val="center"/>
                </w:tcPr>
                <w:p w14:paraId="505A2698">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1884</w:t>
                  </w:r>
                </w:p>
              </w:tc>
            </w:tr>
            <w:tr w14:paraId="7D54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9F9C8EA">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1</w:t>
                  </w:r>
                </w:p>
              </w:tc>
              <w:tc>
                <w:tcPr>
                  <w:tcW w:w="836" w:type="pct"/>
                  <w:noWrap w:val="0"/>
                  <w:vAlign w:val="center"/>
                </w:tcPr>
                <w:p w14:paraId="7276538D">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聚苯乙烯</w:t>
                  </w:r>
                  <w:r>
                    <w:rPr>
                      <w:rFonts w:hint="eastAsia" w:ascii="宋体" w:hAnsi="宋体" w:eastAsia="宋体" w:cs="宋体"/>
                      <w:color w:val="auto"/>
                      <w:sz w:val="21"/>
                      <w:szCs w:val="21"/>
                      <w:highlight w:val="none"/>
                      <w:lang w:val="en-US" w:eastAsia="zh-CN"/>
                    </w:rPr>
                    <w:t>板</w:t>
                  </w:r>
                </w:p>
              </w:tc>
              <w:tc>
                <w:tcPr>
                  <w:tcW w:w="776" w:type="pct"/>
                  <w:noWrap w:val="0"/>
                  <w:vAlign w:val="center"/>
                </w:tcPr>
                <w:p w14:paraId="4AB4377A">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356</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pacing w:val="0"/>
                      <w:sz w:val="21"/>
                      <w:szCs w:val="21"/>
                      <w:highlight w:val="none"/>
                      <w:lang w:val="en-US" w:eastAsia="zh-CN"/>
                    </w:rPr>
                    <w:t>m</w:t>
                  </w:r>
                  <w:r>
                    <w:rPr>
                      <w:rFonts w:hint="eastAsia" w:ascii="宋体" w:hAnsi="宋体" w:eastAsia="宋体" w:cs="宋体"/>
                      <w:color w:val="auto"/>
                      <w:sz w:val="21"/>
                      <w:szCs w:val="21"/>
                      <w:highlight w:val="none"/>
                      <w:lang w:val="en-US" w:eastAsia="zh-CN"/>
                    </w:rPr>
                    <w:t>³</w:t>
                  </w:r>
                </w:p>
              </w:tc>
              <w:tc>
                <w:tcPr>
                  <w:tcW w:w="680" w:type="pct"/>
                  <w:vMerge w:val="continue"/>
                  <w:noWrap w:val="0"/>
                  <w:vAlign w:val="center"/>
                </w:tcPr>
                <w:p w14:paraId="7EC64A80">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30674D0A">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1#、2#消失模生产线</w:t>
                  </w:r>
                </w:p>
              </w:tc>
              <w:tc>
                <w:tcPr>
                  <w:tcW w:w="984" w:type="pct"/>
                  <w:noWrap w:val="0"/>
                  <w:vAlign w:val="center"/>
                </w:tcPr>
                <w:p w14:paraId="53D0721E">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1865</w:t>
                  </w:r>
                  <w:r>
                    <w:rPr>
                      <w:rFonts w:hint="eastAsia" w:ascii="宋体" w:hAnsi="宋体" w:eastAsia="宋体" w:cs="宋体"/>
                      <w:color w:val="auto"/>
                      <w:spacing w:val="0"/>
                      <w:sz w:val="21"/>
                      <w:szCs w:val="21"/>
                      <w:highlight w:val="none"/>
                      <w:lang w:val="en-US" w:eastAsia="zh-CN"/>
                    </w:rPr>
                    <w:t>m</w:t>
                  </w:r>
                  <w:r>
                    <w:rPr>
                      <w:rFonts w:hint="eastAsia" w:ascii="宋体" w:hAnsi="宋体" w:eastAsia="宋体" w:cs="宋体"/>
                      <w:color w:val="auto"/>
                      <w:sz w:val="21"/>
                      <w:szCs w:val="21"/>
                      <w:highlight w:val="none"/>
                      <w:lang w:val="en-US" w:eastAsia="zh-CN"/>
                    </w:rPr>
                    <w:t>³</w:t>
                  </w:r>
                </w:p>
              </w:tc>
            </w:tr>
            <w:tr w14:paraId="1F19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76C67CA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2</w:t>
                  </w:r>
                </w:p>
              </w:tc>
              <w:tc>
                <w:tcPr>
                  <w:tcW w:w="836" w:type="pct"/>
                  <w:noWrap w:val="0"/>
                  <w:vAlign w:val="center"/>
                </w:tcPr>
                <w:p w14:paraId="5202CD1F">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耐火</w:t>
                  </w:r>
                  <w:r>
                    <w:rPr>
                      <w:rFonts w:hint="eastAsia" w:ascii="宋体" w:hAnsi="宋体" w:eastAsia="宋体" w:cs="宋体"/>
                      <w:color w:val="auto"/>
                      <w:sz w:val="21"/>
                      <w:szCs w:val="21"/>
                      <w:highlight w:val="none"/>
                      <w:lang w:val="en-US" w:eastAsia="zh-CN"/>
                    </w:rPr>
                    <w:t>泥</w:t>
                  </w:r>
                </w:p>
              </w:tc>
              <w:tc>
                <w:tcPr>
                  <w:tcW w:w="776" w:type="pct"/>
                  <w:noWrap w:val="0"/>
                  <w:vAlign w:val="center"/>
                </w:tcPr>
                <w:p w14:paraId="703401FD">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0</w:t>
                  </w:r>
                </w:p>
              </w:tc>
              <w:tc>
                <w:tcPr>
                  <w:tcW w:w="680" w:type="pct"/>
                  <w:vMerge w:val="continue"/>
                  <w:noWrap w:val="0"/>
                  <w:vAlign w:val="center"/>
                </w:tcPr>
                <w:p w14:paraId="1AEBC88C">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restart"/>
                  <w:noWrap w:val="0"/>
                  <w:vAlign w:val="center"/>
                </w:tcPr>
                <w:p w14:paraId="2B8D9E52">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1#、2#消失模、合金球、自动化生产线</w:t>
                  </w:r>
                </w:p>
              </w:tc>
              <w:tc>
                <w:tcPr>
                  <w:tcW w:w="984" w:type="pct"/>
                  <w:noWrap w:val="0"/>
                  <w:vAlign w:val="center"/>
                </w:tcPr>
                <w:p w14:paraId="0A4DBA52">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r>
            <w:tr w14:paraId="222E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DF92726">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3</w:t>
                  </w:r>
                </w:p>
              </w:tc>
              <w:tc>
                <w:tcPr>
                  <w:tcW w:w="836" w:type="pct"/>
                  <w:noWrap w:val="0"/>
                  <w:vAlign w:val="center"/>
                </w:tcPr>
                <w:p w14:paraId="53D67D1B">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耐火</w:t>
                  </w:r>
                  <w:r>
                    <w:rPr>
                      <w:rFonts w:hint="eastAsia" w:ascii="宋体" w:hAnsi="宋体" w:eastAsia="宋体" w:cs="宋体"/>
                      <w:color w:val="auto"/>
                      <w:sz w:val="21"/>
                      <w:szCs w:val="21"/>
                      <w:highlight w:val="none"/>
                      <w:lang w:val="en-US" w:eastAsia="zh-CN"/>
                    </w:rPr>
                    <w:t>砖</w:t>
                  </w:r>
                </w:p>
              </w:tc>
              <w:tc>
                <w:tcPr>
                  <w:tcW w:w="776" w:type="pct"/>
                  <w:noWrap w:val="0"/>
                  <w:vAlign w:val="center"/>
                </w:tcPr>
                <w:p w14:paraId="4F2B1659">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80" w:type="pct"/>
                  <w:vMerge w:val="continue"/>
                  <w:noWrap w:val="0"/>
                  <w:vAlign w:val="center"/>
                </w:tcPr>
                <w:p w14:paraId="04C246CA">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vMerge w:val="continue"/>
                  <w:noWrap w:val="0"/>
                  <w:vAlign w:val="center"/>
                </w:tcPr>
                <w:p w14:paraId="14C5910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984" w:type="pct"/>
                  <w:noWrap w:val="0"/>
                  <w:vAlign w:val="center"/>
                </w:tcPr>
                <w:p w14:paraId="2B288FF9">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3.84</w:t>
                  </w:r>
                </w:p>
              </w:tc>
            </w:tr>
            <w:tr w14:paraId="131F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4FD0CC11">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4</w:t>
                  </w:r>
                </w:p>
              </w:tc>
              <w:tc>
                <w:tcPr>
                  <w:tcW w:w="836" w:type="pct"/>
                  <w:noWrap w:val="0"/>
                  <w:vAlign w:val="center"/>
                </w:tcPr>
                <w:p w14:paraId="00416619">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邦尼树</w:t>
                  </w:r>
                  <w:r>
                    <w:rPr>
                      <w:rFonts w:hint="eastAsia" w:ascii="宋体" w:hAnsi="宋体" w:eastAsia="宋体" w:cs="宋体"/>
                      <w:color w:val="auto"/>
                      <w:sz w:val="21"/>
                      <w:szCs w:val="21"/>
                      <w:highlight w:val="none"/>
                      <w:lang w:val="en-US" w:eastAsia="zh-CN"/>
                    </w:rPr>
                    <w:t>脂</w:t>
                  </w:r>
                </w:p>
              </w:tc>
              <w:tc>
                <w:tcPr>
                  <w:tcW w:w="776" w:type="pct"/>
                  <w:noWrap w:val="0"/>
                  <w:vAlign w:val="center"/>
                </w:tcPr>
                <w:p w14:paraId="369712A6">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0</w:t>
                  </w:r>
                </w:p>
              </w:tc>
              <w:tc>
                <w:tcPr>
                  <w:tcW w:w="680" w:type="pct"/>
                  <w:vMerge w:val="continue"/>
                  <w:noWrap w:val="0"/>
                  <w:vAlign w:val="center"/>
                </w:tcPr>
                <w:p w14:paraId="4723A05D">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08EAB852">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pacing w:val="0"/>
                      <w:sz w:val="21"/>
                      <w:szCs w:val="21"/>
                      <w:highlight w:val="none"/>
                      <w:lang w:val="en-US" w:eastAsia="zh-CN"/>
                    </w:rPr>
                    <w:t>2#消失模生产线</w:t>
                  </w:r>
                </w:p>
              </w:tc>
              <w:tc>
                <w:tcPr>
                  <w:tcW w:w="984" w:type="pct"/>
                  <w:noWrap w:val="0"/>
                  <w:vAlign w:val="center"/>
                </w:tcPr>
                <w:p w14:paraId="40338ED7">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w:t>
                  </w:r>
                </w:p>
              </w:tc>
            </w:tr>
            <w:tr w14:paraId="514A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09FD6DB4">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5</w:t>
                  </w:r>
                </w:p>
              </w:tc>
              <w:tc>
                <w:tcPr>
                  <w:tcW w:w="836" w:type="pct"/>
                  <w:noWrap w:val="0"/>
                  <w:vAlign w:val="center"/>
                </w:tcPr>
                <w:p w14:paraId="23E410B0">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覆膜</w:t>
                  </w:r>
                  <w:r>
                    <w:rPr>
                      <w:rFonts w:hint="eastAsia" w:ascii="宋体" w:hAnsi="宋体" w:eastAsia="宋体" w:cs="宋体"/>
                      <w:color w:val="auto"/>
                      <w:sz w:val="21"/>
                      <w:szCs w:val="21"/>
                      <w:highlight w:val="none"/>
                      <w:lang w:val="en-US" w:eastAsia="zh-CN"/>
                    </w:rPr>
                    <w:t>砂</w:t>
                  </w:r>
                </w:p>
              </w:tc>
              <w:tc>
                <w:tcPr>
                  <w:tcW w:w="776" w:type="pct"/>
                  <w:noWrap w:val="0"/>
                  <w:vAlign w:val="center"/>
                </w:tcPr>
                <w:p w14:paraId="5167CF67">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20</w:t>
                  </w:r>
                  <w:r>
                    <w:rPr>
                      <w:rFonts w:hint="eastAsia" w:ascii="宋体" w:hAnsi="宋体" w:eastAsia="宋体" w:cs="宋体"/>
                      <w:color w:val="auto"/>
                      <w:sz w:val="21"/>
                      <w:szCs w:val="21"/>
                      <w:highlight w:val="none"/>
                      <w:lang w:val="en-US" w:eastAsia="zh-CN"/>
                    </w:rPr>
                    <w:t>0</w:t>
                  </w:r>
                </w:p>
              </w:tc>
              <w:tc>
                <w:tcPr>
                  <w:tcW w:w="680" w:type="pct"/>
                  <w:vMerge w:val="continue"/>
                  <w:noWrap w:val="0"/>
                  <w:vAlign w:val="center"/>
                </w:tcPr>
                <w:p w14:paraId="32A61807">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66070865">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自动化</w:t>
                  </w:r>
                  <w:r>
                    <w:rPr>
                      <w:rFonts w:hint="eastAsia" w:ascii="宋体" w:hAnsi="宋体" w:cs="宋体"/>
                      <w:color w:val="auto"/>
                      <w:spacing w:val="0"/>
                      <w:sz w:val="21"/>
                      <w:szCs w:val="21"/>
                      <w:highlight w:val="none"/>
                      <w:lang w:val="en-US" w:eastAsia="zh-CN"/>
                    </w:rPr>
                    <w:t>生产线</w:t>
                  </w:r>
                </w:p>
              </w:tc>
              <w:tc>
                <w:tcPr>
                  <w:tcW w:w="984" w:type="pct"/>
                  <w:noWrap w:val="0"/>
                  <w:vAlign w:val="center"/>
                </w:tcPr>
                <w:p w14:paraId="75CD6A9B">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200</w:t>
                  </w:r>
                </w:p>
              </w:tc>
            </w:tr>
            <w:tr w14:paraId="2BFB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37CC88A6">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w:t>
                  </w:r>
                  <w:r>
                    <w:rPr>
                      <w:rFonts w:hint="eastAsia" w:ascii="宋体" w:hAnsi="宋体" w:eastAsia="宋体" w:cs="宋体"/>
                      <w:color w:val="auto"/>
                      <w:sz w:val="21"/>
                      <w:szCs w:val="21"/>
                      <w:highlight w:val="none"/>
                      <w:lang w:val="en-US" w:eastAsia="zh-CN"/>
                    </w:rPr>
                    <w:t>6</w:t>
                  </w:r>
                </w:p>
              </w:tc>
              <w:tc>
                <w:tcPr>
                  <w:tcW w:w="836" w:type="pct"/>
                  <w:noWrap w:val="0"/>
                  <w:vAlign w:val="center"/>
                </w:tcPr>
                <w:p w14:paraId="2D532818">
                  <w:pPr>
                    <w:spacing w:after="0"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粘</w:t>
                  </w:r>
                  <w:r>
                    <w:rPr>
                      <w:rFonts w:hint="eastAsia" w:ascii="宋体" w:hAnsi="宋体" w:eastAsia="宋体" w:cs="宋体"/>
                      <w:color w:val="auto"/>
                      <w:sz w:val="21"/>
                      <w:szCs w:val="21"/>
                      <w:highlight w:val="none"/>
                      <w:lang w:val="en-US" w:eastAsia="zh-CN"/>
                    </w:rPr>
                    <w:t>土</w:t>
                  </w:r>
                </w:p>
              </w:tc>
              <w:tc>
                <w:tcPr>
                  <w:tcW w:w="776" w:type="pct"/>
                  <w:noWrap w:val="0"/>
                  <w:vAlign w:val="center"/>
                </w:tcPr>
                <w:p w14:paraId="382197AF">
                  <w:pPr>
                    <w:spacing w:after="0"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80" w:type="pct"/>
                  <w:vMerge w:val="continue"/>
                  <w:noWrap w:val="0"/>
                  <w:vAlign w:val="center"/>
                </w:tcPr>
                <w:p w14:paraId="2D313530">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p>
              </w:tc>
              <w:tc>
                <w:tcPr>
                  <w:tcW w:w="1261" w:type="pct"/>
                  <w:noWrap w:val="0"/>
                  <w:vAlign w:val="center"/>
                </w:tcPr>
                <w:p w14:paraId="6933319F">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合金球</w:t>
                  </w:r>
                  <w:r>
                    <w:rPr>
                      <w:rFonts w:hint="eastAsia" w:ascii="宋体" w:hAnsi="宋体" w:cs="宋体"/>
                      <w:color w:val="auto"/>
                      <w:spacing w:val="0"/>
                      <w:sz w:val="21"/>
                      <w:szCs w:val="21"/>
                      <w:highlight w:val="none"/>
                      <w:lang w:val="en-US" w:eastAsia="zh-CN"/>
                    </w:rPr>
                    <w:t>生产线</w:t>
                  </w:r>
                </w:p>
              </w:tc>
              <w:tc>
                <w:tcPr>
                  <w:tcW w:w="984" w:type="pct"/>
                  <w:noWrap w:val="0"/>
                  <w:vAlign w:val="center"/>
                </w:tcPr>
                <w:p w14:paraId="26662F69">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r>
            <w:tr w14:paraId="12ED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2B774E5">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p>
              </w:tc>
              <w:tc>
                <w:tcPr>
                  <w:tcW w:w="836" w:type="pct"/>
                  <w:noWrap w:val="0"/>
                  <w:vAlign w:val="center"/>
                </w:tcPr>
                <w:p w14:paraId="61668DA6">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w:t>
                  </w:r>
                </w:p>
              </w:tc>
              <w:tc>
                <w:tcPr>
                  <w:tcW w:w="776" w:type="pct"/>
                  <w:noWrap w:val="0"/>
                  <w:vAlign w:val="center"/>
                </w:tcPr>
                <w:p w14:paraId="48416AF1">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1353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pacing w:val="0"/>
                      <w:sz w:val="21"/>
                      <w:szCs w:val="21"/>
                      <w:highlight w:val="none"/>
                      <w:lang w:val="en-US" w:eastAsia="zh-CN"/>
                    </w:rPr>
                    <w:t>m³/</w:t>
                  </w:r>
                  <w:r>
                    <w:rPr>
                      <w:rFonts w:hint="eastAsia" w:ascii="宋体" w:hAnsi="宋体" w:eastAsia="宋体" w:cs="宋体"/>
                      <w:color w:val="auto"/>
                      <w:sz w:val="21"/>
                      <w:szCs w:val="21"/>
                      <w:highlight w:val="none"/>
                      <w:lang w:val="en-US" w:eastAsia="zh-CN"/>
                    </w:rPr>
                    <w:t>a</w:t>
                  </w:r>
                </w:p>
              </w:tc>
              <w:tc>
                <w:tcPr>
                  <w:tcW w:w="680" w:type="pct"/>
                  <w:noWrap w:val="0"/>
                  <w:vAlign w:val="center"/>
                </w:tcPr>
                <w:p w14:paraId="5CB1739B">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自备水</w:t>
                  </w:r>
                  <w:r>
                    <w:rPr>
                      <w:rFonts w:hint="eastAsia" w:ascii="宋体" w:hAnsi="宋体" w:eastAsia="宋体" w:cs="宋体"/>
                      <w:color w:val="auto"/>
                      <w:sz w:val="21"/>
                      <w:szCs w:val="21"/>
                      <w:highlight w:val="none"/>
                      <w:lang w:val="en-US" w:eastAsia="zh-CN"/>
                    </w:rPr>
                    <w:t>井</w:t>
                  </w:r>
                </w:p>
              </w:tc>
              <w:tc>
                <w:tcPr>
                  <w:tcW w:w="1261" w:type="pct"/>
                  <w:noWrap w:val="0"/>
                  <w:vAlign w:val="center"/>
                </w:tcPr>
                <w:p w14:paraId="7B44F72E">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项目运行</w:t>
                  </w:r>
                </w:p>
              </w:tc>
              <w:tc>
                <w:tcPr>
                  <w:tcW w:w="984" w:type="pct"/>
                  <w:noWrap w:val="0"/>
                  <w:vAlign w:val="center"/>
                </w:tcPr>
                <w:p w14:paraId="089A06B0">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10227</w:t>
                  </w:r>
                  <w:r>
                    <w:rPr>
                      <w:rFonts w:hint="eastAsia" w:ascii="宋体" w:hAnsi="宋体" w:eastAsia="宋体" w:cs="宋体"/>
                      <w:color w:val="auto"/>
                      <w:spacing w:val="0"/>
                      <w:sz w:val="21"/>
                      <w:szCs w:val="21"/>
                      <w:highlight w:val="none"/>
                      <w:lang w:val="en-US" w:eastAsia="zh-CN"/>
                    </w:rPr>
                    <w:t>m³/</w:t>
                  </w:r>
                  <w:r>
                    <w:rPr>
                      <w:rFonts w:hint="eastAsia" w:ascii="宋体" w:hAnsi="宋体" w:eastAsia="宋体" w:cs="宋体"/>
                      <w:color w:val="auto"/>
                      <w:sz w:val="21"/>
                      <w:szCs w:val="21"/>
                      <w:highlight w:val="none"/>
                      <w:lang w:val="en-US" w:eastAsia="zh-CN"/>
                    </w:rPr>
                    <w:t>a</w:t>
                  </w:r>
                </w:p>
              </w:tc>
            </w:tr>
            <w:tr w14:paraId="4790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61" w:type="pct"/>
                  <w:noWrap w:val="0"/>
                  <w:vAlign w:val="center"/>
                </w:tcPr>
                <w:p w14:paraId="6F337497">
                  <w:pPr>
                    <w:pStyle w:val="16"/>
                    <w:spacing w:after="0" w:line="240"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836" w:type="pct"/>
                  <w:noWrap w:val="0"/>
                  <w:vAlign w:val="center"/>
                </w:tcPr>
                <w:p w14:paraId="11678F70">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w:t>
                  </w:r>
                </w:p>
              </w:tc>
              <w:tc>
                <w:tcPr>
                  <w:tcW w:w="776" w:type="pct"/>
                  <w:noWrap w:val="0"/>
                  <w:vAlign w:val="center"/>
                </w:tcPr>
                <w:p w14:paraId="7FA938EA">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309</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pacing w:val="0"/>
                      <w:sz w:val="21"/>
                      <w:szCs w:val="21"/>
                      <w:highlight w:val="none"/>
                      <w:lang w:val="en-US" w:eastAsia="zh-CN"/>
                    </w:rPr>
                    <w:t>kwh/</w:t>
                  </w:r>
                  <w:r>
                    <w:rPr>
                      <w:rFonts w:hint="eastAsia" w:ascii="宋体" w:hAnsi="宋体" w:eastAsia="宋体" w:cs="宋体"/>
                      <w:color w:val="auto"/>
                      <w:sz w:val="21"/>
                      <w:szCs w:val="21"/>
                      <w:highlight w:val="none"/>
                      <w:lang w:val="en-US" w:eastAsia="zh-CN"/>
                    </w:rPr>
                    <w:t>a</w:t>
                  </w:r>
                </w:p>
              </w:tc>
              <w:tc>
                <w:tcPr>
                  <w:tcW w:w="680" w:type="pct"/>
                  <w:noWrap w:val="0"/>
                  <w:vAlign w:val="center"/>
                </w:tcPr>
                <w:p w14:paraId="6C2B9723">
                  <w:pPr>
                    <w:pStyle w:val="16"/>
                    <w:spacing w:after="0"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0"/>
                      <w:sz w:val="21"/>
                      <w:szCs w:val="21"/>
                      <w:highlight w:val="none"/>
                      <w:lang w:val="en-US" w:eastAsia="zh-CN"/>
                    </w:rPr>
                    <w:t>京</w:t>
                  </w:r>
                  <w:r>
                    <w:rPr>
                      <w:rFonts w:hint="eastAsia" w:ascii="宋体" w:hAnsi="宋体" w:cs="宋体"/>
                      <w:color w:val="auto"/>
                      <w:spacing w:val="0"/>
                      <w:sz w:val="21"/>
                      <w:szCs w:val="21"/>
                      <w:highlight w:val="none"/>
                      <w:lang w:val="en-US" w:eastAsia="zh-CN"/>
                    </w:rPr>
                    <w:t>联</w:t>
                  </w:r>
                  <w:r>
                    <w:rPr>
                      <w:rFonts w:hint="eastAsia" w:ascii="宋体" w:hAnsi="宋体" w:eastAsia="宋体" w:cs="宋体"/>
                      <w:color w:val="auto"/>
                      <w:spacing w:val="0"/>
                      <w:sz w:val="21"/>
                      <w:szCs w:val="21"/>
                      <w:highlight w:val="none"/>
                      <w:lang w:val="en-US" w:eastAsia="zh-CN"/>
                    </w:rPr>
                    <w:t>集团变电</w:t>
                  </w:r>
                  <w:r>
                    <w:rPr>
                      <w:rFonts w:hint="eastAsia" w:ascii="宋体" w:hAnsi="宋体" w:eastAsia="宋体" w:cs="宋体"/>
                      <w:color w:val="auto"/>
                      <w:sz w:val="21"/>
                      <w:szCs w:val="21"/>
                      <w:highlight w:val="none"/>
                      <w:lang w:val="en-US" w:eastAsia="zh-CN"/>
                    </w:rPr>
                    <w:t>站</w:t>
                  </w:r>
                </w:p>
              </w:tc>
              <w:tc>
                <w:tcPr>
                  <w:tcW w:w="1261" w:type="pct"/>
                  <w:noWrap w:val="0"/>
                  <w:vAlign w:val="center"/>
                </w:tcPr>
                <w:p w14:paraId="357AAD7B">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项目运行</w:t>
                  </w:r>
                </w:p>
              </w:tc>
              <w:tc>
                <w:tcPr>
                  <w:tcW w:w="984" w:type="pct"/>
                  <w:noWrap w:val="0"/>
                  <w:vAlign w:val="center"/>
                </w:tcPr>
                <w:p w14:paraId="74E9E5CF">
                  <w:pPr>
                    <w:pStyle w:val="16"/>
                    <w:spacing w:after="0" w:line="240" w:lineRule="auto"/>
                    <w:ind w:left="0" w:leftChars="0" w:firstLine="0" w:firstLineChars="0"/>
                    <w:jc w:val="center"/>
                    <w:rPr>
                      <w:rFonts w:hint="default" w:ascii="宋体" w:hAnsi="宋体" w:eastAsia="宋体" w:cs="宋体"/>
                      <w:color w:val="auto"/>
                      <w:spacing w:val="0"/>
                      <w:sz w:val="21"/>
                      <w:szCs w:val="21"/>
                      <w:highlight w:val="none"/>
                      <w:lang w:val="en-US" w:eastAsia="zh-CN"/>
                    </w:rPr>
                  </w:pPr>
                  <w:r>
                    <w:rPr>
                      <w:rFonts w:hint="eastAsia" w:ascii="宋体" w:hAnsi="宋体" w:cs="宋体"/>
                      <w:color w:val="auto"/>
                      <w:spacing w:val="0"/>
                      <w:sz w:val="21"/>
                      <w:szCs w:val="21"/>
                      <w:highlight w:val="none"/>
                      <w:lang w:val="en-US" w:eastAsia="zh-CN"/>
                    </w:rPr>
                    <w:t>1823.1</w:t>
                  </w:r>
                  <w:r>
                    <w:rPr>
                      <w:rFonts w:hint="eastAsia" w:ascii="宋体" w:hAnsi="宋体" w:eastAsia="宋体" w:cs="宋体"/>
                      <w:color w:val="auto"/>
                      <w:spacing w:val="0"/>
                      <w:sz w:val="21"/>
                      <w:szCs w:val="21"/>
                      <w:highlight w:val="none"/>
                      <w:lang w:val="en-US" w:eastAsia="zh-CN"/>
                    </w:rPr>
                    <w:t>kwh/</w:t>
                  </w:r>
                  <w:r>
                    <w:rPr>
                      <w:rFonts w:hint="eastAsia" w:ascii="宋体" w:hAnsi="宋体" w:eastAsia="宋体" w:cs="宋体"/>
                      <w:color w:val="auto"/>
                      <w:sz w:val="21"/>
                      <w:szCs w:val="21"/>
                      <w:highlight w:val="none"/>
                      <w:lang w:val="en-US" w:eastAsia="zh-CN"/>
                    </w:rPr>
                    <w:t>a</w:t>
                  </w:r>
                </w:p>
              </w:tc>
            </w:tr>
          </w:tbl>
          <w:p w14:paraId="6CBC5CDE">
            <w:pPr>
              <w:pStyle w:val="11"/>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5、产品方案</w:t>
            </w:r>
          </w:p>
          <w:p w14:paraId="295AD2AE">
            <w:pPr>
              <w:jc w:val="center"/>
              <w:rPr>
                <w:rFonts w:hint="eastAsia"/>
                <w:color w:val="auto"/>
                <w:sz w:val="24"/>
                <w:szCs w:val="24"/>
                <w:highlight w:val="none"/>
                <w:lang w:val="en-US" w:eastAsia="zh-CN"/>
              </w:rPr>
            </w:pPr>
            <w:r>
              <w:rPr>
                <w:rFonts w:hint="eastAsia"/>
                <w:color w:val="auto"/>
                <w:sz w:val="24"/>
                <w:szCs w:val="24"/>
                <w:highlight w:val="none"/>
                <w:lang w:val="en-US" w:eastAsia="zh-CN"/>
              </w:rPr>
              <w:t>表2-9  产品种类表</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5"/>
              <w:gridCol w:w="3858"/>
            </w:tblGrid>
            <w:tr w14:paraId="4EB7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exact"/>
              </w:trPr>
              <w:tc>
                <w:tcPr>
                  <w:tcW w:w="2568" w:type="pct"/>
                  <w:noWrap w:val="0"/>
                  <w:vAlign w:val="top"/>
                </w:tcPr>
                <w:p w14:paraId="673C4FF4">
                  <w:pPr>
                    <w:widowControl/>
                    <w:adjustRightInd/>
                    <w:snapToGrid/>
                    <w:spacing w:after="0" w:afterLines="0"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产品种类</w:t>
                  </w:r>
                </w:p>
              </w:tc>
              <w:tc>
                <w:tcPr>
                  <w:tcW w:w="2431" w:type="pct"/>
                  <w:noWrap w:val="0"/>
                  <w:vAlign w:val="top"/>
                </w:tcPr>
                <w:p w14:paraId="472EC44B">
                  <w:pPr>
                    <w:widowControl/>
                    <w:adjustRightInd/>
                    <w:snapToGrid/>
                    <w:spacing w:after="0" w:afterLines="0" w:line="240" w:lineRule="auto"/>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项目产能</w:t>
                  </w:r>
                  <w:r>
                    <w:rPr>
                      <w:rFonts w:eastAsia="宋体" w:cs="Times New Roman"/>
                      <w:b/>
                      <w:bCs/>
                      <w:color w:val="auto"/>
                      <w:sz w:val="21"/>
                      <w:szCs w:val="21"/>
                      <w:highlight w:val="none"/>
                    </w:rPr>
                    <w:t>（t/a）</w:t>
                  </w:r>
                </w:p>
              </w:tc>
            </w:tr>
            <w:tr w14:paraId="2C3F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64BCC666">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lang w:val="en-US" w:eastAsia="zh-CN"/>
                    </w:rPr>
                    <w:t>合金球</w:t>
                  </w:r>
                </w:p>
              </w:tc>
              <w:tc>
                <w:tcPr>
                  <w:tcW w:w="2431" w:type="pct"/>
                  <w:noWrap w:val="0"/>
                  <w:vAlign w:val="top"/>
                </w:tcPr>
                <w:p w14:paraId="44748D17">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6000</w:t>
                  </w:r>
                </w:p>
              </w:tc>
            </w:tr>
            <w:tr w14:paraId="4728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03FCD1A5">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rPr>
                    <w:t>挖掘机斗齿</w:t>
                  </w:r>
                </w:p>
              </w:tc>
              <w:tc>
                <w:tcPr>
                  <w:tcW w:w="2431" w:type="pct"/>
                  <w:noWrap w:val="0"/>
                  <w:vAlign w:val="top"/>
                </w:tcPr>
                <w:p w14:paraId="19151C0C">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300</w:t>
                  </w:r>
                </w:p>
              </w:tc>
            </w:tr>
            <w:tr w14:paraId="1351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2FA3237E">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rPr>
                    <w:t>渣浆泵耐磨过流件</w:t>
                  </w:r>
                </w:p>
              </w:tc>
              <w:tc>
                <w:tcPr>
                  <w:tcW w:w="2431" w:type="pct"/>
                  <w:noWrap w:val="0"/>
                  <w:vAlign w:val="top"/>
                </w:tcPr>
                <w:p w14:paraId="19C3621D">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800</w:t>
                  </w:r>
                </w:p>
              </w:tc>
            </w:tr>
            <w:tr w14:paraId="202A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27AB798B">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rPr>
                    <w:t>圆锥破碎机衬板</w:t>
                  </w:r>
                </w:p>
              </w:tc>
              <w:tc>
                <w:tcPr>
                  <w:tcW w:w="2431" w:type="pct"/>
                  <w:noWrap w:val="0"/>
                  <w:vAlign w:val="top"/>
                </w:tcPr>
                <w:p w14:paraId="5EE92096">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600</w:t>
                  </w:r>
                </w:p>
              </w:tc>
            </w:tr>
            <w:tr w14:paraId="49AD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28D87444">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rPr>
                    <w:t>水泥泵输送管道耐磨合金内衬</w:t>
                  </w:r>
                </w:p>
              </w:tc>
              <w:tc>
                <w:tcPr>
                  <w:tcW w:w="2431" w:type="pct"/>
                  <w:noWrap w:val="0"/>
                  <w:vAlign w:val="top"/>
                </w:tcPr>
                <w:p w14:paraId="7A97EEC9">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w:t>
                  </w:r>
                </w:p>
              </w:tc>
            </w:tr>
            <w:tr w14:paraId="42D6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7836C6B6">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lang w:val="en-US" w:eastAsia="zh-CN"/>
                    </w:rPr>
                    <w:t>系列合金衬板</w:t>
                  </w:r>
                </w:p>
              </w:tc>
              <w:tc>
                <w:tcPr>
                  <w:tcW w:w="2431" w:type="pct"/>
                  <w:noWrap w:val="0"/>
                  <w:vAlign w:val="top"/>
                </w:tcPr>
                <w:p w14:paraId="32F2D05C">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9000</w:t>
                  </w:r>
                </w:p>
              </w:tc>
            </w:tr>
            <w:tr w14:paraId="57B4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center"/>
                </w:tcPr>
                <w:p w14:paraId="5D509796">
                  <w:pPr>
                    <w:pStyle w:val="34"/>
                    <w:widowControl w:val="0"/>
                    <w:tabs>
                      <w:tab w:val="left" w:pos="0"/>
                    </w:tabs>
                    <w:rPr>
                      <w:rFonts w:hint="default" w:ascii="宋体" w:hAnsi="宋体" w:eastAsia="宋体" w:cs="宋体"/>
                      <w:color w:val="auto"/>
                      <w:kern w:val="2"/>
                      <w:sz w:val="28"/>
                      <w:szCs w:val="28"/>
                      <w:highlight w:val="none"/>
                      <w:vertAlign w:val="baseline"/>
                      <w:lang w:val="en-US" w:eastAsia="zh-CN"/>
                    </w:rPr>
                  </w:pPr>
                  <w:r>
                    <w:rPr>
                      <w:rFonts w:hint="eastAsia" w:eastAsia="宋体" w:cs="Times New Roman"/>
                      <w:color w:val="auto"/>
                      <w:sz w:val="21"/>
                      <w:szCs w:val="21"/>
                      <w:highlight w:val="none"/>
                      <w:lang w:val="en-US" w:eastAsia="zh-CN"/>
                    </w:rPr>
                    <w:t>系列渣浆泵及配件</w:t>
                  </w:r>
                </w:p>
              </w:tc>
              <w:tc>
                <w:tcPr>
                  <w:tcW w:w="2431" w:type="pct"/>
                  <w:noWrap w:val="0"/>
                  <w:vAlign w:val="top"/>
                </w:tcPr>
                <w:p w14:paraId="181046CC">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1000</w:t>
                  </w:r>
                </w:p>
              </w:tc>
            </w:tr>
            <w:tr w14:paraId="40B3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568" w:type="pct"/>
                  <w:noWrap w:val="0"/>
                  <w:vAlign w:val="top"/>
                </w:tcPr>
                <w:p w14:paraId="1FD97AD2">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合计</w:t>
                  </w:r>
                </w:p>
              </w:tc>
              <w:tc>
                <w:tcPr>
                  <w:tcW w:w="2431" w:type="pct"/>
                  <w:noWrap w:val="0"/>
                  <w:vAlign w:val="top"/>
                </w:tcPr>
                <w:p w14:paraId="169CBE6F">
                  <w:pPr>
                    <w:pStyle w:val="34"/>
                    <w:widowControl w:val="0"/>
                    <w:tabs>
                      <w:tab w:val="left" w:pos="0"/>
                    </w:tabs>
                    <w:rPr>
                      <w:rFonts w:hint="eastAsia" w:ascii="Tahoma" w:hAnsi="Tahoma" w:eastAsia="宋体" w:cs="Times New Roman"/>
                      <w:color w:val="auto"/>
                      <w:kern w:val="0"/>
                      <w:sz w:val="21"/>
                      <w:szCs w:val="21"/>
                      <w:highlight w:val="none"/>
                      <w:vertAlign w:val="baseline"/>
                      <w:lang w:val="en-US" w:eastAsia="zh-CN"/>
                    </w:rPr>
                  </w:pPr>
                  <w:r>
                    <w:rPr>
                      <w:rFonts w:hint="eastAsia" w:ascii="Tahoma" w:hAnsi="Tahoma" w:eastAsia="宋体" w:cs="Times New Roman"/>
                      <w:color w:val="auto"/>
                      <w:kern w:val="0"/>
                      <w:sz w:val="21"/>
                      <w:szCs w:val="21"/>
                      <w:highlight w:val="none"/>
                      <w:vertAlign w:val="baseline"/>
                      <w:lang w:val="en-US" w:eastAsia="zh-CN"/>
                    </w:rPr>
                    <w:t>17700</w:t>
                  </w:r>
                </w:p>
              </w:tc>
            </w:tr>
          </w:tbl>
          <w:p w14:paraId="00A89465">
            <w:pPr>
              <w:numPr>
                <w:ilvl w:val="0"/>
                <w:numId w:val="0"/>
              </w:numPr>
              <w:ind w:leftChars="200"/>
              <w:rPr>
                <w:rFonts w:hint="eastAsia"/>
                <w:color w:val="auto"/>
                <w:sz w:val="24"/>
                <w:szCs w:val="24"/>
                <w:highlight w:val="none"/>
                <w:lang w:val="en-US" w:eastAsia="zh-CN"/>
              </w:rPr>
            </w:pPr>
            <w:r>
              <w:rPr>
                <w:rFonts w:hint="eastAsia"/>
                <w:color w:val="auto"/>
                <w:sz w:val="24"/>
                <w:szCs w:val="24"/>
                <w:highlight w:val="none"/>
                <w:lang w:val="en-US" w:eastAsia="zh-CN"/>
              </w:rPr>
              <w:t>6、原有生产设备</w:t>
            </w:r>
          </w:p>
          <w:p w14:paraId="388BBF9D">
            <w:pPr>
              <w:pStyle w:val="2"/>
              <w:ind w:left="0" w:leftChars="0" w:firstLine="0" w:firstLineChars="0"/>
              <w:jc w:val="center"/>
              <w:rPr>
                <w:rFonts w:hint="eastAsia"/>
                <w:color w:val="auto"/>
                <w:sz w:val="24"/>
                <w:szCs w:val="24"/>
                <w:highlight w:val="none"/>
                <w:lang w:val="en-US" w:eastAsia="zh-CN"/>
              </w:rPr>
            </w:pPr>
            <w:r>
              <w:rPr>
                <w:rFonts w:hint="eastAsia"/>
                <w:color w:val="auto"/>
                <w:sz w:val="24"/>
                <w:szCs w:val="24"/>
                <w:highlight w:val="none"/>
                <w:lang w:val="en-US" w:eastAsia="zh-CN"/>
              </w:rPr>
              <w:t>表2-10  生产设备一览表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7"/>
              <w:gridCol w:w="495"/>
              <w:gridCol w:w="1982"/>
              <w:gridCol w:w="2940"/>
              <w:gridCol w:w="812"/>
              <w:gridCol w:w="884"/>
            </w:tblGrid>
            <w:tr w14:paraId="510A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8" w:hRule="atLeast"/>
                <w:tblHeader/>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2A5C5CED">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车间</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116EBC51">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序号</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3E2591D">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设备名称</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3D7A0FA8">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规格型号</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7F74333">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单位</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EB4AEAE">
                  <w:pPr>
                    <w:adjustRightInd/>
                    <w:snapToGrid w:val="0"/>
                    <w:spacing w:after="0"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数量</w:t>
                  </w:r>
                </w:p>
              </w:tc>
            </w:tr>
            <w:tr w14:paraId="17B0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515" w:type="pct"/>
                  <w:vMerge w:val="restart"/>
                  <w:tcBorders>
                    <w:top w:val="single" w:color="auto" w:sz="4" w:space="0"/>
                    <w:left w:val="single" w:color="auto" w:sz="4" w:space="0"/>
                    <w:right w:val="single" w:color="auto" w:sz="4" w:space="0"/>
                  </w:tcBorders>
                  <w:noWrap w:val="0"/>
                  <w:vAlign w:val="center"/>
                </w:tcPr>
                <w:p w14:paraId="7EC75766">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1#消失模生产线</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1C231D75">
                  <w:pPr>
                    <w:widowControl/>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AF2C222">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中频感应电炉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22F30F9">
                  <w:pPr>
                    <w:widowControl/>
                    <w:spacing w:after="0"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KGP2000KW\3.5</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82ED580">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DCF9C0C">
                  <w:pPr>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r>
            <w:tr w14:paraId="4BC4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15" w:type="pct"/>
                  <w:vMerge w:val="continue"/>
                  <w:tcBorders>
                    <w:left w:val="single" w:color="auto" w:sz="4" w:space="0"/>
                    <w:right w:val="single" w:color="auto" w:sz="4" w:space="0"/>
                  </w:tcBorders>
                  <w:noWrap w:val="0"/>
                  <w:vAlign w:val="center"/>
                </w:tcPr>
                <w:p w14:paraId="4D7DC8DF">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62CE7BB6">
                  <w:pPr>
                    <w:widowControl/>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039F5C57">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B022461">
                  <w:pPr>
                    <w:widowControl/>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DMC-112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76DEBBE">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EF727CA">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F83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515" w:type="pct"/>
                  <w:vMerge w:val="continue"/>
                  <w:tcBorders>
                    <w:left w:val="single" w:color="auto" w:sz="4" w:space="0"/>
                    <w:right w:val="single" w:color="auto" w:sz="4" w:space="0"/>
                  </w:tcBorders>
                  <w:noWrap w:val="0"/>
                  <w:vAlign w:val="center"/>
                </w:tcPr>
                <w:p w14:paraId="56D0A10A">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8A7320D">
                  <w:pPr>
                    <w:widowControl/>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7F14179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774A746">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C3D7050">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AB5A5C6">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4E09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515" w:type="pct"/>
                  <w:vMerge w:val="continue"/>
                  <w:tcBorders>
                    <w:left w:val="single" w:color="auto" w:sz="4" w:space="0"/>
                    <w:right w:val="single" w:color="auto" w:sz="4" w:space="0"/>
                  </w:tcBorders>
                  <w:noWrap w:val="0"/>
                  <w:vAlign w:val="center"/>
                </w:tcPr>
                <w:p w14:paraId="1CAC271E">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022AAC42">
                  <w:pPr>
                    <w:widowControl/>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0B653A34">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砂处理生产线</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14D2075">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4B21AC0">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条</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7CBA5F6D">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6751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515" w:type="pct"/>
                  <w:vMerge w:val="continue"/>
                  <w:tcBorders>
                    <w:left w:val="single" w:color="auto" w:sz="4" w:space="0"/>
                    <w:right w:val="single" w:color="auto" w:sz="4" w:space="0"/>
                  </w:tcBorders>
                  <w:noWrap w:val="0"/>
                  <w:vAlign w:val="center"/>
                </w:tcPr>
                <w:p w14:paraId="3FC48515">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B074F5E">
                  <w:pPr>
                    <w:widowControl/>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2B40B8DA">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3418D3D2">
                  <w:pPr>
                    <w:widowControl/>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DMC240-2450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089BE3C">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45A8339">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7022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515" w:type="pct"/>
                  <w:vMerge w:val="continue"/>
                  <w:tcBorders>
                    <w:left w:val="single" w:color="auto" w:sz="4" w:space="0"/>
                    <w:right w:val="single" w:color="auto" w:sz="4" w:space="0"/>
                  </w:tcBorders>
                  <w:noWrap w:val="0"/>
                  <w:vAlign w:val="center"/>
                </w:tcPr>
                <w:p w14:paraId="4C2DE368">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6DEEDB0">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3E23A3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0091368">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4-68</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65FFD61">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7ADEECA0">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C14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515" w:type="pct"/>
                  <w:vMerge w:val="continue"/>
                  <w:tcBorders>
                    <w:left w:val="single" w:color="auto" w:sz="4" w:space="0"/>
                    <w:right w:val="single" w:color="auto" w:sz="4" w:space="0"/>
                  </w:tcBorders>
                  <w:noWrap w:val="0"/>
                  <w:vAlign w:val="center"/>
                </w:tcPr>
                <w:p w14:paraId="352C7509">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ECFFF65">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ECCA90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C03D6DD">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LDY10t-A6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FF21B0A">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E98779B">
                  <w:pPr>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r>
            <w:tr w14:paraId="38E2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515" w:type="pct"/>
                  <w:vMerge w:val="continue"/>
                  <w:tcBorders>
                    <w:left w:val="single" w:color="auto" w:sz="4" w:space="0"/>
                    <w:right w:val="single" w:color="auto" w:sz="4" w:space="0"/>
                  </w:tcBorders>
                  <w:noWrap w:val="0"/>
                  <w:vAlign w:val="center"/>
                </w:tcPr>
                <w:p w14:paraId="0F7FEE8D">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8A9F2FF">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E9F580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电动双梁双钩起重机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12DCA30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QD16/3.2t</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3EA1214F">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2A6ADCA">
                  <w:pPr>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r>
            <w:tr w14:paraId="370A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515" w:type="pct"/>
                  <w:vMerge w:val="continue"/>
                  <w:tcBorders>
                    <w:left w:val="single" w:color="auto" w:sz="4" w:space="0"/>
                    <w:right w:val="single" w:color="auto" w:sz="4" w:space="0"/>
                  </w:tcBorders>
                  <w:noWrap w:val="0"/>
                  <w:vAlign w:val="center"/>
                </w:tcPr>
                <w:p w14:paraId="73655729">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6A0C8D3">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48CB11B">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台车式电炉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38BAF0E">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360kw</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E9B9EBA">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D7CE199">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77AF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515" w:type="pct"/>
                  <w:vMerge w:val="restart"/>
                  <w:tcBorders>
                    <w:top w:val="single" w:color="auto" w:sz="4" w:space="0"/>
                    <w:left w:val="single" w:color="auto" w:sz="4" w:space="0"/>
                    <w:right w:val="single" w:color="auto" w:sz="4" w:space="0"/>
                  </w:tcBorders>
                  <w:noWrap w:val="0"/>
                  <w:vAlign w:val="center"/>
                </w:tcPr>
                <w:p w14:paraId="34BE8EF0">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铁型合金球生产线</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0C2E48B5">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F867F70">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中频感应电炉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1DA5AED">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KGPS800KW\1.2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D3DD7C1">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E09DC8B">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6E1B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jc w:val="center"/>
              </w:trPr>
              <w:tc>
                <w:tcPr>
                  <w:tcW w:w="515" w:type="pct"/>
                  <w:vMerge w:val="continue"/>
                  <w:tcBorders>
                    <w:left w:val="single" w:color="auto" w:sz="4" w:space="0"/>
                    <w:right w:val="single" w:color="auto" w:sz="4" w:space="0"/>
                  </w:tcBorders>
                  <w:noWrap w:val="0"/>
                  <w:vAlign w:val="center"/>
                </w:tcPr>
                <w:p w14:paraId="25573650">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F99041F">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07F2835">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38FFF3A4">
                  <w:pPr>
                    <w:widowControl/>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DMC-112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0F178653">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72094A7">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648D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2F330346">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EF8B864">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E2F6BE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85644F4">
                  <w:pPr>
                    <w:widowControl/>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4-72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70ACF09">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2A0B33E">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1720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8" w:hRule="atLeast"/>
                <w:jc w:val="center"/>
              </w:trPr>
              <w:tc>
                <w:tcPr>
                  <w:tcW w:w="515" w:type="pct"/>
                  <w:vMerge w:val="continue"/>
                  <w:tcBorders>
                    <w:left w:val="single" w:color="auto" w:sz="4" w:space="0"/>
                    <w:right w:val="single" w:color="auto" w:sz="4" w:space="0"/>
                  </w:tcBorders>
                  <w:noWrap w:val="0"/>
                  <w:vAlign w:val="center"/>
                </w:tcPr>
                <w:p w14:paraId="3CC53B52">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1C0F217">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9B581A2">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全自动推杆式热处理生产线</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FEF0953">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ZT－150－280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08F58AC3">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6D8AD45">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17C4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73090F2E">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6FF67D0">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7A3E678A">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912F040">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LD10t A3</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9B4B3B3">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E97D0A7">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71EF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restart"/>
                  <w:tcBorders>
                    <w:top w:val="single" w:color="auto" w:sz="4" w:space="0"/>
                    <w:left w:val="single" w:color="auto" w:sz="4" w:space="0"/>
                    <w:right w:val="single" w:color="auto" w:sz="4" w:space="0"/>
                  </w:tcBorders>
                  <w:noWrap w:val="0"/>
                  <w:vAlign w:val="center"/>
                </w:tcPr>
                <w:p w14:paraId="4BF3D2D1">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合金球自动化生产线</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0069EBE3">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5B06288">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中频感应电炉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7E15517">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KGPS800KW\1.2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07888071">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BADDF7C">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r>
            <w:tr w14:paraId="5A25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0938B2F6">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C930FCA">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A044B76">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BEDDA12">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DMC240-2450</w:t>
                  </w:r>
                </w:p>
              </w:tc>
              <w:tc>
                <w:tcPr>
                  <w:tcW w:w="512" w:type="pct"/>
                  <w:tcBorders>
                    <w:top w:val="single" w:color="auto" w:sz="4" w:space="0"/>
                    <w:left w:val="single" w:color="auto" w:sz="4" w:space="0"/>
                    <w:right w:val="single" w:color="auto" w:sz="4" w:space="0"/>
                  </w:tcBorders>
                  <w:noWrap w:val="0"/>
                  <w:vAlign w:val="center"/>
                </w:tcPr>
                <w:p w14:paraId="3AEEE24A">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right w:val="single" w:color="auto" w:sz="4" w:space="0"/>
                  </w:tcBorders>
                  <w:noWrap w:val="0"/>
                  <w:vAlign w:val="center"/>
                </w:tcPr>
                <w:p w14:paraId="72391A54">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FC0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5A973848">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EB59EF9">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72F29E09">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D0D2CCC">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4-68 8C</w:t>
                  </w:r>
                </w:p>
              </w:tc>
              <w:tc>
                <w:tcPr>
                  <w:tcW w:w="512" w:type="pct"/>
                  <w:tcBorders>
                    <w:left w:val="single" w:color="auto" w:sz="4" w:space="0"/>
                    <w:right w:val="single" w:color="auto" w:sz="4" w:space="0"/>
                  </w:tcBorders>
                  <w:noWrap w:val="0"/>
                  <w:vAlign w:val="center"/>
                </w:tcPr>
                <w:p w14:paraId="734FBD8B">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left w:val="single" w:color="auto" w:sz="4" w:space="0"/>
                    <w:right w:val="single" w:color="auto" w:sz="4" w:space="0"/>
                  </w:tcBorders>
                  <w:noWrap w:val="0"/>
                  <w:vAlign w:val="center"/>
                </w:tcPr>
                <w:p w14:paraId="5BE82FCB">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7036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3CD8BE43">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8EA84BB">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0BAB9DB">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旋风分离器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E472679">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XC-ɸ1400</w:t>
                  </w:r>
                </w:p>
              </w:tc>
              <w:tc>
                <w:tcPr>
                  <w:tcW w:w="512" w:type="pct"/>
                  <w:tcBorders>
                    <w:left w:val="single" w:color="auto" w:sz="4" w:space="0"/>
                    <w:bottom w:val="single" w:color="auto" w:sz="4" w:space="0"/>
                    <w:right w:val="single" w:color="auto" w:sz="4" w:space="0"/>
                  </w:tcBorders>
                  <w:noWrap w:val="0"/>
                  <w:vAlign w:val="center"/>
                </w:tcPr>
                <w:p w14:paraId="13FF6BDD">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left w:val="single" w:color="auto" w:sz="4" w:space="0"/>
                    <w:bottom w:val="single" w:color="auto" w:sz="4" w:space="0"/>
                    <w:right w:val="single" w:color="auto" w:sz="4" w:space="0"/>
                  </w:tcBorders>
                  <w:noWrap w:val="0"/>
                  <w:vAlign w:val="center"/>
                </w:tcPr>
                <w:p w14:paraId="277E13C1">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14:paraId="6191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515" w:type="pct"/>
                  <w:vMerge w:val="continue"/>
                  <w:tcBorders>
                    <w:left w:val="single" w:color="auto" w:sz="4" w:space="0"/>
                    <w:right w:val="single" w:color="auto" w:sz="4" w:space="0"/>
                  </w:tcBorders>
                  <w:noWrap w:val="0"/>
                  <w:vAlign w:val="center"/>
                </w:tcPr>
                <w:p w14:paraId="03357FDD">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63735C6">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0BC57D6">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铁型敷砂铸球生产线倾翻式浇注机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B070E5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5AB0EE3">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套</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37D3A2F">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264B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0743E9F4">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B8958BA">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BFDEBA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7AEC2CE">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DMC240-2450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068C1BF">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6D1A8D4">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5FA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7F7015D8">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7BF8B5C">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16C18E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06A8EB6">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4-68-10D</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5FA4377">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6D1DCEE">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5CDE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515" w:type="pct"/>
                  <w:vMerge w:val="continue"/>
                  <w:tcBorders>
                    <w:left w:val="single" w:color="auto" w:sz="4" w:space="0"/>
                    <w:right w:val="single" w:color="auto" w:sz="4" w:space="0"/>
                  </w:tcBorders>
                  <w:noWrap w:val="0"/>
                  <w:vAlign w:val="center"/>
                </w:tcPr>
                <w:p w14:paraId="47BCC264">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215B0A0">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4381709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ZT推杆式电阻加热炉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DB6260A">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zt-420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083BDAE">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24422D5">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53FD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15" w:type="pct"/>
                  <w:vMerge w:val="continue"/>
                  <w:tcBorders>
                    <w:left w:val="single" w:color="auto" w:sz="4" w:space="0"/>
                    <w:right w:val="single" w:color="auto" w:sz="4" w:space="0"/>
                  </w:tcBorders>
                  <w:noWrap w:val="0"/>
                  <w:vAlign w:val="center"/>
                </w:tcPr>
                <w:p w14:paraId="3A846EBE">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6EAAD27F">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5EA3D4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清砂机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737859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Q034Z15</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4E2DF4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7F694E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r>
            <w:tr w14:paraId="101C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15" w:type="pct"/>
                  <w:vMerge w:val="continue"/>
                  <w:tcBorders>
                    <w:left w:val="single" w:color="auto" w:sz="4" w:space="0"/>
                    <w:right w:val="single" w:color="auto" w:sz="4" w:space="0"/>
                  </w:tcBorders>
                  <w:noWrap w:val="0"/>
                  <w:vAlign w:val="center"/>
                </w:tcPr>
                <w:p w14:paraId="3B8C951B">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BC79F24">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2B551B6E">
                  <w:pPr>
                    <w:widowControl/>
                    <w:adjustRightInd/>
                    <w:snapToGrid w:val="0"/>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69EF002">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DNC-42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568070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7" w:type="pct"/>
                  <w:tcBorders>
                    <w:top w:val="single" w:color="auto" w:sz="4" w:space="0"/>
                    <w:left w:val="single" w:color="auto" w:sz="4" w:space="0"/>
                    <w:bottom w:val="single" w:color="auto" w:sz="4" w:space="0"/>
                    <w:right w:val="single" w:color="auto" w:sz="4" w:space="0"/>
                  </w:tcBorders>
                  <w:noWrap w:val="0"/>
                  <w:vAlign w:val="center"/>
                </w:tcPr>
                <w:p w14:paraId="13F824E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C4E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15" w:type="pct"/>
                  <w:vMerge w:val="continue"/>
                  <w:tcBorders>
                    <w:left w:val="single" w:color="auto" w:sz="4" w:space="0"/>
                    <w:right w:val="single" w:color="auto" w:sz="4" w:space="0"/>
                  </w:tcBorders>
                  <w:noWrap w:val="0"/>
                  <w:vAlign w:val="center"/>
                </w:tcPr>
                <w:p w14:paraId="3D95637A">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47BF087C">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63E274D">
                  <w:pPr>
                    <w:widowControl/>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370EBB53">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4-72No4A</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ACD6E9B">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7" w:type="pct"/>
                  <w:tcBorders>
                    <w:top w:val="single" w:color="auto" w:sz="4" w:space="0"/>
                    <w:left w:val="single" w:color="auto" w:sz="4" w:space="0"/>
                    <w:bottom w:val="single" w:color="auto" w:sz="4" w:space="0"/>
                    <w:right w:val="single" w:color="auto" w:sz="4" w:space="0"/>
                  </w:tcBorders>
                  <w:noWrap w:val="0"/>
                  <w:vAlign w:val="center"/>
                </w:tcPr>
                <w:p w14:paraId="5A941F92">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07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75DF53CC">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0B3992A1">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216138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E4F082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LDY10t-A6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63D29E2">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08FAA8C">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1866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 w:type="pct"/>
                  <w:vMerge w:val="continue"/>
                  <w:tcBorders>
                    <w:left w:val="single" w:color="auto" w:sz="4" w:space="0"/>
                    <w:right w:val="single" w:color="auto" w:sz="4" w:space="0"/>
                  </w:tcBorders>
                  <w:noWrap w:val="0"/>
                  <w:vAlign w:val="center"/>
                </w:tcPr>
                <w:p w14:paraId="1C04412C">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83325C9">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E7B9914">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68DE0EB">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LD10TA3</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C74222D">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AD2427C">
                  <w:pPr>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79B3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restart"/>
                  <w:tcBorders>
                    <w:left w:val="single" w:color="auto" w:sz="4" w:space="0"/>
                    <w:right w:val="single" w:color="auto" w:sz="4" w:space="0"/>
                  </w:tcBorders>
                  <w:noWrap w:val="0"/>
                  <w:vAlign w:val="center"/>
                </w:tcPr>
                <w:p w14:paraId="1EF0820E">
                  <w:pPr>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2#消失模生产线</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61394174">
                  <w:pPr>
                    <w:widowControl/>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673BB42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中频感应电炉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008BBA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KGPS980KW\1.5</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998026C">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5EEFCC9">
                  <w:pPr>
                    <w:widowControl/>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D8B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17FC36B5">
                  <w:pPr>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579AC18">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291B797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中频感应电炉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22496A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KGPS3000KW\5</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527B2C7">
                  <w:pPr>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B170983">
                  <w:pPr>
                    <w:widowControl/>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0B31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3B2BBD38">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4A0F8C94">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6875EB6">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8E47F8A">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DMC240-2450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A247D17">
                  <w:pPr>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703B7A7">
                  <w:pPr>
                    <w:widowControl/>
                    <w:spacing w:after="0"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4E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48844C93">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24A542A">
                  <w:pPr>
                    <w:widowControl/>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1E5D68E9">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0718448">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4-72-NO.10C</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D90952A">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F9C432B">
                  <w:pPr>
                    <w:widowControl/>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5087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515" w:type="pct"/>
                  <w:vMerge w:val="continue"/>
                  <w:tcBorders>
                    <w:left w:val="single" w:color="auto" w:sz="4" w:space="0"/>
                    <w:right w:val="single" w:color="auto" w:sz="4" w:space="0"/>
                  </w:tcBorders>
                  <w:noWrap w:val="0"/>
                  <w:vAlign w:val="center"/>
                </w:tcPr>
                <w:p w14:paraId="601A7205">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20170935">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0AEAF873">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树脂砂再生线成套设备</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1D6D74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S528CD.0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9FC78C7">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A3145BB">
                  <w:pPr>
                    <w:widowControl/>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7E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5619A66A">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4B01E6F7">
                  <w:pPr>
                    <w:widowControl/>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A2777FE">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脉冲布袋除尘器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4BDB199">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PPW64-6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AE61AEA">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665005F">
                  <w:pPr>
                    <w:widowControl/>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7630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3170C819">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418E4362">
                  <w:pPr>
                    <w:widowControl/>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A910D24">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3728EAED">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4-7-2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0A403478">
                  <w:pPr>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353F525">
                  <w:pPr>
                    <w:widowControl/>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64F6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515" w:type="pct"/>
                  <w:vMerge w:val="continue"/>
                  <w:tcBorders>
                    <w:left w:val="single" w:color="auto" w:sz="4" w:space="0"/>
                    <w:right w:val="single" w:color="auto" w:sz="4" w:space="0"/>
                  </w:tcBorders>
                  <w:noWrap w:val="0"/>
                  <w:vAlign w:val="center"/>
                </w:tcPr>
                <w:p w14:paraId="13CED597">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4E0B2F7">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63366E7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吊钩式抛丸清理机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1320022B">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Q37</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EDB410F">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88FA81A">
                  <w:pPr>
                    <w:widowControl/>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721C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2A04CFF0">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0D9B5D57">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1E47B6E">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布袋除尘器</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1D31B3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DMC64</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054CF58">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1EE48336">
                  <w:pPr>
                    <w:widowControl/>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57CA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211B1FEF">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E47AD84">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760F882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离心式引风机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BEBCA0A">
                  <w:pPr>
                    <w:adjustRightInd/>
                    <w:snapToGrid w:val="0"/>
                    <w:spacing w:after="0"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4-72</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A2C6A0B">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B6B8BC1">
                  <w:pPr>
                    <w:widowControl/>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3A1D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515" w:type="pct"/>
                  <w:vMerge w:val="continue"/>
                  <w:tcBorders>
                    <w:left w:val="single" w:color="auto" w:sz="4" w:space="0"/>
                    <w:right w:val="single" w:color="auto" w:sz="4" w:space="0"/>
                  </w:tcBorders>
                  <w:noWrap w:val="0"/>
                  <w:vAlign w:val="center"/>
                </w:tcPr>
                <w:p w14:paraId="49276CB2">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3828D342">
                  <w:pPr>
                    <w:widowControl/>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09325A8">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电热远红外加热炉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2CF2E260">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RL-C</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03AAA38">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41DFC95F">
                  <w:pPr>
                    <w:widowControl/>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r>
            <w:tr w14:paraId="3DFE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43FC5B09">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E44CD37">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0121FEA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31C645D">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LDY10t-A6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BB41B32">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707A87A">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666E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073F8493">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58A46A19">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6D20D00">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19D8F463">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LD10TA3</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14FC7691">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7A76BFB">
                  <w:pPr>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020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37B5F6E8">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384C6A6">
                  <w:pPr>
                    <w:widowControl/>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32081D3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高温罩式加热炉</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648F4252">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RB10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FDA3854">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17C9473">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00B0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515" w:type="pct"/>
                  <w:vMerge w:val="restart"/>
                  <w:tcBorders>
                    <w:left w:val="single" w:color="auto" w:sz="4" w:space="0"/>
                    <w:right w:val="single" w:color="auto" w:sz="4" w:space="0"/>
                  </w:tcBorders>
                  <w:noWrap w:val="0"/>
                  <w:vAlign w:val="center"/>
                </w:tcPr>
                <w:p w14:paraId="3DEE3DE1">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加工车间</w:t>
                  </w:r>
                </w:p>
              </w:tc>
              <w:tc>
                <w:tcPr>
                  <w:tcW w:w="312" w:type="pct"/>
                  <w:tcBorders>
                    <w:top w:val="single" w:color="auto" w:sz="4" w:space="0"/>
                    <w:left w:val="single" w:color="auto" w:sz="4" w:space="0"/>
                    <w:bottom w:val="single" w:color="auto" w:sz="4" w:space="0"/>
                    <w:right w:val="single" w:color="auto" w:sz="4" w:space="0"/>
                  </w:tcBorders>
                  <w:noWrap w:val="0"/>
                  <w:vAlign w:val="center"/>
                </w:tcPr>
                <w:p w14:paraId="3FFAE0FB">
                  <w:pPr>
                    <w:widowControl/>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6BEEA55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数控双立柱式车床</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977E698">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CQK5240BC/2SP-H2.6Y1.4</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04AA62C">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2CE42E1">
                  <w:pPr>
                    <w:widowControl/>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14:paraId="79D2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662492B9">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DFA04C5">
                  <w:pPr>
                    <w:widowControl/>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6C645420">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单柱立式车床</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96372D6">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C5116B</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00CC622C">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35A4E0F8">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AD0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515" w:type="pct"/>
                  <w:vMerge w:val="continue"/>
                  <w:tcBorders>
                    <w:left w:val="single" w:color="auto" w:sz="4" w:space="0"/>
                    <w:right w:val="single" w:color="auto" w:sz="4" w:space="0"/>
                  </w:tcBorders>
                  <w:noWrap w:val="0"/>
                  <w:vAlign w:val="center"/>
                </w:tcPr>
                <w:p w14:paraId="5C6CF25D">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94AFABB">
                  <w:pPr>
                    <w:widowControl/>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4AA0B57">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数控双立柱式车床</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15350B3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CK5225B/2SP-H2.2Y1.4</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38E382DF">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56E3CB9F">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DCF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515" w:type="pct"/>
                  <w:vMerge w:val="continue"/>
                  <w:tcBorders>
                    <w:left w:val="single" w:color="auto" w:sz="4" w:space="0"/>
                    <w:right w:val="single" w:color="auto" w:sz="4" w:space="0"/>
                  </w:tcBorders>
                  <w:noWrap w:val="0"/>
                  <w:vAlign w:val="center"/>
                </w:tcPr>
                <w:p w14:paraId="1B9538B6">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45B82CE">
                  <w:pPr>
                    <w:adjustRightInd/>
                    <w:snapToGrid w:val="0"/>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4CF8B0ED">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普通机床</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4F6E9595">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CW61125/3000</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0562DEC">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EB5BB55">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4E0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515" w:type="pct"/>
                  <w:vMerge w:val="continue"/>
                  <w:tcBorders>
                    <w:left w:val="single" w:color="auto" w:sz="4" w:space="0"/>
                    <w:right w:val="single" w:color="auto" w:sz="4" w:space="0"/>
                  </w:tcBorders>
                  <w:noWrap w:val="0"/>
                  <w:vAlign w:val="center"/>
                </w:tcPr>
                <w:p w14:paraId="508DF767">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7E619915">
                  <w:pPr>
                    <w:adjustRightInd/>
                    <w:snapToGrid w:val="0"/>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4B5610B6">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摇臂钻</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0017247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23050.16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7F966F2">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282947CB">
                  <w:pPr>
                    <w:adjustRightInd/>
                    <w:snapToGrid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D39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vMerge w:val="continue"/>
                  <w:tcBorders>
                    <w:left w:val="single" w:color="auto" w:sz="4" w:space="0"/>
                    <w:right w:val="single" w:color="auto" w:sz="4" w:space="0"/>
                  </w:tcBorders>
                  <w:noWrap w:val="0"/>
                  <w:vAlign w:val="center"/>
                </w:tcPr>
                <w:p w14:paraId="78E27DDE">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4D5FE09B">
                  <w:pPr>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54F3CDE0">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卧镗床</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5C58644F">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TPX6111B</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6DEB8990">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098F466C">
                  <w:pPr>
                    <w:adjustRightInd/>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A5D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5" w:type="pct"/>
                  <w:vMerge w:val="continue"/>
                  <w:tcBorders>
                    <w:left w:val="single" w:color="auto" w:sz="4" w:space="0"/>
                    <w:right w:val="single" w:color="auto" w:sz="4" w:space="0"/>
                  </w:tcBorders>
                  <w:noWrap w:val="0"/>
                  <w:vAlign w:val="center"/>
                </w:tcPr>
                <w:p w14:paraId="5E2E74A6">
                  <w:pPr>
                    <w:adjustRightInd w:val="0"/>
                    <w:snapToGrid w:val="0"/>
                    <w:spacing w:after="0" w:line="240" w:lineRule="auto"/>
                    <w:jc w:val="center"/>
                    <w:textAlignment w:val="baseline"/>
                    <w:rPr>
                      <w:rFonts w:hint="default" w:ascii="Times New Roman" w:hAnsi="Times New Roman" w:eastAsia="宋体" w:cs="Times New Roman"/>
                      <w:color w:val="auto"/>
                      <w:sz w:val="21"/>
                      <w:szCs w:val="21"/>
                      <w:highlight w:val="none"/>
                    </w:rPr>
                  </w:pPr>
                </w:p>
              </w:tc>
              <w:tc>
                <w:tcPr>
                  <w:tcW w:w="312" w:type="pct"/>
                  <w:tcBorders>
                    <w:top w:val="single" w:color="auto" w:sz="4" w:space="0"/>
                    <w:left w:val="single" w:color="auto" w:sz="4" w:space="0"/>
                    <w:bottom w:val="single" w:color="auto" w:sz="4" w:space="0"/>
                    <w:right w:val="single" w:color="auto" w:sz="4" w:space="0"/>
                  </w:tcBorders>
                  <w:noWrap w:val="0"/>
                  <w:vAlign w:val="center"/>
                </w:tcPr>
                <w:p w14:paraId="160EB9E0">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249" w:type="pct"/>
                  <w:tcBorders>
                    <w:top w:val="single" w:color="auto" w:sz="4" w:space="0"/>
                    <w:left w:val="single" w:color="auto" w:sz="4" w:space="0"/>
                    <w:bottom w:val="single" w:color="auto" w:sz="4" w:space="0"/>
                    <w:right w:val="single" w:color="auto" w:sz="4" w:space="0"/>
                  </w:tcBorders>
                  <w:noWrap w:val="0"/>
                  <w:vAlign w:val="center"/>
                </w:tcPr>
                <w:p w14:paraId="6F7469EE">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电动单梁起重机</w:t>
                  </w:r>
                </w:p>
              </w:tc>
              <w:tc>
                <w:tcPr>
                  <w:tcW w:w="1853" w:type="pct"/>
                  <w:tcBorders>
                    <w:top w:val="single" w:color="auto" w:sz="4" w:space="0"/>
                    <w:left w:val="single" w:color="auto" w:sz="4" w:space="0"/>
                    <w:bottom w:val="single" w:color="auto" w:sz="4" w:space="0"/>
                    <w:right w:val="single" w:color="auto" w:sz="4" w:space="0"/>
                  </w:tcBorders>
                  <w:noWrap w:val="0"/>
                  <w:vAlign w:val="center"/>
                </w:tcPr>
                <w:p w14:paraId="77C72F1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LD10TA3</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24A198B5">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557" w:type="pct"/>
                  <w:tcBorders>
                    <w:top w:val="single" w:color="auto" w:sz="4" w:space="0"/>
                    <w:left w:val="single" w:color="auto" w:sz="4" w:space="0"/>
                    <w:bottom w:val="single" w:color="auto" w:sz="4" w:space="0"/>
                    <w:right w:val="single" w:color="auto" w:sz="4" w:space="0"/>
                  </w:tcBorders>
                  <w:noWrap w:val="0"/>
                  <w:vAlign w:val="center"/>
                </w:tcPr>
                <w:p w14:paraId="6F5E2B4A">
                  <w:pPr>
                    <w:adjustRightInd/>
                    <w:snapToGrid w:val="0"/>
                    <w:spacing w:after="0"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bl>
          <w:p w14:paraId="5792E283">
            <w:pPr>
              <w:pStyle w:val="2"/>
              <w:numPr>
                <w:ilvl w:val="0"/>
                <w:numId w:val="0"/>
              </w:numPr>
              <w:ind w:leftChars="200"/>
              <w:rPr>
                <w:rFonts w:hint="eastAsia"/>
                <w:color w:val="auto"/>
                <w:sz w:val="24"/>
                <w:szCs w:val="24"/>
                <w:highlight w:val="none"/>
                <w:lang w:val="en-US" w:eastAsia="zh-CN"/>
              </w:rPr>
            </w:pPr>
            <w:r>
              <w:rPr>
                <w:rFonts w:hint="eastAsia"/>
                <w:color w:val="auto"/>
                <w:sz w:val="24"/>
                <w:szCs w:val="24"/>
                <w:highlight w:val="none"/>
                <w:lang w:val="en-US" w:eastAsia="zh-CN"/>
              </w:rPr>
              <w:t>7、原项目生产工艺</w:t>
            </w:r>
          </w:p>
          <w:p w14:paraId="102E8E7F">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项目工艺流程如下：</w:t>
            </w:r>
          </w:p>
          <w:p w14:paraId="226DE08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val="en-US" w:eastAsia="zh-CN"/>
              </w:rPr>
              <w:t>消失模铸造</w:t>
            </w:r>
          </w:p>
          <w:p w14:paraId="1CFD0CB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（1）1#消失模生产线工艺流程</w:t>
            </w:r>
          </w:p>
          <w:p w14:paraId="19CDBED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1#消失模生产线主要生产</w:t>
            </w:r>
            <w:r>
              <w:rPr>
                <w:rFonts w:hint="default" w:ascii="Times New Roman" w:hAnsi="Times New Roman" w:eastAsia="宋体" w:cs="Times New Roman"/>
                <w:bCs w:val="0"/>
                <w:color w:val="auto"/>
                <w:kern w:val="2"/>
                <w:sz w:val="24"/>
                <w:szCs w:val="24"/>
                <w:highlight w:val="none"/>
                <w:lang w:val="en-US" w:eastAsia="zh-CN"/>
              </w:rPr>
              <w:t>系列合金衬板，采用负压消失模工艺</w:t>
            </w:r>
            <w:r>
              <w:rPr>
                <w:rFonts w:hint="default" w:ascii="Times New Roman" w:hAnsi="Times New Roman" w:eastAsia="宋体" w:cs="Times New Roman"/>
                <w:b w:val="0"/>
                <w:bCs w:val="0"/>
                <w:color w:val="auto"/>
                <w:kern w:val="2"/>
                <w:sz w:val="24"/>
                <w:szCs w:val="24"/>
                <w:highlight w:val="none"/>
              </w:rPr>
              <w:t>。</w:t>
            </w:r>
          </w:p>
          <w:p w14:paraId="6C3B921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①</w:t>
            </w:r>
            <w:r>
              <w:rPr>
                <w:rFonts w:hint="default" w:ascii="Times New Roman" w:hAnsi="Times New Roman" w:eastAsia="宋体" w:cs="Times New Roman"/>
                <w:b w:val="0"/>
                <w:bCs w:val="0"/>
                <w:color w:val="auto"/>
                <w:kern w:val="2"/>
                <w:sz w:val="24"/>
                <w:szCs w:val="24"/>
                <w:highlight w:val="none"/>
              </w:rPr>
              <w:t>熔</w:t>
            </w:r>
            <w:r>
              <w:rPr>
                <w:rFonts w:hint="default" w:ascii="Times New Roman" w:hAnsi="Times New Roman" w:eastAsia="宋体" w:cs="Times New Roman"/>
                <w:b w:val="0"/>
                <w:bCs w:val="0"/>
                <w:color w:val="auto"/>
                <w:kern w:val="2"/>
                <w:sz w:val="24"/>
                <w:szCs w:val="24"/>
                <w:highlight w:val="none"/>
                <w:lang w:val="en-US" w:eastAsia="zh-CN"/>
              </w:rPr>
              <w:t>化</w:t>
            </w:r>
          </w:p>
          <w:p w14:paraId="7248F72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废钢（或硅铁、锰铁）经加料车加入到电炉中，进行熔</w:t>
            </w:r>
            <w:r>
              <w:rPr>
                <w:rFonts w:hint="default" w:ascii="Times New Roman" w:hAnsi="Times New Roman" w:eastAsia="宋体" w:cs="Times New Roman"/>
                <w:b w:val="0"/>
                <w:bCs w:val="0"/>
                <w:color w:val="auto"/>
                <w:kern w:val="2"/>
                <w:sz w:val="24"/>
                <w:szCs w:val="24"/>
                <w:highlight w:val="none"/>
                <w:lang w:val="en-US" w:eastAsia="zh-CN"/>
              </w:rPr>
              <w:t>化</w:t>
            </w:r>
            <w:r>
              <w:rPr>
                <w:rFonts w:hint="default" w:ascii="Times New Roman" w:hAnsi="Times New Roman" w:eastAsia="宋体" w:cs="Times New Roman"/>
                <w:b w:val="0"/>
                <w:bCs w:val="0"/>
                <w:color w:val="auto"/>
                <w:kern w:val="2"/>
                <w:sz w:val="24"/>
                <w:szCs w:val="24"/>
                <w:highlight w:val="none"/>
              </w:rPr>
              <w:t>，本工序设置</w:t>
            </w:r>
            <w:r>
              <w:rPr>
                <w:rFonts w:hint="default" w:ascii="Times New Roman" w:hAnsi="Times New Roman" w:eastAsia="宋体"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rPr>
              <w:t>台</w:t>
            </w:r>
            <w:r>
              <w:rPr>
                <w:rFonts w:hint="default" w:ascii="Times New Roman" w:hAnsi="Times New Roman" w:eastAsia="宋体" w:cs="Times New Roman"/>
                <w:b w:val="0"/>
                <w:bCs w:val="0"/>
                <w:color w:val="auto"/>
                <w:kern w:val="2"/>
                <w:sz w:val="24"/>
                <w:szCs w:val="24"/>
                <w:highlight w:val="none"/>
                <w:lang w:val="en-US" w:eastAsia="zh-CN"/>
              </w:rPr>
              <w:t>3.5t</w:t>
            </w:r>
            <w:r>
              <w:rPr>
                <w:rFonts w:hint="default" w:ascii="Times New Roman" w:hAnsi="Times New Roman" w:eastAsia="宋体" w:cs="Times New Roman"/>
                <w:b w:val="0"/>
                <w:bCs w:val="0"/>
                <w:color w:val="auto"/>
                <w:kern w:val="2"/>
                <w:sz w:val="24"/>
                <w:szCs w:val="24"/>
                <w:highlight w:val="none"/>
              </w:rPr>
              <w:t>中频感应电炉。</w:t>
            </w:r>
          </w:p>
          <w:p w14:paraId="09ADE98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中频感应电炉熔化时产生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rPr>
              <w:t>，中频感应电炉采用顶置整罩式除尘炉盖的集尘方式，废气由风机</w:t>
            </w:r>
            <w:r>
              <w:rPr>
                <w:rFonts w:hint="default" w:ascii="Times New Roman" w:hAnsi="Times New Roman" w:eastAsia="宋体" w:cs="Times New Roman"/>
                <w:b w:val="0"/>
                <w:bCs w:val="0"/>
                <w:color w:val="auto"/>
                <w:kern w:val="2"/>
                <w:sz w:val="24"/>
                <w:szCs w:val="24"/>
                <w:highlight w:val="none"/>
                <w:lang w:val="en-US" w:eastAsia="zh-CN"/>
              </w:rPr>
              <w:t>分别</w:t>
            </w:r>
            <w:r>
              <w:rPr>
                <w:rFonts w:hint="default" w:ascii="Times New Roman" w:hAnsi="Times New Roman" w:eastAsia="宋体" w:cs="Times New Roman"/>
                <w:b w:val="0"/>
                <w:bCs w:val="0"/>
                <w:color w:val="auto"/>
                <w:kern w:val="2"/>
                <w:sz w:val="24"/>
                <w:szCs w:val="24"/>
                <w:highlight w:val="none"/>
              </w:rPr>
              <w:t>引至</w:t>
            </w:r>
            <w:r>
              <w:rPr>
                <w:rFonts w:hint="default" w:ascii="Times New Roman" w:hAnsi="Times New Roman" w:eastAsia="宋体" w:cs="Times New Roman"/>
                <w:b w:val="0"/>
                <w:bCs w:val="0"/>
                <w:color w:val="auto"/>
                <w:kern w:val="2"/>
                <w:sz w:val="24"/>
                <w:szCs w:val="24"/>
                <w:highlight w:val="none"/>
                <w:lang w:val="en-US" w:eastAsia="zh-CN"/>
              </w:rPr>
              <w:t>配套</w:t>
            </w:r>
            <w:r>
              <w:rPr>
                <w:rFonts w:hint="default" w:ascii="Times New Roman" w:hAnsi="Times New Roman" w:eastAsia="宋体" w:cs="Times New Roman"/>
                <w:b w:val="0"/>
                <w:bCs w:val="0"/>
                <w:color w:val="auto"/>
                <w:kern w:val="2"/>
                <w:sz w:val="24"/>
                <w:szCs w:val="24"/>
                <w:highlight w:val="none"/>
              </w:rPr>
              <w:t>布袋除尘器（</w:t>
            </w:r>
            <w:r>
              <w:rPr>
                <w:rFonts w:hint="default"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2</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主要为中频炉、除尘风机运行产生时的噪声，项目采取将中频炉安装基础减震并布置在厂房内的降噪措施；除尘风机进出口设软管连接，并安装消声器；固体废物主要为炉渣</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废炉衬以及收集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eastAsia" w:ascii="Times New Roman" w:hAnsi="Times New Roman" w:eastAsia="宋体" w:cs="Times New Roman"/>
                <w:b w:val="0"/>
                <w:bCs w:val="0"/>
                <w:color w:val="auto"/>
                <w:kern w:val="2"/>
                <w:sz w:val="24"/>
                <w:szCs w:val="24"/>
                <w:highlight w:val="none"/>
                <w:lang w:eastAsia="zh-CN"/>
              </w:rPr>
              <w:t>全部</w:t>
            </w:r>
            <w:r>
              <w:rPr>
                <w:rFonts w:hint="default" w:ascii="Times New Roman" w:hAnsi="Times New Roman" w:eastAsia="宋体" w:cs="Times New Roman"/>
                <w:b w:val="0"/>
                <w:bCs w:val="0"/>
                <w:color w:val="auto"/>
                <w:kern w:val="2"/>
                <w:sz w:val="24"/>
                <w:szCs w:val="24"/>
                <w:highlight w:val="none"/>
                <w:lang w:eastAsia="zh-CN"/>
              </w:rPr>
              <w:t>外售</w:t>
            </w:r>
            <w:r>
              <w:rPr>
                <w:rFonts w:hint="default" w:ascii="Times New Roman" w:hAnsi="Times New Roman" w:eastAsia="宋体" w:cs="Times New Roman"/>
                <w:b w:val="0"/>
                <w:bCs w:val="0"/>
                <w:color w:val="auto"/>
                <w:kern w:val="2"/>
                <w:sz w:val="24"/>
                <w:szCs w:val="24"/>
                <w:highlight w:val="none"/>
              </w:rPr>
              <w:t>。</w:t>
            </w:r>
          </w:p>
          <w:p w14:paraId="54FD356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②</w:t>
            </w:r>
            <w:r>
              <w:rPr>
                <w:rFonts w:hint="default" w:ascii="Times New Roman" w:hAnsi="Times New Roman" w:eastAsia="宋体" w:cs="Times New Roman"/>
                <w:b w:val="0"/>
                <w:bCs w:val="0"/>
                <w:color w:val="auto"/>
                <w:kern w:val="2"/>
                <w:sz w:val="24"/>
                <w:szCs w:val="24"/>
                <w:highlight w:val="none"/>
              </w:rPr>
              <w:t>造型</w:t>
            </w:r>
          </w:p>
          <w:p w14:paraId="20246FC2">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外购成品白模，切割、组装、涂料，</w:t>
            </w:r>
            <w:r>
              <w:rPr>
                <w:rFonts w:hint="default" w:ascii="Times New Roman" w:hAnsi="Times New Roman" w:eastAsia="宋体" w:cs="Times New Roman"/>
                <w:b w:val="0"/>
                <w:bCs w:val="0"/>
                <w:color w:val="auto"/>
                <w:kern w:val="2"/>
                <w:sz w:val="24"/>
                <w:szCs w:val="24"/>
                <w:highlight w:val="none"/>
              </w:rPr>
              <w:t>将砂箱放在振动台上，底部放入一定厚度的底砂，振动紧实。按工艺要求放置EPS模型组，并培砂固定。加砂同时施以振动，使型砂充满模型的各个部位，且使型砂的堆积密度增加。</w:t>
            </w:r>
            <w:r>
              <w:rPr>
                <w:rFonts w:hint="default" w:ascii="Times New Roman" w:hAnsi="Times New Roman" w:eastAsia="宋体" w:cs="Times New Roman"/>
                <w:b w:val="0"/>
                <w:bCs w:val="0"/>
                <w:color w:val="auto"/>
                <w:kern w:val="2"/>
                <w:sz w:val="24"/>
                <w:szCs w:val="24"/>
                <w:highlight w:val="none"/>
                <w:lang w:val="en-US" w:eastAsia="zh-CN"/>
              </w:rPr>
              <w:t>此工序无污染物产生。</w:t>
            </w:r>
          </w:p>
          <w:p w14:paraId="6B6F2AF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电阻丝切割白模过程产生少量挥发性有机物，以非甲烷总烃计，通过车间通风无组织排放；固体废物主要为白模切割下脚料，全部外售。</w:t>
            </w:r>
          </w:p>
          <w:p w14:paraId="4C973B5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③</w:t>
            </w:r>
            <w:r>
              <w:rPr>
                <w:rFonts w:hint="default" w:ascii="Times New Roman" w:hAnsi="Times New Roman" w:eastAsia="宋体" w:cs="Times New Roman"/>
                <w:b w:val="0"/>
                <w:bCs w:val="0"/>
                <w:color w:val="auto"/>
                <w:kern w:val="2"/>
                <w:sz w:val="24"/>
                <w:szCs w:val="24"/>
                <w:highlight w:val="none"/>
              </w:rPr>
              <w:t>浇注</w:t>
            </w:r>
          </w:p>
          <w:p w14:paraId="704DF63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熔</w:t>
            </w:r>
            <w:r>
              <w:rPr>
                <w:rFonts w:hint="default" w:ascii="Times New Roman" w:hAnsi="Times New Roman" w:eastAsia="宋体" w:cs="Times New Roman"/>
                <w:color w:val="auto"/>
                <w:kern w:val="2"/>
                <w:sz w:val="24"/>
                <w:szCs w:val="24"/>
                <w:highlight w:val="none"/>
                <w:lang w:val="en-US" w:eastAsia="zh-CN"/>
              </w:rPr>
              <w:t>化</w:t>
            </w:r>
            <w:r>
              <w:rPr>
                <w:rFonts w:hint="default" w:ascii="Times New Roman" w:hAnsi="Times New Roman" w:eastAsia="宋体" w:cs="Times New Roman"/>
                <w:color w:val="auto"/>
                <w:kern w:val="2"/>
                <w:sz w:val="24"/>
                <w:szCs w:val="24"/>
                <w:highlight w:val="none"/>
              </w:rPr>
              <w:t>后将铁水倒入</w:t>
            </w:r>
            <w:r>
              <w:rPr>
                <w:rFonts w:hint="default" w:ascii="Times New Roman" w:hAnsi="Times New Roman" w:eastAsia="宋体" w:cs="Times New Roman"/>
                <w:color w:val="auto"/>
                <w:kern w:val="2"/>
                <w:sz w:val="24"/>
                <w:szCs w:val="24"/>
                <w:highlight w:val="none"/>
                <w:lang w:val="en-US" w:eastAsia="zh-CN"/>
              </w:rPr>
              <w:t>消失模砂箱</w:t>
            </w:r>
            <w:r>
              <w:rPr>
                <w:rFonts w:hint="default" w:ascii="Times New Roman" w:hAnsi="Times New Roman" w:eastAsia="宋体" w:cs="Times New Roman"/>
                <w:color w:val="auto"/>
                <w:kern w:val="2"/>
                <w:sz w:val="24"/>
                <w:szCs w:val="24"/>
                <w:highlight w:val="none"/>
              </w:rPr>
              <w:t>中进行</w:t>
            </w:r>
            <w:r>
              <w:rPr>
                <w:rFonts w:hint="default" w:ascii="Times New Roman" w:hAnsi="Times New Roman" w:eastAsia="宋体" w:cs="Times New Roman"/>
                <w:color w:val="auto"/>
                <w:kern w:val="2"/>
                <w:sz w:val="24"/>
                <w:szCs w:val="24"/>
                <w:highlight w:val="none"/>
                <w:lang w:eastAsia="zh-CN"/>
              </w:rPr>
              <w:t>浇注</w:t>
            </w:r>
            <w:r>
              <w:rPr>
                <w:rFonts w:hint="default" w:ascii="Times New Roman" w:hAnsi="Times New Roman" w:eastAsia="宋体" w:cs="Times New Roman"/>
                <w:color w:val="auto"/>
                <w:kern w:val="2"/>
                <w:sz w:val="24"/>
                <w:szCs w:val="24"/>
                <w:highlight w:val="none"/>
              </w:rPr>
              <w:t>成型</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浇注过程中</w:t>
            </w:r>
            <w:r>
              <w:rPr>
                <w:rFonts w:hint="default" w:ascii="Times New Roman" w:hAnsi="Times New Roman" w:eastAsia="宋体" w:cs="Times New Roman"/>
                <w:color w:val="auto"/>
                <w:kern w:val="2"/>
                <w:sz w:val="24"/>
                <w:szCs w:val="24"/>
                <w:highlight w:val="none"/>
              </w:rPr>
              <w:t>用真空泵将砂箱内抽成一定真空。</w:t>
            </w:r>
          </w:p>
          <w:p w14:paraId="1974C9B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eastAsia="zh-CN"/>
              </w:rPr>
              <w:t>浇注时产生废气</w:t>
            </w:r>
            <w:r>
              <w:rPr>
                <w:rFonts w:hint="default" w:ascii="Times New Roman" w:hAnsi="Times New Roman" w:eastAsia="宋体" w:cs="Times New Roman"/>
                <w:color w:val="auto"/>
                <w:kern w:val="2"/>
                <w:sz w:val="24"/>
                <w:szCs w:val="24"/>
                <w:highlight w:val="none"/>
                <w:lang w:val="en-US" w:eastAsia="zh-CN"/>
              </w:rPr>
              <w:t>和EPS模型发生热解气化产生的有机废气</w:t>
            </w:r>
            <w:r>
              <w:rPr>
                <w:rFonts w:hint="default" w:ascii="Times New Roman" w:hAnsi="Times New Roman" w:eastAsia="宋体" w:cs="Times New Roman"/>
                <w:color w:val="auto"/>
                <w:kern w:val="2"/>
                <w:sz w:val="24"/>
                <w:szCs w:val="24"/>
                <w:highlight w:val="none"/>
                <w:lang w:eastAsia="zh-CN"/>
              </w:rPr>
              <w:t>，项目在浇注工位设置侧顶吸式集气罩，真空泵</w:t>
            </w:r>
            <w:r>
              <w:rPr>
                <w:rFonts w:hint="default" w:ascii="Times New Roman" w:hAnsi="Times New Roman" w:eastAsia="宋体" w:cs="Times New Roman"/>
                <w:color w:val="auto"/>
                <w:kern w:val="2"/>
                <w:sz w:val="24"/>
                <w:szCs w:val="24"/>
                <w:highlight w:val="none"/>
                <w:lang w:val="en-US" w:eastAsia="zh-CN"/>
              </w:rPr>
              <w:t>排气管接入风机，</w:t>
            </w:r>
            <w:r>
              <w:rPr>
                <w:rFonts w:hint="default" w:ascii="Times New Roman" w:hAnsi="Times New Roman" w:eastAsia="宋体" w:cs="Times New Roman"/>
                <w:color w:val="auto"/>
                <w:kern w:val="2"/>
                <w:sz w:val="24"/>
                <w:szCs w:val="24"/>
                <w:highlight w:val="none"/>
                <w:lang w:eastAsia="zh-CN"/>
              </w:rPr>
              <w:t>废气由风机引至布袋除尘器（</w:t>
            </w:r>
            <w:r>
              <w:rPr>
                <w:rFonts w:hint="default" w:ascii="Times New Roman" w:hAnsi="Times New Roman" w:eastAsia="宋体" w:cs="Times New Roman"/>
                <w:color w:val="auto"/>
                <w:kern w:val="2"/>
                <w:sz w:val="24"/>
                <w:szCs w:val="24"/>
                <w:highlight w:val="none"/>
                <w:lang w:val="en-US" w:eastAsia="zh-CN"/>
              </w:rPr>
              <w:t>2</w:t>
            </w:r>
            <w:r>
              <w:rPr>
                <w:rFonts w:hint="default" w:ascii="Times New Roman" w:hAnsi="Times New Roman" w:eastAsia="宋体" w:cs="Times New Roman"/>
                <w:color w:val="auto"/>
                <w:kern w:val="2"/>
                <w:sz w:val="24"/>
                <w:szCs w:val="24"/>
                <w:highlight w:val="none"/>
                <w:lang w:eastAsia="zh-CN"/>
              </w:rPr>
              <w:t>#）进行</w:t>
            </w:r>
            <w:r>
              <w:rPr>
                <w:rFonts w:hint="default" w:ascii="Times New Roman" w:hAnsi="Times New Roman" w:eastAsia="宋体" w:cs="Times New Roman"/>
                <w:color w:val="auto"/>
                <w:kern w:val="2"/>
                <w:sz w:val="24"/>
                <w:szCs w:val="24"/>
                <w:highlight w:val="none"/>
                <w:lang w:val="en-US" w:eastAsia="zh-CN"/>
              </w:rPr>
              <w:t>处理后</w:t>
            </w:r>
            <w:r>
              <w:rPr>
                <w:rFonts w:hint="default" w:ascii="Times New Roman" w:hAnsi="Times New Roman" w:eastAsia="宋体" w:cs="Times New Roman"/>
                <w:color w:val="auto"/>
                <w:kern w:val="2"/>
                <w:sz w:val="24"/>
                <w:szCs w:val="24"/>
                <w:highlight w:val="none"/>
                <w:lang w:eastAsia="zh-CN"/>
              </w:rPr>
              <w:t>经</w:t>
            </w:r>
            <w:r>
              <w:rPr>
                <w:rFonts w:hint="default" w:ascii="Times New Roman" w:hAnsi="Times New Roman" w:eastAsia="宋体" w:cs="Times New Roman"/>
                <w:b w:val="0"/>
                <w:bCs w:val="0"/>
                <w:color w:val="auto"/>
                <w:kern w:val="2"/>
                <w:sz w:val="24"/>
                <w:szCs w:val="24"/>
                <w:highlight w:val="none"/>
              </w:rPr>
              <w:t>排气筒（P</w:t>
            </w:r>
            <w:r>
              <w:rPr>
                <w:rFonts w:hint="default" w:ascii="Times New Roman" w:hAnsi="Times New Roman" w:eastAsia="宋体" w:cs="Times New Roman"/>
                <w:b w:val="0"/>
                <w:bCs w:val="0"/>
                <w:color w:val="auto"/>
                <w:kern w:val="2"/>
                <w:sz w:val="24"/>
                <w:szCs w:val="24"/>
                <w:highlight w:val="none"/>
                <w:vertAlign w:val="baseline"/>
                <w:lang w:val="en-US" w:eastAsia="zh-CN"/>
              </w:rPr>
              <w:t>2</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）排放，未捕集的废气通过车间通风无组织排放；噪声污染源为风机运行时产生的噪声，风机进出口设软管连接，并安装消声器；固体废物主要为</w:t>
            </w:r>
            <w:r>
              <w:rPr>
                <w:rFonts w:hint="default" w:ascii="Times New Roman" w:hAnsi="Times New Roman" w:eastAsia="宋体" w:cs="Times New Roman"/>
                <w:b w:val="0"/>
                <w:bCs w:val="0"/>
                <w:color w:val="auto"/>
                <w:kern w:val="2"/>
                <w:sz w:val="24"/>
                <w:szCs w:val="24"/>
                <w:highlight w:val="none"/>
                <w:lang w:val="en-US" w:eastAsia="zh-CN"/>
              </w:rPr>
              <w:t>除尘器收集尘灰，尘灰外售</w:t>
            </w:r>
            <w:r>
              <w:rPr>
                <w:rFonts w:hint="default" w:ascii="Times New Roman" w:hAnsi="Times New Roman" w:eastAsia="宋体" w:cs="Times New Roman"/>
                <w:b w:val="0"/>
                <w:bCs w:val="0"/>
                <w:color w:val="auto"/>
                <w:kern w:val="2"/>
                <w:sz w:val="24"/>
                <w:szCs w:val="24"/>
                <w:highlight w:val="none"/>
              </w:rPr>
              <w:t>。</w:t>
            </w:r>
          </w:p>
          <w:p w14:paraId="659FB60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④</w:t>
            </w:r>
            <w:r>
              <w:rPr>
                <w:rFonts w:hint="default" w:ascii="Times New Roman" w:hAnsi="Times New Roman" w:eastAsia="宋体" w:cs="Times New Roman"/>
                <w:b w:val="0"/>
                <w:bCs w:val="0"/>
                <w:color w:val="auto"/>
                <w:kern w:val="2"/>
                <w:sz w:val="24"/>
                <w:szCs w:val="24"/>
                <w:highlight w:val="none"/>
              </w:rPr>
              <w:t>落砂</w:t>
            </w:r>
          </w:p>
          <w:p w14:paraId="2ACA759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浇注后的砂型在冷却后即可开箱、落砂。落砂后作为旧砂进入砂处理系统进行回收再利用</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铸件进入热处理（淬火）工序处理，无污染物产生。</w:t>
            </w:r>
          </w:p>
          <w:p w14:paraId="18403A3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落砂</w:t>
            </w:r>
            <w:r>
              <w:rPr>
                <w:rFonts w:hint="default" w:ascii="Times New Roman" w:hAnsi="Times New Roman" w:eastAsia="宋体" w:cs="Times New Roman"/>
                <w:color w:val="auto"/>
                <w:kern w:val="2"/>
                <w:sz w:val="24"/>
                <w:szCs w:val="24"/>
                <w:highlight w:val="none"/>
                <w:lang w:val="en-US" w:eastAsia="zh-CN"/>
              </w:rPr>
              <w:t>过程会产生一定的噪声</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val="en-US" w:eastAsia="zh-CN"/>
              </w:rPr>
              <w:t>采用将设备</w:t>
            </w:r>
            <w:r>
              <w:rPr>
                <w:rFonts w:hint="default" w:ascii="Times New Roman" w:hAnsi="Times New Roman" w:eastAsia="宋体" w:cs="Times New Roman"/>
                <w:color w:val="auto"/>
                <w:kern w:val="2"/>
                <w:sz w:val="24"/>
                <w:szCs w:val="24"/>
                <w:highlight w:val="none"/>
              </w:rPr>
              <w:t>布置在厂房内的降噪措施</w:t>
            </w:r>
            <w:r>
              <w:rPr>
                <w:rFonts w:hint="default" w:ascii="Times New Roman" w:hAnsi="Times New Roman" w:eastAsia="宋体" w:cs="Times New Roman"/>
                <w:color w:val="auto"/>
                <w:kern w:val="2"/>
                <w:sz w:val="24"/>
                <w:szCs w:val="24"/>
                <w:highlight w:val="none"/>
                <w:lang w:eastAsia="zh-CN"/>
              </w:rPr>
              <w:t>。</w:t>
            </w:r>
          </w:p>
          <w:p w14:paraId="7109102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⑤</w:t>
            </w:r>
            <w:r>
              <w:rPr>
                <w:rFonts w:hint="default" w:ascii="Times New Roman" w:hAnsi="Times New Roman" w:eastAsia="宋体" w:cs="Times New Roman"/>
                <w:b w:val="0"/>
                <w:bCs w:val="0"/>
                <w:color w:val="auto"/>
                <w:kern w:val="2"/>
                <w:sz w:val="24"/>
                <w:szCs w:val="24"/>
                <w:highlight w:val="none"/>
              </w:rPr>
              <w:t>检</w:t>
            </w:r>
            <w:r>
              <w:rPr>
                <w:rFonts w:hint="default" w:ascii="Times New Roman" w:hAnsi="Times New Roman" w:eastAsia="宋体" w:cs="Times New Roman"/>
                <w:b w:val="0"/>
                <w:bCs w:val="0"/>
                <w:color w:val="auto"/>
                <w:kern w:val="2"/>
                <w:sz w:val="24"/>
                <w:szCs w:val="24"/>
                <w:highlight w:val="none"/>
                <w:lang w:val="en-US" w:eastAsia="zh-CN"/>
              </w:rPr>
              <w:t>查</w:t>
            </w:r>
          </w:p>
          <w:p w14:paraId="1D410B3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对</w:t>
            </w:r>
            <w:r>
              <w:rPr>
                <w:rFonts w:hint="default" w:ascii="Times New Roman" w:hAnsi="Times New Roman" w:eastAsia="宋体" w:cs="Times New Roman"/>
                <w:b w:val="0"/>
                <w:bCs w:val="0"/>
                <w:color w:val="auto"/>
                <w:kern w:val="2"/>
                <w:sz w:val="24"/>
                <w:szCs w:val="24"/>
                <w:highlight w:val="none"/>
                <w:lang w:val="en-US" w:eastAsia="zh-CN"/>
              </w:rPr>
              <w:t>合格产品进入热处理（淬火）工序处理，无污染物产生，热处理后进入加工工序</w:t>
            </w:r>
            <w:r>
              <w:rPr>
                <w:rFonts w:hint="default" w:ascii="Times New Roman" w:hAnsi="Times New Roman" w:eastAsia="宋体" w:cs="Times New Roman"/>
                <w:b w:val="0"/>
                <w:bCs w:val="0"/>
                <w:color w:val="auto"/>
                <w:kern w:val="2"/>
                <w:sz w:val="24"/>
                <w:szCs w:val="24"/>
                <w:highlight w:val="none"/>
              </w:rPr>
              <w:t>，不合格产品返回</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4600BC7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此工序产生不合格产品固废，不合格产品返回至</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5502DFA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⑥</w:t>
            </w:r>
            <w:r>
              <w:rPr>
                <w:rFonts w:hint="default" w:ascii="Times New Roman" w:hAnsi="Times New Roman" w:eastAsia="宋体" w:cs="Times New Roman"/>
                <w:b w:val="0"/>
                <w:bCs w:val="0"/>
                <w:color w:val="auto"/>
                <w:kern w:val="2"/>
                <w:sz w:val="24"/>
                <w:szCs w:val="24"/>
                <w:highlight w:val="none"/>
              </w:rPr>
              <w:t>砂处理</w:t>
            </w:r>
          </w:p>
          <w:p w14:paraId="60CE291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旧砂送至集中的砂处理设备进行处理，</w:t>
            </w:r>
            <w:r>
              <w:rPr>
                <w:rFonts w:hint="default" w:ascii="Times New Roman" w:hAnsi="Times New Roman" w:eastAsia="宋体" w:cs="Times New Roman"/>
                <w:color w:val="auto"/>
                <w:kern w:val="2"/>
                <w:sz w:val="24"/>
                <w:szCs w:val="24"/>
                <w:highlight w:val="none"/>
              </w:rPr>
              <w:t>砂处理设备包括旧砂的筛分、</w:t>
            </w:r>
            <w:r>
              <w:rPr>
                <w:rFonts w:hint="default" w:ascii="Times New Roman" w:hAnsi="Times New Roman" w:eastAsia="宋体" w:cs="Times New Roman"/>
                <w:color w:val="auto"/>
                <w:kern w:val="2"/>
                <w:sz w:val="24"/>
                <w:szCs w:val="24"/>
                <w:highlight w:val="none"/>
                <w:lang w:val="en-US" w:eastAsia="zh-CN"/>
              </w:rPr>
              <w:t>风选、降温</w:t>
            </w:r>
            <w:r>
              <w:rPr>
                <w:rFonts w:hint="default" w:ascii="Times New Roman" w:hAnsi="Times New Roman" w:eastAsia="宋体" w:cs="Times New Roman"/>
                <w:color w:val="auto"/>
                <w:kern w:val="2"/>
                <w:sz w:val="24"/>
                <w:szCs w:val="24"/>
                <w:highlight w:val="none"/>
              </w:rPr>
              <w:t>及储存回用</w:t>
            </w:r>
            <w:r>
              <w:rPr>
                <w:rFonts w:hint="default" w:ascii="Times New Roman" w:hAnsi="Times New Roman" w:eastAsia="宋体" w:cs="Times New Roman"/>
                <w:color w:val="auto"/>
                <w:kern w:val="2"/>
                <w:sz w:val="24"/>
                <w:szCs w:val="24"/>
                <w:highlight w:val="none"/>
                <w:lang w:val="en-US" w:eastAsia="zh-CN"/>
              </w:rPr>
              <w:t>以及</w:t>
            </w:r>
            <w:r>
              <w:rPr>
                <w:rFonts w:hint="default" w:ascii="Times New Roman" w:hAnsi="Times New Roman" w:eastAsia="宋体" w:cs="Times New Roman"/>
                <w:color w:val="auto"/>
                <w:kern w:val="2"/>
                <w:sz w:val="24"/>
                <w:szCs w:val="24"/>
                <w:highlight w:val="none"/>
              </w:rPr>
              <w:t>新砂的补充。</w:t>
            </w:r>
          </w:p>
          <w:p w14:paraId="6865143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rPr>
              <w:t>该过程排污节点为：砂处理线</w:t>
            </w:r>
            <w:r>
              <w:rPr>
                <w:rFonts w:hint="default" w:ascii="Times New Roman" w:hAnsi="Times New Roman" w:eastAsia="宋体" w:cs="Times New Roman"/>
                <w:b w:val="0"/>
                <w:bCs w:val="0"/>
                <w:color w:val="auto"/>
                <w:kern w:val="2"/>
                <w:sz w:val="24"/>
                <w:szCs w:val="24"/>
                <w:highlight w:val="none"/>
                <w:lang w:val="en-US" w:eastAsia="zh-CN"/>
              </w:rPr>
              <w:t>废气</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废气</w:t>
            </w:r>
            <w:r>
              <w:rPr>
                <w:rFonts w:hint="default" w:ascii="Times New Roman" w:hAnsi="Times New Roman" w:eastAsia="宋体" w:cs="Times New Roman"/>
                <w:b w:val="0"/>
                <w:bCs w:val="0"/>
                <w:color w:val="auto"/>
                <w:kern w:val="2"/>
                <w:sz w:val="24"/>
                <w:szCs w:val="24"/>
                <w:highlight w:val="none"/>
              </w:rPr>
              <w:t>由风机引至布袋除尘器（</w:t>
            </w:r>
            <w:r>
              <w:rPr>
                <w:rFonts w:hint="default" w:ascii="Times New Roman" w:hAnsi="Times New Roman" w:eastAsia="宋体"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1</w:t>
            </w:r>
            <w:r>
              <w:rPr>
                <w:rFonts w:hint="default" w:ascii="Times New Roman" w:hAnsi="Times New Roman" w:eastAsia="宋体" w:cs="Times New Roman"/>
                <w:b w:val="0"/>
                <w:bCs w:val="0"/>
                <w:color w:val="auto"/>
                <w:kern w:val="2"/>
                <w:sz w:val="24"/>
                <w:szCs w:val="24"/>
                <w:highlight w:val="none"/>
              </w:rPr>
              <w:t>）排放；除尘风机进出口设软管连接，并安装消声器；固体废物主要为废砂以及收集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废砂外</w:t>
            </w:r>
            <w:r>
              <w:rPr>
                <w:rFonts w:hint="default" w:ascii="Times New Roman" w:hAnsi="Times New Roman" w:eastAsia="宋体" w:cs="Times New Roman"/>
                <w:b w:val="0"/>
                <w:bCs w:val="0"/>
                <w:color w:val="auto"/>
                <w:kern w:val="2"/>
                <w:sz w:val="24"/>
                <w:szCs w:val="24"/>
                <w:highlight w:val="none"/>
                <w:lang w:val="en-US" w:eastAsia="zh-CN"/>
              </w:rPr>
              <w:t>售</w:t>
            </w:r>
            <w:r>
              <w:rPr>
                <w:rFonts w:hint="default" w:ascii="Times New Roman" w:hAnsi="Times New Roman" w:eastAsia="宋体" w:cs="Times New Roman"/>
                <w:b w:val="0"/>
                <w:bCs w:val="0"/>
                <w:color w:val="auto"/>
                <w:kern w:val="2"/>
                <w:sz w:val="24"/>
                <w:szCs w:val="24"/>
                <w:highlight w:val="none"/>
                <w:lang w:eastAsia="zh-CN"/>
              </w:rPr>
              <w:t>。</w:t>
            </w:r>
          </w:p>
          <w:p w14:paraId="4C62EA64">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0C415979">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1C459410">
            <w:pPr>
              <w:pStyle w:val="1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4F562D3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7D4304D9">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63360" behindDoc="1" locked="0" layoutInCell="1" allowOverlap="1">
                  <wp:simplePos x="0" y="0"/>
                  <wp:positionH relativeFrom="column">
                    <wp:posOffset>1369695</wp:posOffset>
                  </wp:positionH>
                  <wp:positionV relativeFrom="paragraph">
                    <wp:posOffset>-1270</wp:posOffset>
                  </wp:positionV>
                  <wp:extent cx="2795270" cy="3589655"/>
                  <wp:effectExtent l="0" t="0" r="5080" b="1079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a:off x="0" y="0"/>
                            <a:ext cx="2795270" cy="3589655"/>
                          </a:xfrm>
                          <a:prstGeom prst="rect">
                            <a:avLst/>
                          </a:prstGeom>
                          <a:noFill/>
                          <a:ln>
                            <a:noFill/>
                          </a:ln>
                        </pic:spPr>
                      </pic:pic>
                    </a:graphicData>
                  </a:graphic>
                </wp:anchor>
              </w:drawing>
            </w:r>
          </w:p>
          <w:p w14:paraId="11AB02A6">
            <w:pPr>
              <w:pStyle w:val="1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11F29509">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1B2B5F97">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kern w:val="2"/>
                <w:sz w:val="24"/>
                <w:szCs w:val="24"/>
                <w:highlight w:val="none"/>
                <w:lang w:val="en-US" w:eastAsia="zh-CN"/>
              </w:rPr>
            </w:pPr>
          </w:p>
          <w:p w14:paraId="5F4613D8">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7F734E8C">
            <w:pPr>
              <w:pStyle w:val="11"/>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val="0"/>
                <w:color w:val="auto"/>
                <w:kern w:val="2"/>
                <w:sz w:val="24"/>
                <w:szCs w:val="24"/>
                <w:highlight w:val="none"/>
                <w:lang w:val="en-US" w:eastAsia="zh-CN"/>
              </w:rPr>
            </w:pPr>
          </w:p>
          <w:p w14:paraId="4FD87992">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p>
          <w:p w14:paraId="3077689A">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6663EBED">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auto"/>
                <w:kern w:val="2"/>
                <w:sz w:val="24"/>
                <w:szCs w:val="24"/>
                <w:highlight w:val="none"/>
                <w:lang w:val="en-US" w:eastAsia="zh-CN"/>
              </w:rPr>
            </w:pPr>
          </w:p>
          <w:p w14:paraId="064ADF44">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auto"/>
                <w:kern w:val="2"/>
                <w:sz w:val="24"/>
                <w:szCs w:val="24"/>
                <w:highlight w:val="none"/>
                <w:lang w:val="en-US" w:eastAsia="zh-CN"/>
              </w:rPr>
            </w:pPr>
          </w:p>
          <w:p w14:paraId="5B9C5B30">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auto"/>
                <w:kern w:val="2"/>
                <w:sz w:val="24"/>
                <w:szCs w:val="24"/>
                <w:highlight w:val="none"/>
                <w:lang w:val="en-US" w:eastAsia="zh-CN"/>
              </w:rPr>
            </w:pPr>
          </w:p>
          <w:p w14:paraId="311D32E6">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val="0"/>
                <w:bCs w:val="0"/>
                <w:color w:val="auto"/>
                <w:kern w:val="2"/>
                <w:sz w:val="24"/>
                <w:szCs w:val="24"/>
                <w:highlight w:val="none"/>
                <w:lang w:val="en-US" w:eastAsia="zh-CN"/>
              </w:rPr>
            </w:pPr>
          </w:p>
          <w:p w14:paraId="5BBC7022">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 xml:space="preserve">图2-5  </w:t>
            </w:r>
            <w:r>
              <w:rPr>
                <w:rFonts w:hint="default" w:ascii="Times New Roman" w:hAnsi="Times New Roman" w:eastAsia="宋体" w:cs="Times New Roman"/>
                <w:b w:val="0"/>
                <w:bCs w:val="0"/>
                <w:color w:val="auto"/>
                <w:kern w:val="2"/>
                <w:sz w:val="24"/>
                <w:szCs w:val="24"/>
                <w:highlight w:val="none"/>
                <w:lang w:val="en-US" w:eastAsia="zh-CN"/>
              </w:rPr>
              <w:t>1#消失模生产线工艺流程图</w:t>
            </w:r>
          </w:p>
          <w:p w14:paraId="4A5B7C06">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（2）2#消失模生产线工艺流程</w:t>
            </w:r>
          </w:p>
          <w:p w14:paraId="4BC41D3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2#消失模生产线主要生产</w:t>
            </w:r>
            <w:r>
              <w:rPr>
                <w:rFonts w:hint="default" w:ascii="Times New Roman" w:hAnsi="Times New Roman" w:eastAsia="宋体" w:cs="Times New Roman"/>
                <w:color w:val="auto"/>
                <w:kern w:val="2"/>
                <w:sz w:val="24"/>
                <w:szCs w:val="24"/>
                <w:highlight w:val="none"/>
              </w:rPr>
              <w:t>挖掘机斗齿</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渣浆泵耐磨过流件</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圆锥破碎机衬板</w:t>
            </w:r>
            <w:r>
              <w:rPr>
                <w:rFonts w:hint="default" w:ascii="Times New Roman" w:hAnsi="Times New Roman" w:eastAsia="宋体" w:cs="Times New Roman"/>
                <w:color w:val="auto"/>
                <w:kern w:val="2"/>
                <w:sz w:val="24"/>
                <w:szCs w:val="24"/>
                <w:highlight w:val="none"/>
                <w:lang w:val="en-US" w:eastAsia="zh-CN"/>
              </w:rPr>
              <w:t>系列渣浆泵及配件</w:t>
            </w:r>
            <w:r>
              <w:rPr>
                <w:rFonts w:hint="default" w:ascii="Times New Roman" w:hAnsi="Times New Roman" w:eastAsia="宋体" w:cs="Times New Roman"/>
                <w:bCs w:val="0"/>
                <w:color w:val="auto"/>
                <w:kern w:val="2"/>
                <w:sz w:val="24"/>
                <w:szCs w:val="24"/>
                <w:highlight w:val="none"/>
                <w:lang w:val="en-US" w:eastAsia="zh-CN"/>
              </w:rPr>
              <w:t>，其中</w:t>
            </w:r>
            <w:r>
              <w:rPr>
                <w:rFonts w:hint="default" w:ascii="Times New Roman" w:hAnsi="Times New Roman" w:eastAsia="宋体" w:cs="Times New Roman"/>
                <w:color w:val="auto"/>
                <w:kern w:val="2"/>
                <w:sz w:val="24"/>
                <w:szCs w:val="24"/>
                <w:highlight w:val="none"/>
              </w:rPr>
              <w:t>挖掘机斗齿</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圆锥破碎机衬板</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系列渣浆泵及配件</w:t>
            </w:r>
            <w:r>
              <w:rPr>
                <w:rFonts w:hint="default" w:ascii="Times New Roman" w:hAnsi="Times New Roman" w:eastAsia="宋体" w:cs="Times New Roman"/>
                <w:bCs w:val="0"/>
                <w:color w:val="auto"/>
                <w:kern w:val="2"/>
                <w:sz w:val="24"/>
                <w:szCs w:val="24"/>
                <w:highlight w:val="none"/>
                <w:lang w:val="en-US" w:eastAsia="zh-CN"/>
              </w:rPr>
              <w:t>采用负压消失模工艺，</w:t>
            </w:r>
            <w:r>
              <w:rPr>
                <w:rFonts w:hint="default" w:ascii="Times New Roman" w:hAnsi="Times New Roman" w:eastAsia="宋体" w:cs="Times New Roman"/>
                <w:color w:val="auto"/>
                <w:kern w:val="2"/>
                <w:sz w:val="24"/>
                <w:szCs w:val="24"/>
                <w:highlight w:val="none"/>
              </w:rPr>
              <w:t>渣浆泵耐磨过流件</w:t>
            </w:r>
            <w:r>
              <w:rPr>
                <w:rFonts w:hint="default" w:ascii="Times New Roman" w:hAnsi="Times New Roman" w:eastAsia="宋体" w:cs="Times New Roman"/>
                <w:color w:val="auto"/>
                <w:kern w:val="2"/>
                <w:sz w:val="24"/>
                <w:szCs w:val="24"/>
                <w:highlight w:val="none"/>
                <w:lang w:val="en-US" w:eastAsia="zh-CN"/>
              </w:rPr>
              <w:t>采用树脂砂消失模工艺</w:t>
            </w:r>
            <w:r>
              <w:rPr>
                <w:rFonts w:hint="default" w:ascii="Times New Roman" w:hAnsi="Times New Roman" w:eastAsia="宋体" w:cs="Times New Roman"/>
                <w:b w:val="0"/>
                <w:bCs w:val="0"/>
                <w:color w:val="auto"/>
                <w:kern w:val="2"/>
                <w:sz w:val="24"/>
                <w:szCs w:val="24"/>
                <w:highlight w:val="none"/>
              </w:rPr>
              <w:t>。</w:t>
            </w:r>
          </w:p>
          <w:p w14:paraId="5BEB719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①</w:t>
            </w:r>
            <w:r>
              <w:rPr>
                <w:rFonts w:hint="default" w:ascii="Times New Roman" w:hAnsi="Times New Roman" w:eastAsia="宋体" w:cs="Times New Roman"/>
                <w:b w:val="0"/>
                <w:bCs w:val="0"/>
                <w:color w:val="auto"/>
                <w:kern w:val="2"/>
                <w:sz w:val="24"/>
                <w:szCs w:val="24"/>
                <w:highlight w:val="none"/>
              </w:rPr>
              <w:t>熔</w:t>
            </w:r>
            <w:r>
              <w:rPr>
                <w:rFonts w:hint="default" w:ascii="Times New Roman" w:hAnsi="Times New Roman" w:eastAsia="宋体" w:cs="Times New Roman"/>
                <w:b w:val="0"/>
                <w:bCs w:val="0"/>
                <w:color w:val="auto"/>
                <w:kern w:val="2"/>
                <w:sz w:val="24"/>
                <w:szCs w:val="24"/>
                <w:highlight w:val="none"/>
                <w:lang w:val="en-US" w:eastAsia="zh-CN"/>
              </w:rPr>
              <w:t>化</w:t>
            </w:r>
          </w:p>
          <w:p w14:paraId="469964F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废钢（或硅铁、锰铁）经加料车加入到电炉中，进行熔</w:t>
            </w:r>
            <w:r>
              <w:rPr>
                <w:rFonts w:hint="default" w:ascii="Times New Roman" w:hAnsi="Times New Roman" w:eastAsia="宋体" w:cs="Times New Roman"/>
                <w:b w:val="0"/>
                <w:bCs w:val="0"/>
                <w:color w:val="auto"/>
                <w:kern w:val="2"/>
                <w:sz w:val="24"/>
                <w:szCs w:val="24"/>
                <w:highlight w:val="none"/>
                <w:lang w:val="en-US" w:eastAsia="zh-CN"/>
              </w:rPr>
              <w:t>化</w:t>
            </w:r>
            <w:r>
              <w:rPr>
                <w:rFonts w:hint="default" w:ascii="Times New Roman" w:hAnsi="Times New Roman" w:eastAsia="宋体" w:cs="Times New Roman"/>
                <w:b w:val="0"/>
                <w:bCs w:val="0"/>
                <w:color w:val="auto"/>
                <w:kern w:val="2"/>
                <w:sz w:val="24"/>
                <w:szCs w:val="24"/>
                <w:highlight w:val="none"/>
              </w:rPr>
              <w:t>，本工序设置</w:t>
            </w:r>
            <w:r>
              <w:rPr>
                <w:rFonts w:hint="default" w:ascii="Times New Roman" w:hAnsi="Times New Roman" w:eastAsia="宋体" w:cs="Times New Roman"/>
                <w:b w:val="0"/>
                <w:bCs w:val="0"/>
                <w:color w:val="auto"/>
                <w:kern w:val="2"/>
                <w:sz w:val="24"/>
                <w:szCs w:val="24"/>
                <w:highlight w:val="none"/>
                <w:lang w:val="en-US" w:eastAsia="zh-CN"/>
              </w:rPr>
              <w:t>1.5t</w:t>
            </w:r>
            <w:r>
              <w:rPr>
                <w:rFonts w:hint="default" w:ascii="Times New Roman" w:hAnsi="Times New Roman" w:eastAsia="宋体" w:cs="Times New Roman"/>
                <w:b w:val="0"/>
                <w:bCs w:val="0"/>
                <w:color w:val="auto"/>
                <w:kern w:val="2"/>
                <w:sz w:val="24"/>
                <w:szCs w:val="24"/>
                <w:highlight w:val="none"/>
              </w:rPr>
              <w:t>中频感应电炉</w:t>
            </w:r>
            <w:r>
              <w:rPr>
                <w:rFonts w:hint="default" w:ascii="Times New Roman" w:hAnsi="Times New Roman" w:eastAsia="宋体" w:cs="Times New Roman"/>
                <w:b w:val="0"/>
                <w:bCs w:val="0"/>
                <w:color w:val="auto"/>
                <w:kern w:val="2"/>
                <w:sz w:val="24"/>
                <w:szCs w:val="24"/>
                <w:highlight w:val="none"/>
                <w:lang w:val="en-US" w:eastAsia="zh-CN"/>
              </w:rPr>
              <w:t>各1</w:t>
            </w:r>
            <w:r>
              <w:rPr>
                <w:rFonts w:hint="default" w:ascii="Times New Roman" w:hAnsi="Times New Roman" w:eastAsia="宋体" w:cs="Times New Roman"/>
                <w:b w:val="0"/>
                <w:bCs w:val="0"/>
                <w:color w:val="auto"/>
                <w:kern w:val="2"/>
                <w:sz w:val="24"/>
                <w:szCs w:val="24"/>
                <w:highlight w:val="none"/>
              </w:rPr>
              <w:t>台。</w:t>
            </w:r>
          </w:p>
          <w:p w14:paraId="15BB50B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rPr>
              <w:t>中频感应电炉熔化时产生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rPr>
              <w:t>，中频感应电炉采用顶置整罩式除尘炉盖的集尘方式，废气由风机</w:t>
            </w:r>
            <w:r>
              <w:rPr>
                <w:rFonts w:hint="default" w:ascii="Times New Roman" w:hAnsi="Times New Roman" w:eastAsia="宋体" w:cs="Times New Roman"/>
                <w:b w:val="0"/>
                <w:bCs w:val="0"/>
                <w:color w:val="auto"/>
                <w:kern w:val="2"/>
                <w:sz w:val="24"/>
                <w:szCs w:val="24"/>
                <w:highlight w:val="none"/>
                <w:lang w:val="en-US" w:eastAsia="zh-CN"/>
              </w:rPr>
              <w:t>分别</w:t>
            </w:r>
            <w:r>
              <w:rPr>
                <w:rFonts w:hint="default" w:ascii="Times New Roman" w:hAnsi="Times New Roman" w:eastAsia="宋体" w:cs="Times New Roman"/>
                <w:b w:val="0"/>
                <w:bCs w:val="0"/>
                <w:color w:val="auto"/>
                <w:kern w:val="2"/>
                <w:sz w:val="24"/>
                <w:szCs w:val="24"/>
                <w:highlight w:val="none"/>
              </w:rPr>
              <w:t>引至</w:t>
            </w:r>
            <w:r>
              <w:rPr>
                <w:rFonts w:hint="default" w:ascii="Times New Roman" w:hAnsi="Times New Roman" w:eastAsia="宋体" w:cs="Times New Roman"/>
                <w:b w:val="0"/>
                <w:bCs w:val="0"/>
                <w:color w:val="auto"/>
                <w:kern w:val="2"/>
                <w:sz w:val="24"/>
                <w:szCs w:val="24"/>
                <w:highlight w:val="none"/>
                <w:lang w:val="en-US" w:eastAsia="zh-CN"/>
              </w:rPr>
              <w:t>各自配套</w:t>
            </w:r>
            <w:r>
              <w:rPr>
                <w:rFonts w:hint="default" w:ascii="Times New Roman" w:hAnsi="Times New Roman" w:eastAsia="宋体" w:cs="Times New Roman"/>
                <w:b w:val="0"/>
                <w:bCs w:val="0"/>
                <w:color w:val="auto"/>
                <w:kern w:val="2"/>
                <w:sz w:val="24"/>
                <w:szCs w:val="24"/>
                <w:highlight w:val="none"/>
              </w:rPr>
              <w:t>布袋除尘器（</w:t>
            </w:r>
            <w:r>
              <w:rPr>
                <w:rFonts w:hint="default" w:ascii="Times New Roman" w:hAnsi="Times New Roman" w:eastAsia="宋体" w:cs="Times New Roman"/>
                <w:b w:val="0"/>
                <w:bCs w:val="0"/>
                <w:color w:val="auto"/>
                <w:kern w:val="2"/>
                <w:sz w:val="24"/>
                <w:szCs w:val="24"/>
                <w:highlight w:val="none"/>
                <w:lang w:val="en-US" w:eastAsia="zh-CN"/>
              </w:rPr>
              <w:t>6</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6</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主要为中频炉、除尘风机运行产生时的噪声，项目采取将中频炉安装基础减震并布置在厂房内的降噪措施；除尘风机进出口设软管连接，并安装消声器；固体废物主要为炉渣</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废炉衬以及收集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eastAsia" w:ascii="Times New Roman" w:hAnsi="Times New Roman" w:eastAsia="宋体" w:cs="Times New Roman"/>
                <w:b w:val="0"/>
                <w:bCs w:val="0"/>
                <w:color w:val="auto"/>
                <w:kern w:val="2"/>
                <w:sz w:val="24"/>
                <w:szCs w:val="24"/>
                <w:highlight w:val="none"/>
                <w:lang w:eastAsia="zh-CN"/>
              </w:rPr>
              <w:t>全部</w:t>
            </w:r>
            <w:r>
              <w:rPr>
                <w:rFonts w:hint="default" w:ascii="Times New Roman" w:hAnsi="Times New Roman" w:eastAsia="宋体" w:cs="Times New Roman"/>
                <w:b w:val="0"/>
                <w:bCs w:val="0"/>
                <w:color w:val="auto"/>
                <w:kern w:val="2"/>
                <w:sz w:val="24"/>
                <w:szCs w:val="24"/>
                <w:highlight w:val="none"/>
                <w:lang w:eastAsia="zh-CN"/>
              </w:rPr>
              <w:t>外售。</w:t>
            </w:r>
          </w:p>
          <w:p w14:paraId="4820A7E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②</w:t>
            </w:r>
            <w:r>
              <w:rPr>
                <w:rFonts w:hint="default" w:ascii="Times New Roman" w:hAnsi="Times New Roman" w:eastAsia="宋体" w:cs="Times New Roman"/>
                <w:b w:val="0"/>
                <w:bCs w:val="0"/>
                <w:color w:val="auto"/>
                <w:kern w:val="2"/>
                <w:sz w:val="24"/>
                <w:szCs w:val="24"/>
                <w:highlight w:val="none"/>
              </w:rPr>
              <w:t>造型</w:t>
            </w:r>
          </w:p>
          <w:p w14:paraId="3E7F0CD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外购成品白模，切割、组装、涂料，</w:t>
            </w:r>
            <w:r>
              <w:rPr>
                <w:rFonts w:hint="default" w:ascii="Times New Roman" w:hAnsi="Times New Roman" w:eastAsia="宋体" w:cs="Times New Roman"/>
                <w:b w:val="0"/>
                <w:bCs w:val="0"/>
                <w:color w:val="auto"/>
                <w:kern w:val="2"/>
                <w:sz w:val="24"/>
                <w:szCs w:val="24"/>
                <w:highlight w:val="none"/>
              </w:rPr>
              <w:t>将砂箱放在振动台上，底部放入一定厚度的底砂，振动紧实。按工艺要求放置EPS模型组，并培砂固定。加砂同时施以振动，使型砂充满模型的各个部位，且使型砂的堆积密度增加。</w:t>
            </w:r>
            <w:r>
              <w:rPr>
                <w:rFonts w:hint="default" w:ascii="Times New Roman" w:hAnsi="Times New Roman" w:eastAsia="宋体" w:cs="Times New Roman"/>
                <w:b w:val="0"/>
                <w:bCs w:val="0"/>
                <w:color w:val="auto"/>
                <w:kern w:val="2"/>
                <w:sz w:val="24"/>
                <w:szCs w:val="24"/>
                <w:highlight w:val="none"/>
                <w:lang w:val="en-US" w:eastAsia="zh-CN"/>
              </w:rPr>
              <w:t>此工序无污染无产生。</w:t>
            </w:r>
          </w:p>
          <w:p w14:paraId="1C51995F">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电阻丝切割白模过程产生少量非甲烷总烃废气，通过车间通风无组织排放；固体废物主要为白模切割边角料，全部外售。</w:t>
            </w:r>
          </w:p>
          <w:p w14:paraId="27C9B4E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③</w:t>
            </w:r>
            <w:r>
              <w:rPr>
                <w:rFonts w:hint="default" w:ascii="Times New Roman" w:hAnsi="Times New Roman" w:eastAsia="宋体" w:cs="Times New Roman"/>
                <w:b w:val="0"/>
                <w:bCs w:val="0"/>
                <w:color w:val="auto"/>
                <w:kern w:val="2"/>
                <w:sz w:val="24"/>
                <w:szCs w:val="24"/>
                <w:highlight w:val="none"/>
              </w:rPr>
              <w:t>浇注</w:t>
            </w:r>
          </w:p>
          <w:p w14:paraId="0567E10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熔</w:t>
            </w:r>
            <w:r>
              <w:rPr>
                <w:rFonts w:hint="default" w:ascii="Times New Roman" w:hAnsi="Times New Roman" w:eastAsia="宋体" w:cs="Times New Roman"/>
                <w:color w:val="auto"/>
                <w:kern w:val="2"/>
                <w:sz w:val="24"/>
                <w:szCs w:val="24"/>
                <w:highlight w:val="none"/>
                <w:lang w:val="en-US" w:eastAsia="zh-CN"/>
              </w:rPr>
              <w:t>化</w:t>
            </w:r>
            <w:r>
              <w:rPr>
                <w:rFonts w:hint="default" w:ascii="Times New Roman" w:hAnsi="Times New Roman" w:eastAsia="宋体" w:cs="Times New Roman"/>
                <w:color w:val="auto"/>
                <w:kern w:val="2"/>
                <w:sz w:val="24"/>
                <w:szCs w:val="24"/>
                <w:highlight w:val="none"/>
              </w:rPr>
              <w:t>后将铁水倒入</w:t>
            </w:r>
            <w:r>
              <w:rPr>
                <w:rFonts w:hint="default" w:ascii="Times New Roman" w:hAnsi="Times New Roman" w:eastAsia="宋体" w:cs="Times New Roman"/>
                <w:color w:val="auto"/>
                <w:kern w:val="2"/>
                <w:sz w:val="24"/>
                <w:szCs w:val="24"/>
                <w:highlight w:val="none"/>
                <w:lang w:val="en-US" w:eastAsia="zh-CN"/>
              </w:rPr>
              <w:t>消失模砂箱</w:t>
            </w:r>
            <w:r>
              <w:rPr>
                <w:rFonts w:hint="default" w:ascii="Times New Roman" w:hAnsi="Times New Roman" w:eastAsia="宋体" w:cs="Times New Roman"/>
                <w:color w:val="auto"/>
                <w:kern w:val="2"/>
                <w:sz w:val="24"/>
                <w:szCs w:val="24"/>
                <w:highlight w:val="none"/>
              </w:rPr>
              <w:t>中进行</w:t>
            </w:r>
            <w:r>
              <w:rPr>
                <w:rFonts w:hint="default" w:ascii="Times New Roman" w:hAnsi="Times New Roman" w:eastAsia="宋体" w:cs="Times New Roman"/>
                <w:color w:val="auto"/>
                <w:kern w:val="2"/>
                <w:sz w:val="24"/>
                <w:szCs w:val="24"/>
                <w:highlight w:val="none"/>
                <w:lang w:eastAsia="zh-CN"/>
              </w:rPr>
              <w:t>浇注</w:t>
            </w:r>
            <w:r>
              <w:rPr>
                <w:rFonts w:hint="default" w:ascii="Times New Roman" w:hAnsi="Times New Roman" w:eastAsia="宋体" w:cs="Times New Roman"/>
                <w:color w:val="auto"/>
                <w:kern w:val="2"/>
                <w:sz w:val="24"/>
                <w:szCs w:val="24"/>
                <w:highlight w:val="none"/>
              </w:rPr>
              <w:t>成型</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负压消失模工艺浇注过程中</w:t>
            </w:r>
            <w:r>
              <w:rPr>
                <w:rFonts w:hint="default" w:ascii="Times New Roman" w:hAnsi="Times New Roman" w:eastAsia="宋体" w:cs="Times New Roman"/>
                <w:color w:val="auto"/>
                <w:kern w:val="2"/>
                <w:sz w:val="24"/>
                <w:szCs w:val="24"/>
                <w:highlight w:val="none"/>
              </w:rPr>
              <w:t>用真空泵将砂箱内抽成一定真空</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树脂砂消失模工艺无需负压</w:t>
            </w:r>
            <w:r>
              <w:rPr>
                <w:rFonts w:hint="default" w:ascii="Times New Roman" w:hAnsi="Times New Roman" w:eastAsia="宋体" w:cs="Times New Roman"/>
                <w:color w:val="auto"/>
                <w:kern w:val="2"/>
                <w:sz w:val="24"/>
                <w:szCs w:val="24"/>
                <w:highlight w:val="none"/>
              </w:rPr>
              <w:t>。</w:t>
            </w:r>
          </w:p>
          <w:p w14:paraId="3814A87E">
            <w:pPr>
              <w:keepNext w:val="0"/>
              <w:keepLines w:val="0"/>
              <w:pageBreakBefore w:val="0"/>
              <w:widowControl w:val="0"/>
              <w:kinsoku/>
              <w:wordWrap/>
              <w:overflowPunct/>
              <w:topLinePunct w:val="0"/>
              <w:autoSpaceDE/>
              <w:autoSpaceDN/>
              <w:bidi w:val="0"/>
              <w:adjustRightInd/>
              <w:snapToGrid/>
              <w:spacing w:after="0" w:afterLines="0" w:line="480" w:lineRule="exact"/>
              <w:ind w:firstLine="0" w:firstLineChars="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浇注</w:t>
            </w:r>
            <w:r>
              <w:rPr>
                <w:rFonts w:hint="default" w:ascii="Times New Roman" w:hAnsi="Times New Roman" w:eastAsia="宋体" w:cs="Times New Roman"/>
                <w:b w:val="0"/>
                <w:bCs w:val="0"/>
                <w:color w:val="auto"/>
                <w:kern w:val="2"/>
                <w:sz w:val="24"/>
                <w:szCs w:val="24"/>
                <w:highlight w:val="none"/>
              </w:rPr>
              <w:t>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lang w:val="en-US" w:eastAsia="zh-CN"/>
              </w:rPr>
              <w:t>和EPS模型发生热解气化产生的有机废气</w:t>
            </w:r>
            <w:r>
              <w:rPr>
                <w:rFonts w:hint="default" w:ascii="Times New Roman" w:hAnsi="Times New Roman" w:eastAsia="宋体" w:cs="Times New Roman"/>
                <w:b w:val="0"/>
                <w:bCs w:val="0"/>
                <w:color w:val="auto"/>
                <w:kern w:val="2"/>
                <w:sz w:val="24"/>
                <w:szCs w:val="24"/>
                <w:highlight w:val="none"/>
              </w:rPr>
              <w:t>，项目在浇注工位设置侧顶吸式集气罩，</w:t>
            </w:r>
            <w:r>
              <w:rPr>
                <w:rFonts w:hint="default" w:ascii="Times New Roman" w:hAnsi="Times New Roman" w:eastAsia="宋体" w:cs="Times New Roman"/>
                <w:b w:val="0"/>
                <w:bCs w:val="0"/>
                <w:color w:val="auto"/>
                <w:kern w:val="2"/>
                <w:sz w:val="24"/>
                <w:szCs w:val="24"/>
                <w:highlight w:val="none"/>
                <w:lang w:val="en-US" w:eastAsia="zh-CN"/>
              </w:rPr>
              <w:t>负压消失模工艺</w:t>
            </w:r>
            <w:r>
              <w:rPr>
                <w:rFonts w:hint="default" w:ascii="Times New Roman" w:hAnsi="Times New Roman" w:eastAsia="宋体" w:cs="Times New Roman"/>
                <w:b w:val="0"/>
                <w:bCs w:val="0"/>
                <w:color w:val="auto"/>
                <w:kern w:val="2"/>
                <w:sz w:val="24"/>
                <w:szCs w:val="24"/>
                <w:highlight w:val="none"/>
              </w:rPr>
              <w:t>真空泵</w:t>
            </w:r>
            <w:r>
              <w:rPr>
                <w:rFonts w:hint="default" w:ascii="Times New Roman" w:hAnsi="Times New Roman" w:eastAsia="宋体" w:cs="Times New Roman"/>
                <w:b w:val="0"/>
                <w:bCs w:val="0"/>
                <w:color w:val="auto"/>
                <w:kern w:val="2"/>
                <w:sz w:val="24"/>
                <w:szCs w:val="24"/>
                <w:highlight w:val="none"/>
                <w:lang w:val="en-US" w:eastAsia="zh-CN"/>
              </w:rPr>
              <w:t>排气管接入风机，</w:t>
            </w:r>
            <w:r>
              <w:rPr>
                <w:rFonts w:hint="default" w:ascii="Times New Roman" w:hAnsi="Times New Roman" w:eastAsia="宋体" w:cs="Times New Roman"/>
                <w:b w:val="0"/>
                <w:bCs w:val="0"/>
                <w:color w:val="auto"/>
                <w:kern w:val="2"/>
                <w:sz w:val="24"/>
                <w:szCs w:val="24"/>
                <w:highlight w:val="none"/>
              </w:rPr>
              <w:t>废气由风机引至布袋除尘器（</w:t>
            </w:r>
            <w:r>
              <w:rPr>
                <w:rFonts w:hint="default" w:ascii="Times New Roman" w:hAnsi="Times New Roman" w:eastAsia="宋体" w:cs="Times New Roman"/>
                <w:b w:val="0"/>
                <w:bCs w:val="0"/>
                <w:color w:val="auto"/>
                <w:kern w:val="2"/>
                <w:sz w:val="24"/>
                <w:szCs w:val="24"/>
                <w:highlight w:val="none"/>
                <w:lang w:val="en-US" w:eastAsia="zh-CN"/>
              </w:rPr>
              <w:t>6</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6</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）排放，未捕集的废气通过车间通风无组织排放；噪声污染源为风机运行时产生的噪声，风机进出口设软管连接，并安装消声器；固体废物主要为</w:t>
            </w:r>
            <w:r>
              <w:rPr>
                <w:rFonts w:hint="default" w:ascii="Times New Roman" w:hAnsi="Times New Roman" w:eastAsia="宋体" w:cs="Times New Roman"/>
                <w:b w:val="0"/>
                <w:bCs w:val="0"/>
                <w:color w:val="auto"/>
                <w:kern w:val="2"/>
                <w:sz w:val="24"/>
                <w:szCs w:val="24"/>
                <w:highlight w:val="none"/>
                <w:lang w:val="en-US" w:eastAsia="zh-CN"/>
              </w:rPr>
              <w:t>除尘器收集尘灰，尘灰外售</w:t>
            </w:r>
            <w:r>
              <w:rPr>
                <w:rFonts w:hint="default" w:ascii="Times New Roman" w:hAnsi="Times New Roman" w:eastAsia="宋体" w:cs="Times New Roman"/>
                <w:b w:val="0"/>
                <w:bCs w:val="0"/>
                <w:color w:val="auto"/>
                <w:kern w:val="2"/>
                <w:sz w:val="24"/>
                <w:szCs w:val="24"/>
                <w:highlight w:val="none"/>
              </w:rPr>
              <w:t>。</w:t>
            </w:r>
          </w:p>
          <w:p w14:paraId="08A66B9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④</w:t>
            </w:r>
            <w:r>
              <w:rPr>
                <w:rFonts w:hint="default" w:ascii="Times New Roman" w:hAnsi="Times New Roman" w:eastAsia="宋体" w:cs="Times New Roman"/>
                <w:b w:val="0"/>
                <w:bCs w:val="0"/>
                <w:color w:val="auto"/>
                <w:kern w:val="2"/>
                <w:sz w:val="24"/>
                <w:szCs w:val="24"/>
                <w:highlight w:val="none"/>
              </w:rPr>
              <w:t>落砂</w:t>
            </w:r>
          </w:p>
          <w:p w14:paraId="24A437F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浇注后的砂型在冷却后即可开箱、落砂。落砂后作为旧砂进入砂处理系统进行回收再利用</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铸件进入热处理（淬火）工序处理，无污染物产生。</w:t>
            </w:r>
          </w:p>
          <w:p w14:paraId="29E868B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落砂</w:t>
            </w:r>
            <w:r>
              <w:rPr>
                <w:rFonts w:hint="default" w:ascii="Times New Roman" w:hAnsi="Times New Roman" w:eastAsia="宋体" w:cs="Times New Roman"/>
                <w:color w:val="auto"/>
                <w:kern w:val="2"/>
                <w:sz w:val="24"/>
                <w:szCs w:val="24"/>
                <w:highlight w:val="none"/>
                <w:lang w:val="en-US" w:eastAsia="zh-CN"/>
              </w:rPr>
              <w:t>过程会产生一定的噪声</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val="en-US" w:eastAsia="zh-CN"/>
              </w:rPr>
              <w:t>采用将设备</w:t>
            </w:r>
            <w:r>
              <w:rPr>
                <w:rFonts w:hint="default" w:ascii="Times New Roman" w:hAnsi="Times New Roman" w:eastAsia="宋体" w:cs="Times New Roman"/>
                <w:color w:val="auto"/>
                <w:kern w:val="2"/>
                <w:sz w:val="24"/>
                <w:szCs w:val="24"/>
                <w:highlight w:val="none"/>
              </w:rPr>
              <w:t>布置在厂房内的降噪措施</w:t>
            </w:r>
            <w:r>
              <w:rPr>
                <w:rFonts w:hint="default" w:ascii="Times New Roman" w:hAnsi="Times New Roman" w:eastAsia="宋体" w:cs="Times New Roman"/>
                <w:color w:val="auto"/>
                <w:kern w:val="2"/>
                <w:sz w:val="24"/>
                <w:szCs w:val="24"/>
                <w:highlight w:val="none"/>
                <w:lang w:eastAsia="zh-CN"/>
              </w:rPr>
              <w:t>。</w:t>
            </w:r>
          </w:p>
          <w:p w14:paraId="0D0088F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⑤</w:t>
            </w:r>
            <w:r>
              <w:rPr>
                <w:rFonts w:hint="default" w:ascii="Times New Roman" w:hAnsi="Times New Roman" w:eastAsia="宋体" w:cs="Times New Roman"/>
                <w:b w:val="0"/>
                <w:bCs w:val="0"/>
                <w:color w:val="auto"/>
                <w:kern w:val="2"/>
                <w:sz w:val="24"/>
                <w:szCs w:val="24"/>
                <w:highlight w:val="none"/>
              </w:rPr>
              <w:t>砂处理</w:t>
            </w:r>
          </w:p>
          <w:p w14:paraId="0C7610F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负压消失模工艺旧砂送至集中的砂处理设备进行处理，</w:t>
            </w:r>
            <w:r>
              <w:rPr>
                <w:rFonts w:hint="default" w:ascii="Times New Roman" w:hAnsi="Times New Roman" w:eastAsia="宋体" w:cs="Times New Roman"/>
                <w:color w:val="auto"/>
                <w:kern w:val="2"/>
                <w:sz w:val="24"/>
                <w:szCs w:val="24"/>
                <w:highlight w:val="none"/>
              </w:rPr>
              <w:t>砂处理设备包括新砂的补充</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旧砂的筛分、</w:t>
            </w:r>
            <w:r>
              <w:rPr>
                <w:rFonts w:hint="default" w:ascii="Times New Roman" w:hAnsi="Times New Roman" w:eastAsia="宋体" w:cs="Times New Roman"/>
                <w:color w:val="auto"/>
                <w:kern w:val="2"/>
                <w:sz w:val="24"/>
                <w:szCs w:val="24"/>
                <w:highlight w:val="none"/>
                <w:lang w:val="en-US" w:eastAsia="zh-CN"/>
              </w:rPr>
              <w:t>风选、降温</w:t>
            </w:r>
            <w:r>
              <w:rPr>
                <w:rFonts w:hint="default" w:ascii="Times New Roman" w:hAnsi="Times New Roman" w:eastAsia="宋体" w:cs="Times New Roman"/>
                <w:color w:val="auto"/>
                <w:kern w:val="2"/>
                <w:sz w:val="24"/>
                <w:szCs w:val="24"/>
                <w:highlight w:val="none"/>
              </w:rPr>
              <w:t>及储存回用。</w:t>
            </w:r>
          </w:p>
          <w:p w14:paraId="0DE62D75">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旧树脂砂进入树脂砂再生设备进行</w:t>
            </w:r>
            <w:r>
              <w:rPr>
                <w:rFonts w:hint="default" w:ascii="Times New Roman" w:hAnsi="Times New Roman" w:eastAsia="宋体" w:cs="Times New Roman"/>
                <w:color w:val="auto"/>
                <w:kern w:val="2"/>
                <w:sz w:val="24"/>
                <w:szCs w:val="24"/>
                <w:highlight w:val="none"/>
              </w:rPr>
              <w:t>处理</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包括旧砂的筛分、</w:t>
            </w:r>
            <w:r>
              <w:rPr>
                <w:rFonts w:hint="default" w:ascii="Times New Roman" w:hAnsi="Times New Roman" w:eastAsia="宋体" w:cs="Times New Roman"/>
                <w:color w:val="auto"/>
                <w:kern w:val="2"/>
                <w:sz w:val="24"/>
                <w:szCs w:val="24"/>
                <w:highlight w:val="none"/>
                <w:lang w:val="en-US" w:eastAsia="zh-CN"/>
              </w:rPr>
              <w:t>搓擦再生、降温、</w:t>
            </w:r>
            <w:r>
              <w:rPr>
                <w:rFonts w:hint="default" w:ascii="Times New Roman" w:hAnsi="Times New Roman" w:eastAsia="宋体" w:cs="Times New Roman"/>
                <w:color w:val="auto"/>
                <w:kern w:val="2"/>
                <w:sz w:val="24"/>
                <w:szCs w:val="24"/>
                <w:highlight w:val="none"/>
              </w:rPr>
              <w:t>储存回用</w:t>
            </w:r>
            <w:r>
              <w:rPr>
                <w:rFonts w:hint="default" w:ascii="Times New Roman" w:hAnsi="Times New Roman" w:eastAsia="宋体" w:cs="Times New Roman"/>
                <w:color w:val="auto"/>
                <w:kern w:val="2"/>
                <w:sz w:val="24"/>
                <w:szCs w:val="24"/>
                <w:highlight w:val="none"/>
                <w:lang w:val="en-US" w:eastAsia="zh-CN"/>
              </w:rPr>
              <w:t>以及</w:t>
            </w:r>
            <w:r>
              <w:rPr>
                <w:rFonts w:hint="default" w:ascii="Times New Roman" w:hAnsi="Times New Roman" w:eastAsia="宋体" w:cs="Times New Roman"/>
                <w:color w:val="auto"/>
                <w:kern w:val="2"/>
                <w:sz w:val="24"/>
                <w:szCs w:val="24"/>
                <w:highlight w:val="none"/>
              </w:rPr>
              <w:t>新砂的补充</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新树脂砂的混砂</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rPr>
              <w:t>该过程排污节点为：砂处理线</w:t>
            </w:r>
            <w:r>
              <w:rPr>
                <w:rFonts w:hint="default" w:ascii="Times New Roman" w:hAnsi="Times New Roman" w:eastAsia="宋体" w:cs="Times New Roman"/>
                <w:b w:val="0"/>
                <w:bCs w:val="0"/>
                <w:color w:val="auto"/>
                <w:kern w:val="2"/>
                <w:sz w:val="24"/>
                <w:szCs w:val="24"/>
                <w:highlight w:val="none"/>
                <w:lang w:val="en-US" w:eastAsia="zh-CN"/>
              </w:rPr>
              <w:t>废气</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由风机引至布袋除尘器（</w:t>
            </w:r>
            <w:r>
              <w:rPr>
                <w:rFonts w:hint="default" w:ascii="Times New Roman" w:hAnsi="Times New Roman" w:eastAsia="宋体" w:cs="Times New Roman"/>
                <w:b w:val="0"/>
                <w:bCs w:val="0"/>
                <w:color w:val="auto"/>
                <w:kern w:val="2"/>
                <w:sz w:val="24"/>
                <w:szCs w:val="24"/>
                <w:highlight w:val="none"/>
                <w:lang w:val="en-US" w:eastAsia="zh-CN"/>
              </w:rPr>
              <w:t>7</w:t>
            </w:r>
            <w:r>
              <w:rPr>
                <w:rFonts w:hint="default" w:ascii="Times New Roman" w:hAnsi="Times New Roman" w:eastAsia="宋体" w:cs="Times New Roman"/>
                <w:b w:val="0"/>
                <w:bCs w:val="0"/>
                <w:color w:val="auto"/>
                <w:kern w:val="2"/>
                <w:sz w:val="24"/>
                <w:szCs w:val="24"/>
                <w:highlight w:val="none"/>
              </w:rPr>
              <w:t>#）处理后经排气筒（P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7</w:t>
            </w:r>
            <w:r>
              <w:rPr>
                <w:rFonts w:hint="default" w:ascii="Times New Roman" w:hAnsi="Times New Roman" w:eastAsia="宋体" w:cs="Times New Roman"/>
                <w:b w:val="0"/>
                <w:bCs w:val="0"/>
                <w:color w:val="auto"/>
                <w:kern w:val="2"/>
                <w:sz w:val="24"/>
                <w:szCs w:val="24"/>
                <w:highlight w:val="none"/>
              </w:rPr>
              <w:t>）排放；噪声污染源为风机运行时产生的噪声，风机进出口设软管连接，并安装消声器；固体废物主要为废砂以及收集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废砂</w:t>
            </w:r>
            <w:r>
              <w:rPr>
                <w:rFonts w:hint="default" w:ascii="Times New Roman" w:hAnsi="Times New Roman" w:eastAsia="宋体" w:cs="Times New Roman"/>
                <w:b w:val="0"/>
                <w:bCs w:val="0"/>
                <w:color w:val="auto"/>
                <w:kern w:val="2"/>
                <w:sz w:val="24"/>
                <w:szCs w:val="24"/>
                <w:highlight w:val="none"/>
                <w:lang w:val="en-US" w:eastAsia="zh-CN"/>
              </w:rPr>
              <w:t>外售</w:t>
            </w:r>
            <w:r>
              <w:rPr>
                <w:rFonts w:hint="default" w:ascii="Times New Roman" w:hAnsi="Times New Roman" w:eastAsia="宋体" w:cs="Times New Roman"/>
                <w:b w:val="0"/>
                <w:bCs w:val="0"/>
                <w:color w:val="auto"/>
                <w:kern w:val="2"/>
                <w:sz w:val="24"/>
                <w:szCs w:val="24"/>
                <w:highlight w:val="none"/>
              </w:rPr>
              <w:t>。</w:t>
            </w:r>
          </w:p>
          <w:p w14:paraId="1E51087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⑥</w:t>
            </w:r>
            <w:r>
              <w:rPr>
                <w:rFonts w:hint="default" w:ascii="Times New Roman" w:hAnsi="Times New Roman" w:eastAsia="宋体" w:cs="Times New Roman"/>
                <w:b w:val="0"/>
                <w:bCs w:val="0"/>
                <w:color w:val="auto"/>
                <w:kern w:val="2"/>
                <w:sz w:val="24"/>
                <w:szCs w:val="24"/>
                <w:highlight w:val="none"/>
              </w:rPr>
              <w:t>检</w:t>
            </w:r>
            <w:r>
              <w:rPr>
                <w:rFonts w:hint="default" w:ascii="Times New Roman" w:hAnsi="Times New Roman" w:eastAsia="宋体" w:cs="Times New Roman"/>
                <w:b w:val="0"/>
                <w:bCs w:val="0"/>
                <w:color w:val="auto"/>
                <w:kern w:val="2"/>
                <w:sz w:val="24"/>
                <w:szCs w:val="24"/>
                <w:highlight w:val="none"/>
                <w:lang w:val="en-US" w:eastAsia="zh-CN"/>
              </w:rPr>
              <w:t>查</w:t>
            </w:r>
          </w:p>
          <w:p w14:paraId="4192BAC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对</w:t>
            </w:r>
            <w:r>
              <w:rPr>
                <w:rFonts w:hint="default" w:ascii="Times New Roman" w:hAnsi="Times New Roman" w:eastAsia="宋体" w:cs="Times New Roman"/>
                <w:b w:val="0"/>
                <w:bCs w:val="0"/>
                <w:color w:val="auto"/>
                <w:kern w:val="2"/>
                <w:sz w:val="24"/>
                <w:szCs w:val="24"/>
                <w:highlight w:val="none"/>
                <w:lang w:val="en-US" w:eastAsia="zh-CN"/>
              </w:rPr>
              <w:t>合格产品进入热处理（淬火）工序处理，无污染物产生，热处理后进入加工工序</w:t>
            </w:r>
            <w:r>
              <w:rPr>
                <w:rFonts w:hint="default" w:ascii="Times New Roman" w:hAnsi="Times New Roman" w:eastAsia="宋体" w:cs="Times New Roman"/>
                <w:b w:val="0"/>
                <w:bCs w:val="0"/>
                <w:color w:val="auto"/>
                <w:kern w:val="2"/>
                <w:sz w:val="24"/>
                <w:szCs w:val="24"/>
                <w:highlight w:val="none"/>
              </w:rPr>
              <w:t>，不合格产品返回</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034D07F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color w:val="auto"/>
                <w:sz w:val="24"/>
                <w:szCs w:val="24"/>
                <w:highlight w:val="none"/>
              </w:rPr>
              <w:drawing>
                <wp:anchor distT="0" distB="0" distL="114300" distR="114300" simplePos="0" relativeHeight="251696128" behindDoc="0" locked="0" layoutInCell="1" allowOverlap="1">
                  <wp:simplePos x="0" y="0"/>
                  <wp:positionH relativeFrom="column">
                    <wp:posOffset>1256030</wp:posOffset>
                  </wp:positionH>
                  <wp:positionV relativeFrom="paragraph">
                    <wp:posOffset>287655</wp:posOffset>
                  </wp:positionV>
                  <wp:extent cx="2346325" cy="3415030"/>
                  <wp:effectExtent l="0" t="0" r="15875" b="1397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2346325" cy="3415030"/>
                          </a:xfrm>
                          <a:prstGeom prst="rect">
                            <a:avLst/>
                          </a:prstGeom>
                          <a:noFill/>
                          <a:ln>
                            <a:noFill/>
                          </a:ln>
                        </pic:spPr>
                      </pic:pic>
                    </a:graphicData>
                  </a:graphic>
                </wp:anchor>
              </w:drawing>
            </w:r>
            <w:r>
              <w:rPr>
                <w:rFonts w:hint="default" w:ascii="Times New Roman" w:hAnsi="Times New Roman" w:eastAsia="宋体" w:cs="Times New Roman"/>
                <w:b w:val="0"/>
                <w:bCs w:val="0"/>
                <w:color w:val="auto"/>
                <w:kern w:val="2"/>
                <w:sz w:val="24"/>
                <w:szCs w:val="24"/>
                <w:highlight w:val="none"/>
              </w:rPr>
              <w:t>此工序产生不合格产品固废，不合格产品返回至</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0A748413">
            <w:pPr>
              <w:pStyle w:val="11"/>
              <w:rPr>
                <w:rFonts w:hint="default" w:ascii="Times New Roman" w:hAnsi="Times New Roman" w:eastAsia="宋体" w:cs="Times New Roman"/>
                <w:b w:val="0"/>
                <w:bCs w:val="0"/>
                <w:color w:val="auto"/>
                <w:kern w:val="2"/>
                <w:sz w:val="24"/>
                <w:szCs w:val="24"/>
                <w:highlight w:val="none"/>
              </w:rPr>
            </w:pPr>
          </w:p>
          <w:p w14:paraId="187955A1">
            <w:pPr>
              <w:rPr>
                <w:rFonts w:hint="default" w:ascii="Times New Roman" w:hAnsi="Times New Roman" w:eastAsia="宋体" w:cs="Times New Roman"/>
                <w:b w:val="0"/>
                <w:bCs w:val="0"/>
                <w:color w:val="auto"/>
                <w:kern w:val="2"/>
                <w:sz w:val="24"/>
                <w:szCs w:val="24"/>
                <w:highlight w:val="none"/>
              </w:rPr>
            </w:pPr>
          </w:p>
          <w:p w14:paraId="6E708E4C">
            <w:pPr>
              <w:pStyle w:val="2"/>
              <w:rPr>
                <w:rFonts w:hint="default" w:ascii="Times New Roman" w:hAnsi="Times New Roman" w:eastAsia="宋体" w:cs="Times New Roman"/>
                <w:b w:val="0"/>
                <w:bCs w:val="0"/>
                <w:color w:val="auto"/>
                <w:kern w:val="2"/>
                <w:sz w:val="24"/>
                <w:szCs w:val="24"/>
                <w:highlight w:val="none"/>
              </w:rPr>
            </w:pPr>
          </w:p>
          <w:p w14:paraId="0A907721">
            <w:pPr>
              <w:pStyle w:val="11"/>
              <w:rPr>
                <w:rFonts w:hint="default" w:ascii="Times New Roman" w:hAnsi="Times New Roman" w:eastAsia="宋体" w:cs="Times New Roman"/>
                <w:b w:val="0"/>
                <w:bCs w:val="0"/>
                <w:color w:val="auto"/>
                <w:kern w:val="2"/>
                <w:sz w:val="24"/>
                <w:szCs w:val="24"/>
                <w:highlight w:val="none"/>
              </w:rPr>
            </w:pPr>
          </w:p>
          <w:p w14:paraId="7ABD644C">
            <w:pPr>
              <w:rPr>
                <w:rFonts w:hint="default" w:ascii="Times New Roman" w:hAnsi="Times New Roman" w:eastAsia="宋体" w:cs="Times New Roman"/>
                <w:b w:val="0"/>
                <w:bCs w:val="0"/>
                <w:color w:val="auto"/>
                <w:kern w:val="2"/>
                <w:sz w:val="24"/>
                <w:szCs w:val="24"/>
                <w:highlight w:val="none"/>
              </w:rPr>
            </w:pPr>
          </w:p>
          <w:p w14:paraId="7472B1BE">
            <w:pPr>
              <w:pStyle w:val="2"/>
              <w:rPr>
                <w:rFonts w:hint="default" w:ascii="Times New Roman" w:hAnsi="Times New Roman" w:eastAsia="宋体" w:cs="Times New Roman"/>
                <w:b w:val="0"/>
                <w:bCs w:val="0"/>
                <w:color w:val="auto"/>
                <w:kern w:val="2"/>
                <w:sz w:val="24"/>
                <w:szCs w:val="24"/>
                <w:highlight w:val="none"/>
              </w:rPr>
            </w:pPr>
          </w:p>
          <w:p w14:paraId="3E1CB566">
            <w:pPr>
              <w:pStyle w:val="11"/>
              <w:rPr>
                <w:rFonts w:hint="default"/>
                <w:color w:val="auto"/>
                <w:highlight w:val="none"/>
              </w:rPr>
            </w:pPr>
          </w:p>
          <w:p w14:paraId="18D75DA8">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06D08065">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7FB4B648">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12F4C69F">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0FBB3BBF">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132CB4CE">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68AEBEA2">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Times New Roman" w:hAnsi="Times New Roman" w:eastAsia="宋体" w:cs="Times New Roman"/>
                <w:color w:val="auto"/>
                <w:kern w:val="2"/>
                <w:sz w:val="24"/>
                <w:szCs w:val="24"/>
                <w:highlight w:val="none"/>
                <w:lang w:val="en-US" w:eastAsia="zh-CN"/>
              </w:rPr>
            </w:pPr>
          </w:p>
          <w:p w14:paraId="67598FA8">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 xml:space="preserve">图2-7  </w:t>
            </w:r>
            <w:r>
              <w:rPr>
                <w:rFonts w:hint="default" w:ascii="Times New Roman" w:hAnsi="Times New Roman" w:eastAsia="宋体" w:cs="Times New Roman"/>
                <w:color w:val="auto"/>
                <w:kern w:val="2"/>
                <w:sz w:val="24"/>
                <w:szCs w:val="24"/>
                <w:highlight w:val="none"/>
                <w:lang w:val="en-US" w:eastAsia="zh-CN"/>
              </w:rPr>
              <w:t>树脂消失模工艺流程图</w:t>
            </w:r>
          </w:p>
          <w:p w14:paraId="4EAFDDB1">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lang w:val="en-US" w:eastAsia="zh-CN"/>
              </w:rPr>
              <w:t>合金球铸造</w:t>
            </w:r>
          </w:p>
          <w:p w14:paraId="1381877D">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原有合金球生产线</w:t>
            </w:r>
          </w:p>
          <w:p w14:paraId="3B01AD0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现有2#合金球生产线予以保留，更换新的电炉，仍采用铁型铸造工艺用于生产合金球。</w:t>
            </w:r>
          </w:p>
          <w:p w14:paraId="028BD18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铁型铸造工艺</w:t>
            </w:r>
            <w:r>
              <w:rPr>
                <w:rFonts w:hint="default" w:ascii="Times New Roman" w:hAnsi="Times New Roman" w:eastAsia="宋体" w:cs="Times New Roman"/>
                <w:color w:val="auto"/>
                <w:kern w:val="2"/>
                <w:sz w:val="24"/>
                <w:szCs w:val="24"/>
                <w:highlight w:val="none"/>
                <w:lang w:val="en-US" w:eastAsia="zh-CN"/>
              </w:rPr>
              <w:t>：在上下两片</w:t>
            </w:r>
            <w:r>
              <w:rPr>
                <w:rFonts w:hint="default" w:ascii="Times New Roman" w:hAnsi="Times New Roman" w:eastAsia="宋体" w:cs="Times New Roman"/>
                <w:b w:val="0"/>
                <w:bCs w:val="0"/>
                <w:color w:val="auto"/>
                <w:kern w:val="2"/>
                <w:sz w:val="24"/>
                <w:szCs w:val="24"/>
                <w:highlight w:val="none"/>
                <w:lang w:val="en-US" w:eastAsia="zh-CN"/>
              </w:rPr>
              <w:t>铁型中间用少量粘土砂制作出浇注通道，以保护铁型，之后合模</w:t>
            </w:r>
            <w:r>
              <w:rPr>
                <w:rFonts w:hint="default" w:ascii="Times New Roman" w:hAnsi="Times New Roman" w:eastAsia="宋体" w:cs="Times New Roman"/>
                <w:color w:val="auto"/>
                <w:kern w:val="2"/>
                <w:sz w:val="24"/>
                <w:szCs w:val="24"/>
                <w:highlight w:val="none"/>
                <w:lang w:val="en-US" w:eastAsia="zh-CN"/>
              </w:rPr>
              <w:t>，铁液通过浇注小车作水平移动进行浇注，注入</w:t>
            </w:r>
            <w:r>
              <w:rPr>
                <w:rFonts w:hint="default" w:ascii="Times New Roman" w:hAnsi="Times New Roman" w:eastAsia="宋体" w:cs="Times New Roman"/>
                <w:b w:val="0"/>
                <w:bCs w:val="0"/>
                <w:color w:val="auto"/>
                <w:kern w:val="2"/>
                <w:sz w:val="24"/>
                <w:szCs w:val="24"/>
                <w:highlight w:val="none"/>
                <w:lang w:val="en-US" w:eastAsia="zh-CN"/>
              </w:rPr>
              <w:t>铁型</w:t>
            </w:r>
            <w:r>
              <w:rPr>
                <w:rFonts w:hint="default" w:ascii="Times New Roman" w:hAnsi="Times New Roman" w:eastAsia="宋体" w:cs="Times New Roman"/>
                <w:color w:val="auto"/>
                <w:kern w:val="2"/>
                <w:sz w:val="24"/>
                <w:szCs w:val="24"/>
                <w:highlight w:val="none"/>
                <w:lang w:val="en-US" w:eastAsia="zh-CN"/>
              </w:rPr>
              <w:t>，按照工艺规定要求，冷却到一定温度时，开模取出钢球，</w:t>
            </w:r>
            <w:r>
              <w:rPr>
                <w:rFonts w:hint="default" w:ascii="Times New Roman" w:hAnsi="Times New Roman" w:eastAsia="宋体" w:cs="Times New Roman"/>
                <w:color w:val="auto"/>
                <w:kern w:val="2"/>
                <w:sz w:val="24"/>
                <w:szCs w:val="24"/>
                <w:highlight w:val="none"/>
              </w:rPr>
              <w:t>经检验合格的产品</w:t>
            </w:r>
            <w:r>
              <w:rPr>
                <w:rFonts w:hint="default" w:ascii="Times New Roman" w:hAnsi="Times New Roman" w:eastAsia="宋体" w:cs="Times New Roman"/>
                <w:color w:val="auto"/>
                <w:kern w:val="2"/>
                <w:sz w:val="24"/>
                <w:szCs w:val="24"/>
                <w:highlight w:val="none"/>
                <w:lang w:val="en-US" w:eastAsia="zh-CN"/>
              </w:rPr>
              <w:t>送至热处理工部。</w:t>
            </w:r>
          </w:p>
          <w:p w14:paraId="5986E15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①</w:t>
            </w:r>
            <w:r>
              <w:rPr>
                <w:rFonts w:hint="default" w:ascii="Times New Roman" w:hAnsi="Times New Roman" w:eastAsia="宋体" w:cs="Times New Roman"/>
                <w:b w:val="0"/>
                <w:bCs w:val="0"/>
                <w:color w:val="auto"/>
                <w:kern w:val="2"/>
                <w:sz w:val="24"/>
                <w:szCs w:val="24"/>
                <w:highlight w:val="none"/>
              </w:rPr>
              <w:t>熔</w:t>
            </w:r>
            <w:r>
              <w:rPr>
                <w:rFonts w:hint="default" w:ascii="Times New Roman" w:hAnsi="Times New Roman" w:eastAsia="宋体" w:cs="Times New Roman"/>
                <w:b w:val="0"/>
                <w:bCs w:val="0"/>
                <w:color w:val="auto"/>
                <w:kern w:val="2"/>
                <w:sz w:val="24"/>
                <w:szCs w:val="24"/>
                <w:highlight w:val="none"/>
                <w:lang w:val="en-US" w:eastAsia="zh-CN"/>
              </w:rPr>
              <w:t>化</w:t>
            </w:r>
          </w:p>
          <w:p w14:paraId="6FE1794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废钢（或硅铁、锰铁）经加料车加入到电炉中，进行熔</w:t>
            </w:r>
            <w:r>
              <w:rPr>
                <w:rFonts w:hint="default" w:ascii="Times New Roman" w:hAnsi="Times New Roman" w:eastAsia="宋体" w:cs="Times New Roman"/>
                <w:b w:val="0"/>
                <w:bCs w:val="0"/>
                <w:color w:val="auto"/>
                <w:kern w:val="2"/>
                <w:sz w:val="24"/>
                <w:szCs w:val="24"/>
                <w:highlight w:val="none"/>
                <w:lang w:val="en-US" w:eastAsia="zh-CN"/>
              </w:rPr>
              <w:t>化</w:t>
            </w:r>
            <w:r>
              <w:rPr>
                <w:rFonts w:hint="default" w:ascii="Times New Roman" w:hAnsi="Times New Roman" w:eastAsia="宋体" w:cs="Times New Roman"/>
                <w:b w:val="0"/>
                <w:bCs w:val="0"/>
                <w:color w:val="auto"/>
                <w:kern w:val="2"/>
                <w:sz w:val="24"/>
                <w:szCs w:val="24"/>
                <w:highlight w:val="none"/>
              </w:rPr>
              <w:t>，本工序</w:t>
            </w:r>
            <w:r>
              <w:rPr>
                <w:rFonts w:hint="default" w:ascii="Times New Roman" w:hAnsi="Times New Roman" w:eastAsia="宋体" w:cs="Times New Roman"/>
                <w:b w:val="0"/>
                <w:bCs w:val="0"/>
                <w:color w:val="auto"/>
                <w:kern w:val="2"/>
                <w:sz w:val="24"/>
                <w:szCs w:val="24"/>
                <w:highlight w:val="none"/>
                <w:lang w:val="en-US" w:eastAsia="zh-CN"/>
              </w:rPr>
              <w:t>设置1</w:t>
            </w:r>
            <w:r>
              <w:rPr>
                <w:rFonts w:hint="default" w:ascii="Times New Roman" w:hAnsi="Times New Roman" w:eastAsia="宋体" w:cs="Times New Roman"/>
                <w:b w:val="0"/>
                <w:bCs w:val="0"/>
                <w:color w:val="auto"/>
                <w:kern w:val="2"/>
                <w:sz w:val="24"/>
                <w:szCs w:val="24"/>
                <w:highlight w:val="none"/>
              </w:rPr>
              <w:t>台</w:t>
            </w:r>
            <w:r>
              <w:rPr>
                <w:rFonts w:hint="default" w:ascii="Times New Roman" w:hAnsi="Times New Roman" w:eastAsia="宋体" w:cs="Times New Roman"/>
                <w:b w:val="0"/>
                <w:bCs w:val="0"/>
                <w:color w:val="auto"/>
                <w:kern w:val="2"/>
                <w:sz w:val="24"/>
                <w:szCs w:val="24"/>
                <w:highlight w:val="none"/>
                <w:lang w:val="en-US" w:eastAsia="zh-CN"/>
              </w:rPr>
              <w:t>1.5t</w:t>
            </w:r>
            <w:r>
              <w:rPr>
                <w:rFonts w:hint="default" w:ascii="Times New Roman" w:hAnsi="Times New Roman" w:eastAsia="宋体" w:cs="Times New Roman"/>
                <w:b w:val="0"/>
                <w:bCs w:val="0"/>
                <w:color w:val="auto"/>
                <w:kern w:val="2"/>
                <w:sz w:val="24"/>
                <w:szCs w:val="24"/>
                <w:highlight w:val="none"/>
              </w:rPr>
              <w:t>中频感应电炉。</w:t>
            </w:r>
          </w:p>
          <w:p w14:paraId="7F5DBB0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中频感应电炉熔化时产生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rPr>
              <w:t>，中频感应电炉采用顶置整罩式除尘炉盖的集尘方式，废气由风机引至</w:t>
            </w:r>
            <w:r>
              <w:rPr>
                <w:rFonts w:hint="default" w:ascii="Times New Roman" w:hAnsi="Times New Roman" w:eastAsia="宋体" w:cs="Times New Roman"/>
                <w:b w:val="0"/>
                <w:bCs w:val="0"/>
                <w:color w:val="auto"/>
                <w:kern w:val="2"/>
                <w:sz w:val="24"/>
                <w:szCs w:val="24"/>
                <w:highlight w:val="none"/>
                <w:lang w:val="en-US" w:eastAsia="zh-CN"/>
              </w:rPr>
              <w:t>配套</w:t>
            </w:r>
            <w:r>
              <w:rPr>
                <w:rFonts w:hint="default" w:ascii="Times New Roman" w:hAnsi="Times New Roman" w:eastAsia="宋体" w:cs="Times New Roman"/>
                <w:b w:val="0"/>
                <w:bCs w:val="0"/>
                <w:color w:val="auto"/>
                <w:kern w:val="2"/>
                <w:sz w:val="24"/>
                <w:szCs w:val="24"/>
                <w:highlight w:val="none"/>
              </w:rPr>
              <w:t>布袋除尘器（</w:t>
            </w:r>
            <w:r>
              <w:rPr>
                <w:rFonts w:hint="default"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2</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主要为中频炉、除尘风机运行产生时的噪声，项目采取将中频炉安装基础减震并布置在厂房内的降噪措施；除尘风机进出口设软管连接，并安装消声器；固体废物主要为炉渣</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废炉衬以及收集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eastAsia" w:ascii="Times New Roman" w:hAnsi="Times New Roman" w:eastAsia="宋体" w:cs="Times New Roman"/>
                <w:b w:val="0"/>
                <w:bCs w:val="0"/>
                <w:color w:val="auto"/>
                <w:kern w:val="2"/>
                <w:sz w:val="24"/>
                <w:szCs w:val="24"/>
                <w:highlight w:val="none"/>
                <w:lang w:eastAsia="zh-CN"/>
              </w:rPr>
              <w:t>全部</w:t>
            </w:r>
            <w:r>
              <w:rPr>
                <w:rFonts w:hint="default" w:ascii="Times New Roman" w:hAnsi="Times New Roman" w:eastAsia="宋体" w:cs="Times New Roman"/>
                <w:b w:val="0"/>
                <w:bCs w:val="0"/>
                <w:color w:val="auto"/>
                <w:kern w:val="2"/>
                <w:sz w:val="24"/>
                <w:szCs w:val="24"/>
                <w:highlight w:val="none"/>
                <w:lang w:eastAsia="zh-CN"/>
              </w:rPr>
              <w:t>外售</w:t>
            </w:r>
            <w:r>
              <w:rPr>
                <w:rFonts w:hint="default" w:ascii="Times New Roman" w:hAnsi="Times New Roman" w:eastAsia="宋体" w:cs="Times New Roman"/>
                <w:b w:val="0"/>
                <w:bCs w:val="0"/>
                <w:color w:val="auto"/>
                <w:kern w:val="2"/>
                <w:sz w:val="24"/>
                <w:szCs w:val="24"/>
                <w:highlight w:val="none"/>
              </w:rPr>
              <w:t>。</w:t>
            </w:r>
          </w:p>
          <w:p w14:paraId="0A3DF90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②</w:t>
            </w:r>
            <w:r>
              <w:rPr>
                <w:rFonts w:hint="default" w:ascii="Times New Roman" w:hAnsi="Times New Roman" w:eastAsia="宋体" w:cs="Times New Roman"/>
                <w:b w:val="0"/>
                <w:bCs w:val="0"/>
                <w:color w:val="auto"/>
                <w:kern w:val="2"/>
                <w:sz w:val="24"/>
                <w:szCs w:val="24"/>
                <w:highlight w:val="none"/>
              </w:rPr>
              <w:t>浇注</w:t>
            </w:r>
          </w:p>
          <w:p w14:paraId="7CB77FC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熔</w:t>
            </w:r>
            <w:r>
              <w:rPr>
                <w:rFonts w:hint="default" w:ascii="Times New Roman" w:hAnsi="Times New Roman" w:eastAsia="宋体" w:cs="Times New Roman"/>
                <w:color w:val="auto"/>
                <w:kern w:val="2"/>
                <w:sz w:val="24"/>
                <w:szCs w:val="24"/>
                <w:highlight w:val="none"/>
                <w:lang w:val="en-US" w:eastAsia="zh-CN"/>
              </w:rPr>
              <w:t>化</w:t>
            </w:r>
            <w:r>
              <w:rPr>
                <w:rFonts w:hint="default" w:ascii="Times New Roman" w:hAnsi="Times New Roman" w:eastAsia="宋体" w:cs="Times New Roman"/>
                <w:color w:val="auto"/>
                <w:kern w:val="2"/>
                <w:sz w:val="24"/>
                <w:szCs w:val="24"/>
                <w:highlight w:val="none"/>
              </w:rPr>
              <w:t>后将铁水倒入</w:t>
            </w:r>
            <w:r>
              <w:rPr>
                <w:rFonts w:hint="default" w:ascii="Times New Roman" w:hAnsi="Times New Roman" w:eastAsia="宋体" w:cs="Times New Roman"/>
                <w:color w:val="auto"/>
                <w:kern w:val="2"/>
                <w:sz w:val="24"/>
                <w:szCs w:val="24"/>
                <w:highlight w:val="none"/>
                <w:lang w:val="en-US" w:eastAsia="zh-CN"/>
              </w:rPr>
              <w:t>离心机</w:t>
            </w:r>
            <w:r>
              <w:rPr>
                <w:rFonts w:hint="default" w:ascii="Times New Roman" w:hAnsi="Times New Roman" w:eastAsia="宋体" w:cs="Times New Roman"/>
                <w:color w:val="auto"/>
                <w:kern w:val="2"/>
                <w:sz w:val="24"/>
                <w:szCs w:val="24"/>
                <w:highlight w:val="none"/>
              </w:rPr>
              <w:t>中进行</w:t>
            </w:r>
            <w:r>
              <w:rPr>
                <w:rFonts w:hint="default" w:ascii="Times New Roman" w:hAnsi="Times New Roman" w:eastAsia="宋体" w:cs="Times New Roman"/>
                <w:color w:val="auto"/>
                <w:kern w:val="2"/>
                <w:sz w:val="24"/>
                <w:szCs w:val="24"/>
                <w:highlight w:val="none"/>
                <w:lang w:eastAsia="zh-CN"/>
              </w:rPr>
              <w:t>浇注</w:t>
            </w:r>
            <w:r>
              <w:rPr>
                <w:rFonts w:hint="default" w:ascii="Times New Roman" w:hAnsi="Times New Roman" w:eastAsia="宋体" w:cs="Times New Roman"/>
                <w:color w:val="auto"/>
                <w:kern w:val="2"/>
                <w:sz w:val="24"/>
                <w:szCs w:val="24"/>
                <w:highlight w:val="none"/>
              </w:rPr>
              <w:t>成型。</w:t>
            </w:r>
          </w:p>
          <w:p w14:paraId="0D9BD037">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浇注</w:t>
            </w:r>
            <w:r>
              <w:rPr>
                <w:rFonts w:hint="default" w:ascii="Times New Roman" w:hAnsi="Times New Roman" w:eastAsia="宋体" w:cs="Times New Roman"/>
                <w:b w:val="0"/>
                <w:bCs w:val="0"/>
                <w:color w:val="auto"/>
                <w:kern w:val="2"/>
                <w:sz w:val="24"/>
                <w:szCs w:val="24"/>
                <w:highlight w:val="none"/>
              </w:rPr>
              <w:t>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rPr>
              <w:t>，项目在浇注工位设置侧顶吸式集气罩，废气由风机引至布袋除尘器（</w:t>
            </w:r>
            <w:r>
              <w:rPr>
                <w:rFonts w:hint="default"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rPr>
              <w:t>#）进行处理</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后</w:t>
            </w:r>
            <w:r>
              <w:rPr>
                <w:rFonts w:hint="default" w:ascii="Times New Roman" w:hAnsi="Times New Roman" w:eastAsia="宋体" w:cs="Times New Roman"/>
                <w:b w:val="0"/>
                <w:bCs w:val="0"/>
                <w:color w:val="auto"/>
                <w:kern w:val="2"/>
                <w:sz w:val="24"/>
                <w:szCs w:val="24"/>
                <w:highlight w:val="none"/>
              </w:rPr>
              <w:t>经排气筒（P</w:t>
            </w:r>
            <w:r>
              <w:rPr>
                <w:rFonts w:hint="default" w:ascii="Times New Roman" w:hAnsi="Times New Roman" w:eastAsia="宋体" w:cs="Times New Roman"/>
                <w:b w:val="0"/>
                <w:bCs w:val="0"/>
                <w:color w:val="auto"/>
                <w:kern w:val="2"/>
                <w:sz w:val="24"/>
                <w:szCs w:val="24"/>
                <w:highlight w:val="none"/>
                <w:vertAlign w:val="baseline"/>
                <w:lang w:val="en-US" w:eastAsia="zh-CN"/>
              </w:rPr>
              <w:t>2</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）排放，未捕集的废气通过车间通风无组织排放；噪声污染源为风机运行时产生的噪声，风机进出口设软管连接，并安装消声器；固体废物主要为</w:t>
            </w:r>
            <w:r>
              <w:rPr>
                <w:rFonts w:hint="default" w:ascii="Times New Roman" w:hAnsi="Times New Roman" w:eastAsia="宋体" w:cs="Times New Roman"/>
                <w:b w:val="0"/>
                <w:bCs w:val="0"/>
                <w:color w:val="auto"/>
                <w:kern w:val="2"/>
                <w:sz w:val="24"/>
                <w:szCs w:val="24"/>
                <w:highlight w:val="none"/>
                <w:lang w:val="en-US" w:eastAsia="zh-CN"/>
              </w:rPr>
              <w:t>除尘器收集尘灰，尘灰外售</w:t>
            </w:r>
            <w:r>
              <w:rPr>
                <w:rFonts w:hint="default" w:ascii="Times New Roman" w:hAnsi="Times New Roman" w:eastAsia="宋体" w:cs="Times New Roman"/>
                <w:b w:val="0"/>
                <w:bCs w:val="0"/>
                <w:color w:val="auto"/>
                <w:kern w:val="2"/>
                <w:sz w:val="24"/>
                <w:szCs w:val="24"/>
                <w:highlight w:val="none"/>
              </w:rPr>
              <w:t>。</w:t>
            </w:r>
          </w:p>
          <w:p w14:paraId="1590896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③</w:t>
            </w:r>
            <w:r>
              <w:rPr>
                <w:rFonts w:hint="default" w:ascii="Times New Roman" w:hAnsi="Times New Roman" w:eastAsia="宋体" w:cs="Times New Roman"/>
                <w:b w:val="0"/>
                <w:bCs w:val="0"/>
                <w:color w:val="auto"/>
                <w:kern w:val="2"/>
                <w:sz w:val="24"/>
                <w:szCs w:val="24"/>
                <w:highlight w:val="none"/>
              </w:rPr>
              <w:t>检</w:t>
            </w:r>
            <w:r>
              <w:rPr>
                <w:rFonts w:hint="default" w:ascii="Times New Roman" w:hAnsi="Times New Roman" w:eastAsia="宋体" w:cs="Times New Roman"/>
                <w:b w:val="0"/>
                <w:bCs w:val="0"/>
                <w:color w:val="auto"/>
                <w:kern w:val="2"/>
                <w:sz w:val="24"/>
                <w:szCs w:val="24"/>
                <w:highlight w:val="none"/>
                <w:lang w:val="en-US" w:eastAsia="zh-CN"/>
              </w:rPr>
              <w:t>查</w:t>
            </w:r>
          </w:p>
          <w:p w14:paraId="080B589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对</w:t>
            </w:r>
            <w:r>
              <w:rPr>
                <w:rFonts w:hint="default" w:ascii="Times New Roman" w:hAnsi="Times New Roman" w:eastAsia="宋体" w:cs="Times New Roman"/>
                <w:b w:val="0"/>
                <w:bCs w:val="0"/>
                <w:color w:val="auto"/>
                <w:kern w:val="2"/>
                <w:sz w:val="24"/>
                <w:szCs w:val="24"/>
                <w:highlight w:val="none"/>
                <w:lang w:val="en-US" w:eastAsia="zh-CN"/>
              </w:rPr>
              <w:t>合格产品进入热处理（淬火）工序处理，无污染物产生</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热处理后进入加工工序</w:t>
            </w:r>
            <w:r>
              <w:rPr>
                <w:rFonts w:hint="default" w:ascii="Times New Roman" w:hAnsi="Times New Roman" w:eastAsia="宋体" w:cs="Times New Roman"/>
                <w:b w:val="0"/>
                <w:bCs w:val="0"/>
                <w:color w:val="auto"/>
                <w:kern w:val="2"/>
                <w:sz w:val="24"/>
                <w:szCs w:val="24"/>
                <w:highlight w:val="none"/>
              </w:rPr>
              <w:t>，不合格产品返回</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19326B4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rPr>
              <w:t>此工序产生固废</w:t>
            </w:r>
            <w:r>
              <w:rPr>
                <w:rFonts w:hint="default" w:ascii="Times New Roman" w:hAnsi="Times New Roman" w:eastAsia="宋体" w:cs="Times New Roman"/>
                <w:b w:val="0"/>
                <w:bCs w:val="0"/>
                <w:color w:val="auto"/>
                <w:kern w:val="2"/>
                <w:sz w:val="24"/>
                <w:szCs w:val="24"/>
                <w:highlight w:val="none"/>
                <w:lang w:val="en-US" w:eastAsia="zh-CN"/>
              </w:rPr>
              <w:t>为</w:t>
            </w:r>
            <w:r>
              <w:rPr>
                <w:rFonts w:hint="default" w:ascii="Times New Roman" w:hAnsi="Times New Roman" w:eastAsia="宋体" w:cs="Times New Roman"/>
                <w:b w:val="0"/>
                <w:bCs w:val="0"/>
                <w:color w:val="auto"/>
                <w:kern w:val="2"/>
                <w:sz w:val="24"/>
                <w:szCs w:val="24"/>
                <w:highlight w:val="none"/>
              </w:rPr>
              <w:t>不合格产品，不合格产品返回至</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411EC143">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64384" behindDoc="1" locked="0" layoutInCell="1" allowOverlap="1">
                  <wp:simplePos x="0" y="0"/>
                  <wp:positionH relativeFrom="column">
                    <wp:posOffset>895350</wp:posOffset>
                  </wp:positionH>
                  <wp:positionV relativeFrom="paragraph">
                    <wp:posOffset>83820</wp:posOffset>
                  </wp:positionV>
                  <wp:extent cx="3206750" cy="1981200"/>
                  <wp:effectExtent l="0" t="0" r="1270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a:srcRect b="2885"/>
                          <a:stretch>
                            <a:fillRect/>
                          </a:stretch>
                        </pic:blipFill>
                        <pic:spPr>
                          <a:xfrm>
                            <a:off x="0" y="0"/>
                            <a:ext cx="3206750" cy="1981200"/>
                          </a:xfrm>
                          <a:prstGeom prst="rect">
                            <a:avLst/>
                          </a:prstGeom>
                          <a:noFill/>
                          <a:ln>
                            <a:noFill/>
                          </a:ln>
                        </pic:spPr>
                      </pic:pic>
                    </a:graphicData>
                  </a:graphic>
                </wp:anchor>
              </w:drawing>
            </w:r>
          </w:p>
          <w:p w14:paraId="206B9302">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3F326870">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center"/>
              <w:textAlignment w:val="auto"/>
              <w:rPr>
                <w:rFonts w:hint="default" w:ascii="Times New Roman" w:hAnsi="Times New Roman" w:eastAsia="宋体" w:cs="Times New Roman"/>
                <w:color w:val="auto"/>
                <w:kern w:val="2"/>
                <w:sz w:val="24"/>
                <w:szCs w:val="24"/>
                <w:highlight w:val="none"/>
                <w:lang w:val="en-US" w:eastAsia="zh-CN"/>
              </w:rPr>
            </w:pPr>
          </w:p>
          <w:p w14:paraId="0506734F">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1A4F4F7D">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196B9569">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3BBF1574">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424488E1">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 xml:space="preserve">图2-8  </w:t>
            </w:r>
            <w:r>
              <w:rPr>
                <w:rFonts w:hint="default" w:ascii="Times New Roman" w:hAnsi="Times New Roman" w:eastAsia="宋体" w:cs="Times New Roman"/>
                <w:b w:val="0"/>
                <w:bCs w:val="0"/>
                <w:color w:val="auto"/>
                <w:kern w:val="2"/>
                <w:sz w:val="24"/>
                <w:szCs w:val="24"/>
                <w:highlight w:val="none"/>
                <w:lang w:val="en-US" w:eastAsia="zh-CN"/>
              </w:rPr>
              <w:t>铁型铸造工艺流程及排污节点图</w:t>
            </w:r>
          </w:p>
          <w:p w14:paraId="096576D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2</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新建合金球自动化生产线</w:t>
            </w:r>
          </w:p>
          <w:p w14:paraId="6DA8F7C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新建合金球自动化生产线生产产品为合金球，采用全自动铁型覆砂工艺。</w:t>
            </w:r>
            <w:r>
              <w:rPr>
                <w:rFonts w:hint="default" w:ascii="Times New Roman" w:hAnsi="Times New Roman" w:eastAsia="宋体" w:cs="Times New Roman"/>
                <w:color w:val="auto"/>
                <w:kern w:val="2"/>
                <w:sz w:val="24"/>
                <w:szCs w:val="24"/>
                <w:highlight w:val="none"/>
                <w:lang w:val="en-US" w:eastAsia="zh-CN"/>
              </w:rPr>
              <w:t>整个铸造过程高度自动化，仅需补充铁水及覆膜砂。包括模具准备、造型覆砂、合箱、浇注、冷却开箱、铁型清砂等工序。</w:t>
            </w:r>
          </w:p>
          <w:p w14:paraId="2ED194CF">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模具准备：将模具与底座连接固定好，将模具与底座固定在升降机工作平台上，使用前需对模具进行电加热到设计温度。</w:t>
            </w:r>
          </w:p>
          <w:p w14:paraId="1E21F21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造型覆砂：模具行至射砂机处，射砂机对模具进行覆砂，覆膜砂采用外购成品酚醛树脂覆膜砂，覆砂厚度根据产品确定。</w:t>
            </w:r>
          </w:p>
          <w:p w14:paraId="01AE62A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合箱：翻转铁型，上、下铁箱推移至合箱机处合箱。</w:t>
            </w:r>
          </w:p>
          <w:p w14:paraId="596A10E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浇注：铁液通过浇包进行浇注，注入</w:t>
            </w:r>
            <w:r>
              <w:rPr>
                <w:rFonts w:hint="default" w:ascii="Times New Roman" w:hAnsi="Times New Roman" w:eastAsia="宋体" w:cs="Times New Roman"/>
                <w:b w:val="0"/>
                <w:bCs w:val="0"/>
                <w:color w:val="auto"/>
                <w:kern w:val="2"/>
                <w:sz w:val="24"/>
                <w:szCs w:val="24"/>
                <w:highlight w:val="none"/>
                <w:lang w:val="en-US" w:eastAsia="zh-CN"/>
              </w:rPr>
              <w:t>铁型。</w:t>
            </w:r>
          </w:p>
          <w:p w14:paraId="0A3ED8B0">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冷却开箱：浇注完成后</w:t>
            </w:r>
            <w:r>
              <w:rPr>
                <w:rFonts w:hint="default" w:ascii="Times New Roman" w:hAnsi="Times New Roman" w:eastAsia="宋体" w:cs="Times New Roman"/>
                <w:color w:val="auto"/>
                <w:kern w:val="2"/>
                <w:sz w:val="24"/>
                <w:szCs w:val="24"/>
                <w:highlight w:val="none"/>
                <w:lang w:val="en-US" w:eastAsia="zh-CN"/>
              </w:rPr>
              <w:t>按照工艺规定要求，冷却到一定温度时，</w:t>
            </w:r>
            <w:r>
              <w:rPr>
                <w:rFonts w:hint="default" w:ascii="Times New Roman" w:hAnsi="Times New Roman" w:eastAsia="宋体" w:cs="Times New Roman"/>
                <w:b w:val="0"/>
                <w:bCs w:val="0"/>
                <w:color w:val="auto"/>
                <w:kern w:val="2"/>
                <w:sz w:val="24"/>
                <w:szCs w:val="24"/>
                <w:highlight w:val="none"/>
                <w:lang w:val="en-US" w:eastAsia="zh-CN"/>
              </w:rPr>
              <w:t>开箱翻转取出</w:t>
            </w:r>
            <w:r>
              <w:rPr>
                <w:rFonts w:hint="default" w:ascii="Times New Roman" w:hAnsi="Times New Roman" w:eastAsia="宋体" w:cs="Times New Roman"/>
                <w:color w:val="auto"/>
                <w:kern w:val="2"/>
                <w:sz w:val="24"/>
                <w:szCs w:val="24"/>
                <w:highlight w:val="none"/>
                <w:lang w:val="en-US" w:eastAsia="zh-CN"/>
              </w:rPr>
              <w:t>合金球，</w:t>
            </w:r>
            <w:r>
              <w:rPr>
                <w:rFonts w:hint="default" w:ascii="Times New Roman" w:hAnsi="Times New Roman" w:eastAsia="宋体" w:cs="Times New Roman"/>
                <w:color w:val="auto"/>
                <w:kern w:val="2"/>
                <w:sz w:val="24"/>
                <w:szCs w:val="24"/>
                <w:highlight w:val="none"/>
              </w:rPr>
              <w:t>经检验合格的产品</w:t>
            </w:r>
            <w:r>
              <w:rPr>
                <w:rFonts w:hint="default" w:ascii="Times New Roman" w:hAnsi="Times New Roman" w:eastAsia="宋体" w:cs="Times New Roman"/>
                <w:color w:val="auto"/>
                <w:kern w:val="2"/>
                <w:sz w:val="24"/>
                <w:szCs w:val="24"/>
                <w:highlight w:val="none"/>
                <w:lang w:val="en-US" w:eastAsia="zh-CN"/>
              </w:rPr>
              <w:t>送至热处理工部，热处理后进行加工，不合格产品返回熔化工序，旧砂送入树脂砂处理系统。</w:t>
            </w:r>
          </w:p>
          <w:p w14:paraId="745921A9">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铁型清砂：将落砂后的铁型推移至清理工序，清理箱内的残余废砂，射砂孔内不允许有残余废砂，铁型覆砂面处打磨干净，平整，准备下一次覆砂。</w:t>
            </w:r>
          </w:p>
          <w:p w14:paraId="464B2AD2">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以上工序均在自动化生产线内完成，产生一定量的废气及噪声，具体分析如下：</w:t>
            </w:r>
          </w:p>
          <w:p w14:paraId="18FECBE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①</w:t>
            </w:r>
            <w:r>
              <w:rPr>
                <w:rFonts w:hint="default" w:ascii="Times New Roman" w:hAnsi="Times New Roman" w:eastAsia="宋体" w:cs="Times New Roman"/>
                <w:b w:val="0"/>
                <w:bCs w:val="0"/>
                <w:color w:val="auto"/>
                <w:kern w:val="2"/>
                <w:sz w:val="24"/>
                <w:szCs w:val="24"/>
                <w:highlight w:val="none"/>
              </w:rPr>
              <w:t>熔</w:t>
            </w:r>
            <w:r>
              <w:rPr>
                <w:rFonts w:hint="default" w:ascii="Times New Roman" w:hAnsi="Times New Roman" w:eastAsia="宋体" w:cs="Times New Roman"/>
                <w:b w:val="0"/>
                <w:bCs w:val="0"/>
                <w:color w:val="auto"/>
                <w:kern w:val="2"/>
                <w:sz w:val="24"/>
                <w:szCs w:val="24"/>
                <w:highlight w:val="none"/>
                <w:lang w:val="en-US" w:eastAsia="zh-CN"/>
              </w:rPr>
              <w:t>化</w:t>
            </w:r>
          </w:p>
          <w:p w14:paraId="4C674CD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废钢（或硅铁、锰铁）经加料车加入到电炉中，进行熔</w:t>
            </w:r>
            <w:r>
              <w:rPr>
                <w:rFonts w:hint="default" w:ascii="Times New Roman" w:hAnsi="Times New Roman" w:eastAsia="宋体" w:cs="Times New Roman"/>
                <w:b w:val="0"/>
                <w:bCs w:val="0"/>
                <w:color w:val="auto"/>
                <w:kern w:val="2"/>
                <w:sz w:val="24"/>
                <w:szCs w:val="24"/>
                <w:highlight w:val="none"/>
                <w:lang w:val="en-US" w:eastAsia="zh-CN"/>
              </w:rPr>
              <w:t>化</w:t>
            </w:r>
            <w:r>
              <w:rPr>
                <w:rFonts w:hint="default" w:ascii="Times New Roman" w:hAnsi="Times New Roman" w:eastAsia="宋体" w:cs="Times New Roman"/>
                <w:b w:val="0"/>
                <w:bCs w:val="0"/>
                <w:color w:val="auto"/>
                <w:kern w:val="2"/>
                <w:sz w:val="24"/>
                <w:szCs w:val="24"/>
                <w:highlight w:val="none"/>
              </w:rPr>
              <w:t>，本工序</w:t>
            </w:r>
            <w:r>
              <w:rPr>
                <w:rFonts w:hint="default" w:ascii="Times New Roman" w:hAnsi="Times New Roman" w:eastAsia="宋体" w:cs="Times New Roman"/>
                <w:b w:val="0"/>
                <w:bCs w:val="0"/>
                <w:color w:val="auto"/>
                <w:kern w:val="2"/>
                <w:sz w:val="24"/>
                <w:szCs w:val="24"/>
                <w:highlight w:val="none"/>
                <w:lang w:val="en-US" w:eastAsia="zh-CN"/>
              </w:rPr>
              <w:t>设置2</w:t>
            </w:r>
            <w:r>
              <w:rPr>
                <w:rFonts w:hint="default" w:ascii="Times New Roman" w:hAnsi="Times New Roman" w:eastAsia="宋体" w:cs="Times New Roman"/>
                <w:b w:val="0"/>
                <w:bCs w:val="0"/>
                <w:color w:val="auto"/>
                <w:kern w:val="2"/>
                <w:sz w:val="24"/>
                <w:szCs w:val="24"/>
                <w:highlight w:val="none"/>
              </w:rPr>
              <w:t>台</w:t>
            </w:r>
            <w:r>
              <w:rPr>
                <w:rFonts w:hint="default" w:ascii="Times New Roman" w:hAnsi="Times New Roman" w:eastAsia="宋体" w:cs="Times New Roman"/>
                <w:b w:val="0"/>
                <w:bCs w:val="0"/>
                <w:color w:val="auto"/>
                <w:kern w:val="2"/>
                <w:sz w:val="24"/>
                <w:szCs w:val="24"/>
                <w:highlight w:val="none"/>
                <w:lang w:val="en-US" w:eastAsia="zh-CN"/>
              </w:rPr>
              <w:t>1.2t</w:t>
            </w:r>
            <w:r>
              <w:rPr>
                <w:rFonts w:hint="default" w:ascii="Times New Roman" w:hAnsi="Times New Roman" w:eastAsia="宋体" w:cs="Times New Roman"/>
                <w:b w:val="0"/>
                <w:bCs w:val="0"/>
                <w:color w:val="auto"/>
                <w:kern w:val="2"/>
                <w:sz w:val="24"/>
                <w:szCs w:val="24"/>
                <w:highlight w:val="none"/>
              </w:rPr>
              <w:t>中频感应电炉。</w:t>
            </w:r>
          </w:p>
          <w:p w14:paraId="0D4E819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中频感应电炉熔化时产生</w:t>
            </w:r>
            <w:r>
              <w:rPr>
                <w:rFonts w:hint="default" w:ascii="Times New Roman" w:hAnsi="Times New Roman" w:eastAsia="宋体" w:cs="Times New Roman"/>
                <w:b w:val="0"/>
                <w:bCs w:val="0"/>
                <w:color w:val="auto"/>
                <w:kern w:val="2"/>
                <w:sz w:val="24"/>
                <w:szCs w:val="24"/>
                <w:highlight w:val="none"/>
                <w:lang w:eastAsia="zh-CN"/>
              </w:rPr>
              <w:t>废气</w:t>
            </w:r>
            <w:r>
              <w:rPr>
                <w:rFonts w:hint="default" w:ascii="Times New Roman" w:hAnsi="Times New Roman" w:eastAsia="宋体" w:cs="Times New Roman"/>
                <w:b w:val="0"/>
                <w:bCs w:val="0"/>
                <w:color w:val="auto"/>
                <w:kern w:val="2"/>
                <w:sz w:val="24"/>
                <w:szCs w:val="24"/>
                <w:highlight w:val="none"/>
              </w:rPr>
              <w:t>，中频感应电炉采用顶置整罩式除尘炉盖的集尘方式，废气由风机引至</w:t>
            </w:r>
            <w:r>
              <w:rPr>
                <w:rFonts w:hint="default" w:ascii="Times New Roman" w:hAnsi="Times New Roman" w:eastAsia="宋体" w:cs="Times New Roman"/>
                <w:b w:val="0"/>
                <w:bCs w:val="0"/>
                <w:color w:val="auto"/>
                <w:kern w:val="2"/>
                <w:sz w:val="24"/>
                <w:szCs w:val="24"/>
                <w:highlight w:val="none"/>
                <w:lang w:val="en-US" w:eastAsia="zh-CN"/>
              </w:rPr>
              <w:t>配套</w:t>
            </w:r>
            <w:r>
              <w:rPr>
                <w:rFonts w:hint="default" w:ascii="Times New Roman" w:hAnsi="Times New Roman" w:eastAsia="宋体" w:cs="Times New Roman"/>
                <w:b w:val="0"/>
                <w:bCs w:val="0"/>
                <w:color w:val="auto"/>
                <w:kern w:val="2"/>
                <w:sz w:val="24"/>
                <w:szCs w:val="24"/>
                <w:highlight w:val="none"/>
              </w:rPr>
              <w:t>布袋除尘器（</w:t>
            </w:r>
            <w:r>
              <w:rPr>
                <w:rFonts w:hint="default" w:ascii="Times New Roman" w:hAnsi="Times New Roman" w:eastAsia="宋体" w:cs="Times New Roman"/>
                <w:b w:val="0"/>
                <w:bCs w:val="0"/>
                <w:color w:val="auto"/>
                <w:kern w:val="2"/>
                <w:sz w:val="24"/>
                <w:szCs w:val="24"/>
                <w:highlight w:val="none"/>
                <w:lang w:val="en-US" w:eastAsia="zh-CN"/>
              </w:rPr>
              <w:t>3</w:t>
            </w:r>
            <w:r>
              <w:rPr>
                <w:rFonts w:hint="default" w:ascii="Times New Roman" w:hAnsi="Times New Roman" w:eastAsia="宋体" w:cs="Times New Roman"/>
                <w:b w:val="0"/>
                <w:bCs w:val="0"/>
                <w:color w:val="auto"/>
                <w:kern w:val="2"/>
                <w:sz w:val="24"/>
                <w:szCs w:val="24"/>
                <w:highlight w:val="none"/>
              </w:rPr>
              <w:t>#）进行处理后经排气筒（P</w:t>
            </w:r>
            <w:r>
              <w:rPr>
                <w:rFonts w:hint="default" w:ascii="Times New Roman" w:hAnsi="Times New Roman" w:eastAsia="宋体" w:cs="Times New Roman"/>
                <w:b w:val="0"/>
                <w:bCs w:val="0"/>
                <w:color w:val="auto"/>
                <w:kern w:val="2"/>
                <w:sz w:val="24"/>
                <w:szCs w:val="24"/>
                <w:highlight w:val="none"/>
                <w:vertAlign w:val="baseline"/>
                <w:lang w:val="en-US" w:eastAsia="zh-CN"/>
              </w:rPr>
              <w:t>3</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主要为中频炉、除尘风机运行产生时的噪声，项目采取将中频炉安装基础减震并布置在厂房内的降噪措施；除尘风机进出口设软管连接，并安装消声器；固体废物主要为炉渣</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废炉衬以及收集</w:t>
            </w:r>
            <w:r>
              <w:rPr>
                <w:rFonts w:hint="default" w:ascii="Times New Roman" w:hAnsi="Times New Roman" w:eastAsia="宋体" w:cs="Times New Roman"/>
                <w:b w:val="0"/>
                <w:bCs w:val="0"/>
                <w:color w:val="auto"/>
                <w:kern w:val="2"/>
                <w:sz w:val="24"/>
                <w:szCs w:val="24"/>
                <w:highlight w:val="none"/>
                <w:lang w:val="en-US" w:eastAsia="zh-CN"/>
              </w:rPr>
              <w:t>尘灰</w:t>
            </w:r>
            <w:r>
              <w:rPr>
                <w:rFonts w:hint="default" w:ascii="Times New Roman" w:hAnsi="Times New Roman" w:eastAsia="宋体" w:cs="Times New Roman"/>
                <w:b w:val="0"/>
                <w:bCs w:val="0"/>
                <w:color w:val="auto"/>
                <w:kern w:val="2"/>
                <w:sz w:val="24"/>
                <w:szCs w:val="24"/>
                <w:highlight w:val="none"/>
              </w:rPr>
              <w:t>，</w:t>
            </w:r>
            <w:r>
              <w:rPr>
                <w:rFonts w:hint="eastAsia" w:ascii="Times New Roman" w:hAnsi="Times New Roman" w:eastAsia="宋体" w:cs="Times New Roman"/>
                <w:b w:val="0"/>
                <w:bCs w:val="0"/>
                <w:color w:val="auto"/>
                <w:kern w:val="2"/>
                <w:sz w:val="24"/>
                <w:szCs w:val="24"/>
                <w:highlight w:val="none"/>
                <w:lang w:eastAsia="zh-CN"/>
              </w:rPr>
              <w:t>全部</w:t>
            </w:r>
            <w:r>
              <w:rPr>
                <w:rFonts w:hint="default" w:ascii="Times New Roman" w:hAnsi="Times New Roman" w:eastAsia="宋体" w:cs="Times New Roman"/>
                <w:b w:val="0"/>
                <w:bCs w:val="0"/>
                <w:color w:val="auto"/>
                <w:kern w:val="2"/>
                <w:sz w:val="24"/>
                <w:szCs w:val="24"/>
                <w:highlight w:val="none"/>
                <w:lang w:eastAsia="zh-CN"/>
              </w:rPr>
              <w:t>外售</w:t>
            </w:r>
            <w:r>
              <w:rPr>
                <w:rFonts w:hint="default" w:ascii="Times New Roman" w:hAnsi="Times New Roman" w:eastAsia="宋体" w:cs="Times New Roman"/>
                <w:b w:val="0"/>
                <w:bCs w:val="0"/>
                <w:color w:val="auto"/>
                <w:kern w:val="2"/>
                <w:sz w:val="24"/>
                <w:szCs w:val="24"/>
                <w:highlight w:val="none"/>
              </w:rPr>
              <w:t>。</w:t>
            </w:r>
          </w:p>
          <w:p w14:paraId="2F9BDFB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②</w:t>
            </w:r>
            <w:r>
              <w:rPr>
                <w:rFonts w:hint="default" w:ascii="Times New Roman" w:hAnsi="Times New Roman" w:eastAsia="宋体" w:cs="Times New Roman"/>
                <w:b w:val="0"/>
                <w:bCs w:val="0"/>
                <w:color w:val="auto"/>
                <w:kern w:val="2"/>
                <w:sz w:val="24"/>
                <w:szCs w:val="24"/>
                <w:highlight w:val="none"/>
                <w:lang w:val="en-US" w:eastAsia="zh-CN"/>
              </w:rPr>
              <w:t>自动化生产线</w:t>
            </w:r>
          </w:p>
          <w:p w14:paraId="236763B8">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覆砂、</w:t>
            </w:r>
            <w:r>
              <w:rPr>
                <w:rFonts w:hint="default" w:ascii="Times New Roman" w:hAnsi="Times New Roman" w:eastAsia="宋体" w:cs="Times New Roman"/>
                <w:b w:val="0"/>
                <w:bCs w:val="0"/>
                <w:color w:val="auto"/>
                <w:kern w:val="2"/>
                <w:sz w:val="24"/>
                <w:szCs w:val="24"/>
                <w:highlight w:val="none"/>
              </w:rPr>
              <w:t>浇注</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铁型清理均在自动化生产线内完成。自动化生产过程大气污染物主要为覆砂过程、浇注过程产生的颗粒物和挥发性有机物，以及铁型清理过程产生的颗粒物</w:t>
            </w:r>
            <w:r>
              <w:rPr>
                <w:rFonts w:hint="default" w:ascii="Times New Roman" w:hAnsi="Times New Roman" w:eastAsia="宋体" w:cs="Times New Roman"/>
                <w:b w:val="0"/>
                <w:bCs w:val="0"/>
                <w:color w:val="auto"/>
                <w:kern w:val="2"/>
                <w:sz w:val="24"/>
                <w:szCs w:val="24"/>
                <w:highlight w:val="none"/>
                <w:lang w:eastAsia="zh-CN"/>
              </w:rPr>
              <w:t>G</w:t>
            </w:r>
            <w:r>
              <w:rPr>
                <w:rFonts w:hint="default" w:ascii="Times New Roman" w:hAnsi="Times New Roman" w:eastAsia="宋体" w:cs="Times New Roman"/>
                <w:b w:val="0"/>
                <w:bCs w:val="0"/>
                <w:color w:val="auto"/>
                <w:kern w:val="2"/>
                <w:sz w:val="24"/>
                <w:szCs w:val="24"/>
                <w:highlight w:val="none"/>
                <w:lang w:val="en-US" w:eastAsia="zh-CN"/>
              </w:rPr>
              <w:t>7</w:t>
            </w:r>
            <w:r>
              <w:rPr>
                <w:rFonts w:hint="default" w:ascii="Times New Roman" w:hAnsi="Times New Roman" w:eastAsia="宋体" w:cs="Times New Roman"/>
                <w:b w:val="0"/>
                <w:bCs w:val="0"/>
                <w:color w:val="auto"/>
                <w:kern w:val="2"/>
                <w:sz w:val="24"/>
                <w:szCs w:val="24"/>
                <w:highlight w:val="none"/>
              </w:rPr>
              <w:t>，项目在</w:t>
            </w:r>
            <w:r>
              <w:rPr>
                <w:rFonts w:hint="default" w:ascii="Times New Roman" w:hAnsi="Times New Roman" w:eastAsia="宋体" w:cs="Times New Roman"/>
                <w:b w:val="0"/>
                <w:bCs w:val="0"/>
                <w:color w:val="auto"/>
                <w:kern w:val="2"/>
                <w:sz w:val="24"/>
                <w:szCs w:val="24"/>
                <w:highlight w:val="none"/>
                <w:lang w:val="en-US" w:eastAsia="zh-CN"/>
              </w:rPr>
              <w:t>自动化生产线上产生大气污染物</w:t>
            </w:r>
            <w:r>
              <w:rPr>
                <w:rFonts w:hint="default" w:ascii="Times New Roman" w:hAnsi="Times New Roman" w:eastAsia="宋体" w:cs="Times New Roman"/>
                <w:b w:val="0"/>
                <w:bCs w:val="0"/>
                <w:color w:val="auto"/>
                <w:kern w:val="2"/>
                <w:sz w:val="24"/>
                <w:szCs w:val="24"/>
                <w:highlight w:val="none"/>
              </w:rPr>
              <w:t>工位</w:t>
            </w:r>
            <w:r>
              <w:rPr>
                <w:rFonts w:hint="default" w:ascii="Times New Roman" w:hAnsi="Times New Roman" w:eastAsia="宋体" w:cs="Times New Roman"/>
                <w:b w:val="0"/>
                <w:bCs w:val="0"/>
                <w:color w:val="auto"/>
                <w:kern w:val="2"/>
                <w:sz w:val="24"/>
                <w:szCs w:val="24"/>
                <w:highlight w:val="none"/>
                <w:lang w:val="en-US" w:eastAsia="zh-CN"/>
              </w:rPr>
              <w:t>均</w:t>
            </w:r>
            <w:r>
              <w:rPr>
                <w:rFonts w:hint="default" w:ascii="Times New Roman" w:hAnsi="Times New Roman" w:eastAsia="宋体" w:cs="Times New Roman"/>
                <w:b w:val="0"/>
                <w:bCs w:val="0"/>
                <w:color w:val="auto"/>
                <w:kern w:val="2"/>
                <w:sz w:val="24"/>
                <w:szCs w:val="24"/>
                <w:highlight w:val="none"/>
              </w:rPr>
              <w:t>设置侧顶吸式集气罩，废气由风机引至布袋除尘器（</w:t>
            </w:r>
            <w:r>
              <w:rPr>
                <w:rFonts w:hint="default" w:ascii="Times New Roman" w:hAnsi="Times New Roman" w:eastAsia="宋体" w:cs="Times New Roman"/>
                <w:b w:val="0"/>
                <w:bCs w:val="0"/>
                <w:color w:val="auto"/>
                <w:kern w:val="2"/>
                <w:sz w:val="24"/>
                <w:szCs w:val="24"/>
                <w:highlight w:val="none"/>
                <w:lang w:val="en-US" w:eastAsia="zh-CN"/>
              </w:rPr>
              <w:t>4</w:t>
            </w:r>
            <w:r>
              <w:rPr>
                <w:rFonts w:hint="default" w:ascii="Times New Roman" w:hAnsi="Times New Roman" w:eastAsia="宋体" w:cs="Times New Roman"/>
                <w:b w:val="0"/>
                <w:bCs w:val="0"/>
                <w:color w:val="auto"/>
                <w:kern w:val="2"/>
                <w:sz w:val="24"/>
                <w:szCs w:val="24"/>
                <w:highlight w:val="none"/>
              </w:rPr>
              <w:t>#）进行处理</w:t>
            </w:r>
            <w:r>
              <w:rPr>
                <w:rFonts w:hint="default" w:ascii="Times New Roman" w:hAnsi="Times New Roman" w:eastAsia="宋体"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rPr>
              <w:t>后</w:t>
            </w:r>
            <w:r>
              <w:rPr>
                <w:rFonts w:hint="default" w:ascii="Times New Roman" w:hAnsi="Times New Roman" w:eastAsia="宋体" w:cs="Times New Roman"/>
                <w:b w:val="0"/>
                <w:bCs w:val="0"/>
                <w:color w:val="auto"/>
                <w:kern w:val="2"/>
                <w:sz w:val="24"/>
                <w:szCs w:val="24"/>
                <w:highlight w:val="none"/>
              </w:rPr>
              <w:t>经排气筒（P</w:t>
            </w:r>
            <w:r>
              <w:rPr>
                <w:rFonts w:hint="default" w:ascii="Times New Roman" w:hAnsi="Times New Roman" w:eastAsia="宋体" w:cs="Times New Roman"/>
                <w:b w:val="0"/>
                <w:bCs w:val="0"/>
                <w:color w:val="auto"/>
                <w:kern w:val="2"/>
                <w:sz w:val="24"/>
                <w:szCs w:val="24"/>
                <w:highlight w:val="none"/>
                <w:vertAlign w:val="baseline"/>
                <w:lang w:val="en-US" w:eastAsia="zh-CN"/>
              </w:rPr>
              <w:t>4</w:t>
            </w:r>
            <w:r>
              <w:rPr>
                <w:rFonts w:hint="default" w:ascii="Times New Roman" w:hAnsi="Times New Roman" w:eastAsia="宋体" w:cs="Times New Roman"/>
                <w:b w:val="0"/>
                <w:bCs w:val="0"/>
                <w:color w:val="auto"/>
                <w:kern w:val="2"/>
                <w:sz w:val="24"/>
                <w:szCs w:val="24"/>
                <w:highlight w:val="none"/>
              </w:rPr>
              <w:t>）排放，未捕集的废气通过车间通风无组织排放；噪声污染源为风机运行时产生的噪声，风机进出口设软管连接，并安装消声器；固体废物主要为</w:t>
            </w:r>
            <w:r>
              <w:rPr>
                <w:rFonts w:hint="default" w:ascii="Times New Roman" w:hAnsi="Times New Roman" w:eastAsia="宋体" w:cs="Times New Roman"/>
                <w:b w:val="0"/>
                <w:bCs w:val="0"/>
                <w:color w:val="auto"/>
                <w:kern w:val="2"/>
                <w:sz w:val="24"/>
                <w:szCs w:val="24"/>
                <w:highlight w:val="none"/>
                <w:lang w:val="en-US" w:eastAsia="zh-CN"/>
              </w:rPr>
              <w:t>废砂和除尘器收集尘灰，尘灰外售，废砂外售</w:t>
            </w:r>
            <w:r>
              <w:rPr>
                <w:rFonts w:hint="default" w:ascii="Times New Roman" w:hAnsi="Times New Roman" w:eastAsia="宋体" w:cs="Times New Roman"/>
                <w:b w:val="0"/>
                <w:bCs w:val="0"/>
                <w:color w:val="auto"/>
                <w:kern w:val="2"/>
                <w:sz w:val="24"/>
                <w:szCs w:val="24"/>
                <w:highlight w:val="none"/>
              </w:rPr>
              <w:t>。</w:t>
            </w:r>
          </w:p>
          <w:p w14:paraId="3ACC15DF">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③</w:t>
            </w:r>
            <w:r>
              <w:rPr>
                <w:rFonts w:hint="default" w:ascii="Times New Roman" w:hAnsi="Times New Roman" w:eastAsia="宋体" w:cs="Times New Roman"/>
                <w:b w:val="0"/>
                <w:bCs w:val="0"/>
                <w:color w:val="auto"/>
                <w:kern w:val="2"/>
                <w:sz w:val="24"/>
                <w:szCs w:val="24"/>
                <w:highlight w:val="none"/>
              </w:rPr>
              <w:t>检</w:t>
            </w:r>
            <w:r>
              <w:rPr>
                <w:rFonts w:hint="default" w:ascii="Times New Roman" w:hAnsi="Times New Roman" w:eastAsia="宋体" w:cs="Times New Roman"/>
                <w:b w:val="0"/>
                <w:bCs w:val="0"/>
                <w:color w:val="auto"/>
                <w:kern w:val="2"/>
                <w:sz w:val="24"/>
                <w:szCs w:val="24"/>
                <w:highlight w:val="none"/>
                <w:lang w:val="en-US" w:eastAsia="zh-CN"/>
              </w:rPr>
              <w:t>查</w:t>
            </w:r>
          </w:p>
          <w:p w14:paraId="41CF667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对</w:t>
            </w:r>
            <w:r>
              <w:rPr>
                <w:rFonts w:hint="default" w:ascii="Times New Roman" w:hAnsi="Times New Roman" w:eastAsia="宋体" w:cs="Times New Roman"/>
                <w:b w:val="0"/>
                <w:bCs w:val="0"/>
                <w:color w:val="auto"/>
                <w:kern w:val="2"/>
                <w:sz w:val="24"/>
                <w:szCs w:val="24"/>
                <w:highlight w:val="none"/>
                <w:lang w:val="en-US" w:eastAsia="zh-CN"/>
              </w:rPr>
              <w:t>合格产品进入热处理（淬火）工序处理，无污染物产生</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热处理后进入加工工序</w:t>
            </w:r>
            <w:r>
              <w:rPr>
                <w:rFonts w:hint="default" w:ascii="Times New Roman" w:hAnsi="Times New Roman" w:eastAsia="宋体" w:cs="Times New Roman"/>
                <w:b w:val="0"/>
                <w:bCs w:val="0"/>
                <w:color w:val="auto"/>
                <w:kern w:val="2"/>
                <w:sz w:val="24"/>
                <w:szCs w:val="24"/>
                <w:highlight w:val="none"/>
              </w:rPr>
              <w:t>，不合格产品返回</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11B160B1">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rPr>
              <w:t>此工序产生固废</w:t>
            </w:r>
            <w:r>
              <w:rPr>
                <w:rFonts w:hint="default" w:ascii="Times New Roman" w:hAnsi="Times New Roman" w:eastAsia="宋体" w:cs="Times New Roman"/>
                <w:b w:val="0"/>
                <w:bCs w:val="0"/>
                <w:color w:val="auto"/>
                <w:kern w:val="2"/>
                <w:sz w:val="24"/>
                <w:szCs w:val="24"/>
                <w:highlight w:val="none"/>
                <w:lang w:val="en-US" w:eastAsia="zh-CN"/>
              </w:rPr>
              <w:t>为</w:t>
            </w:r>
            <w:r>
              <w:rPr>
                <w:rFonts w:hint="default" w:ascii="Times New Roman" w:hAnsi="Times New Roman" w:eastAsia="宋体" w:cs="Times New Roman"/>
                <w:b w:val="0"/>
                <w:bCs w:val="0"/>
                <w:color w:val="auto"/>
                <w:kern w:val="2"/>
                <w:sz w:val="24"/>
                <w:szCs w:val="24"/>
                <w:highlight w:val="none"/>
              </w:rPr>
              <w:t>不合格产品，不合格产品返回至</w:t>
            </w:r>
            <w:r>
              <w:rPr>
                <w:rFonts w:hint="default" w:ascii="Times New Roman" w:hAnsi="Times New Roman" w:eastAsia="宋体" w:cs="Times New Roman"/>
                <w:b w:val="0"/>
                <w:bCs w:val="0"/>
                <w:color w:val="auto"/>
                <w:kern w:val="2"/>
                <w:sz w:val="24"/>
                <w:szCs w:val="24"/>
                <w:highlight w:val="none"/>
                <w:lang w:eastAsia="zh-CN"/>
              </w:rPr>
              <w:t>熔化</w:t>
            </w:r>
            <w:r>
              <w:rPr>
                <w:rFonts w:hint="default" w:ascii="Times New Roman" w:hAnsi="Times New Roman" w:eastAsia="宋体" w:cs="Times New Roman"/>
                <w:b w:val="0"/>
                <w:bCs w:val="0"/>
                <w:color w:val="auto"/>
                <w:kern w:val="2"/>
                <w:sz w:val="24"/>
                <w:szCs w:val="24"/>
                <w:highlight w:val="none"/>
              </w:rPr>
              <w:t>炉。</w:t>
            </w:r>
          </w:p>
          <w:p w14:paraId="5E5DA72E">
            <w:pPr>
              <w:pStyle w:val="2"/>
              <w:ind w:left="0" w:leftChars="0" w:firstLine="0" w:firstLineChars="0"/>
              <w:rPr>
                <w:rFonts w:hint="default"/>
                <w:color w:val="auto"/>
                <w:highlight w:val="none"/>
                <w:lang w:val="en-US" w:eastAsia="zh-CN"/>
              </w:rPr>
            </w:pPr>
          </w:p>
          <w:p w14:paraId="57C3869F">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97152" behindDoc="0" locked="0" layoutInCell="1" allowOverlap="1">
                  <wp:simplePos x="0" y="0"/>
                  <wp:positionH relativeFrom="column">
                    <wp:posOffset>1379855</wp:posOffset>
                  </wp:positionH>
                  <wp:positionV relativeFrom="paragraph">
                    <wp:posOffset>36195</wp:posOffset>
                  </wp:positionV>
                  <wp:extent cx="2354580" cy="2466975"/>
                  <wp:effectExtent l="0" t="0" r="7620" b="9525"/>
                  <wp:wrapNone/>
                  <wp:docPr id="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1"/>
                          <pic:cNvPicPr>
                            <a:picLocks noChangeAspect="1"/>
                          </pic:cNvPicPr>
                        </pic:nvPicPr>
                        <pic:blipFill>
                          <a:blip r:embed="rId16"/>
                          <a:stretch>
                            <a:fillRect/>
                          </a:stretch>
                        </pic:blipFill>
                        <pic:spPr>
                          <a:xfrm>
                            <a:off x="0" y="0"/>
                            <a:ext cx="2354580" cy="2466975"/>
                          </a:xfrm>
                          <a:prstGeom prst="rect">
                            <a:avLst/>
                          </a:prstGeom>
                          <a:noFill/>
                          <a:ln>
                            <a:noFill/>
                          </a:ln>
                        </pic:spPr>
                      </pic:pic>
                    </a:graphicData>
                  </a:graphic>
                </wp:anchor>
              </w:drawing>
            </w:r>
          </w:p>
          <w:p w14:paraId="71613847">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52275C05">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2895E82A">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474DE356">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2809B569">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6E2050E6">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02FDB414">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p>
          <w:p w14:paraId="60192C3E">
            <w:pPr>
              <w:pStyle w:val="2"/>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 xml:space="preserve">图2-9  </w:t>
            </w:r>
            <w:r>
              <w:rPr>
                <w:rFonts w:hint="default" w:ascii="Times New Roman" w:hAnsi="Times New Roman" w:eastAsia="宋体" w:cs="Times New Roman"/>
                <w:b w:val="0"/>
                <w:bCs w:val="0"/>
                <w:color w:val="auto"/>
                <w:kern w:val="2"/>
                <w:sz w:val="24"/>
                <w:szCs w:val="24"/>
                <w:highlight w:val="none"/>
                <w:lang w:val="en-US" w:eastAsia="zh-CN"/>
              </w:rPr>
              <w:t>覆膜砂铸造工艺流程及排污节点图</w:t>
            </w:r>
          </w:p>
          <w:p w14:paraId="55112F98">
            <w:pPr>
              <w:pStyle w:val="7"/>
              <w:keepNext w:val="0"/>
              <w:keepLines w:val="0"/>
              <w:pageBreakBefore w:val="0"/>
              <w:widowControl w:val="0"/>
              <w:kinsoku/>
              <w:wordWrap/>
              <w:overflowPunct/>
              <w:topLinePunct w:val="0"/>
              <w:autoSpaceDE/>
              <w:autoSpaceDN/>
              <w:bidi w:val="0"/>
              <w:adjustRightInd/>
              <w:snapToGrid/>
              <w:spacing w:line="480" w:lineRule="exact"/>
              <w:ind w:left="0" w:firstLine="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rPr>
              <w:t>3.</w:t>
            </w:r>
            <w:r>
              <w:rPr>
                <w:rFonts w:hint="default" w:ascii="Times New Roman" w:hAnsi="Times New Roman" w:eastAsia="宋体" w:cs="Times New Roman"/>
                <w:b w:val="0"/>
                <w:bCs w:val="0"/>
                <w:color w:val="auto"/>
                <w:kern w:val="2"/>
                <w:sz w:val="24"/>
                <w:szCs w:val="24"/>
                <w:highlight w:val="none"/>
                <w:lang w:val="en-US" w:eastAsia="zh-CN"/>
              </w:rPr>
              <w:t>铸件加工</w:t>
            </w:r>
          </w:p>
          <w:p w14:paraId="469D2C6A">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抛丸：</w:t>
            </w:r>
            <w:r>
              <w:rPr>
                <w:rFonts w:hint="default" w:ascii="Times New Roman" w:hAnsi="Times New Roman" w:eastAsia="宋体" w:cs="Times New Roman"/>
                <w:color w:val="auto"/>
                <w:kern w:val="2"/>
                <w:sz w:val="24"/>
                <w:szCs w:val="24"/>
                <w:highlight w:val="none"/>
              </w:rPr>
              <w:t>经检验合格的</w:t>
            </w:r>
            <w:r>
              <w:rPr>
                <w:rFonts w:hint="default" w:ascii="Times New Roman" w:hAnsi="Times New Roman" w:eastAsia="宋体" w:cs="Times New Roman"/>
                <w:color w:val="auto"/>
                <w:kern w:val="2"/>
                <w:sz w:val="24"/>
                <w:szCs w:val="24"/>
                <w:highlight w:val="none"/>
                <w:lang w:val="en-US" w:eastAsia="zh-CN"/>
              </w:rPr>
              <w:t>铸件经抛丸机进行抛丸处理。</w:t>
            </w:r>
          </w:p>
          <w:p w14:paraId="7050719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加工：抛丸处理后的铸件根据需求，通过车床、铣床、镗床、摇臂钻等设备</w:t>
            </w:r>
            <w:r>
              <w:rPr>
                <w:rFonts w:hint="default" w:ascii="Times New Roman" w:hAnsi="Times New Roman" w:eastAsia="宋体" w:cs="Times New Roman"/>
                <w:color w:val="auto"/>
                <w:kern w:val="2"/>
                <w:sz w:val="24"/>
                <w:szCs w:val="24"/>
                <w:highlight w:val="none"/>
              </w:rPr>
              <w:t>进行</w:t>
            </w:r>
            <w:r>
              <w:rPr>
                <w:rFonts w:hint="default" w:ascii="Times New Roman" w:hAnsi="Times New Roman" w:eastAsia="宋体" w:cs="Times New Roman"/>
                <w:color w:val="auto"/>
                <w:kern w:val="2"/>
                <w:sz w:val="24"/>
                <w:szCs w:val="24"/>
                <w:highlight w:val="none"/>
                <w:lang w:val="en-US" w:eastAsia="zh-CN"/>
              </w:rPr>
              <w:t>机加工</w:t>
            </w:r>
            <w:r>
              <w:rPr>
                <w:rFonts w:hint="default" w:ascii="Times New Roman" w:hAnsi="Times New Roman" w:eastAsia="宋体" w:cs="Times New Roman"/>
                <w:color w:val="auto"/>
                <w:kern w:val="2"/>
                <w:sz w:val="24"/>
                <w:szCs w:val="24"/>
                <w:highlight w:val="none"/>
              </w:rPr>
              <w:t>。</w:t>
            </w:r>
          </w:p>
          <w:p w14:paraId="3A22EAE4">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eastAsia="zh-CN"/>
              </w:rPr>
              <w:t>①</w:t>
            </w:r>
            <w:r>
              <w:rPr>
                <w:rFonts w:hint="default" w:ascii="Times New Roman" w:hAnsi="Times New Roman" w:eastAsia="宋体" w:cs="Times New Roman"/>
                <w:b w:val="0"/>
                <w:bCs w:val="0"/>
                <w:color w:val="auto"/>
                <w:kern w:val="2"/>
                <w:sz w:val="24"/>
                <w:szCs w:val="24"/>
                <w:highlight w:val="none"/>
                <w:lang w:val="en-US" w:eastAsia="zh-CN"/>
              </w:rPr>
              <w:t>抛丸</w:t>
            </w:r>
          </w:p>
          <w:p w14:paraId="30985B3B">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合格合金球送入新建自动化厂房的滚动式抛丸机（清砂机）进行抛丸加工，其它合格铸件送入新建铸造加工厂房抛丸室经吊钩式抛丸机进行抛丸加工</w:t>
            </w:r>
            <w:r>
              <w:rPr>
                <w:rFonts w:hint="default" w:ascii="Times New Roman" w:hAnsi="Times New Roman" w:eastAsia="宋体" w:cs="Times New Roman"/>
                <w:b w:val="0"/>
                <w:bCs w:val="0"/>
                <w:color w:val="auto"/>
                <w:kern w:val="2"/>
                <w:sz w:val="24"/>
                <w:szCs w:val="24"/>
                <w:highlight w:val="none"/>
              </w:rPr>
              <w:t>。</w:t>
            </w:r>
          </w:p>
          <w:p w14:paraId="4A723742">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加工过程产生的废气主要为颗粒物，滚动式抛丸机产生的废气由风机引至布袋除尘器（5#），处理后经排气筒（P5）排放，吊钩式抛丸机产生的废气，由风机引至布袋除尘器（8#），处理后经排气筒（P8）排放；噪声污染源主要为抛丸和机加工过程产生时的噪声，采用将抛丸工段单独进行封闭，安装基础减震，设备布置在厂房内的降噪措施；</w:t>
            </w:r>
            <w:r>
              <w:rPr>
                <w:rFonts w:hint="default" w:ascii="Times New Roman" w:hAnsi="Times New Roman" w:eastAsia="宋体" w:cs="Times New Roman"/>
                <w:b w:val="0"/>
                <w:bCs w:val="0"/>
                <w:color w:val="auto"/>
                <w:kern w:val="2"/>
                <w:sz w:val="24"/>
                <w:szCs w:val="24"/>
                <w:highlight w:val="none"/>
              </w:rPr>
              <w:t>固体废物主要为</w:t>
            </w:r>
            <w:r>
              <w:rPr>
                <w:rFonts w:hint="default" w:ascii="Times New Roman" w:hAnsi="Times New Roman" w:eastAsia="宋体" w:cs="Times New Roman"/>
                <w:b w:val="0"/>
                <w:bCs w:val="0"/>
                <w:color w:val="auto"/>
                <w:kern w:val="2"/>
                <w:sz w:val="24"/>
                <w:szCs w:val="24"/>
                <w:highlight w:val="none"/>
                <w:lang w:val="en-US" w:eastAsia="zh-CN"/>
              </w:rPr>
              <w:t>除尘器收集尘灰，尘灰外售</w:t>
            </w:r>
            <w:r>
              <w:rPr>
                <w:rFonts w:hint="default" w:ascii="Times New Roman" w:hAnsi="Times New Roman" w:eastAsia="宋体" w:cs="Times New Roman"/>
                <w:b w:val="0"/>
                <w:bCs w:val="0"/>
                <w:color w:val="auto"/>
                <w:kern w:val="2"/>
                <w:sz w:val="24"/>
                <w:szCs w:val="24"/>
                <w:highlight w:val="none"/>
              </w:rPr>
              <w:t>。</w:t>
            </w:r>
          </w:p>
          <w:p w14:paraId="29347AE3">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kern w:val="2"/>
                <w:sz w:val="24"/>
                <w:szCs w:val="24"/>
                <w:highlight w:val="none"/>
                <w:lang w:eastAsia="zh-CN"/>
              </w:rPr>
              <w:t>②</w:t>
            </w:r>
            <w:r>
              <w:rPr>
                <w:rFonts w:hint="default" w:ascii="Times New Roman" w:hAnsi="Times New Roman" w:eastAsia="宋体" w:cs="Times New Roman"/>
                <w:b w:val="0"/>
                <w:bCs w:val="0"/>
                <w:color w:val="auto"/>
                <w:kern w:val="2"/>
                <w:sz w:val="24"/>
                <w:szCs w:val="24"/>
                <w:highlight w:val="none"/>
                <w:lang w:val="en-US" w:eastAsia="zh-CN"/>
              </w:rPr>
              <w:t>加工</w:t>
            </w:r>
          </w:p>
          <w:p w14:paraId="1797E05C">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合格铸件根据需求送入加工车间进行切削加工</w:t>
            </w:r>
            <w:r>
              <w:rPr>
                <w:rFonts w:hint="default" w:ascii="Times New Roman" w:hAnsi="Times New Roman" w:eastAsia="宋体" w:cs="Times New Roman"/>
                <w:b w:val="0"/>
                <w:bCs w:val="0"/>
                <w:color w:val="auto"/>
                <w:kern w:val="2"/>
                <w:sz w:val="24"/>
                <w:szCs w:val="24"/>
                <w:highlight w:val="none"/>
              </w:rPr>
              <w:t>。</w:t>
            </w:r>
          </w:p>
          <w:p w14:paraId="17E6BC7E">
            <w:pPr>
              <w:keepNext w:val="0"/>
              <w:keepLines w:val="0"/>
              <w:pageBreakBefore w:val="0"/>
              <w:widowControl w:val="0"/>
              <w:kinsoku/>
              <w:wordWrap/>
              <w:overflowPunct/>
              <w:topLinePunct w:val="0"/>
              <w:autoSpaceDE/>
              <w:autoSpaceDN/>
              <w:bidi w:val="0"/>
              <w:adjustRightInd/>
              <w:snapToGrid/>
              <w:spacing w:after="0" w:afterLines="0" w:line="480" w:lineRule="exact"/>
              <w:ind w:firstLine="480" w:firstLineChars="200"/>
              <w:jc w:val="both"/>
              <w:textAlignment w:val="auto"/>
              <w:rPr>
                <w:rFonts w:hint="default" w:ascii="Times New Roman" w:hAnsi="Times New Roman" w:eastAsia="宋体" w:cs="Times New Roman"/>
                <w:b w:val="0"/>
                <w:color w:val="auto"/>
                <w:kern w:val="2"/>
                <w:sz w:val="24"/>
                <w:szCs w:val="24"/>
                <w:highlight w:val="none"/>
              </w:rPr>
            </w:pPr>
            <w:r>
              <w:rPr>
                <w:rFonts w:hint="default" w:ascii="Times New Roman" w:hAnsi="Times New Roman" w:eastAsia="宋体" w:cs="Times New Roman"/>
                <w:b w:val="0"/>
                <w:bCs w:val="0"/>
                <w:color w:val="auto"/>
                <w:kern w:val="2"/>
                <w:sz w:val="24"/>
                <w:szCs w:val="24"/>
                <w:highlight w:val="none"/>
                <w:lang w:val="en-US" w:eastAsia="zh-CN"/>
              </w:rPr>
              <w:t>加工过程</w:t>
            </w:r>
            <w:r>
              <w:rPr>
                <w:rFonts w:hint="default" w:ascii="Times New Roman" w:hAnsi="Times New Roman" w:eastAsia="宋体" w:cs="Times New Roman"/>
                <w:b w:val="0"/>
                <w:bCs w:val="0"/>
                <w:color w:val="auto"/>
                <w:kern w:val="2"/>
                <w:sz w:val="24"/>
                <w:szCs w:val="24"/>
                <w:highlight w:val="none"/>
              </w:rPr>
              <w:t>噪声污染源主要为</w:t>
            </w:r>
            <w:r>
              <w:rPr>
                <w:rFonts w:hint="default" w:ascii="Times New Roman" w:hAnsi="Times New Roman" w:eastAsia="宋体" w:cs="Times New Roman"/>
                <w:b w:val="0"/>
                <w:bCs w:val="0"/>
                <w:color w:val="auto"/>
                <w:kern w:val="2"/>
                <w:sz w:val="24"/>
                <w:szCs w:val="24"/>
                <w:highlight w:val="none"/>
                <w:lang w:val="en-US" w:eastAsia="zh-CN"/>
              </w:rPr>
              <w:t>机加工过程</w:t>
            </w:r>
            <w:r>
              <w:rPr>
                <w:rFonts w:hint="default" w:ascii="Times New Roman" w:hAnsi="Times New Roman" w:eastAsia="宋体" w:cs="Times New Roman"/>
                <w:b w:val="0"/>
                <w:bCs w:val="0"/>
                <w:color w:val="auto"/>
                <w:kern w:val="2"/>
                <w:sz w:val="24"/>
                <w:szCs w:val="24"/>
                <w:highlight w:val="none"/>
              </w:rPr>
              <w:t>产生时的噪声，</w:t>
            </w:r>
            <w:r>
              <w:rPr>
                <w:rFonts w:hint="default" w:ascii="Times New Roman" w:hAnsi="Times New Roman" w:eastAsia="宋体" w:cs="Times New Roman"/>
                <w:b w:val="0"/>
                <w:bCs w:val="0"/>
                <w:color w:val="auto"/>
                <w:kern w:val="2"/>
                <w:sz w:val="24"/>
                <w:szCs w:val="24"/>
                <w:highlight w:val="none"/>
                <w:lang w:val="en-US" w:eastAsia="zh-CN"/>
              </w:rPr>
              <w:t>采用将设备</w:t>
            </w:r>
            <w:r>
              <w:rPr>
                <w:rFonts w:hint="default" w:ascii="Times New Roman" w:hAnsi="Times New Roman" w:eastAsia="宋体" w:cs="Times New Roman"/>
                <w:b w:val="0"/>
                <w:bCs w:val="0"/>
                <w:color w:val="auto"/>
                <w:kern w:val="2"/>
                <w:sz w:val="24"/>
                <w:szCs w:val="24"/>
                <w:highlight w:val="none"/>
              </w:rPr>
              <w:t>布置在厂房内的降噪措施；固体废物主要为</w:t>
            </w:r>
            <w:r>
              <w:rPr>
                <w:rFonts w:hint="default" w:ascii="Times New Roman" w:hAnsi="Times New Roman" w:eastAsia="宋体" w:cs="Times New Roman"/>
                <w:b w:val="0"/>
                <w:bCs w:val="0"/>
                <w:color w:val="auto"/>
                <w:kern w:val="2"/>
                <w:sz w:val="24"/>
                <w:szCs w:val="24"/>
                <w:highlight w:val="none"/>
                <w:lang w:val="en-US" w:eastAsia="zh-CN"/>
              </w:rPr>
              <w:t>废切削液和铁屑</w:t>
            </w:r>
            <w:r>
              <w:rPr>
                <w:rFonts w:hint="default" w:ascii="Times New Roman" w:hAnsi="Times New Roman" w:eastAsia="宋体" w:cs="Times New Roman"/>
                <w:b w:val="0"/>
                <w:bCs w:val="0"/>
                <w:color w:val="auto"/>
                <w:kern w:val="2"/>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rPr>
              <w:t>铁屑回用于熔化过程，废切削液属危险废物，收集于封闭容器中，封盖暂存于危废间，定期交由有资质单位处理</w:t>
            </w:r>
            <w:r>
              <w:rPr>
                <w:rFonts w:hint="default" w:ascii="Times New Roman" w:hAnsi="Times New Roman" w:eastAsia="宋体" w:cs="Times New Roman"/>
                <w:b w:val="0"/>
                <w:bCs w:val="0"/>
                <w:color w:val="auto"/>
                <w:kern w:val="2"/>
                <w:sz w:val="24"/>
                <w:szCs w:val="24"/>
                <w:highlight w:val="none"/>
              </w:rPr>
              <w:t>。</w:t>
            </w:r>
          </w:p>
          <w:p w14:paraId="43479F4E">
            <w:pPr>
              <w:widowControl w:val="0"/>
              <w:adjustRightInd/>
              <w:snapToGrid/>
              <w:spacing w:after="0" w:afterLines="0" w:line="600" w:lineRule="exact"/>
              <w:ind w:firstLine="420" w:firstLineChars="20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highlight w:val="none"/>
              </w:rPr>
              <w:drawing>
                <wp:anchor distT="0" distB="0" distL="114300" distR="114300" simplePos="0" relativeHeight="251698176" behindDoc="0" locked="0" layoutInCell="1" allowOverlap="1">
                  <wp:simplePos x="0" y="0"/>
                  <wp:positionH relativeFrom="column">
                    <wp:posOffset>1003300</wp:posOffset>
                  </wp:positionH>
                  <wp:positionV relativeFrom="paragraph">
                    <wp:posOffset>48260</wp:posOffset>
                  </wp:positionV>
                  <wp:extent cx="2844165" cy="998855"/>
                  <wp:effectExtent l="0" t="0" r="13335" b="10795"/>
                  <wp:wrapNone/>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17"/>
                          <a:srcRect l="9525" t="17059" r="10526" b="17059"/>
                          <a:stretch>
                            <a:fillRect/>
                          </a:stretch>
                        </pic:blipFill>
                        <pic:spPr>
                          <a:xfrm>
                            <a:off x="0" y="0"/>
                            <a:ext cx="2844165" cy="998855"/>
                          </a:xfrm>
                          <a:prstGeom prst="rect">
                            <a:avLst/>
                          </a:prstGeom>
                          <a:noFill/>
                          <a:ln>
                            <a:noFill/>
                          </a:ln>
                        </pic:spPr>
                      </pic:pic>
                    </a:graphicData>
                  </a:graphic>
                </wp:anchor>
              </w:drawing>
            </w:r>
          </w:p>
          <w:p w14:paraId="42B000B6">
            <w:pPr>
              <w:pStyle w:val="7"/>
              <w:ind w:left="0" w:firstLine="0"/>
              <w:jc w:val="center"/>
              <w:rPr>
                <w:rFonts w:hint="eastAsia" w:ascii="宋体" w:hAnsi="宋体" w:eastAsia="宋体" w:cs="宋体"/>
                <w:color w:val="auto"/>
                <w:kern w:val="2"/>
                <w:sz w:val="30"/>
                <w:szCs w:val="30"/>
                <w:highlight w:val="none"/>
                <w:lang w:val="en-US" w:eastAsia="zh-CN"/>
              </w:rPr>
            </w:pPr>
          </w:p>
          <w:p w14:paraId="2842B3FA">
            <w:pPr>
              <w:pStyle w:val="11"/>
              <w:numPr>
                <w:ilvl w:val="0"/>
                <w:numId w:val="0"/>
              </w:numPr>
              <w:ind w:leftChars="200"/>
              <w:jc w:val="both"/>
              <w:rPr>
                <w:rFonts w:hint="default"/>
                <w:color w:val="auto"/>
                <w:highlight w:val="none"/>
                <w:lang w:val="en-US" w:eastAsia="zh-CN"/>
              </w:rPr>
            </w:pPr>
          </w:p>
          <w:p w14:paraId="7689F682">
            <w:pPr>
              <w:keepNext w:val="0"/>
              <w:keepLines w:val="0"/>
              <w:pageBreakBefore w:val="0"/>
              <w:widowControl w:val="0"/>
              <w:numPr>
                <w:ilvl w:val="0"/>
                <w:numId w:val="0"/>
              </w:numPr>
              <w:shd w:val="clear" w:color="auto" w:fill="auto"/>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p>
          <w:p w14:paraId="6DC0CB98">
            <w:pPr>
              <w:keepNext w:val="0"/>
              <w:keepLines w:val="0"/>
              <w:pageBreakBefore w:val="0"/>
              <w:widowControl w:val="0"/>
              <w:numPr>
                <w:ilvl w:val="0"/>
                <w:numId w:val="0"/>
              </w:numPr>
              <w:shd w:val="clear" w:color="auto" w:fill="auto"/>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图2-</w:t>
            </w:r>
            <w:r>
              <w:rPr>
                <w:rFonts w:hint="eastAsia" w:cs="Times New Roman"/>
                <w:b w:val="0"/>
                <w:bCs w:val="0"/>
                <w:color w:val="auto"/>
                <w:sz w:val="24"/>
                <w:szCs w:val="24"/>
                <w:highlight w:val="none"/>
                <w:lang w:val="en-US" w:eastAsia="zh-CN"/>
              </w:rPr>
              <w:t xml:space="preserve">10 </w:t>
            </w:r>
            <w:r>
              <w:rPr>
                <w:rFonts w:hint="eastAsia" w:ascii="Times New Roman" w:hAnsi="Times New Roman" w:eastAsia="宋体" w:cs="Times New Roman"/>
                <w:b w:val="0"/>
                <w:bCs w:val="0"/>
                <w:color w:val="auto"/>
                <w:sz w:val="24"/>
                <w:szCs w:val="24"/>
                <w:highlight w:val="none"/>
                <w:lang w:val="en-US" w:eastAsia="zh-CN"/>
              </w:rPr>
              <w:t>抛丸</w:t>
            </w:r>
            <w:r>
              <w:rPr>
                <w:rFonts w:hint="default" w:ascii="Times New Roman" w:hAnsi="Times New Roman" w:eastAsia="宋体" w:cs="Times New Roman"/>
                <w:b w:val="0"/>
                <w:bCs w:val="0"/>
                <w:color w:val="auto"/>
                <w:kern w:val="2"/>
                <w:sz w:val="24"/>
                <w:szCs w:val="24"/>
                <w:highlight w:val="none"/>
                <w:lang w:val="en-US" w:eastAsia="zh-CN"/>
              </w:rPr>
              <w:t>工艺流程及排污节点图</w:t>
            </w:r>
          </w:p>
          <w:p w14:paraId="6359C3E0">
            <w:pPr>
              <w:keepNext w:val="0"/>
              <w:keepLines w:val="0"/>
              <w:pageBreakBefore w:val="0"/>
              <w:widowControl w:val="0"/>
              <w:numPr>
                <w:ilvl w:val="0"/>
                <w:numId w:val="0"/>
              </w:numPr>
              <w:shd w:val="clear" w:color="auto" w:fill="auto"/>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现有工程污染物排放量</w:t>
            </w:r>
          </w:p>
          <w:p w14:paraId="62C16896">
            <w:pPr>
              <w:pStyle w:val="2"/>
              <w:keepNext w:val="0"/>
              <w:keepLines w:val="0"/>
              <w:pageBreakBefore w:val="0"/>
              <w:widowControl w:val="0"/>
              <w:numPr>
                <w:ilvl w:val="0"/>
                <w:numId w:val="0"/>
              </w:numPr>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①废气</w:t>
            </w:r>
          </w:p>
          <w:p w14:paraId="44464C6C">
            <w:pPr>
              <w:pStyle w:val="2"/>
              <w:keepNext w:val="0"/>
              <w:keepLines w:val="0"/>
              <w:pageBreakBefore w:val="0"/>
              <w:widowControl w:val="0"/>
              <w:kinsoku/>
              <w:wordWrap/>
              <w:overflowPunct/>
              <w:topLinePunct w:val="0"/>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eastAsia="zh-CN"/>
              </w:rPr>
              <w:t>根据</w:t>
            </w:r>
            <w:r>
              <w:rPr>
                <w:rFonts w:hint="eastAsia" w:ascii="Times New Roman" w:hAnsi="Times New Roman" w:eastAsia="宋体" w:cs="Times New Roman"/>
                <w:color w:val="auto"/>
                <w:sz w:val="24"/>
                <w:highlight w:val="none"/>
                <w:lang w:val="en-US" w:eastAsia="zh-CN"/>
              </w:rPr>
              <w:t>企业2022年5月24日，对厂区作出的</w:t>
            </w:r>
            <w:r>
              <w:rPr>
                <w:rFonts w:hint="default" w:ascii="Times New Roman" w:hAnsi="Times New Roman" w:eastAsia="宋体" w:cs="Times New Roman"/>
                <w:color w:val="auto"/>
                <w:sz w:val="24"/>
                <w:szCs w:val="24"/>
                <w:highlight w:val="none"/>
                <w:lang w:val="en-US" w:eastAsia="zh-CN"/>
              </w:rPr>
              <w:t>宽城双兴矿山设备制造有限公司年产30000吨矿山设备铸件项目</w:t>
            </w:r>
            <w:r>
              <w:rPr>
                <w:rFonts w:hint="eastAsia" w:ascii="Times New Roman" w:hAnsi="Times New Roman" w:eastAsia="宋体" w:cs="Times New Roman"/>
                <w:color w:val="auto"/>
                <w:sz w:val="24"/>
                <w:szCs w:val="24"/>
                <w:highlight w:val="none"/>
                <w:lang w:val="en-US" w:eastAsia="zh-CN"/>
              </w:rPr>
              <w:t>竣工环境验收监测</w:t>
            </w:r>
            <w:r>
              <w:rPr>
                <w:rFonts w:hint="eastAsia" w:ascii="Times New Roman" w:hAnsi="Times New Roman" w:eastAsia="宋体" w:cs="Times New Roman"/>
                <w:color w:val="auto"/>
                <w:sz w:val="24"/>
                <w:highlight w:val="none"/>
                <w:lang w:eastAsia="zh-CN"/>
              </w:rPr>
              <w:t>报告（</w:t>
            </w:r>
            <w:r>
              <w:rPr>
                <w:rFonts w:hint="eastAsia" w:ascii="Times New Roman" w:hAnsi="Times New Roman" w:eastAsia="宋体" w:cs="Times New Roman"/>
                <w:color w:val="auto"/>
                <w:sz w:val="24"/>
                <w:highlight w:val="none"/>
                <w:lang w:val="en-US" w:eastAsia="zh-CN"/>
              </w:rPr>
              <w:t>HBXY-YS-2203020</w:t>
            </w:r>
            <w:r>
              <w:rPr>
                <w:rFonts w:hint="eastAsia" w:ascii="Times New Roman" w:hAnsi="Times New Roman" w:eastAsia="宋体" w:cs="Times New Roman"/>
                <w:color w:val="auto"/>
                <w:sz w:val="24"/>
                <w:highlight w:val="none"/>
                <w:lang w:eastAsia="zh-CN"/>
              </w:rPr>
              <w:t>）可知：</w:t>
            </w:r>
          </w:p>
          <w:p w14:paraId="0D4C9F95">
            <w:pPr>
              <w:keepNext w:val="0"/>
              <w:keepLines w:val="0"/>
              <w:pageBreakBefore w:val="0"/>
              <w:widowControl w:val="0"/>
              <w:numPr>
                <w:ilvl w:val="0"/>
                <w:numId w:val="4"/>
              </w:numPr>
              <w:kinsoku/>
              <w:wordWrap/>
              <w:overflowPunct/>
              <w:topLinePunct w:val="0"/>
              <w:bidi w:val="0"/>
              <w:spacing w:line="480" w:lineRule="exact"/>
              <w:ind w:left="-60" w:leftChars="0" w:firstLine="48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有组织废气</w:t>
            </w:r>
          </w:p>
          <w:p w14:paraId="27FD20A0">
            <w:pPr>
              <w:keepNext w:val="0"/>
              <w:keepLines w:val="0"/>
              <w:pageBreakBefore w:val="0"/>
              <w:widowControl w:val="0"/>
              <w:numPr>
                <w:ilvl w:val="0"/>
                <w:numId w:val="0"/>
              </w:numPr>
              <w:kinsoku/>
              <w:wordWrap/>
              <w:overflowPunct/>
              <w:topLinePunct w:val="0"/>
              <w:bidi w:val="0"/>
              <w:adjustRightInd/>
              <w:snapToGrid/>
              <w:spacing w:after="0" w:afterLines="0" w:line="480" w:lineRule="exact"/>
              <w:ind w:firstLine="480" w:firstLineChars="200"/>
              <w:jc w:val="left"/>
              <w:textAlignment w:val="auto"/>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中频感应电炉</w:t>
            </w:r>
            <w:r>
              <w:rPr>
                <w:rFonts w:hint="eastAsia" w:ascii="宋体" w:hAnsi="宋体" w:eastAsia="宋体" w:cs="宋体"/>
                <w:b w:val="0"/>
                <w:bCs w:val="0"/>
                <w:color w:val="auto"/>
                <w:kern w:val="2"/>
                <w:sz w:val="24"/>
                <w:szCs w:val="24"/>
                <w:highlight w:val="none"/>
                <w:lang w:eastAsia="zh-CN"/>
              </w:rPr>
              <w:t>熔化</w:t>
            </w:r>
            <w:r>
              <w:rPr>
                <w:rFonts w:hint="eastAsia" w:ascii="宋体" w:hAnsi="宋体" w:eastAsia="宋体" w:cs="宋体"/>
                <w:b w:val="0"/>
                <w:bCs w:val="0"/>
                <w:color w:val="auto"/>
                <w:kern w:val="2"/>
                <w:sz w:val="24"/>
                <w:szCs w:val="24"/>
                <w:highlight w:val="none"/>
              </w:rPr>
              <w:t>废气</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浇注废气</w:t>
            </w:r>
            <w:r>
              <w:rPr>
                <w:rFonts w:hint="eastAsia" w:ascii="宋体" w:hAnsi="宋体" w:eastAsia="宋体" w:cs="宋体"/>
                <w:b w:val="0"/>
                <w:bCs w:val="0"/>
                <w:color w:val="auto"/>
                <w:kern w:val="2"/>
                <w:sz w:val="24"/>
                <w:szCs w:val="24"/>
                <w:highlight w:val="none"/>
                <w:lang w:eastAsia="zh-CN"/>
              </w:rPr>
              <w:t>、砂处理废气、</w:t>
            </w:r>
            <w:r>
              <w:rPr>
                <w:rFonts w:hint="eastAsia" w:ascii="宋体" w:hAnsi="宋体" w:eastAsia="宋体" w:cs="宋体"/>
                <w:b w:val="0"/>
                <w:bCs w:val="0"/>
                <w:color w:val="auto"/>
                <w:kern w:val="2"/>
                <w:sz w:val="24"/>
                <w:szCs w:val="24"/>
                <w:highlight w:val="none"/>
                <w:lang w:val="en-US" w:eastAsia="zh-CN"/>
              </w:rPr>
              <w:t>抛丸废气</w:t>
            </w:r>
            <w:r>
              <w:rPr>
                <w:rFonts w:hint="eastAsia" w:ascii="宋体" w:hAnsi="宋体" w:eastAsia="宋体" w:cs="宋体"/>
                <w:b w:val="0"/>
                <w:bCs w:val="0"/>
                <w:color w:val="auto"/>
                <w:kern w:val="2"/>
                <w:sz w:val="24"/>
                <w:szCs w:val="24"/>
                <w:highlight w:val="none"/>
              </w:rPr>
              <w:t>通过顶置整罩式除尘炉盖</w:t>
            </w:r>
            <w:r>
              <w:rPr>
                <w:rFonts w:hint="eastAsia" w:ascii="宋体" w:hAnsi="宋体" w:eastAsia="宋体" w:cs="宋体"/>
                <w:b w:val="0"/>
                <w:bCs w:val="0"/>
                <w:color w:val="auto"/>
                <w:kern w:val="2"/>
                <w:sz w:val="24"/>
                <w:szCs w:val="24"/>
                <w:highlight w:val="none"/>
                <w:lang w:val="en-US" w:eastAsia="zh-CN"/>
              </w:rPr>
              <w:t>和</w:t>
            </w:r>
            <w:r>
              <w:rPr>
                <w:rFonts w:hint="eastAsia" w:ascii="宋体" w:hAnsi="宋体" w:eastAsia="宋体" w:cs="宋体"/>
                <w:color w:val="auto"/>
                <w:kern w:val="2"/>
                <w:sz w:val="24"/>
                <w:szCs w:val="24"/>
                <w:highlight w:val="none"/>
              </w:rPr>
              <w:t>侧顶吸式集气罩</w:t>
            </w:r>
            <w:r>
              <w:rPr>
                <w:rFonts w:hint="eastAsia" w:ascii="宋体" w:hAnsi="宋体" w:eastAsia="宋体" w:cs="宋体"/>
                <w:b w:val="0"/>
                <w:bCs w:val="0"/>
                <w:color w:val="auto"/>
                <w:kern w:val="2"/>
                <w:sz w:val="24"/>
                <w:szCs w:val="24"/>
                <w:highlight w:val="none"/>
              </w:rPr>
              <w:t>的集尘方式集中收集后，通过风机引至</w:t>
            </w:r>
            <w:r>
              <w:rPr>
                <w:rFonts w:hint="eastAsia" w:ascii="宋体" w:hAnsi="宋体" w:eastAsia="宋体" w:cs="宋体"/>
                <w:b w:val="0"/>
                <w:bCs w:val="0"/>
                <w:color w:val="auto"/>
                <w:kern w:val="2"/>
                <w:sz w:val="24"/>
                <w:szCs w:val="24"/>
                <w:highlight w:val="none"/>
                <w:lang w:val="en-US" w:eastAsia="zh-CN"/>
              </w:rPr>
              <w:t>各自</w:t>
            </w:r>
            <w:r>
              <w:rPr>
                <w:rFonts w:hint="eastAsia" w:ascii="宋体" w:hAnsi="宋体" w:eastAsia="宋体" w:cs="宋体"/>
                <w:b w:val="0"/>
                <w:bCs w:val="0"/>
                <w:color w:val="auto"/>
                <w:kern w:val="2"/>
                <w:sz w:val="24"/>
                <w:szCs w:val="24"/>
                <w:highlight w:val="none"/>
              </w:rPr>
              <w:t>布袋除尘器进行处理</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经排气筒排放，</w:t>
            </w:r>
            <w:r>
              <w:rPr>
                <w:rFonts w:hint="eastAsia" w:ascii="宋体" w:hAnsi="宋体" w:eastAsia="宋体" w:cs="宋体"/>
                <w:b w:val="0"/>
                <w:bCs w:val="0"/>
                <w:color w:val="auto"/>
                <w:kern w:val="2"/>
                <w:sz w:val="24"/>
                <w:szCs w:val="24"/>
                <w:highlight w:val="none"/>
              </w:rPr>
              <w:t>排放浓度满足</w:t>
            </w:r>
            <w:r>
              <w:rPr>
                <w:rFonts w:hint="eastAsia" w:ascii="宋体" w:hAnsi="宋体" w:eastAsia="宋体" w:cs="宋体"/>
                <w:b w:val="0"/>
                <w:bCs w:val="0"/>
                <w:color w:val="auto"/>
                <w:kern w:val="2"/>
                <w:sz w:val="24"/>
                <w:szCs w:val="24"/>
                <w:highlight w:val="none"/>
                <w:lang w:val="en-US" w:eastAsia="zh-CN"/>
              </w:rPr>
              <w:t>《铸造工业大气污染物排放标准》（GB39726-2020）表1</w:t>
            </w:r>
            <w:r>
              <w:rPr>
                <w:rFonts w:hint="eastAsia" w:ascii="宋体" w:hAnsi="宋体" w:eastAsia="宋体" w:cs="宋体"/>
                <w:b w:val="0"/>
                <w:bCs w:val="0"/>
                <w:color w:val="auto"/>
                <w:kern w:val="2"/>
                <w:sz w:val="24"/>
                <w:szCs w:val="24"/>
                <w:highlight w:val="none"/>
              </w:rPr>
              <w:t>颗粒物排放限值。</w:t>
            </w:r>
          </w:p>
          <w:p w14:paraId="56D5D3AA">
            <w:pPr>
              <w:keepNext w:val="0"/>
              <w:keepLines w:val="0"/>
              <w:pageBreakBefore w:val="0"/>
              <w:widowControl w:val="0"/>
              <w:numPr>
                <w:ilvl w:val="0"/>
                <w:numId w:val="0"/>
              </w:numPr>
              <w:kinsoku/>
              <w:wordWrap/>
              <w:overflowPunct/>
              <w:topLinePunct w:val="0"/>
              <w:bidi w:val="0"/>
              <w:adjustRightInd/>
              <w:snapToGrid/>
              <w:spacing w:after="0" w:afterLines="0" w:line="480" w:lineRule="exact"/>
              <w:ind w:firstLine="480" w:firstLineChars="200"/>
              <w:jc w:val="left"/>
              <w:textAlignment w:val="auto"/>
              <w:rPr>
                <w:rFonts w:hint="default"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浇注废气</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砂处理废气共同由</w:t>
            </w:r>
            <w:r>
              <w:rPr>
                <w:rFonts w:hint="eastAsia" w:ascii="宋体" w:hAnsi="宋体" w:eastAsia="宋体" w:cs="宋体"/>
                <w:b w:val="0"/>
                <w:bCs w:val="0"/>
                <w:color w:val="auto"/>
                <w:kern w:val="2"/>
                <w:sz w:val="24"/>
                <w:szCs w:val="24"/>
                <w:highlight w:val="none"/>
              </w:rPr>
              <w:t>风机引至1套布袋除尘器</w:t>
            </w:r>
            <w:r>
              <w:rPr>
                <w:rFonts w:hint="eastAsia" w:ascii="宋体" w:hAnsi="宋体" w:eastAsia="宋体" w:cs="宋体"/>
                <w:b w:val="0"/>
                <w:bCs w:val="0"/>
                <w:color w:val="auto"/>
                <w:kern w:val="2"/>
                <w:sz w:val="24"/>
                <w:szCs w:val="24"/>
                <w:highlight w:val="none"/>
                <w:lang w:val="en-US" w:eastAsia="zh-CN"/>
              </w:rPr>
              <w:t>，处理后</w:t>
            </w:r>
            <w:r>
              <w:rPr>
                <w:rFonts w:hint="eastAsia" w:ascii="宋体" w:hAnsi="宋体" w:eastAsia="宋体" w:cs="宋体"/>
                <w:b w:val="0"/>
                <w:bCs w:val="0"/>
                <w:color w:val="auto"/>
                <w:kern w:val="2"/>
                <w:sz w:val="24"/>
                <w:szCs w:val="24"/>
                <w:highlight w:val="none"/>
              </w:rPr>
              <w:t>经排气筒排放</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颗粒物</w:t>
            </w:r>
            <w:r>
              <w:rPr>
                <w:rFonts w:hint="eastAsia" w:ascii="宋体" w:hAnsi="宋体" w:eastAsia="宋体" w:cs="宋体"/>
                <w:b w:val="0"/>
                <w:bCs w:val="0"/>
                <w:color w:val="auto"/>
                <w:kern w:val="2"/>
                <w:sz w:val="24"/>
                <w:szCs w:val="24"/>
                <w:highlight w:val="none"/>
              </w:rPr>
              <w:t>排放浓度满足</w:t>
            </w:r>
            <w:r>
              <w:rPr>
                <w:rFonts w:hint="eastAsia" w:ascii="宋体" w:hAnsi="宋体" w:eastAsia="宋体" w:cs="宋体"/>
                <w:b w:val="0"/>
                <w:bCs w:val="0"/>
                <w:color w:val="auto"/>
                <w:kern w:val="2"/>
                <w:sz w:val="24"/>
                <w:szCs w:val="24"/>
                <w:highlight w:val="none"/>
                <w:lang w:val="en-US" w:eastAsia="zh-CN"/>
              </w:rPr>
              <w:t>《铸造工业大气污染物排放标准》（GB39726-2020）表1</w:t>
            </w:r>
            <w:r>
              <w:rPr>
                <w:rFonts w:hint="eastAsia" w:ascii="宋体" w:hAnsi="宋体" w:eastAsia="宋体" w:cs="宋体"/>
                <w:b w:val="0"/>
                <w:bCs w:val="0"/>
                <w:color w:val="auto"/>
                <w:kern w:val="2"/>
                <w:sz w:val="24"/>
                <w:szCs w:val="24"/>
                <w:highlight w:val="none"/>
              </w:rPr>
              <w:t>颗粒物排放限值</w:t>
            </w:r>
            <w:r>
              <w:rPr>
                <w:rFonts w:hint="eastAsia" w:ascii="宋体" w:hAnsi="宋体" w:eastAsia="宋体" w:cs="宋体"/>
                <w:b w:val="0"/>
                <w:bCs w:val="0"/>
                <w:color w:val="auto"/>
                <w:kern w:val="2"/>
                <w:sz w:val="24"/>
                <w:szCs w:val="24"/>
                <w:highlight w:val="none"/>
                <w:lang w:val="en-US" w:eastAsia="zh-CN"/>
              </w:rPr>
              <w:t>；非甲烷总烃</w:t>
            </w:r>
            <w:r>
              <w:rPr>
                <w:rFonts w:hint="eastAsia" w:ascii="宋体" w:hAnsi="宋体" w:eastAsia="宋体" w:cs="宋体"/>
                <w:b w:val="0"/>
                <w:bCs w:val="0"/>
                <w:color w:val="auto"/>
                <w:kern w:val="2"/>
                <w:sz w:val="24"/>
                <w:szCs w:val="24"/>
                <w:highlight w:val="none"/>
              </w:rPr>
              <w:t>排放浓度</w:t>
            </w:r>
            <w:r>
              <w:rPr>
                <w:rFonts w:hint="eastAsia" w:ascii="宋体" w:hAnsi="宋体" w:eastAsia="宋体" w:cs="宋体"/>
                <w:b w:val="0"/>
                <w:bCs w:val="0"/>
                <w:color w:val="auto"/>
                <w:kern w:val="2"/>
                <w:sz w:val="24"/>
                <w:szCs w:val="24"/>
                <w:highlight w:val="none"/>
                <w:lang w:val="en-US" w:eastAsia="zh-CN"/>
              </w:rPr>
              <w:t>满足《工业企业挥发性有机物排放控制标准》（DB13/2322-2016）表1其他行业允许排放浓度限值。</w:t>
            </w:r>
          </w:p>
          <w:p w14:paraId="1240D74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jc w:val="left"/>
              <w:textAlignment w:val="auto"/>
              <w:rPr>
                <w:rFonts w:hint="eastAsia" w:ascii="宋体" w:hAnsi="宋体" w:eastAsia="宋体" w:cs="宋体"/>
                <w:b w:val="0"/>
                <w:bCs w:val="0"/>
                <w:color w:val="auto"/>
                <w:kern w:val="2"/>
                <w:sz w:val="24"/>
                <w:szCs w:val="24"/>
                <w:highlight w:val="none"/>
                <w:lang w:val="en-US"/>
              </w:rPr>
            </w:pPr>
            <w:r>
              <w:rPr>
                <w:rFonts w:hint="eastAsia" w:ascii="宋体" w:hAnsi="宋体" w:eastAsia="宋体" w:cs="宋体"/>
                <w:b w:val="0"/>
                <w:bCs w:val="0"/>
                <w:color w:val="auto"/>
                <w:kern w:val="2"/>
                <w:sz w:val="24"/>
                <w:szCs w:val="24"/>
                <w:highlight w:val="none"/>
                <w:lang w:val="en-US" w:eastAsia="zh-CN"/>
              </w:rPr>
              <w:t>自动化生产线废气由</w:t>
            </w:r>
            <w:r>
              <w:rPr>
                <w:rFonts w:hint="eastAsia" w:ascii="宋体" w:hAnsi="宋体" w:eastAsia="宋体" w:cs="宋体"/>
                <w:b w:val="0"/>
                <w:bCs w:val="0"/>
                <w:color w:val="auto"/>
                <w:kern w:val="2"/>
                <w:sz w:val="24"/>
                <w:szCs w:val="24"/>
                <w:highlight w:val="none"/>
              </w:rPr>
              <w:t>风机引至1套布袋除尘器</w:t>
            </w:r>
            <w:r>
              <w:rPr>
                <w:rFonts w:hint="eastAsia" w:ascii="宋体" w:hAnsi="宋体" w:eastAsia="宋体" w:cs="宋体"/>
                <w:b w:val="0"/>
                <w:bCs w:val="0"/>
                <w:color w:val="auto"/>
                <w:kern w:val="2"/>
                <w:sz w:val="24"/>
                <w:szCs w:val="24"/>
                <w:highlight w:val="none"/>
                <w:lang w:val="en-US" w:eastAsia="zh-CN"/>
              </w:rPr>
              <w:t>，处理后</w:t>
            </w:r>
            <w:r>
              <w:rPr>
                <w:rFonts w:hint="eastAsia" w:ascii="宋体" w:hAnsi="宋体" w:eastAsia="宋体" w:cs="宋体"/>
                <w:b w:val="0"/>
                <w:bCs w:val="0"/>
                <w:color w:val="auto"/>
                <w:kern w:val="2"/>
                <w:sz w:val="24"/>
                <w:szCs w:val="24"/>
                <w:highlight w:val="none"/>
              </w:rPr>
              <w:t>经排气筒排放</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颗粒物</w:t>
            </w:r>
            <w:r>
              <w:rPr>
                <w:rFonts w:hint="eastAsia" w:ascii="宋体" w:hAnsi="宋体" w:eastAsia="宋体" w:cs="宋体"/>
                <w:b w:val="0"/>
                <w:bCs w:val="0"/>
                <w:color w:val="auto"/>
                <w:kern w:val="2"/>
                <w:sz w:val="24"/>
                <w:szCs w:val="24"/>
                <w:highlight w:val="none"/>
              </w:rPr>
              <w:t>排放浓度满足</w:t>
            </w:r>
            <w:r>
              <w:rPr>
                <w:rFonts w:hint="eastAsia" w:ascii="宋体" w:hAnsi="宋体" w:eastAsia="宋体" w:cs="宋体"/>
                <w:b w:val="0"/>
                <w:bCs w:val="0"/>
                <w:color w:val="auto"/>
                <w:kern w:val="2"/>
                <w:sz w:val="24"/>
                <w:szCs w:val="24"/>
                <w:highlight w:val="none"/>
                <w:lang w:val="en-US" w:eastAsia="zh-CN"/>
              </w:rPr>
              <w:t>《铸造工业大气污染物排放标准》（GB39726-2020）表1</w:t>
            </w:r>
            <w:r>
              <w:rPr>
                <w:rFonts w:hint="eastAsia" w:ascii="宋体" w:hAnsi="宋体" w:eastAsia="宋体" w:cs="宋体"/>
                <w:b w:val="0"/>
                <w:bCs w:val="0"/>
                <w:color w:val="auto"/>
                <w:kern w:val="2"/>
                <w:sz w:val="24"/>
                <w:szCs w:val="24"/>
                <w:highlight w:val="none"/>
              </w:rPr>
              <w:t>颗粒物排放限值</w:t>
            </w:r>
            <w:r>
              <w:rPr>
                <w:rFonts w:hint="eastAsia" w:ascii="宋体" w:hAnsi="宋体" w:eastAsia="宋体" w:cs="宋体"/>
                <w:b w:val="0"/>
                <w:bCs w:val="0"/>
                <w:color w:val="auto"/>
                <w:kern w:val="2"/>
                <w:sz w:val="24"/>
                <w:szCs w:val="24"/>
                <w:highlight w:val="none"/>
                <w:lang w:val="en-US" w:eastAsia="zh-CN"/>
              </w:rPr>
              <w:t>；非甲烷总烃</w:t>
            </w:r>
            <w:r>
              <w:rPr>
                <w:rFonts w:hint="eastAsia" w:ascii="宋体" w:hAnsi="宋体" w:eastAsia="宋体" w:cs="宋体"/>
                <w:b w:val="0"/>
                <w:bCs w:val="0"/>
                <w:color w:val="auto"/>
                <w:kern w:val="2"/>
                <w:sz w:val="24"/>
                <w:szCs w:val="24"/>
                <w:highlight w:val="none"/>
              </w:rPr>
              <w:t>排放浓度</w:t>
            </w:r>
            <w:r>
              <w:rPr>
                <w:rFonts w:hint="eastAsia" w:ascii="宋体" w:hAnsi="宋体" w:eastAsia="宋体" w:cs="宋体"/>
                <w:b w:val="0"/>
                <w:bCs w:val="0"/>
                <w:color w:val="auto"/>
                <w:kern w:val="2"/>
                <w:sz w:val="24"/>
                <w:szCs w:val="24"/>
                <w:highlight w:val="none"/>
                <w:lang w:val="en-US" w:eastAsia="zh-CN"/>
              </w:rPr>
              <w:t>满足《工业企业挥发性有机物排放控制标准》（DB13/2322-2016）表1其他行业允许排放浓度限值。</w:t>
            </w:r>
          </w:p>
          <w:p w14:paraId="5B21066F">
            <w:pPr>
              <w:keepNext w:val="0"/>
              <w:keepLines w:val="0"/>
              <w:pageBreakBefore w:val="0"/>
              <w:widowControl w:val="0"/>
              <w:numPr>
                <w:ilvl w:val="0"/>
                <w:numId w:val="0"/>
              </w:numPr>
              <w:kinsoku/>
              <w:wordWrap/>
              <w:overflowPunct/>
              <w:topLinePunct w:val="0"/>
              <w:autoSpaceDE/>
              <w:autoSpaceDN/>
              <w:bidi w:val="0"/>
              <w:adjustRightInd/>
              <w:snapToGrid/>
              <w:spacing w:afterAutospacing="0" w:line="480" w:lineRule="exact"/>
              <w:ind w:firstLine="480" w:firstLineChars="200"/>
              <w:jc w:val="left"/>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浇注废气</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砂处理废气共同由</w:t>
            </w:r>
            <w:r>
              <w:rPr>
                <w:rFonts w:hint="eastAsia" w:ascii="宋体" w:hAnsi="宋体" w:eastAsia="宋体" w:cs="宋体"/>
                <w:b w:val="0"/>
                <w:bCs w:val="0"/>
                <w:color w:val="auto"/>
                <w:kern w:val="2"/>
                <w:sz w:val="24"/>
                <w:szCs w:val="24"/>
                <w:highlight w:val="none"/>
              </w:rPr>
              <w:t>风机引至1套布袋除尘器</w:t>
            </w:r>
            <w:r>
              <w:rPr>
                <w:rFonts w:hint="eastAsia" w:ascii="宋体" w:hAnsi="宋体" w:eastAsia="宋体" w:cs="宋体"/>
                <w:b w:val="0"/>
                <w:bCs w:val="0"/>
                <w:color w:val="auto"/>
                <w:kern w:val="2"/>
                <w:sz w:val="24"/>
                <w:szCs w:val="24"/>
                <w:highlight w:val="none"/>
                <w:lang w:val="en-US" w:eastAsia="zh-CN"/>
              </w:rPr>
              <w:t>，处理后</w:t>
            </w:r>
            <w:r>
              <w:rPr>
                <w:rFonts w:hint="eastAsia" w:ascii="宋体" w:hAnsi="宋体" w:eastAsia="宋体" w:cs="宋体"/>
                <w:b w:val="0"/>
                <w:bCs w:val="0"/>
                <w:color w:val="auto"/>
                <w:kern w:val="2"/>
                <w:sz w:val="24"/>
                <w:szCs w:val="24"/>
                <w:highlight w:val="none"/>
              </w:rPr>
              <w:t>经排气筒排放</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颗粒物</w:t>
            </w:r>
            <w:r>
              <w:rPr>
                <w:rFonts w:hint="eastAsia" w:ascii="宋体" w:hAnsi="宋体" w:eastAsia="宋体" w:cs="宋体"/>
                <w:b w:val="0"/>
                <w:bCs w:val="0"/>
                <w:color w:val="auto"/>
                <w:kern w:val="2"/>
                <w:sz w:val="24"/>
                <w:szCs w:val="24"/>
                <w:highlight w:val="none"/>
              </w:rPr>
              <w:t>排放</w:t>
            </w:r>
            <w:r>
              <w:rPr>
                <w:rFonts w:hint="eastAsia" w:ascii="宋体" w:hAnsi="宋体" w:eastAsia="宋体" w:cs="宋体"/>
                <w:b w:val="0"/>
                <w:bCs w:val="0"/>
                <w:color w:val="auto"/>
                <w:kern w:val="2"/>
                <w:sz w:val="24"/>
                <w:szCs w:val="24"/>
                <w:highlight w:val="none"/>
                <w:lang w:val="en-US" w:eastAsia="zh-CN"/>
              </w:rPr>
              <w:t>浓度</w:t>
            </w:r>
            <w:r>
              <w:rPr>
                <w:rFonts w:hint="eastAsia" w:ascii="宋体" w:hAnsi="宋体" w:eastAsia="宋体" w:cs="宋体"/>
                <w:b w:val="0"/>
                <w:bCs w:val="0"/>
                <w:color w:val="auto"/>
                <w:kern w:val="2"/>
                <w:sz w:val="24"/>
                <w:szCs w:val="24"/>
                <w:highlight w:val="none"/>
              </w:rPr>
              <w:t>满足</w:t>
            </w:r>
            <w:r>
              <w:rPr>
                <w:rFonts w:hint="eastAsia" w:ascii="宋体" w:hAnsi="宋体" w:eastAsia="宋体" w:cs="宋体"/>
                <w:b w:val="0"/>
                <w:bCs w:val="0"/>
                <w:color w:val="auto"/>
                <w:kern w:val="2"/>
                <w:sz w:val="24"/>
                <w:szCs w:val="24"/>
                <w:highlight w:val="none"/>
                <w:lang w:val="en-US" w:eastAsia="zh-CN"/>
              </w:rPr>
              <w:t>《铸造工业大气污染物排放标准》（GB39726-2020）表1</w:t>
            </w:r>
            <w:r>
              <w:rPr>
                <w:rFonts w:hint="eastAsia" w:ascii="宋体" w:hAnsi="宋体" w:eastAsia="宋体" w:cs="宋体"/>
                <w:b w:val="0"/>
                <w:bCs w:val="0"/>
                <w:color w:val="auto"/>
                <w:kern w:val="2"/>
                <w:sz w:val="24"/>
                <w:szCs w:val="24"/>
                <w:highlight w:val="none"/>
              </w:rPr>
              <w:t>颗粒物排放限值</w:t>
            </w:r>
            <w:r>
              <w:rPr>
                <w:rFonts w:hint="eastAsia" w:ascii="宋体" w:hAnsi="宋体" w:eastAsia="宋体" w:cs="宋体"/>
                <w:b w:val="0"/>
                <w:bCs w:val="0"/>
                <w:color w:val="auto"/>
                <w:kern w:val="2"/>
                <w:sz w:val="24"/>
                <w:szCs w:val="24"/>
                <w:highlight w:val="none"/>
                <w:lang w:val="en-US" w:eastAsia="zh-CN"/>
              </w:rPr>
              <w:t>；非甲烷总烃</w:t>
            </w:r>
            <w:r>
              <w:rPr>
                <w:rFonts w:hint="eastAsia" w:ascii="宋体" w:hAnsi="宋体" w:eastAsia="宋体" w:cs="宋体"/>
                <w:b w:val="0"/>
                <w:bCs w:val="0"/>
                <w:color w:val="auto"/>
                <w:kern w:val="2"/>
                <w:sz w:val="24"/>
                <w:szCs w:val="24"/>
                <w:highlight w:val="none"/>
              </w:rPr>
              <w:t>排放浓度</w:t>
            </w:r>
            <w:r>
              <w:rPr>
                <w:rFonts w:hint="eastAsia" w:ascii="宋体" w:hAnsi="宋体" w:eastAsia="宋体" w:cs="宋体"/>
                <w:b w:val="0"/>
                <w:bCs w:val="0"/>
                <w:color w:val="auto"/>
                <w:kern w:val="2"/>
                <w:sz w:val="24"/>
                <w:szCs w:val="24"/>
                <w:highlight w:val="none"/>
                <w:lang w:val="en-US" w:eastAsia="zh-CN"/>
              </w:rPr>
              <w:t>满足《工业企业挥发性有机物排放控制标准》（DB13/2322-2016）表1其他行业允许排放浓度限值。食堂油烟经净化器</w:t>
            </w:r>
            <w:r>
              <w:rPr>
                <w:rFonts w:hint="eastAsia" w:ascii="宋体" w:hAnsi="宋体" w:eastAsia="宋体" w:cs="宋体"/>
                <w:b w:val="0"/>
                <w:bCs w:val="0"/>
                <w:color w:val="auto"/>
                <w:kern w:val="2"/>
                <w:sz w:val="24"/>
                <w:szCs w:val="24"/>
                <w:highlight w:val="none"/>
                <w:lang w:eastAsia="zh-CN"/>
              </w:rPr>
              <w:t>收集</w:t>
            </w:r>
            <w:r>
              <w:rPr>
                <w:rFonts w:hint="eastAsia" w:ascii="宋体" w:hAnsi="宋体" w:eastAsia="宋体" w:cs="宋体"/>
                <w:b w:val="0"/>
                <w:bCs w:val="0"/>
                <w:color w:val="auto"/>
                <w:kern w:val="2"/>
                <w:sz w:val="24"/>
                <w:szCs w:val="24"/>
                <w:highlight w:val="none"/>
                <w:lang w:val="en-US" w:eastAsia="zh-CN"/>
              </w:rPr>
              <w:t>净化</w:t>
            </w:r>
            <w:r>
              <w:rPr>
                <w:rFonts w:hint="eastAsia" w:ascii="宋体" w:hAnsi="宋体" w:eastAsia="宋体" w:cs="宋体"/>
                <w:b w:val="0"/>
                <w:bCs w:val="0"/>
                <w:color w:val="auto"/>
                <w:kern w:val="2"/>
                <w:sz w:val="24"/>
                <w:szCs w:val="24"/>
                <w:highlight w:val="none"/>
                <w:lang w:eastAsia="zh-CN"/>
              </w:rPr>
              <w:t>后引至楼顶排放，</w:t>
            </w:r>
            <w:r>
              <w:rPr>
                <w:rFonts w:hint="eastAsia" w:ascii="宋体" w:hAnsi="宋体" w:eastAsia="宋体" w:cs="宋体"/>
                <w:b w:val="0"/>
                <w:bCs w:val="0"/>
                <w:color w:val="auto"/>
                <w:kern w:val="2"/>
                <w:sz w:val="24"/>
                <w:szCs w:val="24"/>
                <w:highlight w:val="none"/>
                <w:lang w:val="en-US" w:eastAsia="zh-CN"/>
              </w:rPr>
              <w:t>排放浓度</w:t>
            </w:r>
            <w:r>
              <w:rPr>
                <w:rFonts w:hint="eastAsia" w:ascii="宋体" w:hAnsi="宋体" w:eastAsia="宋体" w:cs="宋体"/>
                <w:b w:val="0"/>
                <w:bCs w:val="0"/>
                <w:color w:val="auto"/>
                <w:kern w:val="2"/>
                <w:sz w:val="24"/>
                <w:szCs w:val="24"/>
                <w:highlight w:val="none"/>
                <w:lang w:eastAsia="zh-CN"/>
              </w:rPr>
              <w:t>满足</w:t>
            </w:r>
            <w:r>
              <w:rPr>
                <w:rFonts w:hint="eastAsia" w:ascii="宋体" w:hAnsi="宋体" w:eastAsia="宋体" w:cs="宋体"/>
                <w:b w:val="0"/>
                <w:bCs w:val="0"/>
                <w:color w:val="auto"/>
                <w:kern w:val="2"/>
                <w:sz w:val="24"/>
                <w:szCs w:val="24"/>
                <w:highlight w:val="none"/>
                <w:lang w:val="en-US" w:eastAsia="zh-CN"/>
              </w:rPr>
              <w:t>《饮食业油烟排放标准》（试行）（GB18483-2001）表2中小型允许排放浓度限值。</w:t>
            </w:r>
          </w:p>
          <w:p w14:paraId="38E01086">
            <w:pPr>
              <w:keepNext w:val="0"/>
              <w:keepLines w:val="0"/>
              <w:pageBreakBefore w:val="0"/>
              <w:widowControl w:val="0"/>
              <w:numPr>
                <w:ilvl w:val="0"/>
                <w:numId w:val="0"/>
              </w:numPr>
              <w:kinsoku/>
              <w:wordWrap/>
              <w:overflowPunct/>
              <w:topLinePunct w:val="0"/>
              <w:autoSpaceDE/>
              <w:autoSpaceDN/>
              <w:bidi w:val="0"/>
              <w:adjustRightInd/>
              <w:snapToGrid/>
              <w:spacing w:afterAutospacing="0" w:line="480" w:lineRule="exact"/>
              <w:ind w:firstLine="480" w:firstLineChars="200"/>
              <w:jc w:val="left"/>
              <w:textAlignment w:val="auto"/>
              <w:rPr>
                <w:rFonts w:hint="eastAsia" w:eastAsia="宋体"/>
                <w:b w:val="0"/>
                <w:color w:val="auto"/>
                <w:sz w:val="24"/>
                <w:szCs w:val="24"/>
                <w:highlight w:val="none"/>
                <w:lang w:val="en-US" w:eastAsia="zh-CN"/>
              </w:rPr>
            </w:pPr>
            <w:r>
              <w:rPr>
                <w:rFonts w:hint="eastAsia" w:eastAsia="宋体"/>
                <w:b w:val="0"/>
                <w:color w:val="auto"/>
                <w:sz w:val="24"/>
                <w:szCs w:val="24"/>
                <w:highlight w:val="none"/>
                <w:lang w:val="en-US" w:eastAsia="zh-CN"/>
              </w:rPr>
              <w:t>2）无组织废气</w:t>
            </w:r>
          </w:p>
          <w:p w14:paraId="08ACAB33">
            <w:pPr>
              <w:keepNext w:val="0"/>
              <w:keepLines w:val="0"/>
              <w:pageBreakBefore w:val="0"/>
              <w:widowControl w:val="0"/>
              <w:numPr>
                <w:ilvl w:val="0"/>
                <w:numId w:val="0"/>
              </w:numPr>
              <w:kinsoku/>
              <w:wordWrap/>
              <w:overflowPunct/>
              <w:topLinePunct w:val="0"/>
              <w:autoSpaceDE/>
              <w:autoSpaceDN/>
              <w:bidi w:val="0"/>
              <w:adjustRightInd/>
              <w:snapToGrid/>
              <w:spacing w:afterAutospacing="0" w:line="480" w:lineRule="exact"/>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rPr>
              <w:t>项目在白模切割过程中会有含非甲烷总烃废气产生，废气经车间通风无组织排放；现有铸造厂房无组织废气主要为未捕集的中频感应电炉废气、浇注颗粒物、非甲烷总烃，废气经车间通风无组织排放；自动化厂房无组织废气主要为未捕集的中频感应电炉废气、浇注颗粒物、非甲烷总烃，废气经车间通风无组织排放；铸造加工厂房无组织废气主要为未捕集的中频感应电炉废气、浇注颗粒物和非甲烷总烃，废气经车间通风无组织排放。颗粒物无组织排放满足《工业炉窑大气污染物排放标准》（DB13/1460-2012）表3企业边界允许排放限值，非甲烷总烃无组织排放满足《工业企业挥发性有机物排放控制标准》（DB13/2322-2016）其它企业边界排放限值要求。</w:t>
            </w:r>
            <w:r>
              <w:rPr>
                <w:rFonts w:hint="default" w:ascii="Times New Roman" w:hAnsi="Times New Roman" w:eastAsia="宋体" w:cs="Times New Roman"/>
                <w:b w:val="0"/>
                <w:color w:val="auto"/>
                <w:kern w:val="2"/>
                <w:sz w:val="24"/>
                <w:szCs w:val="24"/>
                <w:highlight w:val="none"/>
                <w:lang w:val="en-US" w:eastAsia="zh-CN" w:bidi="ar-SA"/>
              </w:rPr>
              <w:t>经核算，</w:t>
            </w:r>
            <w:r>
              <w:rPr>
                <w:rFonts w:hint="default" w:ascii="Times New Roman" w:hAnsi="Times New Roman" w:eastAsia="宋体" w:cs="Times New Roman"/>
                <w:b w:val="0"/>
                <w:color w:val="auto"/>
                <w:kern w:val="2"/>
                <w:sz w:val="24"/>
                <w:szCs w:val="24"/>
                <w:highlight w:val="none"/>
                <w:lang w:val="en-US" w:eastAsia="zh-CN"/>
              </w:rPr>
              <w:t>根据项目检测报告计算，项目颗粒物排放量为1.414t/a</w:t>
            </w:r>
            <w:r>
              <w:rPr>
                <w:rFonts w:hint="default" w:ascii="Times New Roman" w:hAnsi="Times New Roman" w:eastAsia="宋体" w:cs="Times New Roman"/>
                <w:b w:val="0"/>
                <w:color w:val="auto"/>
                <w:kern w:val="2"/>
                <w:sz w:val="24"/>
                <w:szCs w:val="24"/>
                <w:highlight w:val="none"/>
                <w:lang w:val="en-US" w:eastAsia="zh-CN" w:bidi="ar-SA"/>
              </w:rPr>
              <w:t>。</w:t>
            </w:r>
          </w:p>
          <w:p w14:paraId="22851C5E">
            <w:pPr>
              <w:keepNext w:val="0"/>
              <w:keepLines w:val="0"/>
              <w:pageBreakBefore w:val="0"/>
              <w:widowControl w:val="0"/>
              <w:numPr>
                <w:ilvl w:val="0"/>
                <w:numId w:val="0"/>
              </w:numPr>
              <w:kinsoku/>
              <w:wordWrap/>
              <w:overflowPunct/>
              <w:topLinePunct w:val="0"/>
              <w:autoSpaceDE/>
              <w:autoSpaceDN/>
              <w:bidi w:val="0"/>
              <w:adjustRightInd/>
              <w:snapToGrid/>
              <w:spacing w:afterAutospacing="0" w:line="480" w:lineRule="exact"/>
              <w:ind w:firstLine="480" w:firstLineChars="200"/>
              <w:jc w:val="left"/>
              <w:textAlignment w:val="auto"/>
              <w:rPr>
                <w:rFonts w:hint="eastAsia" w:ascii="Times New Roman" w:hAnsi="Times New Roman" w:eastAsia="宋体" w:cs="Times New Roman"/>
                <w:b w:val="0"/>
                <w:color w:val="auto"/>
                <w:sz w:val="24"/>
                <w:szCs w:val="24"/>
                <w:highlight w:val="none"/>
                <w:lang w:eastAsia="zh-CN"/>
              </w:rPr>
            </w:pPr>
            <w:r>
              <w:rPr>
                <w:rFonts w:hint="eastAsia" w:ascii="Times New Roman" w:hAnsi="Times New Roman" w:eastAsia="宋体" w:cs="Times New Roman"/>
                <w:b w:val="0"/>
                <w:color w:val="auto"/>
                <w:sz w:val="24"/>
                <w:szCs w:val="24"/>
                <w:highlight w:val="none"/>
                <w:lang w:eastAsia="zh-CN"/>
              </w:rPr>
              <w:t>②噪声</w:t>
            </w:r>
          </w:p>
          <w:p w14:paraId="6EEC4CF4">
            <w:pPr>
              <w:keepNext w:val="0"/>
              <w:keepLines w:val="0"/>
              <w:pageBreakBefore w:val="0"/>
              <w:widowControl w:val="0"/>
              <w:numPr>
                <w:ilvl w:val="0"/>
                <w:numId w:val="0"/>
              </w:numPr>
              <w:kinsoku/>
              <w:wordWrap/>
              <w:overflowPunct/>
              <w:topLinePunct w:val="0"/>
              <w:autoSpaceDE/>
              <w:autoSpaceDN/>
              <w:bidi w:val="0"/>
              <w:adjustRightInd/>
              <w:snapToGrid/>
              <w:spacing w:afterAutospacing="0" w:line="480" w:lineRule="exact"/>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rPr>
            </w:pPr>
            <w:r>
              <w:rPr>
                <w:rFonts w:hint="default" w:ascii="Times New Roman" w:hAnsi="Times New Roman" w:eastAsia="宋体" w:cs="Times New Roman"/>
                <w:b w:val="0"/>
                <w:color w:val="auto"/>
                <w:sz w:val="24"/>
                <w:szCs w:val="24"/>
                <w:highlight w:val="none"/>
                <w:lang w:eastAsia="zh-CN"/>
              </w:rPr>
              <w:t>全封闭，设备基础减震，车辆设置警示牌，禁止鸣笛。根据</w:t>
            </w:r>
            <w:r>
              <w:rPr>
                <w:rFonts w:hint="default" w:ascii="Times New Roman" w:hAnsi="Times New Roman" w:eastAsia="宋体" w:cs="Times New Roman"/>
                <w:b w:val="0"/>
                <w:color w:val="auto"/>
                <w:sz w:val="24"/>
                <w:szCs w:val="24"/>
                <w:highlight w:val="none"/>
                <w:lang w:val="en-US" w:eastAsia="zh-CN"/>
              </w:rPr>
              <w:t>企业2022年5月24日，对选厂作出的宽城双兴矿山设备制造有限公司年产30000吨矿山设备铸件项目竣工环境验收监测</w:t>
            </w:r>
            <w:r>
              <w:rPr>
                <w:rFonts w:hint="default" w:ascii="Times New Roman" w:hAnsi="Times New Roman" w:eastAsia="宋体" w:cs="Times New Roman"/>
                <w:b w:val="0"/>
                <w:color w:val="auto"/>
                <w:sz w:val="24"/>
                <w:szCs w:val="24"/>
                <w:highlight w:val="none"/>
                <w:lang w:eastAsia="zh-CN"/>
              </w:rPr>
              <w:t>报告（</w:t>
            </w:r>
            <w:r>
              <w:rPr>
                <w:rFonts w:hint="default" w:ascii="Times New Roman" w:hAnsi="Times New Roman" w:eastAsia="宋体" w:cs="Times New Roman"/>
                <w:b w:val="0"/>
                <w:color w:val="auto"/>
                <w:sz w:val="24"/>
                <w:szCs w:val="24"/>
                <w:highlight w:val="none"/>
                <w:lang w:val="en-US" w:eastAsia="zh-CN"/>
              </w:rPr>
              <w:t>HBXY-YS-2203020</w:t>
            </w:r>
            <w:r>
              <w:rPr>
                <w:rFonts w:hint="default" w:ascii="Times New Roman" w:hAnsi="Times New Roman" w:eastAsia="宋体" w:cs="Times New Roman"/>
                <w:b w:val="0"/>
                <w:color w:val="auto"/>
                <w:sz w:val="24"/>
                <w:szCs w:val="24"/>
                <w:highlight w:val="none"/>
                <w:lang w:eastAsia="zh-CN"/>
              </w:rPr>
              <w:t>）可知东、西、北厂界</w:t>
            </w:r>
            <w:r>
              <w:rPr>
                <w:rFonts w:hint="default" w:ascii="Times New Roman" w:hAnsi="Times New Roman" w:eastAsia="宋体" w:cs="Times New Roman"/>
                <w:b w:val="0"/>
                <w:color w:val="auto"/>
                <w:kern w:val="2"/>
                <w:sz w:val="24"/>
                <w:szCs w:val="24"/>
                <w:highlight w:val="none"/>
                <w:lang w:val="en-US" w:eastAsia="zh-CN"/>
              </w:rPr>
              <w:t>检测点位：昼间值为54.0dB～56.7dB，夜间值为43.9dB～45.5dB，符合《工业企业厂界环境噪声排放标准》（GB 12348-2008）2类标准；2#检测点位：昼间值为62.9dB，夜间值为51.0dB～52.7dB，符合《工业企业厂界环境噪声排放标准》（GB 12348-2008）4类标准。</w:t>
            </w:r>
          </w:p>
          <w:p w14:paraId="44AC7FE9">
            <w:pPr>
              <w:pStyle w:val="2"/>
              <w:keepNext w:val="0"/>
              <w:keepLines w:val="0"/>
              <w:pageBreakBefore w:val="0"/>
              <w:widowControl w:val="0"/>
              <w:kinsoku/>
              <w:wordWrap/>
              <w:overflowPunct/>
              <w:topLinePunct w:val="0"/>
              <w:autoSpaceDE/>
              <w:autoSpaceDN/>
              <w:bidi w:val="0"/>
              <w:adjustRightInd w:val="0"/>
              <w:snapToGrid/>
              <w:spacing w:line="480" w:lineRule="exact"/>
              <w:ind w:left="0" w:leftChars="0" w:firstLine="480" w:firstLineChars="200"/>
              <w:jc w:val="left"/>
              <w:textAlignment w:val="auto"/>
              <w:rPr>
                <w:rFonts w:hint="default" w:ascii="Times New Roman" w:hAnsi="Times New Roman" w:eastAsia="宋体" w:cs="Times New Roman"/>
                <w:b w:val="0"/>
                <w:color w:val="auto"/>
                <w:sz w:val="24"/>
                <w:szCs w:val="24"/>
                <w:highlight w:val="none"/>
                <w:lang w:eastAsia="zh-CN"/>
              </w:rPr>
            </w:pPr>
            <w:r>
              <w:rPr>
                <w:rFonts w:hint="default" w:ascii="Times New Roman" w:hAnsi="Times New Roman" w:eastAsia="宋体" w:cs="Times New Roman"/>
                <w:b w:val="0"/>
                <w:color w:val="auto"/>
                <w:sz w:val="24"/>
                <w:szCs w:val="24"/>
                <w:highlight w:val="none"/>
                <w:lang w:eastAsia="zh-CN"/>
              </w:rPr>
              <w:t>③废水</w:t>
            </w:r>
          </w:p>
          <w:p w14:paraId="13262F2F">
            <w:pPr>
              <w:pStyle w:val="11"/>
              <w:keepNext w:val="0"/>
              <w:keepLines w:val="0"/>
              <w:pageBreakBefore w:val="0"/>
              <w:widowControl w:val="0"/>
              <w:kinsoku/>
              <w:wordWrap/>
              <w:overflowPunct/>
              <w:topLinePunct w:val="0"/>
              <w:autoSpaceDE/>
              <w:autoSpaceDN/>
              <w:bidi w:val="0"/>
              <w:adjustRightInd w:val="0"/>
              <w:snapToGrid/>
              <w:spacing w:line="480" w:lineRule="exact"/>
              <w:ind w:firstLine="480" w:firstLineChars="200"/>
              <w:jc w:val="left"/>
              <w:textAlignment w:val="auto"/>
              <w:rPr>
                <w:rFonts w:hint="default" w:ascii="Times New Roman" w:hAnsi="Times New Roman" w:eastAsia="宋体" w:cs="Times New Roman"/>
                <w:b w:val="0"/>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val="en-US" w:eastAsia="zh-CN"/>
              </w:rPr>
              <w:t>生产废水循环利用，不外排；生活污水</w:t>
            </w:r>
            <w:r>
              <w:rPr>
                <w:rFonts w:hint="eastAsia" w:ascii="Times New Roman" w:hAnsi="Times New Roman" w:eastAsia="宋体" w:cs="Times New Roman"/>
                <w:b w:val="0"/>
                <w:bCs/>
                <w:color w:val="auto"/>
                <w:sz w:val="24"/>
                <w:szCs w:val="24"/>
                <w:highlight w:val="none"/>
                <w:lang w:val="en-US" w:eastAsia="zh-CN"/>
              </w:rPr>
              <w:t>排入厂区化粪池预处理后，定期由环卫部门抽取</w:t>
            </w:r>
            <w:r>
              <w:rPr>
                <w:rFonts w:hint="default" w:ascii="Times New Roman" w:hAnsi="Times New Roman" w:eastAsia="宋体" w:cs="Times New Roman"/>
                <w:b w:val="0"/>
                <w:bCs/>
                <w:color w:val="auto"/>
                <w:sz w:val="24"/>
                <w:szCs w:val="24"/>
                <w:highlight w:val="none"/>
                <w:lang w:val="en-US" w:eastAsia="zh-CN"/>
              </w:rPr>
              <w:t>。</w:t>
            </w:r>
          </w:p>
          <w:p w14:paraId="0C11F16F">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④固废</w:t>
            </w:r>
          </w:p>
          <w:p w14:paraId="4FDACA9B">
            <w:pPr>
              <w:pStyle w:val="11"/>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公司使用的原辅材料主要成分是铁，产生的固体废物主要是不合格铸件、炉渣、废炉衬、废铸造砂、除尘器尘灰和职工生活垃圾。不合格铸件返回工艺回收利用，炉渣、废砂、除尘器尘灰、废炉衬收集后外售，生活垃圾交由环卫部门处理，各固体废物均得到了合理的处置</w:t>
            </w:r>
            <w:r>
              <w:rPr>
                <w:rFonts w:hint="eastAsia" w:ascii="Times New Roman" w:hAnsi="Times New Roman" w:eastAsia="宋体" w:cs="Times New Roman"/>
                <w:b w:val="0"/>
                <w:bCs/>
                <w:color w:val="auto"/>
                <w:sz w:val="24"/>
                <w:szCs w:val="24"/>
                <w:highlight w:val="none"/>
                <w:lang w:val="en-US" w:eastAsia="zh-CN"/>
              </w:rPr>
              <w:t>。</w:t>
            </w:r>
          </w:p>
          <w:p w14:paraId="2A58A5EE">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80" w:lineRule="exact"/>
              <w:ind w:leftChars="200"/>
              <w:jc w:val="both"/>
              <w:textAlignment w:val="auto"/>
              <w:rPr>
                <w:rFonts w:hint="eastAsia"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b w:val="0"/>
                <w:bCs/>
                <w:color w:val="auto"/>
                <w:sz w:val="24"/>
                <w:szCs w:val="24"/>
                <w:highlight w:val="none"/>
                <w:lang w:val="en-US" w:eastAsia="zh-CN"/>
              </w:rPr>
              <w:t>⑤</w:t>
            </w:r>
            <w:r>
              <w:rPr>
                <w:rFonts w:hint="eastAsia" w:ascii="Times New Roman" w:hAnsi="Times New Roman" w:eastAsia="宋体" w:cs="Times New Roman"/>
                <w:color w:val="auto"/>
                <w:sz w:val="24"/>
                <w:highlight w:val="none"/>
                <w:vertAlign w:val="baseline"/>
                <w:lang w:val="en-US" w:eastAsia="zh-CN"/>
              </w:rPr>
              <w:t>土壤和地下水</w:t>
            </w:r>
          </w:p>
          <w:p w14:paraId="0725053D">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80" w:lineRule="exact"/>
              <w:ind w:firstLine="512" w:firstLineChars="200"/>
              <w:jc w:val="both"/>
              <w:textAlignment w:val="auto"/>
              <w:rPr>
                <w:rFonts w:hint="eastAsia" w:ascii="Times New Roman" w:hAnsi="Times New Roman" w:eastAsia="宋体" w:cs="Times New Roman"/>
                <w:b w:val="0"/>
                <w:bCs w:val="0"/>
                <w:color w:val="auto"/>
                <w:spacing w:val="0"/>
                <w:w w:val="100"/>
                <w:kern w:val="0"/>
                <w:position w:val="0"/>
                <w:sz w:val="24"/>
                <w:szCs w:val="22"/>
                <w:highlight w:val="none"/>
                <w:lang w:val="en-US" w:eastAsia="zh-CN"/>
              </w:rPr>
            </w:pPr>
            <w:r>
              <w:rPr>
                <w:rFonts w:hint="eastAsia" w:ascii="Times New Roman" w:hAnsi="Times New Roman" w:eastAsia="宋体" w:cs="Times New Roman"/>
                <w:color w:val="auto"/>
                <w:sz w:val="24"/>
                <w:szCs w:val="24"/>
                <w:highlight w:val="none"/>
                <w:vertAlign w:val="baseline"/>
                <w:lang w:val="en-US" w:eastAsia="zh-CN"/>
              </w:rPr>
              <w:t>根据《建设项目环境影响报告表编制技术指南》（污染影响类）（试行）要求，原则上不开展环境质量现状调查。项目生产过程废水</w:t>
            </w:r>
            <w:r>
              <w:rPr>
                <w:rFonts w:hint="eastAsia" w:cs="Times New Roman"/>
                <w:color w:val="auto"/>
                <w:sz w:val="24"/>
                <w:szCs w:val="24"/>
                <w:highlight w:val="none"/>
                <w:vertAlign w:val="baseline"/>
                <w:lang w:val="en-US" w:eastAsia="zh-CN"/>
              </w:rPr>
              <w:t>部分蒸发，剩余</w:t>
            </w:r>
            <w:r>
              <w:rPr>
                <w:rFonts w:hint="eastAsia" w:ascii="Times New Roman" w:hAnsi="Times New Roman" w:eastAsia="宋体" w:cs="Times New Roman"/>
                <w:color w:val="auto"/>
                <w:sz w:val="24"/>
                <w:szCs w:val="24"/>
                <w:highlight w:val="none"/>
                <w:vertAlign w:val="baseline"/>
                <w:lang w:val="en-US" w:eastAsia="zh-CN"/>
              </w:rPr>
              <w:t>循环利用不外排，生活废水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eastAsia" w:ascii="Times New Roman" w:hAnsi="Times New Roman" w:eastAsia="宋体" w:cs="Times New Roman"/>
                <w:color w:val="auto"/>
                <w:sz w:val="24"/>
                <w:szCs w:val="24"/>
                <w:highlight w:val="none"/>
                <w:vertAlign w:val="baseline"/>
                <w:lang w:val="en-US" w:eastAsia="zh-CN"/>
              </w:rPr>
              <w:t>；厂区采取分区防渗，危险废物贮存间做好防渗措施，因此本项目对土壤和地下水污染途径极少。</w:t>
            </w:r>
          </w:p>
          <w:p w14:paraId="710A26B9">
            <w:pPr>
              <w:keepNext w:val="0"/>
              <w:keepLines w:val="0"/>
              <w:pageBreakBefore w:val="0"/>
              <w:widowControl w:val="0"/>
              <w:shd w:val="clear" w:color="auto" w:fill="auto"/>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olor w:val="auto"/>
                <w:sz w:val="24"/>
                <w:szCs w:val="24"/>
                <w:highlight w:val="none"/>
                <w:lang w:eastAsia="zh-CN"/>
              </w:rPr>
            </w:pPr>
            <w:r>
              <w:rPr>
                <w:rFonts w:hint="default" w:ascii="Times New Roman" w:hAnsi="Times New Roman" w:eastAsia="宋体" w:cs="Times New Roman"/>
                <w:color w:val="auto"/>
                <w:sz w:val="24"/>
                <w:highlight w:val="none"/>
              </w:rPr>
              <w:t>综上可知，项目已按原环评及批复要求进行了环境保护设施建设，根据监测结果可知，该项目废气、噪声</w:t>
            </w:r>
            <w:r>
              <w:rPr>
                <w:rFonts w:hint="eastAsia" w:ascii="Times New Roman" w:hAnsi="Times New Roman" w:eastAsia="宋体" w:cs="Times New Roman"/>
                <w:color w:val="auto"/>
                <w:sz w:val="24"/>
                <w:highlight w:val="none"/>
                <w:lang w:eastAsia="zh-CN"/>
              </w:rPr>
              <w:t>、固废</w:t>
            </w:r>
            <w:r>
              <w:rPr>
                <w:rFonts w:hint="default" w:ascii="Times New Roman" w:hAnsi="Times New Roman" w:eastAsia="宋体" w:cs="Times New Roman"/>
                <w:color w:val="auto"/>
                <w:sz w:val="24"/>
                <w:highlight w:val="none"/>
              </w:rPr>
              <w:t>等污染物均可实现达标排放。</w:t>
            </w:r>
          </w:p>
          <w:p w14:paraId="7A208FF6">
            <w:pPr>
              <w:pStyle w:val="2"/>
              <w:keepNext w:val="0"/>
              <w:keepLines w:val="0"/>
              <w:pageBreakBefore w:val="0"/>
              <w:widowControl w:val="0"/>
              <w:kinsoku/>
              <w:wordWrap/>
              <w:overflowPunct/>
              <w:topLinePunct w:val="0"/>
              <w:bidi w:val="0"/>
              <w:spacing w:line="480" w:lineRule="exact"/>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eastAsia="zh-CN"/>
              </w:rPr>
              <w:t>⑥</w:t>
            </w:r>
            <w:r>
              <w:rPr>
                <w:rFonts w:hint="eastAsia" w:ascii="Times New Roman" w:hAnsi="Times New Roman" w:eastAsia="宋体" w:cs="Times New Roman"/>
                <w:color w:val="auto"/>
                <w:sz w:val="24"/>
                <w:szCs w:val="24"/>
                <w:highlight w:val="none"/>
                <w:lang w:eastAsia="zh-CN"/>
              </w:rPr>
              <w:t>原有项目污染物排放汇总</w:t>
            </w:r>
          </w:p>
          <w:p w14:paraId="37B16A14">
            <w:pPr>
              <w:pStyle w:val="2"/>
              <w:keepNext w:val="0"/>
              <w:keepLines w:val="0"/>
              <w:pageBreakBefore w:val="0"/>
              <w:widowControl w:val="0"/>
              <w:numPr>
                <w:ilvl w:val="0"/>
                <w:numId w:val="0"/>
              </w:numPr>
              <w:kinsoku/>
              <w:wordWrap/>
              <w:overflowPunct/>
              <w:topLinePunct w:val="0"/>
              <w:bidi w:val="0"/>
              <w:spacing w:line="480" w:lineRule="exact"/>
              <w:ind w:leftChars="200"/>
              <w:jc w:val="center"/>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表</w:t>
            </w:r>
            <w:r>
              <w:rPr>
                <w:rFonts w:hint="eastAsia" w:ascii="Times New Roman" w:hAnsi="Times New Roman" w:eastAsia="宋体" w:cs="Times New Roman"/>
                <w:color w:val="auto"/>
                <w:sz w:val="24"/>
                <w:highlight w:val="none"/>
                <w:lang w:val="en-US" w:eastAsia="zh-CN"/>
              </w:rPr>
              <w:t xml:space="preserve">2-11  </w:t>
            </w:r>
            <w:r>
              <w:rPr>
                <w:rFonts w:hint="eastAsia" w:ascii="Times New Roman" w:hAnsi="Times New Roman" w:eastAsia="宋体" w:cs="Times New Roman"/>
                <w:color w:val="auto"/>
                <w:sz w:val="24"/>
                <w:highlight w:val="none"/>
                <w:lang w:eastAsia="zh-CN"/>
              </w:rPr>
              <w:t>污染物排放汇总表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2996"/>
              <w:gridCol w:w="3370"/>
            </w:tblGrid>
            <w:tr w14:paraId="4AEB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noWrap w:val="0"/>
                  <w:vAlign w:val="center"/>
                </w:tcPr>
                <w:p w14:paraId="2D2B51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类别</w:t>
                  </w:r>
                </w:p>
              </w:tc>
              <w:tc>
                <w:tcPr>
                  <w:tcW w:w="1888" w:type="pct"/>
                  <w:noWrap w:val="0"/>
                  <w:vAlign w:val="center"/>
                </w:tcPr>
                <w:p w14:paraId="15921A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污染物</w:t>
                  </w:r>
                </w:p>
              </w:tc>
              <w:tc>
                <w:tcPr>
                  <w:tcW w:w="2123" w:type="pct"/>
                  <w:noWrap w:val="0"/>
                  <w:vAlign w:val="center"/>
                </w:tcPr>
                <w:p w14:paraId="43854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原有项目</w:t>
                  </w:r>
                  <w:r>
                    <w:rPr>
                      <w:rFonts w:hint="default" w:ascii="Times New Roman" w:hAnsi="Times New Roman" w:eastAsia="宋体" w:cs="Times New Roman"/>
                      <w:b/>
                      <w:bCs/>
                      <w:color w:val="auto"/>
                      <w:kern w:val="0"/>
                      <w:sz w:val="21"/>
                      <w:szCs w:val="21"/>
                      <w:highlight w:val="none"/>
                      <w:vertAlign w:val="baseline"/>
                      <w:lang w:val="en-US" w:eastAsia="zh-CN"/>
                    </w:rPr>
                    <w:t>排放量（</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kern w:val="0"/>
                      <w:sz w:val="21"/>
                      <w:szCs w:val="21"/>
                      <w:highlight w:val="none"/>
                      <w:vertAlign w:val="baseline"/>
                      <w:lang w:val="en-US" w:eastAsia="zh-CN"/>
                    </w:rPr>
                    <w:t>）</w:t>
                  </w:r>
                </w:p>
              </w:tc>
            </w:tr>
            <w:tr w14:paraId="7D09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restart"/>
                  <w:noWrap w:val="0"/>
                  <w:vAlign w:val="center"/>
                </w:tcPr>
                <w:p w14:paraId="1A67B4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废气</w:t>
                  </w:r>
                </w:p>
              </w:tc>
              <w:tc>
                <w:tcPr>
                  <w:tcW w:w="1888" w:type="pct"/>
                  <w:noWrap w:val="0"/>
                  <w:vAlign w:val="center"/>
                </w:tcPr>
                <w:p w14:paraId="053EA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颗粒物</w:t>
                  </w:r>
                </w:p>
              </w:tc>
              <w:tc>
                <w:tcPr>
                  <w:tcW w:w="2123" w:type="pct"/>
                  <w:noWrap w:val="0"/>
                  <w:vAlign w:val="center"/>
                </w:tcPr>
                <w:p w14:paraId="23174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1.414</w:t>
                  </w:r>
                </w:p>
              </w:tc>
            </w:tr>
            <w:tr w14:paraId="2EE7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8D164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4135C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SO</w:t>
                  </w:r>
                  <w:r>
                    <w:rPr>
                      <w:rFonts w:hint="default" w:ascii="Times New Roman" w:hAnsi="Times New Roman" w:eastAsia="宋体" w:cs="Times New Roman"/>
                      <w:b w:val="0"/>
                      <w:bCs w:val="0"/>
                      <w:color w:val="auto"/>
                      <w:kern w:val="0"/>
                      <w:sz w:val="21"/>
                      <w:szCs w:val="21"/>
                      <w:highlight w:val="none"/>
                      <w:vertAlign w:val="subscript"/>
                      <w:lang w:val="en-US" w:eastAsia="zh-CN"/>
                    </w:rPr>
                    <w:t>2</w:t>
                  </w:r>
                </w:p>
              </w:tc>
              <w:tc>
                <w:tcPr>
                  <w:tcW w:w="2123" w:type="pct"/>
                  <w:noWrap w:val="0"/>
                  <w:vAlign w:val="center"/>
                </w:tcPr>
                <w:p w14:paraId="4889A9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0</w:t>
                  </w:r>
                </w:p>
              </w:tc>
            </w:tr>
            <w:tr w14:paraId="6F1B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2D51F5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5B62D6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NO</w:t>
                  </w:r>
                  <w:r>
                    <w:rPr>
                      <w:rFonts w:hint="default" w:ascii="Times New Roman" w:hAnsi="Times New Roman" w:eastAsia="宋体" w:cs="Times New Roman"/>
                      <w:b w:val="0"/>
                      <w:bCs w:val="0"/>
                      <w:color w:val="auto"/>
                      <w:kern w:val="0"/>
                      <w:sz w:val="21"/>
                      <w:szCs w:val="21"/>
                      <w:highlight w:val="none"/>
                      <w:vertAlign w:val="subscript"/>
                      <w:lang w:val="en-US" w:eastAsia="zh-CN"/>
                    </w:rPr>
                    <w:t>X</w:t>
                  </w:r>
                </w:p>
              </w:tc>
              <w:tc>
                <w:tcPr>
                  <w:tcW w:w="2123" w:type="pct"/>
                  <w:noWrap w:val="0"/>
                  <w:vAlign w:val="center"/>
                </w:tcPr>
                <w:p w14:paraId="3948BE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0</w:t>
                  </w:r>
                </w:p>
              </w:tc>
            </w:tr>
            <w:tr w14:paraId="3D28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restart"/>
                  <w:noWrap w:val="0"/>
                  <w:vAlign w:val="center"/>
                </w:tcPr>
                <w:p w14:paraId="166CF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废水</w:t>
                  </w:r>
                </w:p>
              </w:tc>
              <w:tc>
                <w:tcPr>
                  <w:tcW w:w="1888" w:type="pct"/>
                  <w:noWrap w:val="0"/>
                  <w:vAlign w:val="center"/>
                </w:tcPr>
                <w:p w14:paraId="01C4B9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COD</w:t>
                  </w:r>
                </w:p>
              </w:tc>
              <w:tc>
                <w:tcPr>
                  <w:tcW w:w="2123" w:type="pct"/>
                  <w:noWrap w:val="0"/>
                  <w:vAlign w:val="center"/>
                </w:tcPr>
                <w:p w14:paraId="2C2D3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14:paraId="58C8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5DB7E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74FEDA39">
                  <w:pPr>
                    <w:spacing w:line="360" w:lineRule="exact"/>
                    <w:jc w:val="center"/>
                    <w:rPr>
                      <w:rFonts w:hint="default" w:ascii="Times New Roman" w:hAnsi="宋体" w:cs="Times New Roman"/>
                      <w:bCs/>
                      <w:color w:val="auto"/>
                      <w:kern w:val="2"/>
                      <w:sz w:val="21"/>
                      <w:szCs w:val="21"/>
                      <w:highlight w:val="none"/>
                      <w:lang w:val="en-US" w:eastAsia="zh-CN" w:bidi="ar-SA"/>
                    </w:rPr>
                  </w:pPr>
                  <w:r>
                    <w:rPr>
                      <w:rFonts w:ascii="Times New Roman" w:hAnsi="宋体" w:cs="Times New Roman"/>
                      <w:bCs/>
                      <w:color w:val="auto"/>
                      <w:sz w:val="21"/>
                      <w:szCs w:val="21"/>
                      <w:highlight w:val="none"/>
                    </w:rPr>
                    <w:t>BOD</w:t>
                  </w:r>
                  <w:r>
                    <w:rPr>
                      <w:rFonts w:hint="eastAsia" w:ascii="Times New Roman" w:hAnsi="宋体" w:cs="Times New Roman"/>
                      <w:bCs/>
                      <w:color w:val="auto"/>
                      <w:sz w:val="21"/>
                      <w:szCs w:val="21"/>
                      <w:highlight w:val="none"/>
                      <w:vertAlign w:val="subscript"/>
                    </w:rPr>
                    <w:t>5</w:t>
                  </w:r>
                </w:p>
              </w:tc>
              <w:tc>
                <w:tcPr>
                  <w:tcW w:w="2123" w:type="pct"/>
                  <w:noWrap w:val="0"/>
                  <w:vAlign w:val="center"/>
                </w:tcPr>
                <w:p w14:paraId="79AA55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14:paraId="52F6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12F26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1766564E">
                  <w:pPr>
                    <w:spacing w:line="360" w:lineRule="exact"/>
                    <w:jc w:val="center"/>
                    <w:rPr>
                      <w:rFonts w:hint="default" w:ascii="Times New Roman" w:hAnsi="宋体" w:cs="Times New Roman"/>
                      <w:bCs/>
                      <w:color w:val="auto"/>
                      <w:kern w:val="2"/>
                      <w:sz w:val="21"/>
                      <w:szCs w:val="21"/>
                      <w:highlight w:val="none"/>
                      <w:lang w:val="en-US" w:eastAsia="zh-CN" w:bidi="ar-SA"/>
                    </w:rPr>
                  </w:pPr>
                  <w:r>
                    <w:rPr>
                      <w:rFonts w:ascii="Times New Roman" w:hAnsi="宋体" w:cs="Times New Roman"/>
                      <w:bCs/>
                      <w:color w:val="auto"/>
                      <w:sz w:val="21"/>
                      <w:szCs w:val="21"/>
                      <w:highlight w:val="none"/>
                    </w:rPr>
                    <w:t>SS</w:t>
                  </w:r>
                </w:p>
              </w:tc>
              <w:tc>
                <w:tcPr>
                  <w:tcW w:w="2123" w:type="pct"/>
                  <w:noWrap w:val="0"/>
                  <w:vAlign w:val="center"/>
                </w:tcPr>
                <w:p w14:paraId="183B5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14:paraId="5470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3E46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2A4ED0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氨氮</w:t>
                  </w:r>
                </w:p>
              </w:tc>
              <w:tc>
                <w:tcPr>
                  <w:tcW w:w="2123" w:type="pct"/>
                  <w:noWrap w:val="0"/>
                  <w:vAlign w:val="center"/>
                </w:tcPr>
                <w:p w14:paraId="62665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14:paraId="1A67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87" w:type="pct"/>
                  <w:vMerge w:val="restart"/>
                  <w:noWrap w:val="0"/>
                  <w:vAlign w:val="center"/>
                </w:tcPr>
                <w:p w14:paraId="55C348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固体废物</w:t>
                  </w:r>
                </w:p>
              </w:tc>
              <w:tc>
                <w:tcPr>
                  <w:tcW w:w="1888" w:type="pct"/>
                  <w:noWrap w:val="0"/>
                  <w:vAlign w:val="center"/>
                </w:tcPr>
                <w:p w14:paraId="5F1E4F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生活垃圾</w:t>
                  </w:r>
                </w:p>
              </w:tc>
              <w:tc>
                <w:tcPr>
                  <w:tcW w:w="2123" w:type="pct"/>
                  <w:noWrap w:val="0"/>
                  <w:vAlign w:val="center"/>
                </w:tcPr>
                <w:p w14:paraId="53AC3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18</w:t>
                  </w:r>
                </w:p>
              </w:tc>
            </w:tr>
            <w:tr w14:paraId="47E2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7" w:type="pct"/>
                  <w:vMerge w:val="continue"/>
                  <w:noWrap w:val="0"/>
                  <w:vAlign w:val="center"/>
                </w:tcPr>
                <w:p w14:paraId="1B979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21F6C038">
                  <w:pPr>
                    <w:spacing w:line="360" w:lineRule="exact"/>
                    <w:jc w:val="center"/>
                    <w:rPr>
                      <w:rFonts w:hint="default" w:hAnsi="宋体"/>
                      <w:bCs/>
                      <w:color w:val="auto"/>
                      <w:kern w:val="2"/>
                      <w:sz w:val="21"/>
                      <w:szCs w:val="21"/>
                      <w:highlight w:val="none"/>
                      <w:lang w:val="en-US" w:eastAsia="zh-CN" w:bidi="ar-SA"/>
                    </w:rPr>
                  </w:pPr>
                  <w:r>
                    <w:rPr>
                      <w:rFonts w:hint="eastAsia" w:hAnsi="宋体"/>
                      <w:bCs/>
                      <w:color w:val="auto"/>
                      <w:sz w:val="21"/>
                      <w:szCs w:val="21"/>
                      <w:highlight w:val="none"/>
                    </w:rPr>
                    <w:t>炉渣</w:t>
                  </w:r>
                </w:p>
              </w:tc>
              <w:tc>
                <w:tcPr>
                  <w:tcW w:w="2123" w:type="pct"/>
                  <w:noWrap w:val="0"/>
                  <w:vAlign w:val="center"/>
                </w:tcPr>
                <w:p w14:paraId="02935DFE">
                  <w:pPr>
                    <w:spacing w:line="360" w:lineRule="exact"/>
                    <w:jc w:val="center"/>
                    <w:rPr>
                      <w:rFonts w:hint="default" w:hAnsi="宋体"/>
                      <w:bCs/>
                      <w:color w:val="auto"/>
                      <w:kern w:val="2"/>
                      <w:sz w:val="21"/>
                      <w:szCs w:val="21"/>
                      <w:highlight w:val="none"/>
                      <w:lang w:val="en-US" w:eastAsia="zh-CN" w:bidi="ar-SA"/>
                    </w:rPr>
                  </w:pPr>
                  <w:r>
                    <w:rPr>
                      <w:rFonts w:hint="eastAsia" w:hAnsi="宋体"/>
                      <w:bCs/>
                      <w:color w:val="auto"/>
                      <w:sz w:val="21"/>
                      <w:szCs w:val="21"/>
                      <w:highlight w:val="none"/>
                      <w:lang w:val="en-US" w:eastAsia="zh-CN"/>
                    </w:rPr>
                    <w:t>1</w:t>
                  </w:r>
                  <w:r>
                    <w:rPr>
                      <w:rFonts w:hint="eastAsia" w:hAnsi="宋体"/>
                      <w:bCs/>
                      <w:color w:val="auto"/>
                      <w:sz w:val="21"/>
                      <w:szCs w:val="21"/>
                      <w:highlight w:val="none"/>
                    </w:rPr>
                    <w:t>500</w:t>
                  </w:r>
                </w:p>
              </w:tc>
            </w:tr>
            <w:tr w14:paraId="381F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31D0B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2F0546C3">
                  <w:pPr>
                    <w:spacing w:line="360" w:lineRule="exact"/>
                    <w:jc w:val="center"/>
                    <w:rPr>
                      <w:rFonts w:hint="default" w:hAnsi="宋体"/>
                      <w:bCs/>
                      <w:color w:val="auto"/>
                      <w:kern w:val="2"/>
                      <w:sz w:val="21"/>
                      <w:szCs w:val="21"/>
                      <w:highlight w:val="none"/>
                      <w:lang w:val="en-US" w:eastAsia="zh-CN" w:bidi="ar-SA"/>
                    </w:rPr>
                  </w:pPr>
                  <w:r>
                    <w:rPr>
                      <w:rFonts w:hint="eastAsia" w:hAnsi="宋体"/>
                      <w:bCs/>
                      <w:color w:val="auto"/>
                      <w:sz w:val="21"/>
                      <w:szCs w:val="21"/>
                      <w:highlight w:val="none"/>
                      <w:lang w:val="en-US" w:eastAsia="zh-CN"/>
                    </w:rPr>
                    <w:t>废炉衬</w:t>
                  </w:r>
                </w:p>
              </w:tc>
              <w:tc>
                <w:tcPr>
                  <w:tcW w:w="2123" w:type="pct"/>
                  <w:noWrap w:val="0"/>
                  <w:vAlign w:val="center"/>
                </w:tcPr>
                <w:p w14:paraId="4F911985">
                  <w:pPr>
                    <w:spacing w:line="360" w:lineRule="exact"/>
                    <w:jc w:val="center"/>
                    <w:rPr>
                      <w:rFonts w:hint="default" w:hAnsi="宋体"/>
                      <w:bCs/>
                      <w:color w:val="auto"/>
                      <w:kern w:val="2"/>
                      <w:sz w:val="21"/>
                      <w:szCs w:val="21"/>
                      <w:highlight w:val="none"/>
                      <w:lang w:val="en-US" w:eastAsia="zh-CN" w:bidi="ar-SA"/>
                    </w:rPr>
                  </w:pPr>
                  <w:r>
                    <w:rPr>
                      <w:rFonts w:hint="eastAsia" w:hAnsi="宋体"/>
                      <w:bCs/>
                      <w:color w:val="auto"/>
                      <w:sz w:val="21"/>
                      <w:szCs w:val="21"/>
                      <w:highlight w:val="none"/>
                      <w:lang w:val="en-US" w:eastAsia="zh-CN"/>
                    </w:rPr>
                    <w:t>75</w:t>
                  </w:r>
                </w:p>
              </w:tc>
            </w:tr>
            <w:tr w14:paraId="460D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7A7E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0CF759E6">
                  <w:pPr>
                    <w:spacing w:line="360" w:lineRule="exact"/>
                    <w:jc w:val="center"/>
                    <w:rPr>
                      <w:rFonts w:hint="default" w:hAnsi="宋体"/>
                      <w:bCs/>
                      <w:color w:val="auto"/>
                      <w:kern w:val="2"/>
                      <w:sz w:val="21"/>
                      <w:szCs w:val="21"/>
                      <w:highlight w:val="none"/>
                      <w:lang w:val="en-US" w:eastAsia="zh-CN" w:bidi="ar-SA"/>
                    </w:rPr>
                  </w:pPr>
                  <w:r>
                    <w:rPr>
                      <w:rFonts w:hint="eastAsia" w:hAnsi="宋体"/>
                      <w:bCs/>
                      <w:color w:val="auto"/>
                      <w:sz w:val="21"/>
                      <w:szCs w:val="21"/>
                      <w:highlight w:val="none"/>
                      <w:lang w:val="en-US" w:eastAsia="zh-CN"/>
                    </w:rPr>
                    <w:t>尘灰</w:t>
                  </w:r>
                </w:p>
              </w:tc>
              <w:tc>
                <w:tcPr>
                  <w:tcW w:w="2123" w:type="pct"/>
                  <w:noWrap w:val="0"/>
                  <w:vAlign w:val="center"/>
                </w:tcPr>
                <w:p w14:paraId="114658C0">
                  <w:pPr>
                    <w:spacing w:line="360" w:lineRule="exact"/>
                    <w:jc w:val="center"/>
                    <w:rPr>
                      <w:rFonts w:hint="default" w:hAnsi="宋体"/>
                      <w:bCs/>
                      <w:color w:val="auto"/>
                      <w:kern w:val="2"/>
                      <w:sz w:val="21"/>
                      <w:szCs w:val="21"/>
                      <w:highlight w:val="none"/>
                      <w:lang w:val="en-US" w:eastAsia="zh-CN" w:bidi="ar-SA"/>
                    </w:rPr>
                  </w:pPr>
                  <w:r>
                    <w:rPr>
                      <w:rFonts w:hint="eastAsia"/>
                      <w:color w:val="auto"/>
                      <w:sz w:val="21"/>
                      <w:szCs w:val="21"/>
                      <w:highlight w:val="none"/>
                      <w:lang w:val="en-US" w:eastAsia="zh-CN"/>
                    </w:rPr>
                    <w:t>289.93</w:t>
                  </w:r>
                </w:p>
              </w:tc>
            </w:tr>
            <w:tr w14:paraId="183D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pct"/>
                  <w:vMerge w:val="continue"/>
                  <w:noWrap w:val="0"/>
                  <w:vAlign w:val="center"/>
                </w:tcPr>
                <w:p w14:paraId="34EC1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6DF0715D">
                  <w:pPr>
                    <w:spacing w:line="360" w:lineRule="exact"/>
                    <w:jc w:val="center"/>
                    <w:rPr>
                      <w:rFonts w:hint="default" w:ascii="Times New Roman" w:hAnsi="宋体" w:eastAsia="宋体" w:cs="Times New Roman"/>
                      <w:bCs/>
                      <w:color w:val="auto"/>
                      <w:kern w:val="2"/>
                      <w:sz w:val="21"/>
                      <w:szCs w:val="21"/>
                      <w:highlight w:val="none"/>
                      <w:lang w:val="en-US" w:eastAsia="zh-CN" w:bidi="ar-SA"/>
                    </w:rPr>
                  </w:pPr>
                  <w:r>
                    <w:rPr>
                      <w:rFonts w:hint="eastAsia" w:hAnsi="宋体"/>
                      <w:bCs/>
                      <w:color w:val="auto"/>
                      <w:sz w:val="21"/>
                      <w:szCs w:val="21"/>
                      <w:highlight w:val="none"/>
                    </w:rPr>
                    <w:t>废砂</w:t>
                  </w:r>
                </w:p>
              </w:tc>
              <w:tc>
                <w:tcPr>
                  <w:tcW w:w="2123" w:type="pct"/>
                  <w:noWrap w:val="0"/>
                  <w:vAlign w:val="center"/>
                </w:tcPr>
                <w:p w14:paraId="4F1BC86D">
                  <w:pPr>
                    <w:spacing w:line="360" w:lineRule="exact"/>
                    <w:jc w:val="center"/>
                    <w:rPr>
                      <w:rFonts w:hint="default" w:ascii="Times New Roman" w:hAnsi="宋体" w:eastAsia="宋体" w:cs="Times New Roman"/>
                      <w:bCs/>
                      <w:color w:val="auto"/>
                      <w:kern w:val="2"/>
                      <w:sz w:val="21"/>
                      <w:szCs w:val="21"/>
                      <w:highlight w:val="none"/>
                      <w:lang w:val="en-US" w:eastAsia="zh-CN" w:bidi="ar-SA"/>
                    </w:rPr>
                  </w:pPr>
                  <w:r>
                    <w:rPr>
                      <w:rFonts w:hint="eastAsia"/>
                      <w:color w:val="auto"/>
                      <w:sz w:val="21"/>
                      <w:szCs w:val="21"/>
                      <w:highlight w:val="none"/>
                      <w:lang w:val="en-US" w:eastAsia="zh-CN"/>
                    </w:rPr>
                    <w:t>2975</w:t>
                  </w:r>
                </w:p>
              </w:tc>
            </w:tr>
            <w:tr w14:paraId="19C0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117F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658C8CF9">
                  <w:pPr>
                    <w:spacing w:line="360" w:lineRule="exact"/>
                    <w:jc w:val="center"/>
                    <w:rPr>
                      <w:rFonts w:hint="eastAsia" w:hAnsi="宋体"/>
                      <w:bCs/>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铁屑、下脚料</w:t>
                  </w:r>
                </w:p>
              </w:tc>
              <w:tc>
                <w:tcPr>
                  <w:tcW w:w="2123" w:type="pct"/>
                  <w:noWrap w:val="0"/>
                  <w:vAlign w:val="center"/>
                </w:tcPr>
                <w:p w14:paraId="67D5BFFA">
                  <w:pPr>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90</w:t>
                  </w:r>
                </w:p>
              </w:tc>
            </w:tr>
            <w:tr w14:paraId="034F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688CF7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25D406C1">
                  <w:pPr>
                    <w:spacing w:line="360" w:lineRule="exact"/>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eastAsia="宋体" w:cs="Times New Roman"/>
                      <w:b w:val="0"/>
                      <w:bCs w:val="0"/>
                      <w:color w:val="auto"/>
                      <w:sz w:val="21"/>
                      <w:szCs w:val="21"/>
                      <w:highlight w:val="none"/>
                      <w:lang w:val="en-US" w:eastAsia="zh-CN"/>
                    </w:rPr>
                    <w:t>白模切割边角料</w:t>
                  </w:r>
                </w:p>
              </w:tc>
              <w:tc>
                <w:tcPr>
                  <w:tcW w:w="2123" w:type="pct"/>
                  <w:noWrap w:val="0"/>
                  <w:vAlign w:val="center"/>
                </w:tcPr>
                <w:p w14:paraId="611121C0">
                  <w:pPr>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8.359</w:t>
                  </w:r>
                </w:p>
              </w:tc>
            </w:tr>
            <w:tr w14:paraId="4F29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pct"/>
                  <w:vMerge w:val="continue"/>
                  <w:noWrap w:val="0"/>
                  <w:vAlign w:val="center"/>
                </w:tcPr>
                <w:p w14:paraId="7A8C08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6CE4B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废润滑油</w:t>
                  </w:r>
                </w:p>
              </w:tc>
              <w:tc>
                <w:tcPr>
                  <w:tcW w:w="2123" w:type="pct"/>
                  <w:noWrap w:val="0"/>
                  <w:vAlign w:val="center"/>
                </w:tcPr>
                <w:p w14:paraId="39F60F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1.0</w:t>
                  </w:r>
                </w:p>
              </w:tc>
            </w:tr>
            <w:tr w14:paraId="6C23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7" w:type="pct"/>
                  <w:vMerge w:val="continue"/>
                  <w:noWrap w:val="0"/>
                  <w:vAlign w:val="center"/>
                </w:tcPr>
                <w:p w14:paraId="219F69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0DAE40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rPr>
                    <w:t>废油桶</w:t>
                  </w:r>
                </w:p>
              </w:tc>
              <w:tc>
                <w:tcPr>
                  <w:tcW w:w="2123" w:type="pct"/>
                  <w:noWrap w:val="0"/>
                  <w:vAlign w:val="center"/>
                </w:tcPr>
                <w:p w14:paraId="6349E6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0.01</w:t>
                  </w:r>
                </w:p>
              </w:tc>
            </w:tr>
            <w:tr w14:paraId="6FCD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7" w:type="pct"/>
                  <w:vMerge w:val="continue"/>
                  <w:noWrap w:val="0"/>
                  <w:vAlign w:val="center"/>
                </w:tcPr>
                <w:p w14:paraId="66B58B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5940EE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废吸附活性炭</w:t>
                  </w:r>
                </w:p>
              </w:tc>
              <w:tc>
                <w:tcPr>
                  <w:tcW w:w="2123" w:type="pct"/>
                  <w:noWrap w:val="0"/>
                  <w:vAlign w:val="center"/>
                </w:tcPr>
                <w:p w14:paraId="7D5FEC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1.44</w:t>
                  </w:r>
                </w:p>
              </w:tc>
            </w:tr>
            <w:tr w14:paraId="4F3B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7" w:type="pct"/>
                  <w:vMerge w:val="continue"/>
                  <w:noWrap w:val="0"/>
                  <w:vAlign w:val="center"/>
                </w:tcPr>
                <w:p w14:paraId="28C4F0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26356E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铁质废油桶</w:t>
                  </w:r>
                </w:p>
              </w:tc>
              <w:tc>
                <w:tcPr>
                  <w:tcW w:w="2123" w:type="pct"/>
                  <w:noWrap w:val="0"/>
                  <w:vAlign w:val="center"/>
                </w:tcPr>
                <w:p w14:paraId="68D27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0.105</w:t>
                  </w:r>
                </w:p>
              </w:tc>
            </w:tr>
            <w:tr w14:paraId="1EAF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87" w:type="pct"/>
                  <w:vMerge w:val="continue"/>
                  <w:noWrap w:val="0"/>
                  <w:vAlign w:val="center"/>
                </w:tcPr>
                <w:p w14:paraId="71167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888" w:type="pct"/>
                  <w:noWrap w:val="0"/>
                  <w:vAlign w:val="center"/>
                </w:tcPr>
                <w:p w14:paraId="341264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废光氧催化光管</w:t>
                  </w:r>
                </w:p>
              </w:tc>
              <w:tc>
                <w:tcPr>
                  <w:tcW w:w="2123" w:type="pct"/>
                  <w:noWrap w:val="0"/>
                  <w:vAlign w:val="center"/>
                </w:tcPr>
                <w:p w14:paraId="79D73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vertAlign w:val="baseline"/>
                      <w:lang w:val="en-US" w:eastAsia="zh-CN" w:bidi="ar-SA"/>
                    </w:rPr>
                    <w:t>0.001</w:t>
                  </w:r>
                </w:p>
              </w:tc>
            </w:tr>
          </w:tbl>
          <w:p w14:paraId="6663E2C5">
            <w:pPr>
              <w:keepNext w:val="0"/>
              <w:keepLines w:val="0"/>
              <w:pageBreakBefore w:val="0"/>
              <w:widowControl w:val="0"/>
              <w:shd w:val="clear" w:color="auto" w:fill="auto"/>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bidi="ar-SA"/>
              </w:rPr>
              <w:t>原有工程存在的环境问题及“以新带老”的整改措施</w:t>
            </w:r>
          </w:p>
          <w:p w14:paraId="5CC72B1C">
            <w:pPr>
              <w:pStyle w:val="2"/>
              <w:keepNext w:val="0"/>
              <w:keepLines w:val="0"/>
              <w:pageBreakBefore w:val="0"/>
              <w:widowControl w:val="0"/>
              <w:kinsoku/>
              <w:wordWrap/>
              <w:overflowPunct/>
              <w:topLinePunct w:val="0"/>
              <w:bidi w:val="0"/>
              <w:spacing w:line="480" w:lineRule="exac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①原有工程存在的主要环境问题</w:t>
            </w:r>
          </w:p>
          <w:p w14:paraId="02801613">
            <w:pPr>
              <w:pStyle w:val="11"/>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危险废物储存间内危险废物标识未更新。</w:t>
            </w:r>
          </w:p>
          <w:p w14:paraId="1A4DB0B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val="en-US" w:eastAsia="zh-CN" w:bidi="ar"/>
              </w:rPr>
              <w:t>②“以新带老”的整改方案</w:t>
            </w:r>
          </w:p>
          <w:p w14:paraId="30E5AA76">
            <w:pPr>
              <w:pStyle w:val="2"/>
              <w:keepNext w:val="0"/>
              <w:keepLines w:val="0"/>
              <w:pageBreakBefore w:val="0"/>
              <w:widowControl w:val="0"/>
              <w:kinsoku/>
              <w:wordWrap/>
              <w:overflowPunct/>
              <w:topLinePunct w:val="0"/>
              <w:bidi w:val="0"/>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改造危险废物储存间，完善标识信息</w:t>
            </w:r>
            <w:r>
              <w:rPr>
                <w:rFonts w:hint="eastAsia" w:ascii="Times New Roman" w:hAnsi="Times New Roman" w:eastAsia="宋体" w:cs="Times New Roman"/>
                <w:color w:val="auto"/>
                <w:sz w:val="24"/>
                <w:szCs w:val="24"/>
                <w:highlight w:val="none"/>
                <w:lang w:val="en-US" w:eastAsia="zh-CN"/>
              </w:rPr>
              <w:t>。</w:t>
            </w:r>
          </w:p>
          <w:p w14:paraId="4B23D7D5">
            <w:pPr>
              <w:pStyle w:val="11"/>
              <w:rPr>
                <w:rFonts w:hint="default" w:ascii="Times New Roman" w:hAnsi="Times New Roman" w:eastAsia="宋体" w:cs="Times New Roman"/>
                <w:color w:val="auto"/>
                <w:sz w:val="24"/>
                <w:szCs w:val="24"/>
                <w:highlight w:val="none"/>
                <w:lang w:val="en-US" w:eastAsia="zh-CN"/>
              </w:rPr>
            </w:pPr>
          </w:p>
          <w:p w14:paraId="6925FCB7">
            <w:pPr>
              <w:rPr>
                <w:rFonts w:hint="default"/>
                <w:color w:val="auto"/>
                <w:highlight w:val="none"/>
                <w:lang w:val="en-US" w:eastAsia="zh-CN"/>
              </w:rPr>
            </w:pPr>
          </w:p>
          <w:p w14:paraId="43F368D6">
            <w:pPr>
              <w:pStyle w:val="2"/>
              <w:rPr>
                <w:rFonts w:hint="default"/>
                <w:color w:val="auto"/>
                <w:highlight w:val="none"/>
                <w:lang w:val="en-US" w:eastAsia="zh-CN"/>
              </w:rPr>
            </w:pPr>
          </w:p>
          <w:p w14:paraId="03E9C75D">
            <w:pPr>
              <w:pStyle w:val="11"/>
              <w:rPr>
                <w:rFonts w:hint="default"/>
                <w:color w:val="auto"/>
                <w:highlight w:val="none"/>
                <w:lang w:val="en-US" w:eastAsia="zh-CN"/>
              </w:rPr>
            </w:pPr>
          </w:p>
          <w:p w14:paraId="1C14838A">
            <w:pPr>
              <w:rPr>
                <w:rFonts w:hint="default"/>
                <w:color w:val="auto"/>
                <w:highlight w:val="none"/>
                <w:lang w:val="en-US" w:eastAsia="zh-CN"/>
              </w:rPr>
            </w:pPr>
          </w:p>
          <w:p w14:paraId="5F98415D">
            <w:pPr>
              <w:pStyle w:val="2"/>
              <w:rPr>
                <w:rFonts w:hint="default"/>
                <w:color w:val="auto"/>
                <w:highlight w:val="none"/>
                <w:lang w:val="en-US" w:eastAsia="zh-CN"/>
              </w:rPr>
            </w:pPr>
          </w:p>
          <w:p w14:paraId="457A9E8F">
            <w:pPr>
              <w:pStyle w:val="11"/>
              <w:rPr>
                <w:rFonts w:hint="default"/>
                <w:color w:val="auto"/>
                <w:highlight w:val="none"/>
                <w:lang w:val="en-US" w:eastAsia="zh-CN"/>
              </w:rPr>
            </w:pPr>
          </w:p>
          <w:p w14:paraId="0BACF0B2">
            <w:pPr>
              <w:pStyle w:val="2"/>
              <w:ind w:left="0" w:leftChars="0" w:firstLine="0" w:firstLineChars="0"/>
              <w:rPr>
                <w:color w:val="auto"/>
                <w:highlight w:val="none"/>
              </w:rPr>
            </w:pPr>
          </w:p>
          <w:p w14:paraId="6AABCC59">
            <w:pPr>
              <w:pStyle w:val="11"/>
              <w:rPr>
                <w:color w:val="auto"/>
                <w:highlight w:val="none"/>
              </w:rPr>
            </w:pPr>
          </w:p>
          <w:p w14:paraId="77FB3EDF">
            <w:pPr>
              <w:rPr>
                <w:color w:val="auto"/>
                <w:highlight w:val="none"/>
              </w:rPr>
            </w:pPr>
          </w:p>
          <w:p w14:paraId="31193AB8">
            <w:pPr>
              <w:pStyle w:val="2"/>
              <w:rPr>
                <w:color w:val="auto"/>
                <w:highlight w:val="none"/>
              </w:rPr>
            </w:pPr>
          </w:p>
          <w:p w14:paraId="6C5F8930">
            <w:pPr>
              <w:pStyle w:val="11"/>
              <w:rPr>
                <w:color w:val="auto"/>
                <w:highlight w:val="none"/>
              </w:rPr>
            </w:pPr>
          </w:p>
          <w:p w14:paraId="13EFFA19">
            <w:pPr>
              <w:rPr>
                <w:color w:val="auto"/>
                <w:highlight w:val="none"/>
              </w:rPr>
            </w:pPr>
          </w:p>
          <w:p w14:paraId="7A75E0BA">
            <w:pPr>
              <w:pStyle w:val="2"/>
              <w:rPr>
                <w:color w:val="auto"/>
                <w:highlight w:val="none"/>
              </w:rPr>
            </w:pPr>
          </w:p>
          <w:p w14:paraId="1D6D5CCC">
            <w:pPr>
              <w:pStyle w:val="11"/>
              <w:rPr>
                <w:color w:val="auto"/>
                <w:highlight w:val="none"/>
              </w:rPr>
            </w:pPr>
          </w:p>
          <w:p w14:paraId="01C6DA56">
            <w:pPr>
              <w:rPr>
                <w:color w:val="auto"/>
                <w:highlight w:val="none"/>
              </w:rPr>
            </w:pPr>
          </w:p>
          <w:p w14:paraId="22E3D804">
            <w:pPr>
              <w:pStyle w:val="2"/>
              <w:rPr>
                <w:color w:val="auto"/>
                <w:highlight w:val="none"/>
              </w:rPr>
            </w:pPr>
          </w:p>
          <w:p w14:paraId="7A6EDBEC">
            <w:pPr>
              <w:pStyle w:val="11"/>
              <w:rPr>
                <w:color w:val="auto"/>
                <w:highlight w:val="none"/>
              </w:rPr>
            </w:pPr>
          </w:p>
          <w:p w14:paraId="3E152C7C">
            <w:pPr>
              <w:rPr>
                <w:color w:val="auto"/>
                <w:highlight w:val="none"/>
              </w:rPr>
            </w:pPr>
          </w:p>
          <w:p w14:paraId="5424EB29">
            <w:pPr>
              <w:pStyle w:val="2"/>
              <w:rPr>
                <w:color w:val="auto"/>
                <w:highlight w:val="none"/>
              </w:rPr>
            </w:pPr>
          </w:p>
          <w:p w14:paraId="5963E234">
            <w:pPr>
              <w:pStyle w:val="11"/>
              <w:rPr>
                <w:color w:val="auto"/>
                <w:highlight w:val="none"/>
              </w:rPr>
            </w:pPr>
          </w:p>
          <w:p w14:paraId="057B45FD">
            <w:pPr>
              <w:rPr>
                <w:color w:val="auto"/>
                <w:highlight w:val="none"/>
              </w:rPr>
            </w:pPr>
          </w:p>
          <w:p w14:paraId="05EF9DEE">
            <w:pPr>
              <w:pStyle w:val="2"/>
              <w:rPr>
                <w:color w:val="auto"/>
                <w:highlight w:val="none"/>
              </w:rPr>
            </w:pPr>
          </w:p>
          <w:p w14:paraId="02EC4232">
            <w:pPr>
              <w:pStyle w:val="11"/>
              <w:jc w:val="both"/>
              <w:rPr>
                <w:color w:val="auto"/>
                <w:highlight w:val="none"/>
              </w:rPr>
            </w:pPr>
          </w:p>
        </w:tc>
      </w:tr>
    </w:tbl>
    <w:p w14:paraId="585E5C09">
      <w:pPr>
        <w:pStyle w:val="14"/>
        <w:jc w:val="both"/>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63D027A3">
      <w:pPr>
        <w:pStyle w:val="14"/>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highlight w:val="none"/>
        </w:rPr>
      </w:pPr>
    </w:p>
    <w:p w14:paraId="20576938">
      <w:pPr>
        <w:pStyle w:val="14"/>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8652"/>
      </w:tblGrid>
      <w:tr w14:paraId="69E3C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86" w:hRule="atLeast"/>
          <w:jc w:val="center"/>
        </w:trPr>
        <w:tc>
          <w:tcPr>
            <w:tcW w:w="800" w:type="dxa"/>
            <w:noWrap w:val="0"/>
            <w:vAlign w:val="center"/>
          </w:tcPr>
          <w:p w14:paraId="48AD6A88">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14:paraId="621BB8B8">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44C13401">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14:paraId="6D4702D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noWrap w:val="0"/>
            <w:vAlign w:val="center"/>
          </w:tcPr>
          <w:p w14:paraId="2159E8CB">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宋体" w:cs="Times New Roman"/>
                <w:b/>
                <w:bCs/>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rPr>
              <w:t>3.1</w:t>
            </w:r>
            <w:r>
              <w:rPr>
                <w:rFonts w:hint="default" w:ascii="Times New Roman" w:hAnsi="Times New Roman" w:eastAsia="宋体" w:cs="Times New Roman"/>
                <w:b/>
                <w:bCs/>
                <w:color w:val="auto"/>
                <w:kern w:val="0"/>
                <w:sz w:val="24"/>
                <w:szCs w:val="24"/>
                <w:highlight w:val="none"/>
              </w:rPr>
              <w:t>大气环境</w:t>
            </w:r>
            <w:r>
              <w:rPr>
                <w:rFonts w:hint="eastAsia" w:cs="Times New Roman"/>
                <w:b/>
                <w:bCs/>
                <w:color w:val="auto"/>
                <w:kern w:val="0"/>
                <w:sz w:val="24"/>
                <w:szCs w:val="24"/>
                <w:highlight w:val="none"/>
                <w:lang w:eastAsia="zh-CN"/>
              </w:rPr>
              <w:t>质量现状</w:t>
            </w:r>
          </w:p>
          <w:p w14:paraId="23DE6FBE">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（1）项目所在区域环境空气质量达标情况</w:t>
            </w:r>
          </w:p>
          <w:p w14:paraId="3DAB8A2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0"/>
                <w:sz w:val="24"/>
                <w:szCs w:val="24"/>
                <w:highlight w:val="none"/>
                <w:lang w:val="en-US" w:eastAsia="zh-CN"/>
              </w:rPr>
              <w:t>项目所在区域环境空气质量执行《环境空气质量标准》（GB3095-2012）及其修改单中二级标准要求。本评价引用2024年4月承德市大气污染防治工作领导小组办公室发布的《关于2023年12月份全市空气质量预警监测结果的通报》中常规数据，根据大气常规污染物中的PM</w:t>
            </w:r>
            <w:r>
              <w:rPr>
                <w:rFonts w:hint="default" w:ascii="Times New Roman" w:hAnsi="Times New Roman" w:cs="Times New Roman"/>
                <w:color w:val="auto"/>
                <w:kern w:val="0"/>
                <w:sz w:val="24"/>
                <w:szCs w:val="24"/>
                <w:highlight w:val="none"/>
                <w:vertAlign w:val="subscript"/>
                <w:lang w:val="en-US" w:eastAsia="zh-CN"/>
              </w:rPr>
              <w:t>2.5</w:t>
            </w:r>
            <w:r>
              <w:rPr>
                <w:rFonts w:hint="default" w:ascii="Times New Roman" w:hAnsi="Times New Roman" w:cs="Times New Roman"/>
                <w:color w:val="auto"/>
                <w:kern w:val="0"/>
                <w:sz w:val="24"/>
                <w:szCs w:val="24"/>
                <w:highlight w:val="none"/>
                <w:lang w:val="en-US" w:eastAsia="zh-CN"/>
              </w:rPr>
              <w:t>、PM</w:t>
            </w:r>
            <w:r>
              <w:rPr>
                <w:rFonts w:hint="default" w:ascii="Times New Roman" w:hAnsi="Times New Roman" w:cs="Times New Roman"/>
                <w:color w:val="auto"/>
                <w:kern w:val="0"/>
                <w:sz w:val="24"/>
                <w:szCs w:val="24"/>
                <w:highlight w:val="none"/>
                <w:vertAlign w:val="subscript"/>
                <w:lang w:val="en-US" w:eastAsia="zh-CN"/>
              </w:rPr>
              <w:t>10</w:t>
            </w:r>
            <w:r>
              <w:rPr>
                <w:rFonts w:hint="default" w:ascii="Times New Roman" w:hAnsi="Times New Roman" w:cs="Times New Roman"/>
                <w:color w:val="auto"/>
                <w:kern w:val="0"/>
                <w:sz w:val="24"/>
                <w:szCs w:val="24"/>
                <w:highlight w:val="none"/>
                <w:lang w:val="en-US" w:eastAsia="zh-CN"/>
              </w:rPr>
              <w:t>、SO</w:t>
            </w:r>
            <w:r>
              <w:rPr>
                <w:rFonts w:hint="default" w:ascii="Times New Roman" w:hAnsi="Times New Roman" w:cs="Times New Roman"/>
                <w:color w:val="auto"/>
                <w:kern w:val="0"/>
                <w:sz w:val="24"/>
                <w:szCs w:val="24"/>
                <w:highlight w:val="none"/>
                <w:vertAlign w:val="subscript"/>
                <w:lang w:val="en-US" w:eastAsia="zh-CN"/>
              </w:rPr>
              <w:t>2</w:t>
            </w:r>
            <w:r>
              <w:rPr>
                <w:rFonts w:hint="default" w:ascii="Times New Roman" w:hAnsi="Times New Roman" w:cs="Times New Roman"/>
                <w:color w:val="auto"/>
                <w:kern w:val="0"/>
                <w:sz w:val="24"/>
                <w:szCs w:val="24"/>
                <w:highlight w:val="none"/>
                <w:lang w:val="en-US" w:eastAsia="zh-CN"/>
              </w:rPr>
              <w:t>、CO、O</w:t>
            </w:r>
            <w:r>
              <w:rPr>
                <w:rFonts w:hint="default" w:ascii="Times New Roman" w:hAnsi="Times New Roman" w:cs="Times New Roman"/>
                <w:color w:val="auto"/>
                <w:kern w:val="0"/>
                <w:sz w:val="24"/>
                <w:szCs w:val="24"/>
                <w:highlight w:val="none"/>
                <w:vertAlign w:val="subscript"/>
                <w:lang w:val="en-US" w:eastAsia="zh-CN"/>
              </w:rPr>
              <w:t>3</w:t>
            </w:r>
            <w:r>
              <w:rPr>
                <w:rFonts w:hint="default" w:ascii="Times New Roman" w:hAnsi="Times New Roman" w:cs="Times New Roman"/>
                <w:color w:val="auto"/>
                <w:kern w:val="0"/>
                <w:sz w:val="24"/>
                <w:szCs w:val="24"/>
                <w:highlight w:val="none"/>
                <w:lang w:val="en-US" w:eastAsia="zh-CN"/>
              </w:rPr>
              <w:t>、NO</w:t>
            </w:r>
            <w:r>
              <w:rPr>
                <w:rFonts w:hint="default" w:ascii="Times New Roman" w:hAnsi="Times New Roman" w:cs="Times New Roman"/>
                <w:color w:val="auto"/>
                <w:kern w:val="0"/>
                <w:sz w:val="24"/>
                <w:szCs w:val="24"/>
                <w:highlight w:val="none"/>
                <w:vertAlign w:val="subscript"/>
                <w:lang w:val="en-US" w:eastAsia="zh-CN"/>
              </w:rPr>
              <w:t>2</w:t>
            </w:r>
            <w:r>
              <w:rPr>
                <w:rFonts w:hint="default" w:ascii="Times New Roman" w:hAnsi="Times New Roman" w:cs="Times New Roman"/>
                <w:color w:val="auto"/>
                <w:kern w:val="0"/>
                <w:sz w:val="24"/>
                <w:szCs w:val="24"/>
                <w:highlight w:val="none"/>
                <w:lang w:val="en-US" w:eastAsia="zh-CN"/>
              </w:rPr>
              <w:t>现状监测统计资料，来说明拟建地区的环境空气质量，监测结果如下表。</w:t>
            </w:r>
          </w:p>
          <w:p w14:paraId="6A799C44">
            <w:pPr>
              <w:keepNext w:val="0"/>
              <w:keepLines w:val="0"/>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4"/>
                <w:szCs w:val="24"/>
                <w:highlight w:val="none"/>
              </w:rPr>
              <w:t>表3</w:t>
            </w:r>
            <w:r>
              <w:rPr>
                <w:rFonts w:hint="eastAsia" w:ascii="Times New Roman" w:hAnsi="Times New Roman" w:eastAsia="宋体" w:cs="Times New Roman"/>
                <w:b w:val="0"/>
                <w:bCs w:val="0"/>
                <w:color w:val="auto"/>
                <w:sz w:val="24"/>
                <w:szCs w:val="24"/>
                <w:highlight w:val="none"/>
                <w:lang w:val="en-US" w:eastAsia="zh-CN"/>
              </w:rPr>
              <w:t xml:space="preserve">-1 </w:t>
            </w:r>
            <w:r>
              <w:rPr>
                <w:rFonts w:hint="default" w:ascii="Times New Roman" w:hAnsi="Times New Roman" w:cs="Times New Roman"/>
                <w:b w:val="0"/>
                <w:bCs w:val="0"/>
                <w:color w:val="auto"/>
                <w:kern w:val="0"/>
                <w:sz w:val="24"/>
                <w:szCs w:val="24"/>
                <w:highlight w:val="none"/>
                <w:lang w:val="en-US" w:eastAsia="zh-CN"/>
              </w:rPr>
              <w:t>2023年宽城满族自治县环境空气质量监测结果</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2644"/>
              <w:gridCol w:w="1223"/>
              <w:gridCol w:w="1148"/>
              <w:gridCol w:w="959"/>
              <w:gridCol w:w="1404"/>
            </w:tblGrid>
            <w:tr w14:paraId="694A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7C5A3E24">
                  <w:pPr>
                    <w:pStyle w:val="12"/>
                    <w:spacing w:line="320" w:lineRule="exact"/>
                    <w:ind w:left="0" w:firstLine="0" w:firstLineChars="0"/>
                    <w:jc w:val="center"/>
                    <w:rPr>
                      <w:b/>
                      <w:bCs/>
                      <w:color w:val="auto"/>
                      <w:szCs w:val="21"/>
                      <w:highlight w:val="none"/>
                    </w:rPr>
                  </w:pPr>
                  <w:r>
                    <w:rPr>
                      <w:b/>
                      <w:bCs/>
                      <w:color w:val="auto"/>
                      <w:szCs w:val="21"/>
                      <w:highlight w:val="none"/>
                    </w:rPr>
                    <w:t>污染物</w:t>
                  </w:r>
                </w:p>
              </w:tc>
              <w:tc>
                <w:tcPr>
                  <w:tcW w:w="1569" w:type="pct"/>
                  <w:noWrap w:val="0"/>
                  <w:vAlign w:val="center"/>
                </w:tcPr>
                <w:p w14:paraId="79B051C6">
                  <w:pPr>
                    <w:pStyle w:val="12"/>
                    <w:spacing w:line="320" w:lineRule="exact"/>
                    <w:ind w:left="0" w:firstLine="0" w:firstLineChars="0"/>
                    <w:jc w:val="center"/>
                    <w:rPr>
                      <w:b/>
                      <w:bCs/>
                      <w:color w:val="auto"/>
                      <w:szCs w:val="21"/>
                      <w:highlight w:val="none"/>
                    </w:rPr>
                  </w:pPr>
                  <w:r>
                    <w:rPr>
                      <w:b/>
                      <w:bCs/>
                      <w:color w:val="auto"/>
                      <w:szCs w:val="21"/>
                      <w:highlight w:val="none"/>
                    </w:rPr>
                    <w:t>年评价指标</w:t>
                  </w:r>
                </w:p>
              </w:tc>
              <w:tc>
                <w:tcPr>
                  <w:tcW w:w="726" w:type="pct"/>
                  <w:noWrap w:val="0"/>
                  <w:vAlign w:val="center"/>
                </w:tcPr>
                <w:p w14:paraId="0155191D">
                  <w:pPr>
                    <w:pStyle w:val="12"/>
                    <w:spacing w:line="320" w:lineRule="exact"/>
                    <w:ind w:left="0" w:firstLine="0" w:firstLineChars="0"/>
                    <w:jc w:val="center"/>
                    <w:rPr>
                      <w:b/>
                      <w:bCs/>
                      <w:color w:val="auto"/>
                      <w:szCs w:val="21"/>
                      <w:highlight w:val="none"/>
                    </w:rPr>
                  </w:pPr>
                  <w:r>
                    <w:rPr>
                      <w:b/>
                      <w:bCs/>
                      <w:color w:val="auto"/>
                      <w:szCs w:val="21"/>
                      <w:highlight w:val="none"/>
                    </w:rPr>
                    <w:t>现状浓度</w:t>
                  </w:r>
                </w:p>
              </w:tc>
              <w:tc>
                <w:tcPr>
                  <w:tcW w:w="681" w:type="pct"/>
                  <w:noWrap w:val="0"/>
                  <w:vAlign w:val="center"/>
                </w:tcPr>
                <w:p w14:paraId="58ABE745">
                  <w:pPr>
                    <w:pStyle w:val="12"/>
                    <w:spacing w:line="320" w:lineRule="exact"/>
                    <w:ind w:left="0" w:firstLine="0" w:firstLineChars="0"/>
                    <w:jc w:val="center"/>
                    <w:rPr>
                      <w:b/>
                      <w:bCs/>
                      <w:color w:val="auto"/>
                      <w:szCs w:val="21"/>
                      <w:highlight w:val="none"/>
                    </w:rPr>
                  </w:pPr>
                  <w:r>
                    <w:rPr>
                      <w:b/>
                      <w:bCs/>
                      <w:color w:val="auto"/>
                      <w:szCs w:val="21"/>
                      <w:highlight w:val="none"/>
                    </w:rPr>
                    <w:t>标准值</w:t>
                  </w:r>
                </w:p>
              </w:tc>
              <w:tc>
                <w:tcPr>
                  <w:tcW w:w="569" w:type="pct"/>
                  <w:noWrap w:val="0"/>
                  <w:vAlign w:val="center"/>
                </w:tcPr>
                <w:p w14:paraId="68BC1659">
                  <w:pPr>
                    <w:pStyle w:val="12"/>
                    <w:spacing w:line="320" w:lineRule="exact"/>
                    <w:ind w:left="0" w:firstLine="0" w:firstLineChars="0"/>
                    <w:jc w:val="center"/>
                    <w:rPr>
                      <w:b/>
                      <w:bCs/>
                      <w:color w:val="auto"/>
                      <w:szCs w:val="21"/>
                      <w:highlight w:val="none"/>
                    </w:rPr>
                  </w:pPr>
                  <w:r>
                    <w:rPr>
                      <w:b/>
                      <w:bCs/>
                      <w:color w:val="auto"/>
                      <w:szCs w:val="21"/>
                      <w:highlight w:val="none"/>
                    </w:rPr>
                    <w:t>占标率%</w:t>
                  </w:r>
                </w:p>
              </w:tc>
              <w:tc>
                <w:tcPr>
                  <w:tcW w:w="833" w:type="pct"/>
                  <w:noWrap w:val="0"/>
                  <w:vAlign w:val="center"/>
                </w:tcPr>
                <w:p w14:paraId="53299F22">
                  <w:pPr>
                    <w:pStyle w:val="12"/>
                    <w:spacing w:line="320" w:lineRule="exact"/>
                    <w:ind w:left="0" w:firstLine="0" w:firstLineChars="0"/>
                    <w:jc w:val="center"/>
                    <w:rPr>
                      <w:b/>
                      <w:bCs/>
                      <w:color w:val="auto"/>
                      <w:szCs w:val="21"/>
                      <w:highlight w:val="none"/>
                    </w:rPr>
                  </w:pPr>
                  <w:r>
                    <w:rPr>
                      <w:b/>
                      <w:bCs/>
                      <w:color w:val="auto"/>
                      <w:szCs w:val="21"/>
                      <w:highlight w:val="none"/>
                    </w:rPr>
                    <w:t>达标情况</w:t>
                  </w:r>
                </w:p>
              </w:tc>
            </w:tr>
            <w:tr w14:paraId="7C98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41F83A0D">
                  <w:pPr>
                    <w:pStyle w:val="12"/>
                    <w:spacing w:line="320" w:lineRule="exact"/>
                    <w:ind w:left="0" w:firstLine="0" w:firstLineChars="0"/>
                    <w:jc w:val="center"/>
                    <w:rPr>
                      <w:color w:val="auto"/>
                      <w:szCs w:val="21"/>
                      <w:highlight w:val="none"/>
                    </w:rPr>
                  </w:pPr>
                  <w:r>
                    <w:rPr>
                      <w:color w:val="auto"/>
                      <w:szCs w:val="21"/>
                      <w:highlight w:val="none"/>
                    </w:rPr>
                    <w:t>PM</w:t>
                  </w:r>
                  <w:r>
                    <w:rPr>
                      <w:color w:val="auto"/>
                      <w:szCs w:val="21"/>
                      <w:highlight w:val="none"/>
                      <w:vertAlign w:val="subscript"/>
                    </w:rPr>
                    <w:t>2.5</w:t>
                  </w:r>
                </w:p>
              </w:tc>
              <w:tc>
                <w:tcPr>
                  <w:tcW w:w="1569" w:type="pct"/>
                  <w:noWrap w:val="0"/>
                  <w:vAlign w:val="center"/>
                </w:tcPr>
                <w:p w14:paraId="6266A130">
                  <w:pPr>
                    <w:pStyle w:val="12"/>
                    <w:spacing w:line="320" w:lineRule="exact"/>
                    <w:ind w:left="0" w:firstLine="0" w:firstLineChars="0"/>
                    <w:jc w:val="center"/>
                    <w:rPr>
                      <w:color w:val="auto"/>
                      <w:szCs w:val="21"/>
                      <w:highlight w:val="none"/>
                    </w:rPr>
                  </w:pPr>
                  <w:r>
                    <w:rPr>
                      <w:color w:val="auto"/>
                      <w:szCs w:val="21"/>
                      <w:highlight w:val="none"/>
                    </w:rPr>
                    <w:t>年平均质量浓度</w:t>
                  </w:r>
                </w:p>
              </w:tc>
              <w:tc>
                <w:tcPr>
                  <w:tcW w:w="726" w:type="pct"/>
                  <w:noWrap w:val="0"/>
                  <w:vAlign w:val="center"/>
                </w:tcPr>
                <w:p w14:paraId="761BFF7B">
                  <w:pPr>
                    <w:pStyle w:val="12"/>
                    <w:spacing w:line="320" w:lineRule="exact"/>
                    <w:ind w:left="0" w:firstLine="0" w:firstLineChars="0"/>
                    <w:jc w:val="center"/>
                    <w:rPr>
                      <w:rFonts w:hint="eastAsia" w:eastAsia="宋体"/>
                      <w:color w:val="auto"/>
                      <w:szCs w:val="21"/>
                      <w:highlight w:val="none"/>
                      <w:lang w:val="en-US" w:eastAsia="zh-CN"/>
                    </w:rPr>
                  </w:pPr>
                  <w:r>
                    <w:rPr>
                      <w:color w:val="auto"/>
                      <w:szCs w:val="21"/>
                      <w:highlight w:val="none"/>
                    </w:rPr>
                    <w:t>2</w:t>
                  </w:r>
                  <w:r>
                    <w:rPr>
                      <w:rFonts w:hint="eastAsia"/>
                      <w:color w:val="auto"/>
                      <w:szCs w:val="21"/>
                      <w:highlight w:val="none"/>
                      <w:lang w:val="en-US" w:eastAsia="zh-CN"/>
                    </w:rPr>
                    <w:t>5</w:t>
                  </w:r>
                </w:p>
              </w:tc>
              <w:tc>
                <w:tcPr>
                  <w:tcW w:w="681" w:type="pct"/>
                  <w:noWrap w:val="0"/>
                  <w:vAlign w:val="center"/>
                </w:tcPr>
                <w:p w14:paraId="69D6D944">
                  <w:pPr>
                    <w:pStyle w:val="12"/>
                    <w:spacing w:line="320" w:lineRule="exact"/>
                    <w:ind w:left="0" w:firstLine="0" w:firstLineChars="0"/>
                    <w:jc w:val="center"/>
                    <w:rPr>
                      <w:color w:val="auto"/>
                      <w:szCs w:val="21"/>
                      <w:highlight w:val="none"/>
                    </w:rPr>
                  </w:pPr>
                  <w:r>
                    <w:rPr>
                      <w:color w:val="auto"/>
                      <w:szCs w:val="21"/>
                      <w:highlight w:val="none"/>
                    </w:rPr>
                    <w:t>35</w:t>
                  </w:r>
                </w:p>
              </w:tc>
              <w:tc>
                <w:tcPr>
                  <w:tcW w:w="569" w:type="pct"/>
                  <w:noWrap w:val="0"/>
                  <w:vAlign w:val="center"/>
                </w:tcPr>
                <w:p w14:paraId="069F4033">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71.4</w:t>
                  </w:r>
                </w:p>
              </w:tc>
              <w:tc>
                <w:tcPr>
                  <w:tcW w:w="833" w:type="pct"/>
                  <w:noWrap w:val="0"/>
                  <w:vAlign w:val="center"/>
                </w:tcPr>
                <w:p w14:paraId="0E92CC56">
                  <w:pPr>
                    <w:pStyle w:val="12"/>
                    <w:spacing w:line="320" w:lineRule="exact"/>
                    <w:ind w:left="0" w:firstLine="0" w:firstLineChars="0"/>
                    <w:jc w:val="center"/>
                    <w:rPr>
                      <w:color w:val="auto"/>
                      <w:szCs w:val="21"/>
                      <w:highlight w:val="none"/>
                    </w:rPr>
                  </w:pPr>
                  <w:r>
                    <w:rPr>
                      <w:color w:val="auto"/>
                      <w:szCs w:val="21"/>
                      <w:highlight w:val="none"/>
                    </w:rPr>
                    <w:t>达标</w:t>
                  </w:r>
                </w:p>
              </w:tc>
            </w:tr>
            <w:tr w14:paraId="092F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52B85276">
                  <w:pPr>
                    <w:pStyle w:val="12"/>
                    <w:spacing w:line="320" w:lineRule="exact"/>
                    <w:ind w:left="0" w:firstLine="0" w:firstLineChars="0"/>
                    <w:jc w:val="center"/>
                    <w:rPr>
                      <w:color w:val="auto"/>
                      <w:szCs w:val="21"/>
                      <w:highlight w:val="none"/>
                    </w:rPr>
                  </w:pPr>
                  <w:r>
                    <w:rPr>
                      <w:color w:val="auto"/>
                      <w:szCs w:val="21"/>
                      <w:highlight w:val="none"/>
                    </w:rPr>
                    <w:t>PM</w:t>
                  </w:r>
                  <w:r>
                    <w:rPr>
                      <w:color w:val="auto"/>
                      <w:szCs w:val="21"/>
                      <w:highlight w:val="none"/>
                      <w:vertAlign w:val="subscript"/>
                    </w:rPr>
                    <w:t>10</w:t>
                  </w:r>
                </w:p>
              </w:tc>
              <w:tc>
                <w:tcPr>
                  <w:tcW w:w="1569" w:type="pct"/>
                  <w:noWrap w:val="0"/>
                  <w:vAlign w:val="center"/>
                </w:tcPr>
                <w:p w14:paraId="37BBC16D">
                  <w:pPr>
                    <w:pStyle w:val="12"/>
                    <w:spacing w:line="320" w:lineRule="exact"/>
                    <w:ind w:left="0" w:firstLine="0" w:firstLineChars="0"/>
                    <w:jc w:val="center"/>
                    <w:rPr>
                      <w:color w:val="auto"/>
                      <w:szCs w:val="21"/>
                      <w:highlight w:val="none"/>
                    </w:rPr>
                  </w:pPr>
                  <w:r>
                    <w:rPr>
                      <w:color w:val="auto"/>
                      <w:szCs w:val="21"/>
                      <w:highlight w:val="none"/>
                    </w:rPr>
                    <w:t>年平均质量浓度</w:t>
                  </w:r>
                </w:p>
              </w:tc>
              <w:tc>
                <w:tcPr>
                  <w:tcW w:w="726" w:type="pct"/>
                  <w:noWrap w:val="0"/>
                  <w:vAlign w:val="center"/>
                </w:tcPr>
                <w:p w14:paraId="6A762E44">
                  <w:pPr>
                    <w:pStyle w:val="12"/>
                    <w:spacing w:line="320" w:lineRule="exact"/>
                    <w:ind w:left="0" w:firstLine="0" w:firstLineChars="0"/>
                    <w:jc w:val="center"/>
                    <w:rPr>
                      <w:rFonts w:hint="eastAsia" w:eastAsia="宋体"/>
                      <w:color w:val="auto"/>
                      <w:szCs w:val="21"/>
                      <w:highlight w:val="none"/>
                      <w:lang w:val="en-US" w:eastAsia="zh-CN"/>
                    </w:rPr>
                  </w:pPr>
                  <w:r>
                    <w:rPr>
                      <w:color w:val="auto"/>
                      <w:szCs w:val="21"/>
                      <w:highlight w:val="none"/>
                    </w:rPr>
                    <w:t>4</w:t>
                  </w:r>
                  <w:r>
                    <w:rPr>
                      <w:rFonts w:hint="eastAsia"/>
                      <w:color w:val="auto"/>
                      <w:szCs w:val="21"/>
                      <w:highlight w:val="none"/>
                      <w:lang w:val="en-US" w:eastAsia="zh-CN"/>
                    </w:rPr>
                    <w:t>9</w:t>
                  </w:r>
                </w:p>
              </w:tc>
              <w:tc>
                <w:tcPr>
                  <w:tcW w:w="681" w:type="pct"/>
                  <w:noWrap w:val="0"/>
                  <w:vAlign w:val="center"/>
                </w:tcPr>
                <w:p w14:paraId="0BABCC76">
                  <w:pPr>
                    <w:pStyle w:val="12"/>
                    <w:spacing w:line="320" w:lineRule="exact"/>
                    <w:ind w:left="0" w:firstLine="0" w:firstLineChars="0"/>
                    <w:jc w:val="center"/>
                    <w:rPr>
                      <w:color w:val="auto"/>
                      <w:szCs w:val="21"/>
                      <w:highlight w:val="none"/>
                    </w:rPr>
                  </w:pPr>
                  <w:r>
                    <w:rPr>
                      <w:color w:val="auto"/>
                      <w:szCs w:val="21"/>
                      <w:highlight w:val="none"/>
                    </w:rPr>
                    <w:t>70</w:t>
                  </w:r>
                </w:p>
              </w:tc>
              <w:tc>
                <w:tcPr>
                  <w:tcW w:w="569" w:type="pct"/>
                  <w:noWrap w:val="0"/>
                  <w:vAlign w:val="center"/>
                </w:tcPr>
                <w:p w14:paraId="61DD57E8">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833" w:type="pct"/>
                  <w:noWrap w:val="0"/>
                  <w:vAlign w:val="center"/>
                </w:tcPr>
                <w:p w14:paraId="1005A7F1">
                  <w:pPr>
                    <w:pStyle w:val="12"/>
                    <w:spacing w:line="320" w:lineRule="exact"/>
                    <w:ind w:left="0" w:firstLine="0" w:firstLineChars="0"/>
                    <w:jc w:val="center"/>
                    <w:rPr>
                      <w:color w:val="auto"/>
                      <w:szCs w:val="21"/>
                      <w:highlight w:val="none"/>
                    </w:rPr>
                  </w:pPr>
                  <w:r>
                    <w:rPr>
                      <w:color w:val="auto"/>
                      <w:szCs w:val="21"/>
                      <w:highlight w:val="none"/>
                    </w:rPr>
                    <w:t>达标</w:t>
                  </w:r>
                </w:p>
              </w:tc>
            </w:tr>
            <w:tr w14:paraId="2E60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2E56C594">
                  <w:pPr>
                    <w:pStyle w:val="12"/>
                    <w:spacing w:line="320" w:lineRule="exact"/>
                    <w:ind w:left="0" w:firstLine="0" w:firstLineChars="0"/>
                    <w:jc w:val="center"/>
                    <w:rPr>
                      <w:color w:val="auto"/>
                      <w:szCs w:val="21"/>
                      <w:highlight w:val="none"/>
                    </w:rPr>
                  </w:pPr>
                  <w:r>
                    <w:rPr>
                      <w:color w:val="auto"/>
                      <w:szCs w:val="21"/>
                      <w:highlight w:val="none"/>
                    </w:rPr>
                    <w:t>SO</w:t>
                  </w:r>
                  <w:r>
                    <w:rPr>
                      <w:color w:val="auto"/>
                      <w:szCs w:val="21"/>
                      <w:highlight w:val="none"/>
                      <w:vertAlign w:val="subscript"/>
                    </w:rPr>
                    <w:t>2</w:t>
                  </w:r>
                </w:p>
              </w:tc>
              <w:tc>
                <w:tcPr>
                  <w:tcW w:w="1569" w:type="pct"/>
                  <w:noWrap w:val="0"/>
                  <w:vAlign w:val="center"/>
                </w:tcPr>
                <w:p w14:paraId="2D4D6B78">
                  <w:pPr>
                    <w:pStyle w:val="12"/>
                    <w:spacing w:line="320" w:lineRule="exact"/>
                    <w:ind w:left="0" w:firstLine="0" w:firstLineChars="0"/>
                    <w:jc w:val="center"/>
                    <w:rPr>
                      <w:color w:val="auto"/>
                      <w:szCs w:val="21"/>
                      <w:highlight w:val="none"/>
                    </w:rPr>
                  </w:pPr>
                  <w:r>
                    <w:rPr>
                      <w:color w:val="auto"/>
                      <w:szCs w:val="21"/>
                      <w:highlight w:val="none"/>
                    </w:rPr>
                    <w:t>年平均质量浓度</w:t>
                  </w:r>
                </w:p>
              </w:tc>
              <w:tc>
                <w:tcPr>
                  <w:tcW w:w="726" w:type="pct"/>
                  <w:noWrap w:val="0"/>
                  <w:vAlign w:val="center"/>
                </w:tcPr>
                <w:p w14:paraId="1C3035DB">
                  <w:pPr>
                    <w:pStyle w:val="12"/>
                    <w:spacing w:line="320" w:lineRule="exact"/>
                    <w:ind w:left="0" w:firstLine="0" w:firstLineChars="0"/>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2</w:t>
                  </w:r>
                </w:p>
              </w:tc>
              <w:tc>
                <w:tcPr>
                  <w:tcW w:w="681" w:type="pct"/>
                  <w:noWrap w:val="0"/>
                  <w:vAlign w:val="center"/>
                </w:tcPr>
                <w:p w14:paraId="70474F50">
                  <w:pPr>
                    <w:pStyle w:val="12"/>
                    <w:spacing w:line="320" w:lineRule="exact"/>
                    <w:ind w:left="0" w:firstLine="0" w:firstLineChars="0"/>
                    <w:jc w:val="center"/>
                    <w:rPr>
                      <w:color w:val="auto"/>
                      <w:szCs w:val="21"/>
                      <w:highlight w:val="none"/>
                    </w:rPr>
                  </w:pPr>
                  <w:r>
                    <w:rPr>
                      <w:color w:val="auto"/>
                      <w:szCs w:val="21"/>
                      <w:highlight w:val="none"/>
                    </w:rPr>
                    <w:t>60</w:t>
                  </w:r>
                </w:p>
              </w:tc>
              <w:tc>
                <w:tcPr>
                  <w:tcW w:w="569" w:type="pct"/>
                  <w:noWrap w:val="0"/>
                  <w:vAlign w:val="center"/>
                </w:tcPr>
                <w:p w14:paraId="70C340A8">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833" w:type="pct"/>
                  <w:noWrap w:val="0"/>
                  <w:vAlign w:val="center"/>
                </w:tcPr>
                <w:p w14:paraId="164870F9">
                  <w:pPr>
                    <w:pStyle w:val="12"/>
                    <w:spacing w:line="320" w:lineRule="exact"/>
                    <w:ind w:left="0" w:firstLine="0" w:firstLineChars="0"/>
                    <w:jc w:val="center"/>
                    <w:rPr>
                      <w:color w:val="auto"/>
                      <w:szCs w:val="21"/>
                      <w:highlight w:val="none"/>
                    </w:rPr>
                  </w:pPr>
                  <w:r>
                    <w:rPr>
                      <w:color w:val="auto"/>
                      <w:szCs w:val="21"/>
                      <w:highlight w:val="none"/>
                    </w:rPr>
                    <w:t>达标</w:t>
                  </w:r>
                </w:p>
              </w:tc>
            </w:tr>
            <w:tr w14:paraId="042A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2CE735F0">
                  <w:pPr>
                    <w:pStyle w:val="12"/>
                    <w:spacing w:line="320" w:lineRule="exact"/>
                    <w:ind w:left="0" w:firstLine="0" w:firstLineChars="0"/>
                    <w:jc w:val="center"/>
                    <w:rPr>
                      <w:color w:val="auto"/>
                      <w:szCs w:val="21"/>
                      <w:highlight w:val="none"/>
                    </w:rPr>
                  </w:pPr>
                  <w:r>
                    <w:rPr>
                      <w:color w:val="auto"/>
                      <w:szCs w:val="21"/>
                      <w:highlight w:val="none"/>
                    </w:rPr>
                    <w:t>NO</w:t>
                  </w:r>
                  <w:r>
                    <w:rPr>
                      <w:color w:val="auto"/>
                      <w:szCs w:val="21"/>
                      <w:highlight w:val="none"/>
                      <w:vertAlign w:val="subscript"/>
                    </w:rPr>
                    <w:t>2</w:t>
                  </w:r>
                </w:p>
              </w:tc>
              <w:tc>
                <w:tcPr>
                  <w:tcW w:w="1569" w:type="pct"/>
                  <w:noWrap w:val="0"/>
                  <w:vAlign w:val="center"/>
                </w:tcPr>
                <w:p w14:paraId="44A76103">
                  <w:pPr>
                    <w:pStyle w:val="12"/>
                    <w:spacing w:line="320" w:lineRule="exact"/>
                    <w:ind w:left="0" w:firstLine="0" w:firstLineChars="0"/>
                    <w:jc w:val="center"/>
                    <w:rPr>
                      <w:color w:val="auto"/>
                      <w:szCs w:val="21"/>
                      <w:highlight w:val="none"/>
                    </w:rPr>
                  </w:pPr>
                  <w:r>
                    <w:rPr>
                      <w:color w:val="auto"/>
                      <w:szCs w:val="21"/>
                      <w:highlight w:val="none"/>
                    </w:rPr>
                    <w:t>年平均质量浓度</w:t>
                  </w:r>
                </w:p>
              </w:tc>
              <w:tc>
                <w:tcPr>
                  <w:tcW w:w="726" w:type="pct"/>
                  <w:noWrap w:val="0"/>
                  <w:vAlign w:val="center"/>
                </w:tcPr>
                <w:p w14:paraId="079567FB">
                  <w:pPr>
                    <w:pStyle w:val="12"/>
                    <w:spacing w:line="320" w:lineRule="exact"/>
                    <w:ind w:left="0" w:firstLine="0" w:firstLineChars="0"/>
                    <w:jc w:val="center"/>
                    <w:rPr>
                      <w:rFonts w:hint="eastAsia" w:eastAsia="宋体"/>
                      <w:color w:val="auto"/>
                      <w:szCs w:val="21"/>
                      <w:highlight w:val="none"/>
                      <w:lang w:val="en-US" w:eastAsia="zh-CN"/>
                    </w:rPr>
                  </w:pPr>
                  <w:r>
                    <w:rPr>
                      <w:color w:val="auto"/>
                      <w:szCs w:val="21"/>
                      <w:highlight w:val="none"/>
                    </w:rPr>
                    <w:t>2</w:t>
                  </w:r>
                  <w:r>
                    <w:rPr>
                      <w:rFonts w:hint="eastAsia"/>
                      <w:color w:val="auto"/>
                      <w:szCs w:val="21"/>
                      <w:highlight w:val="none"/>
                      <w:lang w:val="en-US" w:eastAsia="zh-CN"/>
                    </w:rPr>
                    <w:t>4</w:t>
                  </w:r>
                </w:p>
              </w:tc>
              <w:tc>
                <w:tcPr>
                  <w:tcW w:w="681" w:type="pct"/>
                  <w:noWrap w:val="0"/>
                  <w:vAlign w:val="center"/>
                </w:tcPr>
                <w:p w14:paraId="659D426C">
                  <w:pPr>
                    <w:pStyle w:val="12"/>
                    <w:spacing w:line="320" w:lineRule="exact"/>
                    <w:ind w:left="0" w:firstLine="0" w:firstLineChars="0"/>
                    <w:jc w:val="center"/>
                    <w:rPr>
                      <w:color w:val="auto"/>
                      <w:szCs w:val="21"/>
                      <w:highlight w:val="none"/>
                    </w:rPr>
                  </w:pPr>
                  <w:r>
                    <w:rPr>
                      <w:color w:val="auto"/>
                      <w:szCs w:val="21"/>
                      <w:highlight w:val="none"/>
                    </w:rPr>
                    <w:t>40</w:t>
                  </w:r>
                </w:p>
              </w:tc>
              <w:tc>
                <w:tcPr>
                  <w:tcW w:w="569" w:type="pct"/>
                  <w:noWrap w:val="0"/>
                  <w:vAlign w:val="center"/>
                </w:tcPr>
                <w:p w14:paraId="1D3097D3">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833" w:type="pct"/>
                  <w:noWrap w:val="0"/>
                  <w:vAlign w:val="center"/>
                </w:tcPr>
                <w:p w14:paraId="49294E50">
                  <w:pPr>
                    <w:pStyle w:val="12"/>
                    <w:spacing w:line="320" w:lineRule="exact"/>
                    <w:ind w:left="0" w:firstLine="0" w:firstLineChars="0"/>
                    <w:jc w:val="center"/>
                    <w:rPr>
                      <w:color w:val="auto"/>
                      <w:szCs w:val="21"/>
                      <w:highlight w:val="none"/>
                    </w:rPr>
                  </w:pPr>
                  <w:r>
                    <w:rPr>
                      <w:color w:val="auto"/>
                      <w:szCs w:val="21"/>
                      <w:highlight w:val="none"/>
                    </w:rPr>
                    <w:t>达标</w:t>
                  </w:r>
                </w:p>
              </w:tc>
            </w:tr>
            <w:tr w14:paraId="4CF0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6B5D72B5">
                  <w:pPr>
                    <w:pStyle w:val="12"/>
                    <w:spacing w:line="320" w:lineRule="exact"/>
                    <w:ind w:left="0" w:firstLine="0" w:firstLineChars="0"/>
                    <w:jc w:val="center"/>
                    <w:rPr>
                      <w:color w:val="auto"/>
                      <w:szCs w:val="21"/>
                      <w:highlight w:val="none"/>
                    </w:rPr>
                  </w:pPr>
                  <w:r>
                    <w:rPr>
                      <w:color w:val="auto"/>
                      <w:szCs w:val="21"/>
                      <w:highlight w:val="none"/>
                    </w:rPr>
                    <w:t>CO</w:t>
                  </w:r>
                </w:p>
              </w:tc>
              <w:tc>
                <w:tcPr>
                  <w:tcW w:w="1569" w:type="pct"/>
                  <w:noWrap w:val="0"/>
                  <w:vAlign w:val="center"/>
                </w:tcPr>
                <w:p w14:paraId="02AFC77A">
                  <w:pPr>
                    <w:pStyle w:val="12"/>
                    <w:spacing w:line="320" w:lineRule="exact"/>
                    <w:ind w:left="0" w:firstLine="0" w:firstLineChars="0"/>
                    <w:jc w:val="center"/>
                    <w:rPr>
                      <w:color w:val="auto"/>
                      <w:szCs w:val="21"/>
                      <w:highlight w:val="none"/>
                    </w:rPr>
                  </w:pPr>
                  <w:r>
                    <w:rPr>
                      <w:color w:val="auto"/>
                      <w:szCs w:val="21"/>
                      <w:highlight w:val="none"/>
                    </w:rPr>
                    <w:t>24h平均第9</w:t>
                  </w:r>
                  <w:r>
                    <w:rPr>
                      <w:rFonts w:hint="eastAsia"/>
                      <w:color w:val="auto"/>
                      <w:szCs w:val="21"/>
                      <w:highlight w:val="none"/>
                      <w:lang w:val="en-US" w:eastAsia="zh-CN"/>
                    </w:rPr>
                    <w:t>5</w:t>
                  </w:r>
                  <w:r>
                    <w:rPr>
                      <w:color w:val="auto"/>
                      <w:szCs w:val="21"/>
                      <w:highlight w:val="none"/>
                    </w:rPr>
                    <w:t>百分位数</w:t>
                  </w:r>
                </w:p>
              </w:tc>
              <w:tc>
                <w:tcPr>
                  <w:tcW w:w="726" w:type="pct"/>
                  <w:noWrap w:val="0"/>
                  <w:vAlign w:val="center"/>
                </w:tcPr>
                <w:p w14:paraId="0BEA806B">
                  <w:pPr>
                    <w:pStyle w:val="12"/>
                    <w:spacing w:line="320" w:lineRule="exact"/>
                    <w:ind w:left="0" w:firstLine="0" w:firstLineChars="0"/>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rPr>
                    <w:t>.</w:t>
                  </w:r>
                  <w:r>
                    <w:rPr>
                      <w:rFonts w:hint="eastAsia"/>
                      <w:color w:val="auto"/>
                      <w:szCs w:val="21"/>
                      <w:highlight w:val="none"/>
                      <w:lang w:val="en-US" w:eastAsia="zh-CN"/>
                    </w:rPr>
                    <w:t>3</w:t>
                  </w:r>
                </w:p>
              </w:tc>
              <w:tc>
                <w:tcPr>
                  <w:tcW w:w="681" w:type="pct"/>
                  <w:noWrap w:val="0"/>
                  <w:vAlign w:val="center"/>
                </w:tcPr>
                <w:p w14:paraId="597224E9">
                  <w:pPr>
                    <w:pStyle w:val="12"/>
                    <w:spacing w:line="320" w:lineRule="exact"/>
                    <w:ind w:left="0" w:firstLine="0" w:firstLineChars="0"/>
                    <w:jc w:val="center"/>
                    <w:rPr>
                      <w:color w:val="auto"/>
                      <w:szCs w:val="21"/>
                      <w:highlight w:val="none"/>
                    </w:rPr>
                  </w:pPr>
                  <w:r>
                    <w:rPr>
                      <w:rFonts w:hint="eastAsia"/>
                      <w:color w:val="auto"/>
                      <w:szCs w:val="21"/>
                      <w:highlight w:val="none"/>
                    </w:rPr>
                    <w:t>4.0</w:t>
                  </w:r>
                </w:p>
              </w:tc>
              <w:tc>
                <w:tcPr>
                  <w:tcW w:w="569" w:type="pct"/>
                  <w:noWrap w:val="0"/>
                  <w:vAlign w:val="center"/>
                </w:tcPr>
                <w:p w14:paraId="61E15F7D">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32.5</w:t>
                  </w:r>
                </w:p>
              </w:tc>
              <w:tc>
                <w:tcPr>
                  <w:tcW w:w="833" w:type="pct"/>
                  <w:noWrap w:val="0"/>
                  <w:vAlign w:val="center"/>
                </w:tcPr>
                <w:p w14:paraId="3A16855C">
                  <w:pPr>
                    <w:pStyle w:val="12"/>
                    <w:spacing w:line="320" w:lineRule="exact"/>
                    <w:ind w:left="0" w:firstLine="0" w:firstLineChars="0"/>
                    <w:jc w:val="center"/>
                    <w:rPr>
                      <w:color w:val="auto"/>
                      <w:szCs w:val="21"/>
                      <w:highlight w:val="none"/>
                    </w:rPr>
                  </w:pPr>
                  <w:r>
                    <w:rPr>
                      <w:color w:val="auto"/>
                      <w:szCs w:val="21"/>
                      <w:highlight w:val="none"/>
                    </w:rPr>
                    <w:t>达标</w:t>
                  </w:r>
                </w:p>
              </w:tc>
            </w:tr>
            <w:tr w14:paraId="075C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1DF700ED">
                  <w:pPr>
                    <w:pStyle w:val="12"/>
                    <w:spacing w:line="320" w:lineRule="exact"/>
                    <w:ind w:left="0" w:firstLine="0" w:firstLineChars="0"/>
                    <w:jc w:val="center"/>
                    <w:rPr>
                      <w:color w:val="auto"/>
                      <w:szCs w:val="21"/>
                      <w:highlight w:val="none"/>
                    </w:rPr>
                  </w:pPr>
                  <w:r>
                    <w:rPr>
                      <w:color w:val="auto"/>
                      <w:szCs w:val="21"/>
                      <w:highlight w:val="none"/>
                    </w:rPr>
                    <w:t>O</w:t>
                  </w:r>
                  <w:r>
                    <w:rPr>
                      <w:color w:val="auto"/>
                      <w:szCs w:val="21"/>
                      <w:highlight w:val="none"/>
                      <w:vertAlign w:val="subscript"/>
                    </w:rPr>
                    <w:t>3</w:t>
                  </w:r>
                </w:p>
              </w:tc>
              <w:tc>
                <w:tcPr>
                  <w:tcW w:w="1569" w:type="pct"/>
                  <w:noWrap w:val="0"/>
                  <w:vAlign w:val="center"/>
                </w:tcPr>
                <w:p w14:paraId="779A28A9">
                  <w:pPr>
                    <w:pStyle w:val="12"/>
                    <w:spacing w:line="320" w:lineRule="exact"/>
                    <w:ind w:left="0" w:firstLine="0" w:firstLineChars="0"/>
                    <w:jc w:val="center"/>
                    <w:rPr>
                      <w:color w:val="auto"/>
                      <w:szCs w:val="21"/>
                      <w:highlight w:val="none"/>
                    </w:rPr>
                  </w:pPr>
                  <w:r>
                    <w:rPr>
                      <w:color w:val="auto"/>
                      <w:szCs w:val="21"/>
                      <w:highlight w:val="none"/>
                    </w:rPr>
                    <w:t>日最大8小时平均第90百分位数</w:t>
                  </w:r>
                </w:p>
              </w:tc>
              <w:tc>
                <w:tcPr>
                  <w:tcW w:w="726" w:type="pct"/>
                  <w:noWrap w:val="0"/>
                  <w:vAlign w:val="center"/>
                </w:tcPr>
                <w:p w14:paraId="0592E22A">
                  <w:pPr>
                    <w:pStyle w:val="12"/>
                    <w:spacing w:line="320" w:lineRule="exact"/>
                    <w:ind w:left="0" w:firstLine="0" w:firstLineChars="0"/>
                    <w:jc w:val="center"/>
                    <w:rPr>
                      <w:rFonts w:hint="default"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72</w:t>
                  </w:r>
                </w:p>
              </w:tc>
              <w:tc>
                <w:tcPr>
                  <w:tcW w:w="681" w:type="pct"/>
                  <w:noWrap w:val="0"/>
                  <w:vAlign w:val="center"/>
                </w:tcPr>
                <w:p w14:paraId="6A4B4008">
                  <w:pPr>
                    <w:pStyle w:val="12"/>
                    <w:spacing w:line="320" w:lineRule="exact"/>
                    <w:ind w:left="0" w:firstLine="0" w:firstLineChars="0"/>
                    <w:jc w:val="center"/>
                    <w:rPr>
                      <w:color w:val="auto"/>
                      <w:szCs w:val="21"/>
                      <w:highlight w:val="none"/>
                    </w:rPr>
                  </w:pPr>
                  <w:r>
                    <w:rPr>
                      <w:color w:val="auto"/>
                      <w:szCs w:val="21"/>
                      <w:highlight w:val="none"/>
                    </w:rPr>
                    <w:t>160</w:t>
                  </w:r>
                </w:p>
              </w:tc>
              <w:tc>
                <w:tcPr>
                  <w:tcW w:w="569" w:type="pct"/>
                  <w:noWrap w:val="0"/>
                  <w:vAlign w:val="center"/>
                </w:tcPr>
                <w:p w14:paraId="288E18E4">
                  <w:pPr>
                    <w:pStyle w:val="12"/>
                    <w:spacing w:line="320" w:lineRule="exact"/>
                    <w:ind w:left="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107.5</w:t>
                  </w:r>
                </w:p>
              </w:tc>
              <w:tc>
                <w:tcPr>
                  <w:tcW w:w="833" w:type="pct"/>
                  <w:noWrap w:val="0"/>
                  <w:vAlign w:val="center"/>
                </w:tcPr>
                <w:p w14:paraId="51A3ACBF">
                  <w:pPr>
                    <w:pStyle w:val="12"/>
                    <w:spacing w:line="320" w:lineRule="exact"/>
                    <w:ind w:left="0" w:firstLine="0" w:firstLineChars="0"/>
                    <w:jc w:val="center"/>
                    <w:rPr>
                      <w:color w:val="auto"/>
                      <w:szCs w:val="21"/>
                      <w:highlight w:val="none"/>
                    </w:rPr>
                  </w:pPr>
                  <w:r>
                    <w:rPr>
                      <w:color w:val="auto"/>
                      <w:szCs w:val="21"/>
                      <w:highlight w:val="none"/>
                    </w:rPr>
                    <w:t>不达标</w:t>
                  </w:r>
                </w:p>
              </w:tc>
            </w:tr>
          </w:tbl>
          <w:p w14:paraId="1F6075C1">
            <w:pPr>
              <w:adjustRightInd w:val="0"/>
              <w:snapToGrid w:val="0"/>
              <w:jc w:val="left"/>
              <w:rPr>
                <w:rFonts w:hint="default" w:ascii="Times New Roman" w:hAnsi="Times New Roman" w:eastAsia="宋体" w:cs="Times New Roman"/>
                <w:color w:val="auto"/>
                <w:kern w:val="0"/>
                <w:szCs w:val="21"/>
                <w:highlight w:val="none"/>
                <w:lang w:val="en-US" w:eastAsia="zh-CN"/>
              </w:rPr>
            </w:pPr>
            <w:r>
              <w:rPr>
                <w:rFonts w:hint="eastAsia" w:ascii="宋体" w:hAnsi="宋体" w:cs="宋体"/>
                <w:color w:val="auto"/>
                <w:kern w:val="0"/>
                <w:szCs w:val="21"/>
                <w:highlight w:val="none"/>
                <w:lang w:val="en-US" w:eastAsia="zh-CN"/>
              </w:rPr>
              <w:t>注</w:t>
            </w:r>
            <w:r>
              <w:rPr>
                <w:rFonts w:hint="default" w:ascii="Times New Roman" w:hAnsi="Times New Roman" w:eastAsia="宋体" w:cs="Times New Roman"/>
                <w:color w:val="auto"/>
                <w:kern w:val="0"/>
                <w:szCs w:val="21"/>
                <w:highlight w:val="none"/>
                <w:lang w:val="en-US" w:eastAsia="zh-CN"/>
              </w:rPr>
              <w:t>：1.CO的浓度单位是mg/m</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lang w:val="en-US" w:eastAsia="zh-CN"/>
              </w:rPr>
              <w:t>，PM</w:t>
            </w:r>
            <w:r>
              <w:rPr>
                <w:rFonts w:hint="default" w:ascii="Times New Roman" w:hAnsi="Times New Roman" w:eastAsia="宋体" w:cs="Times New Roman"/>
                <w:color w:val="auto"/>
                <w:kern w:val="0"/>
                <w:szCs w:val="21"/>
                <w:highlight w:val="none"/>
                <w:vertAlign w:val="subscript"/>
                <w:lang w:val="en-US" w:eastAsia="zh-CN"/>
              </w:rPr>
              <w:t>2.5</w:t>
            </w:r>
            <w:r>
              <w:rPr>
                <w:rFonts w:hint="default" w:ascii="Times New Roman" w:hAnsi="Times New Roman" w:eastAsia="宋体" w:cs="Times New Roman"/>
                <w:color w:val="auto"/>
                <w:kern w:val="0"/>
                <w:szCs w:val="21"/>
                <w:highlight w:val="none"/>
                <w:lang w:val="en-US" w:eastAsia="zh-CN"/>
              </w:rPr>
              <w:t>、PM</w:t>
            </w:r>
            <w:r>
              <w:rPr>
                <w:rFonts w:hint="default" w:ascii="Times New Roman" w:hAnsi="Times New Roman" w:eastAsia="宋体" w:cs="Times New Roman"/>
                <w:color w:val="auto"/>
                <w:kern w:val="0"/>
                <w:szCs w:val="21"/>
                <w:highlight w:val="none"/>
                <w:vertAlign w:val="subscript"/>
                <w:lang w:val="en-US" w:eastAsia="zh-CN"/>
              </w:rPr>
              <w:t>10</w:t>
            </w:r>
            <w:r>
              <w:rPr>
                <w:rFonts w:hint="default" w:ascii="Times New Roman" w:hAnsi="Times New Roman" w:eastAsia="宋体" w:cs="Times New Roman"/>
                <w:color w:val="auto"/>
                <w:kern w:val="0"/>
                <w:szCs w:val="21"/>
                <w:highlight w:val="none"/>
                <w:lang w:val="en-US" w:eastAsia="zh-CN"/>
              </w:rPr>
              <w:t>、NO</w:t>
            </w:r>
            <w:r>
              <w:rPr>
                <w:rFonts w:hint="default" w:ascii="Times New Roman" w:hAnsi="Times New Roman" w:eastAsia="宋体" w:cs="Times New Roman"/>
                <w:color w:val="auto"/>
                <w:kern w:val="0"/>
                <w:szCs w:val="21"/>
                <w:highlight w:val="none"/>
                <w:vertAlign w:val="subscript"/>
                <w:lang w:val="en-US" w:eastAsia="zh-CN"/>
              </w:rPr>
              <w:t>2</w:t>
            </w:r>
            <w:r>
              <w:rPr>
                <w:rFonts w:hint="default" w:ascii="Times New Roman" w:hAnsi="Times New Roman" w:eastAsia="宋体" w:cs="Times New Roman"/>
                <w:color w:val="auto"/>
                <w:kern w:val="0"/>
                <w:szCs w:val="21"/>
                <w:highlight w:val="none"/>
                <w:lang w:val="en-US" w:eastAsia="zh-CN"/>
              </w:rPr>
              <w:t>、SO</w:t>
            </w:r>
            <w:r>
              <w:rPr>
                <w:rFonts w:hint="default" w:ascii="Times New Roman" w:hAnsi="Times New Roman" w:eastAsia="宋体" w:cs="Times New Roman"/>
                <w:color w:val="auto"/>
                <w:kern w:val="0"/>
                <w:szCs w:val="21"/>
                <w:highlight w:val="none"/>
                <w:vertAlign w:val="subscript"/>
                <w:lang w:val="en-US" w:eastAsia="zh-CN"/>
              </w:rPr>
              <w:t>2</w:t>
            </w:r>
            <w:r>
              <w:rPr>
                <w:rFonts w:hint="default" w:ascii="Times New Roman" w:hAnsi="Times New Roman" w:eastAsia="宋体" w:cs="Times New Roman"/>
                <w:color w:val="auto"/>
                <w:kern w:val="0"/>
                <w:szCs w:val="21"/>
                <w:highlight w:val="none"/>
                <w:lang w:val="en-US" w:eastAsia="zh-CN"/>
              </w:rPr>
              <w:t>、O</w:t>
            </w:r>
            <w:r>
              <w:rPr>
                <w:rFonts w:hint="default" w:ascii="Times New Roman" w:hAnsi="Times New Roman" w:eastAsia="宋体" w:cs="Times New Roman"/>
                <w:color w:val="auto"/>
                <w:kern w:val="0"/>
                <w:szCs w:val="21"/>
                <w:highlight w:val="none"/>
                <w:vertAlign w:val="subscript"/>
                <w:lang w:val="en-US" w:eastAsia="zh-CN"/>
              </w:rPr>
              <w:t>3</w:t>
            </w:r>
            <w:r>
              <w:rPr>
                <w:rFonts w:hint="default" w:ascii="Times New Roman" w:hAnsi="Times New Roman" w:eastAsia="宋体" w:cs="Times New Roman"/>
                <w:color w:val="auto"/>
                <w:kern w:val="0"/>
                <w:szCs w:val="21"/>
                <w:highlight w:val="none"/>
                <w:lang w:val="en-US" w:eastAsia="zh-CN"/>
              </w:rPr>
              <w:t>的浓度单位是μg/m</w:t>
            </w:r>
            <w:r>
              <w:rPr>
                <w:rFonts w:hint="default" w:ascii="Times New Roman" w:hAnsi="Times New Roman" w:eastAsia="宋体" w:cs="Times New Roman"/>
                <w:color w:val="auto"/>
                <w:kern w:val="0"/>
                <w:szCs w:val="21"/>
                <w:highlight w:val="none"/>
                <w:vertAlign w:val="superscript"/>
                <w:lang w:val="en-US" w:eastAsia="zh-CN"/>
              </w:rPr>
              <w:t>3</w:t>
            </w:r>
          </w:p>
          <w:p w14:paraId="3D29EC47">
            <w:pPr>
              <w:adjustRightInd w:val="0"/>
              <w:snapToGrid w:val="0"/>
              <w:spacing w:line="360" w:lineRule="auto"/>
              <w:ind w:firstLine="42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Cs w:val="21"/>
                <w:highlight w:val="none"/>
                <w:lang w:val="en-US" w:eastAsia="zh-CN"/>
              </w:rPr>
              <w:t>2.CO为24小时平均第95百分位数，O</w:t>
            </w:r>
            <w:r>
              <w:rPr>
                <w:rFonts w:hint="default" w:ascii="Times New Roman" w:hAnsi="Times New Roman" w:eastAsia="宋体" w:cs="Times New Roman"/>
                <w:color w:val="auto"/>
                <w:kern w:val="0"/>
                <w:szCs w:val="21"/>
                <w:highlight w:val="none"/>
                <w:vertAlign w:val="subscript"/>
                <w:lang w:val="en-US" w:eastAsia="zh-CN"/>
              </w:rPr>
              <w:t>3</w:t>
            </w:r>
            <w:r>
              <w:rPr>
                <w:rFonts w:hint="default" w:ascii="Times New Roman" w:hAnsi="Times New Roman" w:eastAsia="宋体" w:cs="Times New Roman"/>
                <w:color w:val="auto"/>
                <w:kern w:val="0"/>
                <w:szCs w:val="21"/>
                <w:highlight w:val="none"/>
                <w:lang w:val="en-US" w:eastAsia="zh-CN"/>
              </w:rPr>
              <w:t>为日最大8小时平均第90百分位数</w:t>
            </w:r>
          </w:p>
          <w:p w14:paraId="27EAD56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由上表可知，项目所在宽城县环境空气中，SO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年平均值、NO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年平均值、PM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年平均值、PM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年平均值和CO24小时均值达标，但O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日最大8小时平均值未达到《环境空气质量标准》（GB3095-2012）二级标准值，首要污染物为O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。本项目所在区域属于不达标区。</w:t>
            </w:r>
          </w:p>
          <w:p w14:paraId="08395AB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rPr>
              <w:t>（2）其他大气污染物环境质量现</w:t>
            </w:r>
            <w:r>
              <w:rPr>
                <w:rFonts w:hint="default" w:ascii="Times New Roman" w:hAnsi="Times New Roman" w:eastAsia="宋体" w:cs="Times New Roman"/>
                <w:color w:val="auto"/>
                <w:sz w:val="24"/>
                <w:szCs w:val="24"/>
                <w:highlight w:val="none"/>
                <w:lang w:bidi="ar"/>
              </w:rPr>
              <w:t>状</w:t>
            </w:r>
          </w:p>
          <w:p w14:paraId="343BC81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lang w:bidi="ar"/>
              </w:rPr>
              <w:t>为进一步了解项目区环境空气质量现状，</w:t>
            </w:r>
            <w:r>
              <w:rPr>
                <w:rFonts w:hint="default" w:ascii="Times New Roman" w:hAnsi="Times New Roman" w:eastAsia="宋体" w:cs="Times New Roman"/>
                <w:color w:val="auto"/>
                <w:spacing w:val="0"/>
                <w:sz w:val="24"/>
                <w:szCs w:val="24"/>
                <w:highlight w:val="none"/>
                <w:lang w:eastAsia="zh-CN"/>
              </w:rPr>
              <w:t>企业于</w:t>
            </w:r>
            <w:r>
              <w:rPr>
                <w:rFonts w:hint="default" w:ascii="Times New Roman" w:hAnsi="Times New Roman" w:eastAsia="宋体" w:cs="Times New Roman"/>
                <w:color w:val="auto"/>
                <w:spacing w:val="0"/>
                <w:sz w:val="24"/>
                <w:szCs w:val="24"/>
                <w:highlight w:val="none"/>
                <w:lang w:val="en-US" w:eastAsia="zh-CN"/>
              </w:rPr>
              <w:t>2024年6月1日-6月19日对</w:t>
            </w:r>
            <w:r>
              <w:rPr>
                <w:rFonts w:hint="eastAsia" w:ascii="Times New Roman" w:hAnsi="Times New Roman" w:eastAsia="宋体" w:cs="Times New Roman"/>
                <w:color w:val="auto"/>
                <w:spacing w:val="0"/>
                <w:sz w:val="24"/>
                <w:szCs w:val="24"/>
                <w:highlight w:val="none"/>
                <w:lang w:val="en-US" w:eastAsia="zh-CN"/>
              </w:rPr>
              <w:t>委托辽宁鹏宇环境检测有限公司在项目厂区东北侧进行</w:t>
            </w:r>
            <w:r>
              <w:rPr>
                <w:rFonts w:hint="default" w:ascii="Times New Roman" w:hAnsi="Times New Roman" w:eastAsia="宋体" w:cs="Times New Roman"/>
                <w:color w:val="auto"/>
                <w:spacing w:val="0"/>
                <w:sz w:val="24"/>
                <w:szCs w:val="24"/>
                <w:highlight w:val="none"/>
                <w:lang w:eastAsia="zh-CN"/>
              </w:rPr>
              <w:t>非甲烷总烃</w:t>
            </w:r>
            <w:r>
              <w:rPr>
                <w:rFonts w:hint="eastAsia" w:ascii="Times New Roman" w:hAnsi="Times New Roman" w:eastAsia="宋体" w:cs="Times New Roman"/>
                <w:color w:val="auto"/>
                <w:spacing w:val="0"/>
                <w:sz w:val="24"/>
                <w:szCs w:val="24"/>
                <w:highlight w:val="none"/>
                <w:lang w:eastAsia="zh-CN"/>
              </w:rPr>
              <w:t>的</w:t>
            </w:r>
            <w:r>
              <w:rPr>
                <w:rFonts w:hint="default" w:ascii="Times New Roman" w:hAnsi="Times New Roman" w:eastAsia="宋体" w:cs="Times New Roman"/>
                <w:color w:val="auto"/>
                <w:sz w:val="24"/>
                <w:szCs w:val="24"/>
                <w:highlight w:val="none"/>
                <w:lang w:eastAsia="zh-CN"/>
              </w:rPr>
              <w:t>现状监测</w:t>
            </w:r>
            <w:r>
              <w:rPr>
                <w:rFonts w:hint="eastAsia" w:ascii="Times New Roman" w:hAnsi="Times New Roman" w:eastAsia="宋体" w:cs="Times New Roman"/>
                <w:color w:val="auto"/>
                <w:sz w:val="24"/>
                <w:szCs w:val="24"/>
                <w:highlight w:val="none"/>
                <w:lang w:eastAsia="zh-CN"/>
              </w:rPr>
              <w:t>，并出具检测报告（辽鹏环测字</w:t>
            </w:r>
            <w:r>
              <w:rPr>
                <w:rFonts w:hint="eastAsia" w:ascii="Times New Roman" w:hAnsi="Times New Roman" w:eastAsia="宋体" w:cs="Times New Roman"/>
                <w:color w:val="auto"/>
                <w:sz w:val="24"/>
                <w:szCs w:val="24"/>
                <w:highlight w:val="none"/>
                <w:lang w:val="en-US" w:eastAsia="zh-CN"/>
              </w:rPr>
              <w:t>PY2406325-001号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TSP现状监测数据</w:t>
            </w:r>
            <w:r>
              <w:rPr>
                <w:rFonts w:hint="default" w:ascii="Times New Roman" w:hAnsi="Times New Roman" w:eastAsia="宋体" w:cs="Times New Roman"/>
                <w:color w:val="auto"/>
                <w:sz w:val="24"/>
                <w:szCs w:val="24"/>
                <w:highlight w:val="none"/>
                <w:lang w:bidi="ar"/>
              </w:rPr>
              <w:t>引用</w:t>
            </w:r>
            <w:r>
              <w:rPr>
                <w:rFonts w:hint="default" w:ascii="Times New Roman" w:hAnsi="Times New Roman" w:eastAsia="宋体" w:cs="Times New Roman"/>
                <w:color w:val="auto"/>
                <w:sz w:val="24"/>
                <w:szCs w:val="24"/>
                <w:highlight w:val="none"/>
                <w:lang w:eastAsia="zh-CN" w:bidi="ar"/>
              </w:rPr>
              <w:t>《宽城宽安矿业有限公司尾矿资源综合利用建设项目》的现状</w:t>
            </w:r>
            <w:r>
              <w:rPr>
                <w:rFonts w:hint="default" w:ascii="Times New Roman" w:hAnsi="Times New Roman" w:eastAsia="宋体" w:cs="Times New Roman"/>
                <w:color w:val="auto"/>
                <w:sz w:val="24"/>
                <w:szCs w:val="24"/>
                <w:highlight w:val="none"/>
                <w:lang w:bidi="ar"/>
              </w:rPr>
              <w:t>监测数据，监测日期为</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bidi="ar"/>
              </w:rPr>
              <w:t>，引用监测因子TSP。</w:t>
            </w:r>
            <w:r>
              <w:rPr>
                <w:rFonts w:hint="default" w:ascii="Times New Roman" w:hAnsi="Times New Roman" w:eastAsia="宋体" w:cs="Times New Roman"/>
                <w:color w:val="auto"/>
                <w:sz w:val="24"/>
                <w:szCs w:val="24"/>
                <w:highlight w:val="none"/>
                <w:lang w:eastAsia="zh-CN" w:bidi="ar"/>
              </w:rPr>
              <w:t>监测点位于南山根村，</w:t>
            </w:r>
            <w:r>
              <w:rPr>
                <w:rFonts w:hint="default" w:ascii="Times New Roman" w:hAnsi="Times New Roman" w:eastAsia="宋体" w:cs="Times New Roman"/>
                <w:color w:val="auto"/>
                <w:sz w:val="24"/>
                <w:szCs w:val="24"/>
                <w:highlight w:val="none"/>
              </w:rPr>
              <w:t>监测7天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0"/>
                <w:sz w:val="24"/>
                <w:szCs w:val="24"/>
                <w:highlight w:val="none"/>
              </w:rPr>
              <w:t>TSP</w:t>
            </w:r>
            <w:r>
              <w:rPr>
                <w:rFonts w:hint="default" w:ascii="Times New Roman" w:hAnsi="Times New Roman" w:eastAsia="宋体" w:cs="Times New Roman"/>
                <w:color w:val="auto"/>
                <w:spacing w:val="0"/>
                <w:sz w:val="24"/>
                <w:szCs w:val="24"/>
                <w:highlight w:val="none"/>
                <w:lang w:eastAsia="zh-CN"/>
              </w:rPr>
              <w:t>的</w:t>
            </w:r>
            <w:r>
              <w:rPr>
                <w:rFonts w:hint="default" w:ascii="Times New Roman" w:hAnsi="Times New Roman" w:eastAsia="宋体" w:cs="Times New Roman"/>
                <w:color w:val="auto"/>
                <w:spacing w:val="0"/>
                <w:sz w:val="24"/>
                <w:szCs w:val="24"/>
                <w:highlight w:val="none"/>
              </w:rPr>
              <w:t>24小时平均浓度每天采样24小时</w:t>
            </w:r>
            <w:r>
              <w:rPr>
                <w:rFonts w:hint="default" w:ascii="Times New Roman" w:hAnsi="Times New Roman" w:eastAsia="宋体" w:cs="Times New Roman"/>
                <w:color w:val="auto"/>
                <w:spacing w:val="0"/>
                <w:sz w:val="24"/>
                <w:szCs w:val="24"/>
                <w:highlight w:val="none"/>
                <w:lang w:eastAsia="zh-CN"/>
              </w:rPr>
              <w:t>。</w:t>
            </w:r>
          </w:p>
          <w:p w14:paraId="3C58E7AC">
            <w:pPr>
              <w:pStyle w:val="2"/>
              <w:keepNext w:val="0"/>
              <w:keepLines w:val="0"/>
              <w:pageBreakBefore w:val="0"/>
              <w:widowControl w:val="0"/>
              <w:kinsoku/>
              <w:wordWrap/>
              <w:overflowPunct/>
              <w:topLinePunct w:val="0"/>
              <w:autoSpaceDE/>
              <w:autoSpaceDN/>
              <w:bidi w:val="0"/>
              <w:spacing w:line="480" w:lineRule="exact"/>
              <w:ind w:firstLine="0" w:firstLine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表3-</w:t>
            </w:r>
            <w:r>
              <w:rPr>
                <w:rFonts w:hint="default" w:ascii="Times New Roman" w:hAnsi="Times New Roman" w:eastAsia="宋体" w:cs="Times New Roman"/>
                <w:b w:val="0"/>
                <w:bCs w:val="0"/>
                <w:color w:val="auto"/>
                <w:sz w:val="24"/>
                <w:szCs w:val="24"/>
                <w:highlight w:val="none"/>
                <w:lang w:val="en-US" w:eastAsia="zh-CN"/>
              </w:rPr>
              <w:t xml:space="preserve">2 </w:t>
            </w:r>
            <w:r>
              <w:rPr>
                <w:rFonts w:hint="eastAsia"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rPr>
              <w:t>监测结果统计及评价结果一览表</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
              <w:gridCol w:w="952"/>
              <w:gridCol w:w="952"/>
              <w:gridCol w:w="952"/>
              <w:gridCol w:w="952"/>
              <w:gridCol w:w="952"/>
              <w:gridCol w:w="952"/>
              <w:gridCol w:w="952"/>
              <w:gridCol w:w="952"/>
              <w:gridCol w:w="405"/>
            </w:tblGrid>
            <w:tr w14:paraId="20B3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42" w:type="pct"/>
                  <w:vMerge w:val="restart"/>
                  <w:tcBorders>
                    <w:tl2br w:val="nil"/>
                    <w:tr2bl w:val="nil"/>
                  </w:tcBorders>
                  <w:noWrap w:val="0"/>
                  <w:vAlign w:val="center"/>
                </w:tcPr>
                <w:p w14:paraId="5D0A9601">
                  <w:pPr>
                    <w:adjustRightInd w:val="0"/>
                    <w:snapToGrid w:val="0"/>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检测点位</w:t>
                  </w:r>
                </w:p>
              </w:tc>
              <w:tc>
                <w:tcPr>
                  <w:tcW w:w="3501" w:type="pct"/>
                  <w:gridSpan w:val="7"/>
                  <w:tcBorders>
                    <w:tl2br w:val="nil"/>
                    <w:tr2bl w:val="nil"/>
                  </w:tcBorders>
                  <w:noWrap w:val="0"/>
                  <w:vAlign w:val="center"/>
                </w:tcPr>
                <w:p w14:paraId="0C4A17CC">
                  <w:pPr>
                    <w:adjustRightInd w:val="0"/>
                    <w:snapToGrid w:val="0"/>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监测日期</w:t>
                  </w:r>
                </w:p>
              </w:tc>
              <w:tc>
                <w:tcPr>
                  <w:tcW w:w="564" w:type="pct"/>
                  <w:vMerge w:val="restart"/>
                  <w:tcBorders>
                    <w:tl2br w:val="nil"/>
                    <w:tr2bl w:val="nil"/>
                  </w:tcBorders>
                  <w:noWrap w:val="0"/>
                  <w:vAlign w:val="center"/>
                </w:tcPr>
                <w:p w14:paraId="0001B1CD">
                  <w:pPr>
                    <w:adjustRightInd w:val="0"/>
                    <w:snapToGrid w:val="0"/>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标准值</w:t>
                  </w:r>
                </w:p>
              </w:tc>
              <w:tc>
                <w:tcPr>
                  <w:tcW w:w="491" w:type="pct"/>
                  <w:vMerge w:val="restart"/>
                  <w:tcBorders>
                    <w:tl2br w:val="nil"/>
                    <w:tr2bl w:val="nil"/>
                  </w:tcBorders>
                  <w:noWrap w:val="0"/>
                  <w:vAlign w:val="center"/>
                </w:tcPr>
                <w:p w14:paraId="1B96DF63">
                  <w:pPr>
                    <w:adjustRightInd w:val="0"/>
                    <w:snapToGrid w:val="0"/>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达标分析</w:t>
                  </w:r>
                </w:p>
              </w:tc>
            </w:tr>
            <w:tr w14:paraId="3CBA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2" w:type="pct"/>
                  <w:vMerge w:val="continue"/>
                  <w:tcBorders>
                    <w:tl2br w:val="nil"/>
                    <w:tr2bl w:val="nil"/>
                  </w:tcBorders>
                  <w:noWrap w:val="0"/>
                  <w:vAlign w:val="center"/>
                </w:tcPr>
                <w:p w14:paraId="61FB57FB">
                  <w:pPr>
                    <w:adjustRightInd w:val="0"/>
                    <w:snapToGrid w:val="0"/>
                    <w:spacing w:line="360" w:lineRule="auto"/>
                    <w:jc w:val="center"/>
                    <w:rPr>
                      <w:rFonts w:hint="default" w:ascii="Times New Roman" w:hAnsi="Times New Roman" w:eastAsia="宋体" w:cs="Times New Roman"/>
                      <w:color w:val="auto"/>
                      <w:sz w:val="21"/>
                      <w:szCs w:val="21"/>
                      <w:highlight w:val="none"/>
                    </w:rPr>
                  </w:pPr>
                </w:p>
              </w:tc>
              <w:tc>
                <w:tcPr>
                  <w:tcW w:w="491" w:type="pct"/>
                  <w:tcBorders>
                    <w:tl2br w:val="nil"/>
                    <w:tr2bl w:val="nil"/>
                  </w:tcBorders>
                  <w:noWrap w:val="0"/>
                  <w:vAlign w:val="center"/>
                </w:tcPr>
                <w:p w14:paraId="1661280C">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日</w:t>
                  </w:r>
                </w:p>
              </w:tc>
              <w:tc>
                <w:tcPr>
                  <w:tcW w:w="467" w:type="pct"/>
                  <w:tcBorders>
                    <w:tl2br w:val="nil"/>
                    <w:tr2bl w:val="nil"/>
                  </w:tcBorders>
                  <w:noWrap w:val="0"/>
                  <w:vAlign w:val="center"/>
                </w:tcPr>
                <w:p w14:paraId="21F69C2A">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月2日</w:t>
                  </w:r>
                </w:p>
              </w:tc>
              <w:tc>
                <w:tcPr>
                  <w:tcW w:w="467" w:type="pct"/>
                  <w:tcBorders>
                    <w:tl2br w:val="nil"/>
                    <w:tr2bl w:val="nil"/>
                  </w:tcBorders>
                  <w:noWrap w:val="0"/>
                  <w:vAlign w:val="center"/>
                </w:tcPr>
                <w:p w14:paraId="6474B68C">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日</w:t>
                  </w:r>
                </w:p>
              </w:tc>
              <w:tc>
                <w:tcPr>
                  <w:tcW w:w="467" w:type="pct"/>
                  <w:tcBorders>
                    <w:tl2br w:val="nil"/>
                    <w:tr2bl w:val="nil"/>
                  </w:tcBorders>
                  <w:noWrap w:val="0"/>
                  <w:vAlign w:val="center"/>
                </w:tcPr>
                <w:p w14:paraId="595727FA">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日</w:t>
                  </w:r>
                </w:p>
              </w:tc>
              <w:tc>
                <w:tcPr>
                  <w:tcW w:w="467" w:type="pct"/>
                  <w:tcBorders>
                    <w:tl2br w:val="nil"/>
                    <w:tr2bl w:val="nil"/>
                  </w:tcBorders>
                  <w:noWrap w:val="0"/>
                  <w:vAlign w:val="center"/>
                </w:tcPr>
                <w:p w14:paraId="37327D41">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日</w:t>
                  </w:r>
                </w:p>
              </w:tc>
              <w:tc>
                <w:tcPr>
                  <w:tcW w:w="568" w:type="pct"/>
                  <w:tcBorders>
                    <w:tl2br w:val="nil"/>
                    <w:tr2bl w:val="nil"/>
                  </w:tcBorders>
                  <w:noWrap w:val="0"/>
                  <w:vAlign w:val="center"/>
                </w:tcPr>
                <w:p w14:paraId="1BDE3F19">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日</w:t>
                  </w:r>
                </w:p>
              </w:tc>
              <w:tc>
                <w:tcPr>
                  <w:tcW w:w="573" w:type="pct"/>
                  <w:tcBorders>
                    <w:tl2br w:val="nil"/>
                    <w:tr2bl w:val="nil"/>
                  </w:tcBorders>
                  <w:noWrap w:val="0"/>
                  <w:vAlign w:val="center"/>
                </w:tcPr>
                <w:p w14:paraId="21E50370">
                  <w:pPr>
                    <w:adjustRightInd w:val="0"/>
                    <w:snapToGrid w:val="0"/>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日</w:t>
                  </w:r>
                </w:p>
              </w:tc>
              <w:tc>
                <w:tcPr>
                  <w:tcW w:w="564" w:type="pct"/>
                  <w:vMerge w:val="continue"/>
                  <w:tcBorders>
                    <w:tl2br w:val="nil"/>
                    <w:tr2bl w:val="nil"/>
                  </w:tcBorders>
                  <w:noWrap w:val="0"/>
                  <w:vAlign w:val="center"/>
                </w:tcPr>
                <w:p w14:paraId="25C4B81E">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p>
              </w:tc>
              <w:tc>
                <w:tcPr>
                  <w:tcW w:w="491" w:type="pct"/>
                  <w:vMerge w:val="continue"/>
                  <w:tcBorders>
                    <w:tl2br w:val="nil"/>
                    <w:tr2bl w:val="nil"/>
                  </w:tcBorders>
                  <w:noWrap w:val="0"/>
                  <w:vAlign w:val="center"/>
                </w:tcPr>
                <w:p w14:paraId="5A546D4E">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p>
              </w:tc>
            </w:tr>
            <w:tr w14:paraId="2486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4" w:hRule="atLeast"/>
                <w:jc w:val="center"/>
              </w:trPr>
              <w:tc>
                <w:tcPr>
                  <w:tcW w:w="442" w:type="pct"/>
                  <w:tcBorders>
                    <w:tl2br w:val="nil"/>
                    <w:tr2bl w:val="nil"/>
                  </w:tcBorders>
                  <w:noWrap w:val="0"/>
                  <w:vAlign w:val="center"/>
                </w:tcPr>
                <w:p w14:paraId="12AC7084">
                  <w:pPr>
                    <w:pStyle w:val="2"/>
                    <w:spacing w:line="360" w:lineRule="auto"/>
                    <w:ind w:firstLine="0" w:firstLineChars="0"/>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南山根</w:t>
                  </w:r>
                  <w:r>
                    <w:rPr>
                      <w:rFonts w:hint="default" w:ascii="Times New Roman" w:hAnsi="Times New Roman" w:eastAsia="宋体" w:cs="Times New Roman"/>
                      <w:color w:val="auto"/>
                      <w:sz w:val="21"/>
                      <w:szCs w:val="21"/>
                      <w:highlight w:val="none"/>
                      <w:lang w:eastAsia="zh-CN"/>
                    </w:rPr>
                    <w:t>村</w:t>
                  </w:r>
                </w:p>
              </w:tc>
              <w:tc>
                <w:tcPr>
                  <w:tcW w:w="491" w:type="pct"/>
                  <w:tcBorders>
                    <w:tl2br w:val="nil"/>
                    <w:tr2bl w:val="nil"/>
                  </w:tcBorders>
                  <w:noWrap w:val="0"/>
                  <w:vAlign w:val="center"/>
                </w:tcPr>
                <w:p w14:paraId="0E45F1D6">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128</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467" w:type="pct"/>
                  <w:tcBorders>
                    <w:tl2br w:val="nil"/>
                    <w:tr2bl w:val="nil"/>
                  </w:tcBorders>
                  <w:noWrap w:val="0"/>
                  <w:vAlign w:val="center"/>
                </w:tcPr>
                <w:p w14:paraId="4B4EE243">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467" w:type="pct"/>
                  <w:tcBorders>
                    <w:tl2br w:val="nil"/>
                    <w:tr2bl w:val="nil"/>
                  </w:tcBorders>
                  <w:noWrap w:val="0"/>
                  <w:vAlign w:val="center"/>
                </w:tcPr>
                <w:p w14:paraId="766F0EAD">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467" w:type="pct"/>
                  <w:tcBorders>
                    <w:tl2br w:val="nil"/>
                    <w:tr2bl w:val="nil"/>
                  </w:tcBorders>
                  <w:noWrap w:val="0"/>
                  <w:vAlign w:val="center"/>
                </w:tcPr>
                <w:p w14:paraId="572D916A">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126</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467" w:type="pct"/>
                  <w:tcBorders>
                    <w:tl2br w:val="nil"/>
                    <w:tr2bl w:val="nil"/>
                  </w:tcBorders>
                  <w:noWrap w:val="0"/>
                  <w:vAlign w:val="center"/>
                </w:tcPr>
                <w:p w14:paraId="6228D792">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568" w:type="pct"/>
                  <w:tcBorders>
                    <w:tl2br w:val="nil"/>
                    <w:tr2bl w:val="nil"/>
                  </w:tcBorders>
                  <w:noWrap w:val="0"/>
                  <w:vAlign w:val="center"/>
                </w:tcPr>
                <w:p w14:paraId="2A97AB0D">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573" w:type="pct"/>
                  <w:tcBorders>
                    <w:tl2br w:val="nil"/>
                    <w:tr2bl w:val="nil"/>
                  </w:tcBorders>
                  <w:noWrap w:val="0"/>
                  <w:vAlign w:val="center"/>
                </w:tcPr>
                <w:p w14:paraId="214767E0">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564" w:type="pct"/>
                  <w:tcBorders>
                    <w:tl2br w:val="nil"/>
                    <w:tr2bl w:val="nil"/>
                  </w:tcBorders>
                  <w:noWrap w:val="0"/>
                  <w:vAlign w:val="center"/>
                </w:tcPr>
                <w:p w14:paraId="2C70322A">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491" w:type="pct"/>
                  <w:tcBorders>
                    <w:tl2br w:val="nil"/>
                    <w:tr2bl w:val="nil"/>
                  </w:tcBorders>
                  <w:noWrap w:val="0"/>
                  <w:vAlign w:val="center"/>
                </w:tcPr>
                <w:p w14:paraId="0B3C786F">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06137A32">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表3-</w:t>
            </w:r>
            <w:r>
              <w:rPr>
                <w:rFonts w:hint="default" w:ascii="Times New Roman" w:hAnsi="Times New Roman" w:eastAsia="宋体" w:cs="Times New Roman"/>
                <w:b w:val="0"/>
                <w:bCs w:val="0"/>
                <w:color w:val="auto"/>
                <w:sz w:val="24"/>
                <w:szCs w:val="24"/>
                <w:highlight w:val="none"/>
                <w:lang w:val="en-US" w:eastAsia="zh-CN"/>
              </w:rPr>
              <w:t>3 非甲烷总烃</w:t>
            </w:r>
            <w:r>
              <w:rPr>
                <w:rFonts w:hint="default" w:ascii="Times New Roman" w:hAnsi="Times New Roman" w:eastAsia="宋体" w:cs="Times New Roman"/>
                <w:b w:val="0"/>
                <w:bCs w:val="0"/>
                <w:color w:val="auto"/>
                <w:sz w:val="24"/>
                <w:szCs w:val="24"/>
                <w:highlight w:val="none"/>
              </w:rPr>
              <w:t>监测结果统计及评价结果一览表</w:t>
            </w:r>
          </w:p>
          <w:tbl>
            <w:tblPr>
              <w:tblStyle w:val="17"/>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262"/>
              <w:gridCol w:w="1880"/>
              <w:gridCol w:w="3676"/>
            </w:tblGrid>
            <w:tr w14:paraId="36BF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noWrap w:val="0"/>
                  <w:vAlign w:val="center"/>
                </w:tcPr>
                <w:p w14:paraId="37DC4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采样</w:t>
                  </w:r>
                  <w:r>
                    <w:rPr>
                      <w:rFonts w:hint="default" w:ascii="Times New Roman" w:hAnsi="Times New Roman" w:eastAsia="宋体" w:cs="Times New Roman"/>
                      <w:color w:val="auto"/>
                      <w:kern w:val="0"/>
                      <w:sz w:val="21"/>
                      <w:szCs w:val="21"/>
                      <w:highlight w:val="none"/>
                    </w:rPr>
                    <w:t>日期</w:t>
                  </w:r>
                </w:p>
              </w:tc>
              <w:tc>
                <w:tcPr>
                  <w:tcW w:w="750" w:type="pct"/>
                  <w:noWrap w:val="0"/>
                  <w:vAlign w:val="center"/>
                </w:tcPr>
                <w:p w14:paraId="6A046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检测项目</w:t>
                  </w:r>
                </w:p>
              </w:tc>
              <w:tc>
                <w:tcPr>
                  <w:tcW w:w="1117" w:type="pct"/>
                  <w:noWrap w:val="0"/>
                  <w:vAlign w:val="center"/>
                </w:tcPr>
                <w:p w14:paraId="106DD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检测时段</w:t>
                  </w:r>
                </w:p>
              </w:tc>
              <w:tc>
                <w:tcPr>
                  <w:tcW w:w="2184" w:type="pct"/>
                  <w:noWrap w:val="0"/>
                  <w:vAlign w:val="center"/>
                </w:tcPr>
                <w:p w14:paraId="640A4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项目厂区东北侧</w:t>
                  </w:r>
                </w:p>
              </w:tc>
            </w:tr>
            <w:tr w14:paraId="7BDD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restart"/>
                  <w:noWrap w:val="0"/>
                  <w:vAlign w:val="center"/>
                </w:tcPr>
                <w:p w14:paraId="11D1E637">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2024.06.17</w:t>
                  </w:r>
                </w:p>
              </w:tc>
              <w:tc>
                <w:tcPr>
                  <w:tcW w:w="750" w:type="pct"/>
                  <w:vMerge w:val="restart"/>
                  <w:noWrap w:val="0"/>
                  <w:vAlign w:val="center"/>
                </w:tcPr>
                <w:p w14:paraId="0D36A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1117" w:type="pct"/>
                  <w:noWrap w:val="0"/>
                  <w:vAlign w:val="center"/>
                </w:tcPr>
                <w:p w14:paraId="00F3D8D1">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2:01-3:01</w:t>
                  </w:r>
                </w:p>
              </w:tc>
              <w:tc>
                <w:tcPr>
                  <w:tcW w:w="2184" w:type="pct"/>
                  <w:noWrap w:val="0"/>
                  <w:vAlign w:val="center"/>
                </w:tcPr>
                <w:p w14:paraId="59A9B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0.30</w:t>
                  </w:r>
                </w:p>
              </w:tc>
            </w:tr>
            <w:tr w14:paraId="7CB1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30845E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4D7E9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63273B99">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8:02--9:02</w:t>
                  </w:r>
                </w:p>
              </w:tc>
              <w:tc>
                <w:tcPr>
                  <w:tcW w:w="2184" w:type="pct"/>
                  <w:noWrap w:val="0"/>
                  <w:vAlign w:val="center"/>
                </w:tcPr>
                <w:p w14:paraId="5AB21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0.80</w:t>
                  </w:r>
                </w:p>
              </w:tc>
            </w:tr>
            <w:tr w14:paraId="2AB3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1639CD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737A4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51573E66">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14:03-15:03</w:t>
                  </w:r>
                </w:p>
              </w:tc>
              <w:tc>
                <w:tcPr>
                  <w:tcW w:w="2184" w:type="pct"/>
                  <w:noWrap w:val="0"/>
                  <w:vAlign w:val="center"/>
                </w:tcPr>
                <w:p w14:paraId="7CF96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0.73</w:t>
                  </w:r>
                </w:p>
              </w:tc>
            </w:tr>
            <w:tr w14:paraId="30B9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520FD3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40AC5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5FD032E6">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20:04-21:04</w:t>
                  </w:r>
                </w:p>
              </w:tc>
              <w:tc>
                <w:tcPr>
                  <w:tcW w:w="2184" w:type="pct"/>
                  <w:noWrap w:val="0"/>
                  <w:vAlign w:val="center"/>
                </w:tcPr>
                <w:p w14:paraId="1C7A6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0.41</w:t>
                  </w:r>
                </w:p>
              </w:tc>
            </w:tr>
            <w:tr w14:paraId="54DC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restart"/>
                  <w:noWrap w:val="0"/>
                  <w:vAlign w:val="center"/>
                </w:tcPr>
                <w:p w14:paraId="7724B1D8">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2024.06.18</w:t>
                  </w:r>
                </w:p>
              </w:tc>
              <w:tc>
                <w:tcPr>
                  <w:tcW w:w="750" w:type="pct"/>
                  <w:vMerge w:val="restart"/>
                  <w:noWrap w:val="0"/>
                  <w:vAlign w:val="center"/>
                </w:tcPr>
                <w:p w14:paraId="392E3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1117" w:type="pct"/>
                  <w:noWrap w:val="0"/>
                  <w:vAlign w:val="center"/>
                </w:tcPr>
                <w:p w14:paraId="4F51EC02">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2:04-3:04</w:t>
                  </w:r>
                </w:p>
              </w:tc>
              <w:tc>
                <w:tcPr>
                  <w:tcW w:w="2184" w:type="pct"/>
                  <w:noWrap w:val="0"/>
                  <w:vAlign w:val="center"/>
                </w:tcPr>
                <w:p w14:paraId="38B7E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0.92</w:t>
                  </w:r>
                </w:p>
              </w:tc>
            </w:tr>
            <w:tr w14:paraId="0BE9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04CB23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13052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268E0444">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8:05-9:05</w:t>
                  </w:r>
                </w:p>
              </w:tc>
              <w:tc>
                <w:tcPr>
                  <w:tcW w:w="2184" w:type="pct"/>
                  <w:noWrap w:val="0"/>
                  <w:vAlign w:val="center"/>
                </w:tcPr>
                <w:p w14:paraId="01F9A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1.11</w:t>
                  </w:r>
                </w:p>
              </w:tc>
            </w:tr>
            <w:tr w14:paraId="25A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764A5E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639BB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6A954F2D">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14:06-15:06</w:t>
                  </w:r>
                </w:p>
              </w:tc>
              <w:tc>
                <w:tcPr>
                  <w:tcW w:w="2184" w:type="pct"/>
                  <w:noWrap w:val="0"/>
                  <w:vAlign w:val="center"/>
                </w:tcPr>
                <w:p w14:paraId="18A99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0.68</w:t>
                  </w:r>
                </w:p>
              </w:tc>
            </w:tr>
            <w:tr w14:paraId="7252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533C30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479FA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620BE294">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20:07-21:07</w:t>
                  </w:r>
                </w:p>
              </w:tc>
              <w:tc>
                <w:tcPr>
                  <w:tcW w:w="2184" w:type="pct"/>
                  <w:noWrap w:val="0"/>
                  <w:vAlign w:val="center"/>
                </w:tcPr>
                <w:p w14:paraId="1BA84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0.81</w:t>
                  </w:r>
                </w:p>
              </w:tc>
            </w:tr>
            <w:tr w14:paraId="0FDB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restart"/>
                  <w:noWrap w:val="0"/>
                  <w:vAlign w:val="center"/>
                </w:tcPr>
                <w:p w14:paraId="2B443830">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2024.06.19</w:t>
                  </w:r>
                </w:p>
              </w:tc>
              <w:tc>
                <w:tcPr>
                  <w:tcW w:w="750" w:type="pct"/>
                  <w:vMerge w:val="restart"/>
                  <w:noWrap w:val="0"/>
                  <w:vAlign w:val="center"/>
                </w:tcPr>
                <w:p w14:paraId="4486B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1117" w:type="pct"/>
                  <w:noWrap w:val="0"/>
                  <w:vAlign w:val="center"/>
                </w:tcPr>
                <w:p w14:paraId="32142067">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2:03-3:03</w:t>
                  </w:r>
                </w:p>
              </w:tc>
              <w:tc>
                <w:tcPr>
                  <w:tcW w:w="2184" w:type="pct"/>
                  <w:noWrap w:val="0"/>
                  <w:vAlign w:val="center"/>
                </w:tcPr>
                <w:p w14:paraId="66586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0.85</w:t>
                  </w:r>
                </w:p>
              </w:tc>
            </w:tr>
            <w:tr w14:paraId="44B5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725ADF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4EB60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07FC24EB">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8:04-9:04</w:t>
                  </w:r>
                </w:p>
              </w:tc>
              <w:tc>
                <w:tcPr>
                  <w:tcW w:w="2184" w:type="pct"/>
                  <w:noWrap w:val="0"/>
                  <w:vAlign w:val="center"/>
                </w:tcPr>
                <w:p w14:paraId="67851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0.86</w:t>
                  </w:r>
                </w:p>
              </w:tc>
            </w:tr>
            <w:tr w14:paraId="1C43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6E3B85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5B939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0981C059">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14:05-15:05</w:t>
                  </w:r>
                </w:p>
              </w:tc>
              <w:tc>
                <w:tcPr>
                  <w:tcW w:w="2184" w:type="pct"/>
                  <w:noWrap w:val="0"/>
                  <w:vAlign w:val="center"/>
                </w:tcPr>
                <w:p w14:paraId="05671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0.78</w:t>
                  </w:r>
                </w:p>
              </w:tc>
            </w:tr>
            <w:tr w14:paraId="0C2A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8" w:type="pct"/>
                  <w:vMerge w:val="continue"/>
                  <w:noWrap w:val="0"/>
                  <w:vAlign w:val="center"/>
                </w:tcPr>
                <w:p w14:paraId="1D6C9E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50" w:type="pct"/>
                  <w:vMerge w:val="continue"/>
                  <w:noWrap w:val="0"/>
                  <w:vAlign w:val="center"/>
                </w:tcPr>
                <w:p w14:paraId="1E286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1117" w:type="pct"/>
                  <w:noWrap w:val="0"/>
                  <w:vAlign w:val="center"/>
                </w:tcPr>
                <w:p w14:paraId="299C6D88">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20:06-21:06</w:t>
                  </w:r>
                </w:p>
              </w:tc>
              <w:tc>
                <w:tcPr>
                  <w:tcW w:w="2184" w:type="pct"/>
                  <w:noWrap w:val="0"/>
                  <w:vAlign w:val="center"/>
                </w:tcPr>
                <w:p w14:paraId="4DD13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0.87</w:t>
                  </w:r>
                </w:p>
              </w:tc>
            </w:tr>
          </w:tbl>
          <w:p w14:paraId="7DE7FF92">
            <w:pPr>
              <w:keepNext w:val="0"/>
              <w:keepLines w:val="0"/>
              <w:pageBreakBefore w:val="0"/>
              <w:widowControl w:val="0"/>
              <w:kinsoku/>
              <w:wordWrap w:val="0"/>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vertAlign w:val="baseline"/>
                <w:lang w:eastAsia="zh-CN" w:bidi="ar"/>
              </w:rPr>
            </w:pPr>
            <w:r>
              <w:rPr>
                <w:rFonts w:hint="default" w:ascii="Times New Roman" w:hAnsi="Times New Roman" w:eastAsia="宋体" w:cs="Times New Roman"/>
                <w:color w:val="auto"/>
                <w:sz w:val="24"/>
                <w:szCs w:val="24"/>
                <w:highlight w:val="none"/>
              </w:rPr>
              <w:t>由上表可知，项目所在区域TSP满足《环境空气质量标准》（GB3095-2012）表2二级标准限值，即TSP24小时平均浓度限值≤300μg/m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；非甲烷总烃满足《环境空气质量非甲烷总烃限值》（DB13/1577-2012)表1二级标准限值，即标准状态下非甲烷总烃1小时平均浓度限值≤2.0mg/m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p>
          <w:p w14:paraId="4246858D">
            <w:pPr>
              <w:adjustRightInd w:val="0"/>
              <w:snapToGrid w:val="0"/>
              <w:spacing w:line="360" w:lineRule="auto"/>
              <w:jc w:val="left"/>
              <w:rPr>
                <w:rFonts w:hint="eastAsia" w:ascii="Times New Roman" w:hAnsi="Times New Roman" w:eastAsia="宋体" w:cs="Times New Roman"/>
                <w:b/>
                <w:bCs/>
                <w:color w:val="auto"/>
                <w:spacing w:val="-10"/>
                <w:sz w:val="24"/>
                <w:szCs w:val="24"/>
                <w:highlight w:val="none"/>
                <w:lang w:eastAsia="zh-CN" w:bidi="ar"/>
              </w:rPr>
            </w:pPr>
            <w:r>
              <w:rPr>
                <w:rFonts w:hint="default" w:ascii="Times New Roman" w:hAnsi="Times New Roman" w:eastAsia="宋体" w:cs="Times New Roman"/>
                <w:b/>
                <w:bCs/>
                <w:color w:val="auto"/>
                <w:spacing w:val="-10"/>
                <w:sz w:val="24"/>
                <w:szCs w:val="24"/>
                <w:highlight w:val="none"/>
                <w:lang w:bidi="ar"/>
              </w:rPr>
              <w:t>3.2地表水环境</w:t>
            </w:r>
            <w:r>
              <w:rPr>
                <w:rFonts w:hint="eastAsia" w:cs="Times New Roman"/>
                <w:b/>
                <w:bCs/>
                <w:color w:val="auto"/>
                <w:spacing w:val="-10"/>
                <w:sz w:val="24"/>
                <w:szCs w:val="24"/>
                <w:highlight w:val="none"/>
                <w:lang w:eastAsia="zh-CN" w:bidi="ar"/>
              </w:rPr>
              <w:t>质量现状</w:t>
            </w:r>
          </w:p>
          <w:p w14:paraId="64954DBC">
            <w:pPr>
              <w:widowControl/>
              <w:snapToGrid w:val="0"/>
              <w:spacing w:line="360" w:lineRule="auto"/>
              <w:ind w:firstLine="480"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kern w:val="0"/>
                <w:sz w:val="24"/>
                <w:szCs w:val="24"/>
                <w:highlight w:val="none"/>
              </w:rPr>
              <w:t>本项目所在区域地表水体为</w:t>
            </w:r>
            <w:r>
              <w:rPr>
                <w:rFonts w:hint="eastAsia" w:ascii="Times New Roman" w:hAnsi="Times New Roman" w:eastAsia="宋体" w:cs="Times New Roman"/>
                <w:color w:val="auto"/>
                <w:kern w:val="0"/>
                <w:sz w:val="24"/>
                <w:szCs w:val="24"/>
                <w:highlight w:val="none"/>
                <w:lang w:eastAsia="zh-CN"/>
              </w:rPr>
              <w:t>民训河</w:t>
            </w:r>
            <w:r>
              <w:rPr>
                <w:rFonts w:hint="default" w:ascii="Times New Roman" w:hAnsi="Times New Roman" w:eastAsia="宋体" w:cs="Times New Roman"/>
                <w:color w:val="auto"/>
                <w:kern w:val="0"/>
                <w:sz w:val="24"/>
                <w:szCs w:val="24"/>
                <w:highlight w:val="none"/>
              </w:rPr>
              <w:t>，位于项目东侧约为</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0米处</w:t>
            </w:r>
            <w:r>
              <w:rPr>
                <w:rFonts w:hint="default" w:ascii="Times New Roman" w:hAnsi="Times New Roman" w:eastAsia="宋体" w:cs="Times New Roman"/>
                <w:color w:val="auto"/>
                <w:spacing w:val="0"/>
                <w:w w:val="100"/>
                <w:kern w:val="0"/>
                <w:position w:val="0"/>
                <w:sz w:val="24"/>
                <w:szCs w:val="24"/>
                <w:highlight w:val="none"/>
                <w:lang w:val="en-US" w:eastAsia="zh-CN"/>
              </w:rPr>
              <w:t>民训河由东南向西流经开发区松岭片区，最终汇入长河</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长河</w:t>
            </w:r>
            <w:r>
              <w:rPr>
                <w:rFonts w:hint="default" w:ascii="Times New Roman" w:hAnsi="Times New Roman" w:eastAsia="宋体" w:cs="Times New Roman"/>
                <w:color w:val="auto"/>
                <w:kern w:val="0"/>
                <w:sz w:val="24"/>
                <w:szCs w:val="24"/>
                <w:highlight w:val="none"/>
              </w:rPr>
              <w:t>为宽城县的主要地表水体，根据《关于202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年</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月全市地表水断面水质情况通报》（承德市水污染防治工作领导小组办公室，承水领办[202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90</w:t>
            </w:r>
            <w:r>
              <w:rPr>
                <w:rFonts w:hint="default" w:ascii="Times New Roman" w:hAnsi="Times New Roman" w:eastAsia="宋体" w:cs="Times New Roman"/>
                <w:color w:val="auto"/>
                <w:kern w:val="0"/>
                <w:sz w:val="24"/>
                <w:szCs w:val="24"/>
                <w:highlight w:val="none"/>
              </w:rPr>
              <w:t>号）对于</w:t>
            </w:r>
            <w:r>
              <w:rPr>
                <w:rFonts w:hint="eastAsia" w:ascii="Times New Roman" w:hAnsi="Times New Roman" w:eastAsia="宋体" w:cs="Times New Roman"/>
                <w:color w:val="auto"/>
                <w:kern w:val="0"/>
                <w:sz w:val="24"/>
                <w:szCs w:val="24"/>
                <w:highlight w:val="none"/>
                <w:lang w:eastAsia="zh-CN"/>
              </w:rPr>
              <w:t>长</w:t>
            </w:r>
            <w:r>
              <w:rPr>
                <w:rFonts w:hint="default" w:ascii="Times New Roman" w:hAnsi="Times New Roman" w:eastAsia="宋体" w:cs="Times New Roman"/>
                <w:color w:val="auto"/>
                <w:kern w:val="0"/>
                <w:sz w:val="24"/>
                <w:szCs w:val="24"/>
                <w:highlight w:val="none"/>
              </w:rPr>
              <w:t>河的地表水断面水质监测结果见下表：</w:t>
            </w:r>
          </w:p>
          <w:p w14:paraId="6DD11C29">
            <w:pPr>
              <w:pStyle w:val="2"/>
              <w:ind w:firstLine="0" w:firstLineChars="0"/>
              <w:jc w:val="center"/>
              <w:rPr>
                <w:b w:val="0"/>
                <w:bCs w:val="0"/>
                <w:color w:val="auto"/>
                <w:highlight w:val="none"/>
              </w:rPr>
            </w:pPr>
            <w:r>
              <w:rPr>
                <w:rFonts w:hint="default" w:ascii="Times New Roman" w:hAnsi="Times New Roman" w:eastAsia="宋体" w:cs="Times New Roman"/>
                <w:b w:val="0"/>
                <w:bCs w:val="0"/>
                <w:color w:val="auto"/>
                <w:kern w:val="0"/>
                <w:sz w:val="24"/>
                <w:szCs w:val="24"/>
                <w:highlight w:val="none"/>
              </w:rPr>
              <w:t>表3</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rPr>
              <w:t xml:space="preserve"> </w:t>
            </w:r>
            <w:r>
              <w:rPr>
                <w:rFonts w:hint="eastAsia" w:ascii="Times New Roman" w:hAnsi="Times New Roman" w:eastAsia="宋体" w:cs="Times New Roman"/>
                <w:b w:val="0"/>
                <w:bCs w:val="0"/>
                <w:color w:val="auto"/>
                <w:kern w:val="0"/>
                <w:sz w:val="24"/>
                <w:szCs w:val="24"/>
                <w:highlight w:val="none"/>
                <w:lang w:val="en-US" w:eastAsia="zh-CN"/>
              </w:rPr>
              <w:t xml:space="preserve"> </w:t>
            </w:r>
            <w:r>
              <w:rPr>
                <w:rFonts w:hint="default" w:ascii="Times New Roman" w:hAnsi="Times New Roman" w:eastAsia="宋体" w:cs="Times New Roman"/>
                <w:b w:val="0"/>
                <w:bCs w:val="0"/>
                <w:color w:val="auto"/>
                <w:kern w:val="0"/>
                <w:sz w:val="24"/>
                <w:szCs w:val="24"/>
                <w:highlight w:val="none"/>
              </w:rPr>
              <w:t>202</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rPr>
              <w:t>年</w:t>
            </w:r>
            <w:r>
              <w:rPr>
                <w:rFonts w:hint="eastAsia" w:ascii="Times New Roman" w:hAnsi="Times New Roman" w:eastAsia="宋体"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rPr>
              <w:t>月地表水常规监测断面数据表</w:t>
            </w:r>
          </w:p>
          <w:tbl>
            <w:tblPr>
              <w:tblStyle w:val="1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433"/>
              <w:gridCol w:w="1116"/>
              <w:gridCol w:w="1116"/>
              <w:gridCol w:w="1116"/>
              <w:gridCol w:w="1116"/>
              <w:gridCol w:w="1116"/>
              <w:gridCol w:w="633"/>
              <w:gridCol w:w="637"/>
              <w:gridCol w:w="639"/>
            </w:tblGrid>
            <w:tr w14:paraId="320A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tcBorders>
                    <w:tl2br w:val="nil"/>
                    <w:tr2bl w:val="nil"/>
                  </w:tcBorders>
                  <w:noWrap w:val="0"/>
                  <w:vAlign w:val="center"/>
                </w:tcPr>
                <w:p w14:paraId="4199E5DF">
                  <w:pPr>
                    <w:widowControl/>
                    <w:spacing w:line="300" w:lineRule="auto"/>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断面名称</w:t>
                  </w:r>
                </w:p>
              </w:tc>
              <w:tc>
                <w:tcPr>
                  <w:tcW w:w="258" w:type="pct"/>
                  <w:tcBorders>
                    <w:tl2br w:val="nil"/>
                    <w:tr2bl w:val="nil"/>
                  </w:tcBorders>
                  <w:noWrap w:val="0"/>
                  <w:vAlign w:val="center"/>
                </w:tcPr>
                <w:p w14:paraId="374C2493">
                  <w:pPr>
                    <w:widowControl/>
                    <w:spacing w:line="300" w:lineRule="auto"/>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责任县区</w:t>
                  </w:r>
                </w:p>
              </w:tc>
              <w:tc>
                <w:tcPr>
                  <w:tcW w:w="662" w:type="pct"/>
                  <w:tcBorders>
                    <w:tl2br w:val="nil"/>
                    <w:tr2bl w:val="nil"/>
                  </w:tcBorders>
                  <w:noWrap w:val="0"/>
                  <w:vAlign w:val="center"/>
                </w:tcPr>
                <w:p w14:paraId="681EDDC2">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高锰酸盐指数（mg/L）</w:t>
                  </w:r>
                </w:p>
              </w:tc>
              <w:tc>
                <w:tcPr>
                  <w:tcW w:w="662" w:type="pct"/>
                  <w:tcBorders>
                    <w:tl2br w:val="nil"/>
                    <w:tr2bl w:val="nil"/>
                  </w:tcBorders>
                  <w:noWrap w:val="0"/>
                  <w:vAlign w:val="center"/>
                </w:tcPr>
                <w:p w14:paraId="28E05DD2">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生化需氧量（mg/L）</w:t>
                  </w:r>
                </w:p>
              </w:tc>
              <w:tc>
                <w:tcPr>
                  <w:tcW w:w="662" w:type="pct"/>
                  <w:tcBorders>
                    <w:tl2br w:val="nil"/>
                    <w:tr2bl w:val="nil"/>
                  </w:tcBorders>
                  <w:noWrap w:val="0"/>
                  <w:vAlign w:val="center"/>
                </w:tcPr>
                <w:p w14:paraId="69077434">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氨氮（mg/L）</w:t>
                  </w:r>
                </w:p>
              </w:tc>
              <w:tc>
                <w:tcPr>
                  <w:tcW w:w="662" w:type="pct"/>
                  <w:tcBorders>
                    <w:tl2br w:val="nil"/>
                    <w:tr2bl w:val="nil"/>
                  </w:tcBorders>
                  <w:noWrap w:val="0"/>
                  <w:vAlign w:val="center"/>
                </w:tcPr>
                <w:p w14:paraId="699D16B2">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化学需氧量（mg/L）</w:t>
                  </w:r>
                </w:p>
              </w:tc>
              <w:tc>
                <w:tcPr>
                  <w:tcW w:w="662" w:type="pct"/>
                  <w:tcBorders>
                    <w:tl2br w:val="nil"/>
                    <w:tr2bl w:val="nil"/>
                  </w:tcBorders>
                  <w:noWrap w:val="0"/>
                  <w:vAlign w:val="center"/>
                </w:tcPr>
                <w:p w14:paraId="49915362">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总磷（mg/L）</w:t>
                  </w:r>
                </w:p>
              </w:tc>
              <w:tc>
                <w:tcPr>
                  <w:tcW w:w="377" w:type="pct"/>
                  <w:tcBorders>
                    <w:tl2br w:val="nil"/>
                    <w:tr2bl w:val="nil"/>
                  </w:tcBorders>
                  <w:noWrap w:val="0"/>
                  <w:vAlign w:val="center"/>
                </w:tcPr>
                <w:p w14:paraId="449D4D0B">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水质目标</w:t>
                  </w:r>
                </w:p>
              </w:tc>
              <w:tc>
                <w:tcPr>
                  <w:tcW w:w="377" w:type="pct"/>
                  <w:tcBorders>
                    <w:tl2br w:val="nil"/>
                    <w:tr2bl w:val="nil"/>
                  </w:tcBorders>
                  <w:noWrap w:val="0"/>
                  <w:vAlign w:val="center"/>
                </w:tcPr>
                <w:p w14:paraId="5F83E82B">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202</w:t>
                  </w:r>
                  <w:r>
                    <w:rPr>
                      <w:rFonts w:hint="eastAsia" w:ascii="Times New Roman" w:hAnsi="Times New Roman" w:eastAsia="宋体" w:cs="Times New Roman"/>
                      <w:b/>
                      <w:bCs/>
                      <w:color w:val="auto"/>
                      <w:kern w:val="0"/>
                      <w:sz w:val="21"/>
                      <w:szCs w:val="21"/>
                      <w:highlight w:val="none"/>
                      <w:lang w:val="en-US" w:eastAsia="zh-CN" w:bidi="ar"/>
                    </w:rPr>
                    <w:t>4</w:t>
                  </w:r>
                  <w:r>
                    <w:rPr>
                      <w:rFonts w:hint="default" w:ascii="Times New Roman" w:hAnsi="Times New Roman" w:eastAsia="宋体" w:cs="Times New Roman"/>
                      <w:b/>
                      <w:bCs/>
                      <w:color w:val="auto"/>
                      <w:kern w:val="0"/>
                      <w:sz w:val="21"/>
                      <w:szCs w:val="21"/>
                      <w:highlight w:val="none"/>
                      <w:lang w:bidi="ar"/>
                    </w:rPr>
                    <w:t>年</w:t>
                  </w:r>
                  <w:r>
                    <w:rPr>
                      <w:rFonts w:hint="eastAsia" w:ascii="Times New Roman" w:hAnsi="Times New Roman" w:eastAsia="宋体" w:cs="Times New Roman"/>
                      <w:b/>
                      <w:bCs/>
                      <w:color w:val="auto"/>
                      <w:kern w:val="0"/>
                      <w:sz w:val="21"/>
                      <w:szCs w:val="21"/>
                      <w:highlight w:val="none"/>
                      <w:lang w:val="en-US" w:eastAsia="zh-CN" w:bidi="ar"/>
                    </w:rPr>
                    <w:t>3</w:t>
                  </w:r>
                  <w:r>
                    <w:rPr>
                      <w:rFonts w:hint="default" w:ascii="Times New Roman" w:hAnsi="Times New Roman" w:eastAsia="宋体" w:cs="Times New Roman"/>
                      <w:b/>
                      <w:bCs/>
                      <w:color w:val="auto"/>
                      <w:kern w:val="0"/>
                      <w:sz w:val="21"/>
                      <w:szCs w:val="21"/>
                      <w:highlight w:val="none"/>
                      <w:lang w:bidi="ar"/>
                    </w:rPr>
                    <w:t>月水质情况</w:t>
                  </w:r>
                </w:p>
              </w:tc>
              <w:tc>
                <w:tcPr>
                  <w:tcW w:w="380" w:type="pct"/>
                  <w:tcBorders>
                    <w:tl2br w:val="nil"/>
                    <w:tr2bl w:val="nil"/>
                  </w:tcBorders>
                  <w:noWrap w:val="0"/>
                  <w:vAlign w:val="center"/>
                </w:tcPr>
                <w:p w14:paraId="1B5340C8">
                  <w:pPr>
                    <w:widowControl/>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202</w:t>
                  </w:r>
                  <w:r>
                    <w:rPr>
                      <w:rFonts w:hint="eastAsia" w:ascii="Times New Roman" w:hAnsi="Times New Roman" w:eastAsia="宋体" w:cs="Times New Roman"/>
                      <w:b/>
                      <w:bCs/>
                      <w:color w:val="auto"/>
                      <w:kern w:val="0"/>
                      <w:sz w:val="21"/>
                      <w:szCs w:val="21"/>
                      <w:highlight w:val="none"/>
                      <w:lang w:val="en-US" w:eastAsia="zh-CN" w:bidi="ar"/>
                    </w:rPr>
                    <w:t>3</w:t>
                  </w:r>
                  <w:r>
                    <w:rPr>
                      <w:rFonts w:hint="default" w:ascii="Times New Roman" w:hAnsi="Times New Roman" w:eastAsia="宋体" w:cs="Times New Roman"/>
                      <w:b/>
                      <w:bCs/>
                      <w:color w:val="auto"/>
                      <w:kern w:val="0"/>
                      <w:sz w:val="21"/>
                      <w:szCs w:val="21"/>
                      <w:highlight w:val="none"/>
                      <w:lang w:bidi="ar"/>
                    </w:rPr>
                    <w:t>年</w:t>
                  </w:r>
                  <w:r>
                    <w:rPr>
                      <w:rFonts w:hint="eastAsia" w:ascii="Times New Roman" w:hAnsi="Times New Roman" w:eastAsia="宋体" w:cs="Times New Roman"/>
                      <w:b/>
                      <w:bCs/>
                      <w:color w:val="auto"/>
                      <w:kern w:val="0"/>
                      <w:sz w:val="21"/>
                      <w:szCs w:val="21"/>
                      <w:highlight w:val="none"/>
                      <w:lang w:val="en-US" w:eastAsia="zh-CN" w:bidi="ar"/>
                    </w:rPr>
                    <w:t>3</w:t>
                  </w:r>
                  <w:r>
                    <w:rPr>
                      <w:rFonts w:hint="default" w:ascii="Times New Roman" w:hAnsi="Times New Roman" w:eastAsia="宋体" w:cs="Times New Roman"/>
                      <w:b/>
                      <w:bCs/>
                      <w:color w:val="auto"/>
                      <w:kern w:val="0"/>
                      <w:sz w:val="21"/>
                      <w:szCs w:val="21"/>
                      <w:highlight w:val="none"/>
                      <w:lang w:bidi="ar"/>
                    </w:rPr>
                    <w:t>月水质情况</w:t>
                  </w:r>
                </w:p>
              </w:tc>
            </w:tr>
            <w:tr w14:paraId="036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 w:type="pct"/>
                  <w:tcBorders>
                    <w:tl2br w:val="nil"/>
                    <w:tr2bl w:val="nil"/>
                  </w:tcBorders>
                  <w:noWrap w:val="0"/>
                  <w:vAlign w:val="center"/>
                </w:tcPr>
                <w:p w14:paraId="25C28861">
                  <w:pPr>
                    <w:widowControl/>
                    <w:spacing w:line="300" w:lineRule="auto"/>
                    <w:jc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董家口村</w:t>
                  </w:r>
                </w:p>
              </w:tc>
              <w:tc>
                <w:tcPr>
                  <w:tcW w:w="258" w:type="pct"/>
                  <w:tcBorders>
                    <w:tl2br w:val="nil"/>
                    <w:tr2bl w:val="nil"/>
                  </w:tcBorders>
                  <w:noWrap w:val="0"/>
                  <w:vAlign w:val="center"/>
                </w:tcPr>
                <w:p w14:paraId="48992DFF">
                  <w:pPr>
                    <w:widowControl/>
                    <w:spacing w:line="240" w:lineRule="auto"/>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宽城县</w:t>
                  </w:r>
                </w:p>
              </w:tc>
              <w:tc>
                <w:tcPr>
                  <w:tcW w:w="662" w:type="pct"/>
                  <w:tcBorders>
                    <w:tl2br w:val="nil"/>
                    <w:tr2bl w:val="nil"/>
                  </w:tcBorders>
                  <w:noWrap w:val="0"/>
                  <w:vAlign w:val="center"/>
                </w:tcPr>
                <w:p w14:paraId="52F9D564">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1.</w:t>
                  </w:r>
                  <w:r>
                    <w:rPr>
                      <w:rFonts w:hint="eastAsia" w:cs="Times New Roman"/>
                      <w:color w:val="auto"/>
                      <w:kern w:val="0"/>
                      <w:sz w:val="21"/>
                      <w:szCs w:val="21"/>
                      <w:highlight w:val="none"/>
                      <w:lang w:val="en-US" w:eastAsia="zh-CN" w:bidi="ar"/>
                    </w:rPr>
                    <w:t>80</w:t>
                  </w:r>
                </w:p>
              </w:tc>
              <w:tc>
                <w:tcPr>
                  <w:tcW w:w="662" w:type="pct"/>
                  <w:tcBorders>
                    <w:tl2br w:val="nil"/>
                    <w:tr2bl w:val="nil"/>
                  </w:tcBorders>
                  <w:noWrap w:val="0"/>
                  <w:vAlign w:val="center"/>
                </w:tcPr>
                <w:p w14:paraId="50A874CC">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w:t>
                  </w:r>
                </w:p>
              </w:tc>
              <w:tc>
                <w:tcPr>
                  <w:tcW w:w="662" w:type="pct"/>
                  <w:tcBorders>
                    <w:tl2br w:val="nil"/>
                    <w:tr2bl w:val="nil"/>
                  </w:tcBorders>
                  <w:noWrap w:val="0"/>
                  <w:vAlign w:val="center"/>
                </w:tcPr>
                <w:p w14:paraId="0238E621">
                  <w:pPr>
                    <w:widowControl/>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0.0</w:t>
                  </w:r>
                  <w:r>
                    <w:rPr>
                      <w:rFonts w:hint="eastAsia" w:ascii="Times New Roman" w:hAnsi="Times New Roman" w:eastAsia="宋体" w:cs="Times New Roman"/>
                      <w:color w:val="auto"/>
                      <w:kern w:val="0"/>
                      <w:sz w:val="21"/>
                      <w:szCs w:val="21"/>
                      <w:highlight w:val="none"/>
                      <w:lang w:val="en-US" w:eastAsia="zh-CN" w:bidi="ar"/>
                    </w:rPr>
                    <w:t>5</w:t>
                  </w:r>
                </w:p>
              </w:tc>
              <w:tc>
                <w:tcPr>
                  <w:tcW w:w="662" w:type="pct"/>
                  <w:tcBorders>
                    <w:tl2br w:val="nil"/>
                    <w:tr2bl w:val="nil"/>
                  </w:tcBorders>
                  <w:noWrap w:val="0"/>
                  <w:vAlign w:val="center"/>
                </w:tcPr>
                <w:p w14:paraId="46918071">
                  <w:pPr>
                    <w:widowControl/>
                    <w:tabs>
                      <w:tab w:val="left" w:pos="358"/>
                    </w:tabs>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6.1</w:t>
                  </w:r>
                </w:p>
              </w:tc>
              <w:tc>
                <w:tcPr>
                  <w:tcW w:w="662" w:type="pct"/>
                  <w:tcBorders>
                    <w:tl2br w:val="nil"/>
                    <w:tr2bl w:val="nil"/>
                  </w:tcBorders>
                  <w:noWrap w:val="0"/>
                  <w:vAlign w:val="center"/>
                </w:tcPr>
                <w:p w14:paraId="328A65A2">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0</w:t>
                  </w:r>
                  <w:r>
                    <w:rPr>
                      <w:rFonts w:hint="eastAsia" w:ascii="Times New Roman" w:hAnsi="Times New Roman" w:eastAsia="宋体" w:cs="Times New Roman"/>
                      <w:color w:val="auto"/>
                      <w:kern w:val="0"/>
                      <w:sz w:val="21"/>
                      <w:szCs w:val="21"/>
                      <w:highlight w:val="none"/>
                      <w:lang w:val="en-US" w:eastAsia="zh-CN" w:bidi="ar"/>
                    </w:rPr>
                    <w:t>.038</w:t>
                  </w:r>
                </w:p>
              </w:tc>
              <w:tc>
                <w:tcPr>
                  <w:tcW w:w="377" w:type="pct"/>
                  <w:tcBorders>
                    <w:tl2br w:val="nil"/>
                    <w:tr2bl w:val="nil"/>
                  </w:tcBorders>
                  <w:noWrap w:val="0"/>
                  <w:vAlign w:val="center"/>
                </w:tcPr>
                <w:p w14:paraId="290F4F3B">
                  <w:pPr>
                    <w:widowControl/>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Ⅲ</w:t>
                  </w:r>
                </w:p>
              </w:tc>
              <w:tc>
                <w:tcPr>
                  <w:tcW w:w="377" w:type="pct"/>
                  <w:tcBorders>
                    <w:tl2br w:val="nil"/>
                    <w:tr2bl w:val="nil"/>
                  </w:tcBorders>
                  <w:noWrap w:val="0"/>
                  <w:vAlign w:val="center"/>
                </w:tcPr>
                <w:p w14:paraId="30FA335F">
                  <w:pPr>
                    <w:widowControl/>
                    <w:jc w:val="center"/>
                    <w:rPr>
                      <w:rFonts w:hint="default" w:ascii="Times New Roman" w:hAnsi="Times New Roman" w:eastAsia="宋体" w:cs="Times New Roman"/>
                      <w:color w:val="auto"/>
                      <w:kern w:val="0"/>
                      <w:sz w:val="21"/>
                      <w:szCs w:val="21"/>
                      <w:highlight w:val="none"/>
                      <w:lang w:bidi="ar"/>
                    </w:rPr>
                  </w:pPr>
                  <w:r>
                    <w:rPr>
                      <w:rFonts w:hint="eastAsia" w:ascii="宋体" w:hAnsi="宋体" w:eastAsia="宋体" w:cs="宋体"/>
                      <w:color w:val="auto"/>
                      <w:kern w:val="0"/>
                      <w:sz w:val="21"/>
                      <w:szCs w:val="21"/>
                      <w:highlight w:val="none"/>
                      <w:lang w:bidi="ar"/>
                    </w:rPr>
                    <w:t>Ⅱ</w:t>
                  </w:r>
                </w:p>
              </w:tc>
              <w:tc>
                <w:tcPr>
                  <w:tcW w:w="380" w:type="pct"/>
                  <w:tcBorders>
                    <w:tl2br w:val="nil"/>
                    <w:tr2bl w:val="nil"/>
                  </w:tcBorders>
                  <w:noWrap w:val="0"/>
                  <w:vAlign w:val="center"/>
                </w:tcPr>
                <w:p w14:paraId="33A16B84">
                  <w:pPr>
                    <w:widowControl/>
                    <w:jc w:val="center"/>
                    <w:rPr>
                      <w:rFonts w:hint="default" w:ascii="Times New Roman" w:hAnsi="Times New Roman" w:eastAsia="宋体" w:cs="Times New Roman"/>
                      <w:color w:val="auto"/>
                      <w:kern w:val="0"/>
                      <w:sz w:val="21"/>
                      <w:szCs w:val="21"/>
                      <w:highlight w:val="none"/>
                      <w:lang w:bidi="ar"/>
                    </w:rPr>
                  </w:pPr>
                  <w:r>
                    <w:rPr>
                      <w:rFonts w:hint="eastAsia" w:ascii="宋体" w:hAnsi="宋体" w:eastAsia="宋体" w:cs="宋体"/>
                      <w:color w:val="auto"/>
                      <w:kern w:val="0"/>
                      <w:sz w:val="21"/>
                      <w:szCs w:val="21"/>
                      <w:highlight w:val="none"/>
                      <w:lang w:bidi="ar"/>
                    </w:rPr>
                    <w:t>Ⅱ</w:t>
                  </w:r>
                </w:p>
              </w:tc>
            </w:tr>
          </w:tbl>
          <w:p w14:paraId="7DA737F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eastAsia="宋体"/>
                <w:color w:val="auto"/>
                <w:sz w:val="24"/>
                <w:highlight w:val="none"/>
                <w:lang w:eastAsia="zh-CN"/>
              </w:rPr>
            </w:pPr>
            <w:r>
              <w:rPr>
                <w:rFonts w:hint="default" w:ascii="Times New Roman" w:hAnsi="Times New Roman" w:eastAsia="宋体" w:cs="Times New Roman"/>
                <w:color w:val="auto"/>
                <w:kern w:val="0"/>
                <w:sz w:val="24"/>
                <w:szCs w:val="24"/>
                <w:highlight w:val="none"/>
              </w:rPr>
              <w:t>根据上表，</w:t>
            </w:r>
            <w:r>
              <w:rPr>
                <w:rFonts w:hint="eastAsia" w:ascii="Times New Roman" w:hAnsi="Times New Roman" w:eastAsia="宋体" w:cs="Times New Roman"/>
                <w:color w:val="auto"/>
                <w:kern w:val="0"/>
                <w:sz w:val="24"/>
                <w:szCs w:val="24"/>
                <w:highlight w:val="none"/>
                <w:lang w:eastAsia="zh-CN"/>
              </w:rPr>
              <w:t>长河</w:t>
            </w:r>
            <w:r>
              <w:rPr>
                <w:rFonts w:hint="default" w:ascii="Times New Roman" w:hAnsi="Times New Roman" w:eastAsia="宋体" w:cs="Times New Roman"/>
                <w:color w:val="auto"/>
                <w:kern w:val="0"/>
                <w:sz w:val="24"/>
                <w:szCs w:val="24"/>
                <w:highlight w:val="none"/>
              </w:rPr>
              <w:t>在承德市共布设地表水常规监测断面</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个，202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年</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月</w:t>
            </w:r>
            <w:r>
              <w:rPr>
                <w:rFonts w:hint="eastAsia" w:ascii="Times New Roman" w:hAnsi="Times New Roman" w:eastAsia="宋体" w:cs="Times New Roman"/>
                <w:color w:val="auto"/>
                <w:kern w:val="0"/>
                <w:sz w:val="24"/>
                <w:szCs w:val="24"/>
                <w:highlight w:val="none"/>
                <w:lang w:eastAsia="zh-CN"/>
              </w:rPr>
              <w:t>董家口村</w:t>
            </w:r>
            <w:r>
              <w:rPr>
                <w:rFonts w:hint="default" w:ascii="Times New Roman" w:hAnsi="Times New Roman" w:eastAsia="宋体" w:cs="Times New Roman"/>
                <w:color w:val="auto"/>
                <w:kern w:val="0"/>
                <w:sz w:val="24"/>
                <w:szCs w:val="24"/>
                <w:highlight w:val="none"/>
              </w:rPr>
              <w:t>断面水质类别为Ⅱ类，流域总体水质状况良好，与2022年</w:t>
            </w:r>
            <w:r>
              <w:rPr>
                <w:rFonts w:hint="eastAsia"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月相比水环境质量</w:t>
            </w:r>
            <w:r>
              <w:rPr>
                <w:rFonts w:hint="eastAsia" w:ascii="Times New Roman" w:hAnsi="Times New Roman" w:eastAsia="宋体" w:cs="Times New Roman"/>
                <w:color w:val="auto"/>
                <w:kern w:val="0"/>
                <w:sz w:val="24"/>
                <w:szCs w:val="24"/>
                <w:highlight w:val="none"/>
                <w:lang w:eastAsia="zh-CN"/>
              </w:rPr>
              <w:t>持平。</w:t>
            </w:r>
            <w:r>
              <w:rPr>
                <w:rFonts w:hint="eastAsia"/>
                <w:color w:val="auto"/>
                <w:sz w:val="24"/>
                <w:highlight w:val="none"/>
                <w:lang w:eastAsia="zh-CN"/>
              </w:rPr>
              <w:t>执行《地表水环境质量标准》（</w:t>
            </w:r>
            <w:r>
              <w:rPr>
                <w:rFonts w:hint="eastAsia"/>
                <w:color w:val="auto"/>
                <w:sz w:val="24"/>
                <w:highlight w:val="none"/>
                <w:lang w:val="en-US" w:eastAsia="zh-CN"/>
              </w:rPr>
              <w:t>GB3838-2002</w:t>
            </w:r>
            <w:r>
              <w:rPr>
                <w:rFonts w:hint="eastAsia"/>
                <w:color w:val="auto"/>
                <w:sz w:val="24"/>
                <w:highlight w:val="none"/>
                <w:lang w:eastAsia="zh-CN"/>
              </w:rPr>
              <w:t>）中的</w:t>
            </w:r>
            <w:r>
              <w:rPr>
                <w:rFonts w:hint="default" w:ascii="Times New Roman" w:hAnsi="Times New Roman" w:cs="Times New Roman"/>
                <w:color w:val="auto"/>
                <w:sz w:val="24"/>
                <w:highlight w:val="none"/>
                <w:lang w:eastAsia="zh-CN"/>
              </w:rPr>
              <w:t>ш</w:t>
            </w:r>
            <w:r>
              <w:rPr>
                <w:rFonts w:hint="eastAsia"/>
                <w:color w:val="auto"/>
                <w:sz w:val="24"/>
                <w:highlight w:val="none"/>
                <w:lang w:eastAsia="zh-CN"/>
              </w:rPr>
              <w:t>类标准。</w:t>
            </w:r>
          </w:p>
          <w:p w14:paraId="176BB4D6">
            <w:pPr>
              <w:keepNext w:val="0"/>
              <w:keepLines w:val="0"/>
              <w:pageBreakBefore w:val="0"/>
              <w:widowControl w:val="0"/>
              <w:kinsoku/>
              <w:wordWrap/>
              <w:overflowPunct/>
              <w:topLinePunct w:val="0"/>
              <w:bidi w:val="0"/>
              <w:adjustRightInd w:val="0"/>
              <w:snapToGrid w:val="0"/>
              <w:spacing w:line="480" w:lineRule="exact"/>
              <w:jc w:val="left"/>
              <w:textAlignment w:val="auto"/>
              <w:rPr>
                <w:rFonts w:hint="eastAsia" w:ascii="Times New Roman" w:hAnsi="Times New Roman" w:eastAsia="宋体" w:cs="Times New Roman"/>
                <w:b/>
                <w:bCs/>
                <w:color w:val="auto"/>
                <w:spacing w:val="-10"/>
                <w:sz w:val="24"/>
                <w:szCs w:val="24"/>
                <w:highlight w:val="none"/>
                <w:lang w:eastAsia="zh-CN" w:bidi="ar"/>
              </w:rPr>
            </w:pPr>
            <w:r>
              <w:rPr>
                <w:rFonts w:hint="default" w:ascii="Times New Roman" w:hAnsi="Times New Roman" w:eastAsia="宋体" w:cs="Times New Roman"/>
                <w:b/>
                <w:bCs/>
                <w:color w:val="auto"/>
                <w:spacing w:val="-10"/>
                <w:sz w:val="24"/>
                <w:szCs w:val="24"/>
                <w:highlight w:val="none"/>
                <w:lang w:bidi="ar"/>
              </w:rPr>
              <w:t>3.3声环境</w:t>
            </w:r>
            <w:r>
              <w:rPr>
                <w:rFonts w:hint="eastAsia" w:cs="Times New Roman"/>
                <w:b/>
                <w:bCs/>
                <w:color w:val="auto"/>
                <w:spacing w:val="-10"/>
                <w:sz w:val="24"/>
                <w:szCs w:val="24"/>
                <w:highlight w:val="none"/>
                <w:lang w:eastAsia="zh-CN" w:bidi="ar"/>
              </w:rPr>
              <w:t>质量现状</w:t>
            </w:r>
          </w:p>
          <w:p w14:paraId="30C2D5CF">
            <w:pPr>
              <w:keepNext w:val="0"/>
              <w:keepLines w:val="0"/>
              <w:pageBreakBefore w:val="0"/>
              <w:widowControl w:val="0"/>
              <w:kinsoku/>
              <w:wordWrap/>
              <w:overflowPunct/>
              <w:topLinePunct w:val="0"/>
              <w:bidi w:val="0"/>
              <w:snapToGrid w:val="0"/>
              <w:spacing w:line="480" w:lineRule="exact"/>
              <w:ind w:firstLine="480"/>
              <w:textAlignment w:val="auto"/>
              <w:rPr>
                <w:rFonts w:hint="default"/>
                <w:color w:val="auto"/>
                <w:highlight w:val="none"/>
              </w:rPr>
            </w:pPr>
            <w:r>
              <w:rPr>
                <w:rFonts w:hint="default" w:ascii="Times New Roman" w:hAnsi="Times New Roman" w:eastAsia="宋体" w:cs="Times New Roman"/>
                <w:color w:val="auto"/>
                <w:sz w:val="24"/>
                <w:szCs w:val="24"/>
                <w:highlight w:val="none"/>
              </w:rPr>
              <w:t>本项目位于宽城满族自治县</w:t>
            </w:r>
            <w:r>
              <w:rPr>
                <w:rFonts w:hint="eastAsia" w:ascii="Times New Roman" w:hAnsi="Times New Roman" w:eastAsia="宋体" w:cs="Times New Roman"/>
                <w:color w:val="auto"/>
                <w:sz w:val="24"/>
                <w:szCs w:val="24"/>
                <w:highlight w:val="none"/>
                <w:lang w:eastAsia="zh-CN"/>
              </w:rPr>
              <w:t>松岭镇木匠屯</w:t>
            </w:r>
            <w:r>
              <w:rPr>
                <w:rFonts w:hint="default" w:ascii="Times New Roman" w:hAnsi="Times New Roman" w:eastAsia="宋体" w:cs="Times New Roman"/>
                <w:color w:val="auto"/>
                <w:sz w:val="24"/>
                <w:szCs w:val="24"/>
                <w:highlight w:val="none"/>
              </w:rPr>
              <w:t>村，本项目所在区域西、</w:t>
            </w:r>
            <w:r>
              <w:rPr>
                <w:rFonts w:hint="eastAsia" w:ascii="Times New Roman" w:hAnsi="Times New Roman" w:eastAsia="宋体" w:cs="Times New Roman"/>
                <w:color w:val="auto"/>
                <w:sz w:val="24"/>
                <w:szCs w:val="24"/>
                <w:highlight w:val="none"/>
                <w:lang w:eastAsia="zh-CN"/>
              </w:rPr>
              <w:t>东</w:t>
            </w:r>
            <w:r>
              <w:rPr>
                <w:rFonts w:hint="default" w:ascii="Times New Roman" w:hAnsi="Times New Roman" w:eastAsia="宋体" w:cs="Times New Roman"/>
                <w:color w:val="auto"/>
                <w:sz w:val="24"/>
                <w:szCs w:val="24"/>
                <w:highlight w:val="none"/>
              </w:rPr>
              <w:t>、北侧属于</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类声功能区，</w:t>
            </w:r>
            <w:r>
              <w:rPr>
                <w:rFonts w:hint="eastAsia" w:ascii="Times New Roman" w:hAnsi="Times New Roman" w:eastAsia="宋体" w:cs="Times New Roman"/>
                <w:color w:val="auto"/>
                <w:sz w:val="24"/>
                <w:szCs w:val="24"/>
                <w:highlight w:val="none"/>
                <w:lang w:eastAsia="zh-CN"/>
              </w:rPr>
              <w:t>南</w:t>
            </w:r>
            <w:r>
              <w:rPr>
                <w:rFonts w:hint="default" w:ascii="Times New Roman" w:hAnsi="Times New Roman" w:eastAsia="宋体" w:cs="Times New Roman"/>
                <w:color w:val="auto"/>
                <w:sz w:val="24"/>
                <w:szCs w:val="24"/>
                <w:highlight w:val="none"/>
              </w:rPr>
              <w:t>侧属于4a类声功能区，区域环境噪声满足《声环境质量标准》（GB3096-2008）</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类标准以及4a类标准。</w:t>
            </w:r>
          </w:p>
          <w:p w14:paraId="5103ABCA">
            <w:pPr>
              <w:keepNext w:val="0"/>
              <w:keepLines w:val="0"/>
              <w:pageBreakBefore w:val="0"/>
              <w:widowControl w:val="0"/>
              <w:kinsoku/>
              <w:wordWrap/>
              <w:overflowPunct/>
              <w:topLinePunct w:val="0"/>
              <w:bidi w:val="0"/>
              <w:adjustRightInd w:val="0"/>
              <w:snapToGrid w:val="0"/>
              <w:spacing w:line="480" w:lineRule="exact"/>
              <w:jc w:val="left"/>
              <w:textAlignment w:val="auto"/>
              <w:rPr>
                <w:rFonts w:hint="eastAsia" w:ascii="Times New Roman" w:hAnsi="Times New Roman" w:eastAsia="宋体" w:cs="Times New Roman"/>
                <w:b/>
                <w:bCs/>
                <w:color w:val="auto"/>
                <w:spacing w:val="-10"/>
                <w:sz w:val="24"/>
                <w:szCs w:val="24"/>
                <w:highlight w:val="none"/>
                <w:lang w:eastAsia="zh-CN" w:bidi="ar"/>
              </w:rPr>
            </w:pPr>
            <w:r>
              <w:rPr>
                <w:rFonts w:hint="default" w:ascii="Times New Roman" w:hAnsi="Times New Roman" w:eastAsia="宋体" w:cs="Times New Roman"/>
                <w:b/>
                <w:bCs/>
                <w:color w:val="auto"/>
                <w:spacing w:val="-10"/>
                <w:sz w:val="24"/>
                <w:szCs w:val="24"/>
                <w:highlight w:val="none"/>
                <w:lang w:bidi="ar"/>
              </w:rPr>
              <w:t>3.4地下水、土壤环境</w:t>
            </w:r>
            <w:r>
              <w:rPr>
                <w:rFonts w:hint="eastAsia" w:cs="Times New Roman"/>
                <w:b/>
                <w:bCs/>
                <w:color w:val="auto"/>
                <w:spacing w:val="-10"/>
                <w:sz w:val="24"/>
                <w:szCs w:val="24"/>
                <w:highlight w:val="none"/>
                <w:lang w:eastAsia="zh-CN" w:bidi="ar"/>
              </w:rPr>
              <w:t>质量现状</w:t>
            </w:r>
          </w:p>
          <w:p w14:paraId="0F43B13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项目</w:t>
            </w:r>
            <w:r>
              <w:rPr>
                <w:rFonts w:hint="default" w:ascii="Times New Roman" w:hAnsi="Times New Roman" w:eastAsia="宋体" w:cs="Times New Roman"/>
                <w:color w:val="auto"/>
                <w:sz w:val="24"/>
                <w:szCs w:val="24"/>
                <w:highlight w:val="none"/>
              </w:rPr>
              <w:t>建设于宽城满族自治县</w:t>
            </w:r>
            <w:r>
              <w:rPr>
                <w:rFonts w:hint="eastAsia" w:ascii="Times New Roman" w:hAnsi="Times New Roman" w:eastAsia="宋体" w:cs="Times New Roman"/>
                <w:color w:val="auto"/>
                <w:sz w:val="24"/>
                <w:szCs w:val="24"/>
                <w:highlight w:val="none"/>
                <w:lang w:eastAsia="zh-CN"/>
              </w:rPr>
              <w:t>松岭镇木匠屯</w:t>
            </w:r>
            <w:r>
              <w:rPr>
                <w:rFonts w:hint="default" w:ascii="Times New Roman" w:hAnsi="Times New Roman" w:eastAsia="宋体" w:cs="Times New Roman"/>
                <w:color w:val="auto"/>
                <w:sz w:val="24"/>
                <w:szCs w:val="24"/>
                <w:highlight w:val="none"/>
              </w:rPr>
              <w:t>村</w:t>
            </w:r>
            <w:r>
              <w:rPr>
                <w:rFonts w:hint="eastAsia" w:ascii="宋体" w:hAnsi="宋体"/>
                <w:bCs/>
                <w:color w:val="auto"/>
                <w:sz w:val="24"/>
                <w:szCs w:val="24"/>
                <w:highlight w:val="none"/>
              </w:rPr>
              <w:t>宽城双兴矿山设备制造有限公司</w:t>
            </w:r>
            <w:r>
              <w:rPr>
                <w:rFonts w:hint="eastAsia" w:ascii="宋体" w:hAnsi="宋体"/>
                <w:bCs/>
                <w:color w:val="auto"/>
                <w:sz w:val="24"/>
                <w:szCs w:val="24"/>
                <w:highlight w:val="none"/>
                <w:lang w:eastAsia="zh-CN"/>
              </w:rPr>
              <w:t>原</w:t>
            </w:r>
            <w:r>
              <w:rPr>
                <w:rFonts w:hint="default" w:ascii="Times New Roman" w:hAnsi="Times New Roman" w:eastAsia="宋体" w:cs="Times New Roman"/>
                <w:color w:val="auto"/>
                <w:sz w:val="24"/>
                <w:szCs w:val="24"/>
                <w:highlight w:val="none"/>
              </w:rPr>
              <w:t>有厂区内</w:t>
            </w:r>
            <w:r>
              <w:rPr>
                <w:rFonts w:hint="default" w:ascii="Times New Roman" w:hAnsi="Times New Roman" w:eastAsia="宋体" w:cs="Times New Roman"/>
                <w:color w:val="auto"/>
                <w:sz w:val="24"/>
                <w:szCs w:val="24"/>
                <w:highlight w:val="none"/>
                <w:lang w:bidi="ar"/>
              </w:rPr>
              <w:t>，</w:t>
            </w:r>
            <w:r>
              <w:rPr>
                <w:color w:val="auto"/>
                <w:sz w:val="24"/>
                <w:highlight w:val="none"/>
              </w:rPr>
              <w:t>项目生产过程</w:t>
            </w:r>
            <w:r>
              <w:rPr>
                <w:rFonts w:hint="eastAsia"/>
                <w:color w:val="auto"/>
                <w:sz w:val="24"/>
                <w:highlight w:val="none"/>
                <w:lang w:eastAsia="zh-CN"/>
              </w:rPr>
              <w:t>废水部分蒸发，剩余循环利用不外排</w:t>
            </w:r>
            <w:r>
              <w:rPr>
                <w:color w:val="auto"/>
                <w:sz w:val="24"/>
                <w:highlight w:val="none"/>
              </w:rPr>
              <w:t>，</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eastAsia"/>
                <w:color w:val="auto"/>
                <w:sz w:val="24"/>
                <w:highlight w:val="none"/>
                <w:lang w:eastAsia="zh-CN"/>
              </w:rPr>
              <w:t>；</w:t>
            </w:r>
            <w:r>
              <w:rPr>
                <w:color w:val="auto"/>
                <w:sz w:val="24"/>
                <w:highlight w:val="none"/>
              </w:rPr>
              <w:t>厂区采取分区防渗，</w:t>
            </w:r>
            <w:r>
              <w:rPr>
                <w:rFonts w:hint="eastAsia"/>
                <w:color w:val="auto"/>
                <w:sz w:val="24"/>
                <w:highlight w:val="none"/>
                <w:lang w:eastAsia="zh-CN"/>
              </w:rPr>
              <w:t>危险废物贮存间</w:t>
            </w:r>
            <w:r>
              <w:rPr>
                <w:color w:val="auto"/>
                <w:sz w:val="24"/>
                <w:highlight w:val="none"/>
              </w:rPr>
              <w:t>做好防渗措施，因此本项目</w:t>
            </w:r>
            <w:r>
              <w:rPr>
                <w:rFonts w:hint="eastAsia"/>
                <w:color w:val="auto"/>
                <w:sz w:val="24"/>
                <w:highlight w:val="none"/>
                <w:lang w:eastAsia="zh-CN"/>
              </w:rPr>
              <w:t>对</w:t>
            </w:r>
            <w:r>
              <w:rPr>
                <w:color w:val="auto"/>
                <w:sz w:val="24"/>
                <w:highlight w:val="none"/>
              </w:rPr>
              <w:t>土壤和地下水污染途径</w:t>
            </w:r>
            <w:r>
              <w:rPr>
                <w:rFonts w:hint="eastAsia"/>
                <w:color w:val="auto"/>
                <w:sz w:val="24"/>
                <w:highlight w:val="none"/>
                <w:lang w:eastAsia="zh-CN"/>
              </w:rPr>
              <w:t>极少</w:t>
            </w:r>
            <w:r>
              <w:rPr>
                <w:rFonts w:hint="default" w:ascii="Times New Roman" w:hAnsi="Times New Roman" w:eastAsia="宋体" w:cs="Times New Roman"/>
                <w:color w:val="auto"/>
                <w:sz w:val="24"/>
                <w:szCs w:val="24"/>
                <w:highlight w:val="none"/>
                <w:lang w:bidi="ar"/>
              </w:rPr>
              <w:t>。根据《建设项目环境影响报告表编制技术指南（污染影响类）》（试行），本项目不开展地下水、土壤环境质量现状调查</w:t>
            </w:r>
            <w:r>
              <w:rPr>
                <w:rFonts w:hint="default" w:ascii="Times New Roman" w:hAnsi="Times New Roman" w:eastAsia="宋体" w:cs="Times New Roman"/>
                <w:color w:val="auto"/>
                <w:sz w:val="24"/>
                <w:szCs w:val="24"/>
                <w:highlight w:val="none"/>
              </w:rPr>
              <w:t>。</w:t>
            </w:r>
          </w:p>
          <w:p w14:paraId="33EDBB8D">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宋体" w:cs="Times New Roman"/>
                <w:b/>
                <w:bCs/>
                <w:color w:val="auto"/>
                <w:spacing w:val="-10"/>
                <w:sz w:val="24"/>
                <w:szCs w:val="24"/>
                <w:highlight w:val="none"/>
                <w:lang w:eastAsia="zh-CN" w:bidi="ar"/>
              </w:rPr>
            </w:pPr>
            <w:r>
              <w:rPr>
                <w:rFonts w:hint="default" w:ascii="Times New Roman" w:hAnsi="Times New Roman" w:eastAsia="宋体" w:cs="Times New Roman"/>
                <w:b/>
                <w:bCs/>
                <w:color w:val="auto"/>
                <w:spacing w:val="-10"/>
                <w:sz w:val="24"/>
                <w:szCs w:val="24"/>
                <w:highlight w:val="none"/>
                <w:lang w:bidi="ar"/>
              </w:rPr>
              <w:t>3.5生态环境</w:t>
            </w:r>
            <w:r>
              <w:rPr>
                <w:rFonts w:hint="eastAsia" w:cs="Times New Roman"/>
                <w:b/>
                <w:bCs/>
                <w:color w:val="auto"/>
                <w:spacing w:val="-10"/>
                <w:sz w:val="24"/>
                <w:szCs w:val="24"/>
                <w:highlight w:val="none"/>
                <w:lang w:eastAsia="zh-CN" w:bidi="ar"/>
              </w:rPr>
              <w:t>现状</w:t>
            </w:r>
          </w:p>
          <w:p w14:paraId="5BE26865">
            <w:pPr>
              <w:pStyle w:val="2"/>
              <w:keepNext w:val="0"/>
              <w:keepLines w:val="0"/>
              <w:pageBreakBefore w:val="0"/>
              <w:widowControl w:val="0"/>
              <w:kinsoku/>
              <w:wordWrap/>
              <w:overflowPunct/>
              <w:topLinePunct w:val="0"/>
              <w:autoSpaceDE/>
              <w:autoSpaceDN/>
              <w:bidi w:val="0"/>
              <w:adjustRightInd/>
              <w:snapToGrid/>
              <w:spacing w:line="480" w:lineRule="exact"/>
              <w:textAlignment w:val="auto"/>
              <w:rPr>
                <w:color w:val="auto"/>
                <w:highlight w:val="none"/>
              </w:rPr>
            </w:pPr>
            <w:r>
              <w:rPr>
                <w:rFonts w:hint="default" w:ascii="Times New Roman" w:hAnsi="Times New Roman" w:eastAsia="宋体" w:cs="Times New Roman"/>
                <w:color w:val="auto"/>
                <w:sz w:val="24"/>
                <w:szCs w:val="24"/>
                <w:highlight w:val="none"/>
              </w:rPr>
              <w:t>根据现场调查及资料收集，</w:t>
            </w:r>
            <w:r>
              <w:rPr>
                <w:color w:val="auto"/>
                <w:sz w:val="24"/>
                <w:highlight w:val="none"/>
              </w:rPr>
              <w:t>本项目用地利用</w:t>
            </w:r>
            <w:r>
              <w:rPr>
                <w:rFonts w:hint="eastAsia" w:ascii="宋体" w:hAnsi="宋体"/>
                <w:bCs/>
                <w:color w:val="auto"/>
                <w:sz w:val="24"/>
                <w:szCs w:val="24"/>
                <w:highlight w:val="none"/>
              </w:rPr>
              <w:t>宽城双兴矿山设备制造有限公司</w:t>
            </w:r>
            <w:r>
              <w:rPr>
                <w:color w:val="auto"/>
                <w:sz w:val="24"/>
                <w:highlight w:val="none"/>
              </w:rPr>
              <w:t>原有厂区，无新增用地。用地范围内不涉及世界文化和自然遗产地、风景名胜区、森林公园、地质公园、重要湿地、原始天然林、珍稀濒危野生动植物天然集中分布区、重要水生生物的自然产卵场及索饵场、越冬场和洄游通道、天然渔场等生态环境保护目标。</w:t>
            </w:r>
            <w:r>
              <w:rPr>
                <w:rFonts w:hint="eastAsia"/>
                <w:color w:val="auto"/>
                <w:sz w:val="24"/>
                <w:highlight w:val="none"/>
                <w:lang w:eastAsia="zh-CN"/>
              </w:rPr>
              <w:t>因此本项目可不确定评价等级，直接进行生态影响简单分析</w:t>
            </w:r>
            <w:r>
              <w:rPr>
                <w:rFonts w:hint="default" w:ascii="Times New Roman" w:hAnsi="Times New Roman" w:eastAsia="宋体" w:cs="Times New Roman"/>
                <w:color w:val="auto"/>
                <w:sz w:val="24"/>
                <w:szCs w:val="24"/>
                <w:highlight w:val="none"/>
              </w:rPr>
              <w:t>。</w:t>
            </w:r>
          </w:p>
        </w:tc>
      </w:tr>
      <w:tr w14:paraId="5D649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00" w:type="dxa"/>
            <w:noWrap w:val="0"/>
            <w:vAlign w:val="center"/>
          </w:tcPr>
          <w:p w14:paraId="787B7C3D">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36E47494">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保护</w:t>
            </w:r>
          </w:p>
          <w:p w14:paraId="45E9A96D">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noWrap w:val="0"/>
            <w:vAlign w:val="center"/>
          </w:tcPr>
          <w:p w14:paraId="31B54D4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本项目位于宽城满族自治县</w:t>
            </w:r>
            <w:r>
              <w:rPr>
                <w:rFonts w:hint="eastAsia" w:ascii="Times New Roman" w:hAnsi="Times New Roman" w:eastAsia="宋体" w:cs="Times New Roman"/>
                <w:color w:val="auto"/>
                <w:sz w:val="24"/>
                <w:szCs w:val="24"/>
                <w:highlight w:val="none"/>
                <w:lang w:eastAsia="zh-CN"/>
              </w:rPr>
              <w:t>松岭镇木匠屯</w:t>
            </w:r>
            <w:r>
              <w:rPr>
                <w:rFonts w:hint="default" w:ascii="Times New Roman" w:hAnsi="Times New Roman" w:eastAsia="宋体" w:cs="Times New Roman"/>
                <w:color w:val="auto"/>
                <w:sz w:val="24"/>
                <w:szCs w:val="24"/>
                <w:highlight w:val="none"/>
              </w:rPr>
              <w:t>村，厂界周边500m范围内无自然保护区、风景名胜区等环境空气保护目标，主要环境空气保护目标为居住区。环境空气保护目标如下表所示。</w:t>
            </w:r>
          </w:p>
          <w:p w14:paraId="3DE1F5F7">
            <w:pPr>
              <w:adjustRightInd w:val="0"/>
              <w:snapToGrid w:val="0"/>
              <w:jc w:val="center"/>
              <w:rPr>
                <w:rFonts w:hint="default"/>
                <w:b w:val="0"/>
                <w:bCs w:val="0"/>
                <w:color w:val="auto"/>
                <w:highlight w:val="none"/>
              </w:rPr>
            </w:pPr>
            <w:r>
              <w:rPr>
                <w:rFonts w:hint="default" w:ascii="Times New Roman" w:hAnsi="Times New Roman" w:eastAsia="宋体" w:cs="Times New Roman"/>
                <w:b w:val="0"/>
                <w:bCs w:val="0"/>
                <w:color w:val="auto"/>
                <w:sz w:val="24"/>
                <w:szCs w:val="24"/>
                <w:highlight w:val="none"/>
              </w:rPr>
              <w:t>表3</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环境空气保护目标</w:t>
            </w:r>
          </w:p>
          <w:tbl>
            <w:tblPr>
              <w:tblStyle w:val="17"/>
              <w:tblW w:w="83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1125"/>
              <w:gridCol w:w="1260"/>
              <w:gridCol w:w="1171"/>
              <w:gridCol w:w="1110"/>
              <w:gridCol w:w="825"/>
              <w:gridCol w:w="719"/>
              <w:gridCol w:w="795"/>
              <w:gridCol w:w="935"/>
            </w:tblGrid>
            <w:tr w14:paraId="0D58DF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457" w:type="dxa"/>
                  <w:vMerge w:val="restart"/>
                  <w:noWrap w:val="0"/>
                  <w:vAlign w:val="center"/>
                </w:tcPr>
                <w:p w14:paraId="3814CE10">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序号</w:t>
                  </w:r>
                </w:p>
              </w:tc>
              <w:tc>
                <w:tcPr>
                  <w:tcW w:w="1125" w:type="dxa"/>
                  <w:vMerge w:val="restart"/>
                  <w:noWrap w:val="0"/>
                  <w:vAlign w:val="center"/>
                </w:tcPr>
                <w:p w14:paraId="4B5C5E3E">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保护目标名称</w:t>
                  </w:r>
                </w:p>
              </w:tc>
              <w:tc>
                <w:tcPr>
                  <w:tcW w:w="2431" w:type="dxa"/>
                  <w:gridSpan w:val="2"/>
                  <w:tcBorders>
                    <w:bottom w:val="single" w:color="auto" w:sz="4" w:space="0"/>
                  </w:tcBorders>
                  <w:noWrap w:val="0"/>
                  <w:vAlign w:val="center"/>
                </w:tcPr>
                <w:p w14:paraId="66075087">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经纬度坐标</w:t>
                  </w:r>
                </w:p>
              </w:tc>
              <w:tc>
                <w:tcPr>
                  <w:tcW w:w="1110" w:type="dxa"/>
                  <w:vMerge w:val="restart"/>
                  <w:noWrap w:val="0"/>
                  <w:vAlign w:val="center"/>
                </w:tcPr>
                <w:p w14:paraId="5D515B39">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保护内容</w:t>
                  </w:r>
                </w:p>
              </w:tc>
              <w:tc>
                <w:tcPr>
                  <w:tcW w:w="825" w:type="dxa"/>
                  <w:vMerge w:val="restart"/>
                  <w:noWrap w:val="0"/>
                  <w:vAlign w:val="center"/>
                </w:tcPr>
                <w:p w14:paraId="6E6D625C">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环境功能区</w:t>
                  </w:r>
                </w:p>
              </w:tc>
              <w:tc>
                <w:tcPr>
                  <w:tcW w:w="719" w:type="dxa"/>
                  <w:vMerge w:val="restart"/>
                  <w:noWrap w:val="0"/>
                  <w:vAlign w:val="center"/>
                </w:tcPr>
                <w:p w14:paraId="097F3F1E">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保护对象</w:t>
                  </w:r>
                </w:p>
              </w:tc>
              <w:tc>
                <w:tcPr>
                  <w:tcW w:w="795" w:type="dxa"/>
                  <w:vMerge w:val="restart"/>
                  <w:noWrap w:val="0"/>
                  <w:vAlign w:val="center"/>
                </w:tcPr>
                <w:p w14:paraId="4E1A6DDA">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相对厂址方位</w:t>
                  </w:r>
                </w:p>
              </w:tc>
              <w:tc>
                <w:tcPr>
                  <w:tcW w:w="935" w:type="dxa"/>
                  <w:vMerge w:val="restart"/>
                  <w:noWrap w:val="0"/>
                  <w:vAlign w:val="center"/>
                </w:tcPr>
                <w:p w14:paraId="3FFF839A">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相对厂界距离/m</w:t>
                  </w:r>
                </w:p>
              </w:tc>
            </w:tr>
            <w:tr w14:paraId="06E5F5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457" w:type="dxa"/>
                  <w:vMerge w:val="continue"/>
                  <w:noWrap w:val="0"/>
                  <w:vAlign w:val="center"/>
                </w:tcPr>
                <w:p w14:paraId="05ED7C46">
                  <w:pPr>
                    <w:spacing w:line="360" w:lineRule="exact"/>
                    <w:jc w:val="center"/>
                    <w:rPr>
                      <w:rFonts w:eastAsia="宋体"/>
                      <w:color w:val="auto"/>
                      <w:spacing w:val="-8"/>
                      <w:sz w:val="21"/>
                      <w:szCs w:val="21"/>
                      <w:highlight w:val="none"/>
                    </w:rPr>
                  </w:pPr>
                </w:p>
              </w:tc>
              <w:tc>
                <w:tcPr>
                  <w:tcW w:w="1125" w:type="dxa"/>
                  <w:vMerge w:val="continue"/>
                  <w:noWrap w:val="0"/>
                  <w:vAlign w:val="center"/>
                </w:tcPr>
                <w:p w14:paraId="6D61DCCE">
                  <w:pPr>
                    <w:spacing w:line="360" w:lineRule="exact"/>
                    <w:jc w:val="center"/>
                    <w:rPr>
                      <w:rFonts w:eastAsia="宋体"/>
                      <w:color w:val="auto"/>
                      <w:spacing w:val="-8"/>
                      <w:sz w:val="21"/>
                      <w:szCs w:val="21"/>
                      <w:highlight w:val="none"/>
                    </w:rPr>
                  </w:pPr>
                </w:p>
              </w:tc>
              <w:tc>
                <w:tcPr>
                  <w:tcW w:w="1260" w:type="dxa"/>
                  <w:tcBorders>
                    <w:top w:val="single" w:color="auto" w:sz="4" w:space="0"/>
                  </w:tcBorders>
                  <w:noWrap w:val="0"/>
                  <w:vAlign w:val="center"/>
                </w:tcPr>
                <w:p w14:paraId="7D593391">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东经</w:t>
                  </w:r>
                </w:p>
              </w:tc>
              <w:tc>
                <w:tcPr>
                  <w:tcW w:w="1171" w:type="dxa"/>
                  <w:tcBorders>
                    <w:top w:val="single" w:color="auto" w:sz="4" w:space="0"/>
                  </w:tcBorders>
                  <w:noWrap w:val="0"/>
                  <w:vAlign w:val="center"/>
                </w:tcPr>
                <w:p w14:paraId="4492A237">
                  <w:pPr>
                    <w:spacing w:line="360" w:lineRule="exact"/>
                    <w:jc w:val="center"/>
                    <w:rPr>
                      <w:rFonts w:eastAsia="宋体"/>
                      <w:b/>
                      <w:bCs/>
                      <w:color w:val="auto"/>
                      <w:spacing w:val="-8"/>
                      <w:sz w:val="21"/>
                      <w:szCs w:val="21"/>
                      <w:highlight w:val="none"/>
                    </w:rPr>
                  </w:pPr>
                  <w:r>
                    <w:rPr>
                      <w:rFonts w:eastAsia="宋体"/>
                      <w:b/>
                      <w:bCs/>
                      <w:color w:val="auto"/>
                      <w:spacing w:val="-8"/>
                      <w:sz w:val="21"/>
                      <w:szCs w:val="21"/>
                      <w:highlight w:val="none"/>
                    </w:rPr>
                    <w:t>北纬</w:t>
                  </w:r>
                </w:p>
              </w:tc>
              <w:tc>
                <w:tcPr>
                  <w:tcW w:w="1110" w:type="dxa"/>
                  <w:vMerge w:val="continue"/>
                  <w:noWrap w:val="0"/>
                  <w:vAlign w:val="center"/>
                </w:tcPr>
                <w:p w14:paraId="7BE22280">
                  <w:pPr>
                    <w:spacing w:line="360" w:lineRule="exact"/>
                    <w:jc w:val="center"/>
                    <w:rPr>
                      <w:rFonts w:eastAsia="宋体"/>
                      <w:color w:val="auto"/>
                      <w:spacing w:val="-8"/>
                      <w:sz w:val="21"/>
                      <w:szCs w:val="21"/>
                      <w:highlight w:val="none"/>
                    </w:rPr>
                  </w:pPr>
                </w:p>
              </w:tc>
              <w:tc>
                <w:tcPr>
                  <w:tcW w:w="825" w:type="dxa"/>
                  <w:vMerge w:val="continue"/>
                  <w:noWrap w:val="0"/>
                  <w:vAlign w:val="center"/>
                </w:tcPr>
                <w:p w14:paraId="4BDF65BE">
                  <w:pPr>
                    <w:spacing w:line="360" w:lineRule="exact"/>
                    <w:jc w:val="center"/>
                    <w:rPr>
                      <w:rFonts w:eastAsia="宋体"/>
                      <w:color w:val="auto"/>
                      <w:spacing w:val="-8"/>
                      <w:sz w:val="21"/>
                      <w:szCs w:val="21"/>
                      <w:highlight w:val="none"/>
                    </w:rPr>
                  </w:pPr>
                </w:p>
              </w:tc>
              <w:tc>
                <w:tcPr>
                  <w:tcW w:w="719" w:type="dxa"/>
                  <w:vMerge w:val="continue"/>
                  <w:noWrap w:val="0"/>
                  <w:vAlign w:val="center"/>
                </w:tcPr>
                <w:p w14:paraId="1531B1E3">
                  <w:pPr>
                    <w:spacing w:line="360" w:lineRule="exact"/>
                    <w:jc w:val="center"/>
                    <w:rPr>
                      <w:rFonts w:eastAsia="宋体"/>
                      <w:color w:val="auto"/>
                      <w:spacing w:val="-8"/>
                      <w:sz w:val="21"/>
                      <w:szCs w:val="21"/>
                      <w:highlight w:val="none"/>
                    </w:rPr>
                  </w:pPr>
                </w:p>
              </w:tc>
              <w:tc>
                <w:tcPr>
                  <w:tcW w:w="795" w:type="dxa"/>
                  <w:vMerge w:val="continue"/>
                  <w:noWrap w:val="0"/>
                  <w:vAlign w:val="center"/>
                </w:tcPr>
                <w:p w14:paraId="0E5E27C6">
                  <w:pPr>
                    <w:spacing w:line="360" w:lineRule="exact"/>
                    <w:jc w:val="center"/>
                    <w:rPr>
                      <w:rFonts w:eastAsia="宋体"/>
                      <w:color w:val="auto"/>
                      <w:spacing w:val="-8"/>
                      <w:sz w:val="21"/>
                      <w:szCs w:val="21"/>
                      <w:highlight w:val="none"/>
                    </w:rPr>
                  </w:pPr>
                </w:p>
              </w:tc>
              <w:tc>
                <w:tcPr>
                  <w:tcW w:w="935" w:type="dxa"/>
                  <w:vMerge w:val="continue"/>
                  <w:noWrap w:val="0"/>
                  <w:vAlign w:val="center"/>
                </w:tcPr>
                <w:p w14:paraId="454B9312">
                  <w:pPr>
                    <w:spacing w:line="360" w:lineRule="exact"/>
                    <w:jc w:val="center"/>
                    <w:rPr>
                      <w:rFonts w:eastAsia="宋体"/>
                      <w:color w:val="auto"/>
                      <w:spacing w:val="-8"/>
                      <w:sz w:val="21"/>
                      <w:szCs w:val="21"/>
                      <w:highlight w:val="none"/>
                    </w:rPr>
                  </w:pPr>
                </w:p>
              </w:tc>
            </w:tr>
            <w:tr w14:paraId="047300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457" w:type="dxa"/>
                  <w:noWrap w:val="0"/>
                  <w:vAlign w:val="center"/>
                </w:tcPr>
                <w:p w14:paraId="7FFF7097">
                  <w:pPr>
                    <w:spacing w:line="360" w:lineRule="exact"/>
                    <w:jc w:val="center"/>
                    <w:rPr>
                      <w:rFonts w:eastAsia="宋体"/>
                      <w:color w:val="auto"/>
                      <w:spacing w:val="-8"/>
                      <w:sz w:val="21"/>
                      <w:szCs w:val="21"/>
                      <w:highlight w:val="none"/>
                    </w:rPr>
                  </w:pPr>
                  <w:r>
                    <w:rPr>
                      <w:rFonts w:eastAsia="宋体"/>
                      <w:color w:val="auto"/>
                      <w:spacing w:val="-8"/>
                      <w:sz w:val="21"/>
                      <w:szCs w:val="21"/>
                      <w:highlight w:val="none"/>
                    </w:rPr>
                    <w:t>1</w:t>
                  </w:r>
                </w:p>
              </w:tc>
              <w:tc>
                <w:tcPr>
                  <w:tcW w:w="1125" w:type="dxa"/>
                  <w:noWrap w:val="0"/>
                  <w:vAlign w:val="center"/>
                </w:tcPr>
                <w:p w14:paraId="399B6916">
                  <w:pPr>
                    <w:spacing w:line="360" w:lineRule="exact"/>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木匠屯村</w:t>
                  </w:r>
                </w:p>
              </w:tc>
              <w:tc>
                <w:tcPr>
                  <w:tcW w:w="1260" w:type="dxa"/>
                  <w:noWrap w:val="0"/>
                  <w:vAlign w:val="center"/>
                </w:tcPr>
                <w:p w14:paraId="246210F9">
                  <w:pPr>
                    <w:spacing w:line="360" w:lineRule="exact"/>
                    <w:jc w:val="center"/>
                    <w:rPr>
                      <w:rFonts w:hint="eastAsia" w:eastAsia="宋体"/>
                      <w:color w:val="auto"/>
                      <w:spacing w:val="-8"/>
                      <w:sz w:val="21"/>
                      <w:szCs w:val="21"/>
                      <w:highlight w:val="none"/>
                      <w:lang w:eastAsia="zh-CN"/>
                    </w:rPr>
                  </w:pPr>
                  <w:r>
                    <w:rPr>
                      <w:rFonts w:hint="eastAsia" w:eastAsia="宋体"/>
                      <w:color w:val="auto"/>
                      <w:spacing w:val="-8"/>
                      <w:sz w:val="21"/>
                      <w:szCs w:val="21"/>
                      <w:highlight w:val="none"/>
                    </w:rPr>
                    <w:t>118.567018</w:t>
                  </w:r>
                  <w:r>
                    <w:rPr>
                      <w:rFonts w:eastAsia="宋体"/>
                      <w:snapToGrid w:val="0"/>
                      <w:color w:val="auto"/>
                      <w:kern w:val="0"/>
                      <w:sz w:val="21"/>
                      <w:szCs w:val="21"/>
                      <w:highlight w:val="none"/>
                    </w:rPr>
                    <w:t>°</w:t>
                  </w:r>
                </w:p>
              </w:tc>
              <w:tc>
                <w:tcPr>
                  <w:tcW w:w="1171" w:type="dxa"/>
                  <w:noWrap w:val="0"/>
                  <w:vAlign w:val="center"/>
                </w:tcPr>
                <w:p w14:paraId="0DF379CF">
                  <w:pPr>
                    <w:spacing w:line="360" w:lineRule="exact"/>
                    <w:jc w:val="center"/>
                    <w:rPr>
                      <w:rFonts w:eastAsia="宋体"/>
                      <w:color w:val="auto"/>
                      <w:sz w:val="21"/>
                      <w:szCs w:val="21"/>
                      <w:highlight w:val="none"/>
                    </w:rPr>
                  </w:pPr>
                  <w:r>
                    <w:rPr>
                      <w:rFonts w:hint="eastAsia" w:eastAsia="宋体"/>
                      <w:color w:val="auto"/>
                      <w:spacing w:val="-8"/>
                      <w:sz w:val="21"/>
                      <w:szCs w:val="21"/>
                      <w:highlight w:val="none"/>
                    </w:rPr>
                    <w:t>40.432669</w:t>
                  </w:r>
                  <w:r>
                    <w:rPr>
                      <w:rFonts w:eastAsia="宋体"/>
                      <w:snapToGrid w:val="0"/>
                      <w:color w:val="auto"/>
                      <w:kern w:val="0"/>
                      <w:sz w:val="21"/>
                      <w:szCs w:val="21"/>
                      <w:highlight w:val="none"/>
                    </w:rPr>
                    <w:t>°</w:t>
                  </w:r>
                </w:p>
              </w:tc>
              <w:tc>
                <w:tcPr>
                  <w:tcW w:w="1110" w:type="dxa"/>
                  <w:noWrap w:val="0"/>
                  <w:vAlign w:val="center"/>
                </w:tcPr>
                <w:p w14:paraId="0851F2D1">
                  <w:pPr>
                    <w:spacing w:line="360" w:lineRule="exact"/>
                    <w:jc w:val="center"/>
                    <w:rPr>
                      <w:rFonts w:eastAsia="宋体"/>
                      <w:color w:val="auto"/>
                      <w:sz w:val="21"/>
                      <w:szCs w:val="21"/>
                      <w:highlight w:val="none"/>
                    </w:rPr>
                  </w:pPr>
                  <w:r>
                    <w:rPr>
                      <w:rFonts w:eastAsia="宋体"/>
                      <w:color w:val="auto"/>
                      <w:sz w:val="21"/>
                      <w:szCs w:val="21"/>
                      <w:highlight w:val="none"/>
                    </w:rPr>
                    <w:t>环境空气</w:t>
                  </w:r>
                </w:p>
              </w:tc>
              <w:tc>
                <w:tcPr>
                  <w:tcW w:w="825" w:type="dxa"/>
                  <w:noWrap w:val="0"/>
                  <w:vAlign w:val="center"/>
                </w:tcPr>
                <w:p w14:paraId="65DB7DDD">
                  <w:pPr>
                    <w:spacing w:line="360" w:lineRule="exact"/>
                    <w:jc w:val="center"/>
                    <w:rPr>
                      <w:rFonts w:eastAsia="宋体"/>
                      <w:color w:val="auto"/>
                      <w:spacing w:val="-8"/>
                      <w:sz w:val="21"/>
                      <w:szCs w:val="21"/>
                      <w:highlight w:val="none"/>
                    </w:rPr>
                  </w:pPr>
                  <w:r>
                    <w:rPr>
                      <w:rFonts w:hint="eastAsia" w:eastAsia="宋体"/>
                      <w:color w:val="auto"/>
                      <w:spacing w:val="-8"/>
                      <w:sz w:val="21"/>
                      <w:szCs w:val="21"/>
                      <w:highlight w:val="none"/>
                      <w:lang w:val="en-US" w:eastAsia="zh-CN"/>
                    </w:rPr>
                    <w:t>2</w:t>
                  </w:r>
                  <w:r>
                    <w:rPr>
                      <w:rFonts w:eastAsia="宋体"/>
                      <w:color w:val="auto"/>
                      <w:spacing w:val="-8"/>
                      <w:sz w:val="21"/>
                      <w:szCs w:val="21"/>
                      <w:highlight w:val="none"/>
                    </w:rPr>
                    <w:t>类</w:t>
                  </w:r>
                </w:p>
              </w:tc>
              <w:tc>
                <w:tcPr>
                  <w:tcW w:w="719" w:type="dxa"/>
                  <w:vMerge w:val="restart"/>
                  <w:noWrap w:val="0"/>
                  <w:vAlign w:val="center"/>
                </w:tcPr>
                <w:p w14:paraId="30664735">
                  <w:pPr>
                    <w:spacing w:line="360" w:lineRule="exact"/>
                    <w:jc w:val="center"/>
                    <w:rPr>
                      <w:rFonts w:eastAsia="宋体"/>
                      <w:color w:val="auto"/>
                      <w:sz w:val="21"/>
                      <w:szCs w:val="21"/>
                      <w:highlight w:val="none"/>
                    </w:rPr>
                  </w:pPr>
                  <w:r>
                    <w:rPr>
                      <w:rFonts w:eastAsia="宋体"/>
                      <w:color w:val="auto"/>
                      <w:sz w:val="21"/>
                      <w:szCs w:val="21"/>
                      <w:highlight w:val="none"/>
                    </w:rPr>
                    <w:t>居民</w:t>
                  </w:r>
                </w:p>
              </w:tc>
              <w:tc>
                <w:tcPr>
                  <w:tcW w:w="795" w:type="dxa"/>
                  <w:noWrap w:val="0"/>
                  <w:vAlign w:val="center"/>
                </w:tcPr>
                <w:p w14:paraId="028D010A">
                  <w:pPr>
                    <w:spacing w:line="360" w:lineRule="exact"/>
                    <w:jc w:val="center"/>
                    <w:rPr>
                      <w:rFonts w:hint="eastAsia" w:eastAsia="宋体"/>
                      <w:color w:val="auto"/>
                      <w:spacing w:val="-8"/>
                      <w:sz w:val="21"/>
                      <w:szCs w:val="21"/>
                      <w:highlight w:val="none"/>
                      <w:lang w:val="en-US" w:eastAsia="zh-CN"/>
                    </w:rPr>
                  </w:pPr>
                  <w:r>
                    <w:rPr>
                      <w:rFonts w:hint="eastAsia" w:eastAsia="宋体"/>
                      <w:color w:val="auto"/>
                      <w:sz w:val="21"/>
                      <w:szCs w:val="21"/>
                      <w:highlight w:val="none"/>
                      <w:lang w:val="en-US" w:eastAsia="zh-CN"/>
                    </w:rPr>
                    <w:t>S</w:t>
                  </w:r>
                  <w:r>
                    <w:rPr>
                      <w:rFonts w:eastAsia="宋体"/>
                      <w:color w:val="auto"/>
                      <w:sz w:val="21"/>
                      <w:szCs w:val="21"/>
                      <w:highlight w:val="none"/>
                    </w:rPr>
                    <w:t>E</w:t>
                  </w:r>
                </w:p>
              </w:tc>
              <w:tc>
                <w:tcPr>
                  <w:tcW w:w="935" w:type="dxa"/>
                  <w:noWrap w:val="0"/>
                  <w:vAlign w:val="center"/>
                </w:tcPr>
                <w:p w14:paraId="71808864">
                  <w:pPr>
                    <w:spacing w:line="360" w:lineRule="exact"/>
                    <w:jc w:val="center"/>
                    <w:rPr>
                      <w:rFonts w:hint="default" w:eastAsia="宋体"/>
                      <w:color w:val="auto"/>
                      <w:spacing w:val="-8"/>
                      <w:sz w:val="21"/>
                      <w:szCs w:val="21"/>
                      <w:highlight w:val="none"/>
                      <w:lang w:val="en-US" w:eastAsia="zh-CN"/>
                    </w:rPr>
                  </w:pPr>
                  <w:r>
                    <w:rPr>
                      <w:rFonts w:hint="eastAsia" w:eastAsia="宋体"/>
                      <w:color w:val="auto"/>
                      <w:sz w:val="21"/>
                      <w:szCs w:val="21"/>
                      <w:highlight w:val="none"/>
                      <w:lang w:val="en-US" w:eastAsia="zh-CN"/>
                    </w:rPr>
                    <w:t>260</w:t>
                  </w:r>
                </w:p>
              </w:tc>
            </w:tr>
            <w:tr w14:paraId="4F1AEF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457" w:type="dxa"/>
                  <w:noWrap w:val="0"/>
                  <w:vAlign w:val="center"/>
                </w:tcPr>
                <w:p w14:paraId="0E184B53">
                  <w:pPr>
                    <w:spacing w:line="360" w:lineRule="exact"/>
                    <w:jc w:val="center"/>
                    <w:rPr>
                      <w:rFonts w:eastAsia="宋体"/>
                      <w:color w:val="auto"/>
                      <w:spacing w:val="-8"/>
                      <w:sz w:val="21"/>
                      <w:szCs w:val="21"/>
                      <w:highlight w:val="none"/>
                    </w:rPr>
                  </w:pPr>
                  <w:r>
                    <w:rPr>
                      <w:rFonts w:eastAsia="宋体"/>
                      <w:color w:val="auto"/>
                      <w:spacing w:val="-8"/>
                      <w:sz w:val="21"/>
                      <w:szCs w:val="21"/>
                      <w:highlight w:val="none"/>
                    </w:rPr>
                    <w:t>2</w:t>
                  </w:r>
                </w:p>
              </w:tc>
              <w:tc>
                <w:tcPr>
                  <w:tcW w:w="1125" w:type="dxa"/>
                  <w:noWrap w:val="0"/>
                  <w:vAlign w:val="center"/>
                </w:tcPr>
                <w:p w14:paraId="1EDD3124">
                  <w:pPr>
                    <w:spacing w:line="360" w:lineRule="exact"/>
                    <w:jc w:val="center"/>
                    <w:rPr>
                      <w:rFonts w:eastAsia="宋体"/>
                      <w:color w:val="auto"/>
                      <w:sz w:val="21"/>
                      <w:szCs w:val="21"/>
                      <w:highlight w:val="none"/>
                    </w:rPr>
                  </w:pPr>
                  <w:r>
                    <w:rPr>
                      <w:rFonts w:hint="eastAsia" w:eastAsia="宋体"/>
                      <w:color w:val="auto"/>
                      <w:sz w:val="21"/>
                      <w:szCs w:val="21"/>
                      <w:highlight w:val="none"/>
                      <w:lang w:val="en-US" w:eastAsia="zh-CN"/>
                    </w:rPr>
                    <w:t>转山子</w:t>
                  </w:r>
                  <w:r>
                    <w:rPr>
                      <w:rFonts w:eastAsia="宋体"/>
                      <w:color w:val="auto"/>
                      <w:sz w:val="21"/>
                      <w:szCs w:val="21"/>
                      <w:highlight w:val="none"/>
                    </w:rPr>
                    <w:t>村</w:t>
                  </w:r>
                </w:p>
              </w:tc>
              <w:tc>
                <w:tcPr>
                  <w:tcW w:w="1260" w:type="dxa"/>
                  <w:noWrap w:val="0"/>
                  <w:vAlign w:val="center"/>
                </w:tcPr>
                <w:p w14:paraId="3D32A2C8">
                  <w:pPr>
                    <w:spacing w:line="360" w:lineRule="exact"/>
                    <w:jc w:val="center"/>
                    <w:rPr>
                      <w:rFonts w:eastAsia="宋体"/>
                      <w:color w:val="auto"/>
                      <w:spacing w:val="-8"/>
                      <w:sz w:val="21"/>
                      <w:szCs w:val="21"/>
                      <w:highlight w:val="none"/>
                    </w:rPr>
                  </w:pPr>
                  <w:r>
                    <w:rPr>
                      <w:rFonts w:hint="eastAsia" w:eastAsia="宋体"/>
                      <w:color w:val="auto"/>
                      <w:spacing w:val="-8"/>
                      <w:sz w:val="21"/>
                      <w:szCs w:val="21"/>
                      <w:highlight w:val="none"/>
                    </w:rPr>
                    <w:t>118.557099</w:t>
                  </w:r>
                  <w:r>
                    <w:rPr>
                      <w:rFonts w:eastAsia="宋体"/>
                      <w:snapToGrid w:val="0"/>
                      <w:color w:val="auto"/>
                      <w:kern w:val="0"/>
                      <w:sz w:val="21"/>
                      <w:szCs w:val="21"/>
                      <w:highlight w:val="none"/>
                    </w:rPr>
                    <w:t>°</w:t>
                  </w:r>
                </w:p>
              </w:tc>
              <w:tc>
                <w:tcPr>
                  <w:tcW w:w="1171" w:type="dxa"/>
                  <w:noWrap w:val="0"/>
                  <w:vAlign w:val="center"/>
                </w:tcPr>
                <w:p w14:paraId="17B40747">
                  <w:pPr>
                    <w:spacing w:line="360" w:lineRule="exact"/>
                    <w:jc w:val="center"/>
                    <w:rPr>
                      <w:rFonts w:eastAsia="宋体"/>
                      <w:color w:val="auto"/>
                      <w:sz w:val="21"/>
                      <w:szCs w:val="21"/>
                      <w:highlight w:val="none"/>
                    </w:rPr>
                  </w:pPr>
                  <w:r>
                    <w:rPr>
                      <w:rFonts w:hint="eastAsia" w:eastAsia="宋体"/>
                      <w:color w:val="auto"/>
                      <w:spacing w:val="-8"/>
                      <w:sz w:val="21"/>
                      <w:szCs w:val="21"/>
                      <w:highlight w:val="none"/>
                    </w:rPr>
                    <w:t>40.441277</w:t>
                  </w:r>
                  <w:r>
                    <w:rPr>
                      <w:rFonts w:eastAsia="宋体"/>
                      <w:snapToGrid w:val="0"/>
                      <w:color w:val="auto"/>
                      <w:kern w:val="0"/>
                      <w:sz w:val="21"/>
                      <w:szCs w:val="21"/>
                      <w:highlight w:val="none"/>
                    </w:rPr>
                    <w:t>°</w:t>
                  </w:r>
                </w:p>
              </w:tc>
              <w:tc>
                <w:tcPr>
                  <w:tcW w:w="1110" w:type="dxa"/>
                  <w:noWrap w:val="0"/>
                  <w:vAlign w:val="center"/>
                </w:tcPr>
                <w:p w14:paraId="12BD47A6">
                  <w:pPr>
                    <w:spacing w:line="360" w:lineRule="exact"/>
                    <w:jc w:val="center"/>
                    <w:rPr>
                      <w:rFonts w:eastAsia="宋体"/>
                      <w:color w:val="auto"/>
                      <w:sz w:val="21"/>
                      <w:szCs w:val="21"/>
                      <w:highlight w:val="none"/>
                    </w:rPr>
                  </w:pPr>
                  <w:r>
                    <w:rPr>
                      <w:rFonts w:eastAsia="宋体"/>
                      <w:color w:val="auto"/>
                      <w:sz w:val="21"/>
                      <w:szCs w:val="21"/>
                      <w:highlight w:val="none"/>
                    </w:rPr>
                    <w:t>环境空气</w:t>
                  </w:r>
                </w:p>
              </w:tc>
              <w:tc>
                <w:tcPr>
                  <w:tcW w:w="825" w:type="dxa"/>
                  <w:noWrap w:val="0"/>
                  <w:vAlign w:val="center"/>
                </w:tcPr>
                <w:p w14:paraId="6AC2F3EA">
                  <w:pPr>
                    <w:spacing w:line="360" w:lineRule="exact"/>
                    <w:jc w:val="center"/>
                    <w:rPr>
                      <w:rFonts w:eastAsia="宋体"/>
                      <w:color w:val="auto"/>
                      <w:spacing w:val="-8"/>
                      <w:sz w:val="21"/>
                      <w:szCs w:val="21"/>
                      <w:highlight w:val="none"/>
                    </w:rPr>
                  </w:pPr>
                  <w:r>
                    <w:rPr>
                      <w:rFonts w:hint="eastAsia" w:eastAsia="宋体"/>
                      <w:color w:val="auto"/>
                      <w:spacing w:val="-8"/>
                      <w:sz w:val="21"/>
                      <w:szCs w:val="21"/>
                      <w:highlight w:val="none"/>
                      <w:lang w:val="en-US" w:eastAsia="zh-CN"/>
                    </w:rPr>
                    <w:t>2</w:t>
                  </w:r>
                  <w:r>
                    <w:rPr>
                      <w:rFonts w:eastAsia="宋体"/>
                      <w:color w:val="auto"/>
                      <w:spacing w:val="-8"/>
                      <w:sz w:val="21"/>
                      <w:szCs w:val="21"/>
                      <w:highlight w:val="none"/>
                    </w:rPr>
                    <w:t>类</w:t>
                  </w:r>
                </w:p>
              </w:tc>
              <w:tc>
                <w:tcPr>
                  <w:tcW w:w="719" w:type="dxa"/>
                  <w:vMerge w:val="continue"/>
                  <w:noWrap w:val="0"/>
                  <w:vAlign w:val="center"/>
                </w:tcPr>
                <w:p w14:paraId="06C126FD">
                  <w:pPr>
                    <w:spacing w:line="360" w:lineRule="exact"/>
                    <w:jc w:val="center"/>
                    <w:rPr>
                      <w:rFonts w:eastAsia="宋体"/>
                      <w:color w:val="auto"/>
                      <w:sz w:val="21"/>
                      <w:szCs w:val="21"/>
                      <w:highlight w:val="none"/>
                    </w:rPr>
                  </w:pPr>
                </w:p>
              </w:tc>
              <w:tc>
                <w:tcPr>
                  <w:tcW w:w="795" w:type="dxa"/>
                  <w:tcBorders>
                    <w:top w:val="single" w:color="auto" w:sz="4" w:space="0"/>
                    <w:bottom w:val="single" w:color="auto" w:sz="4" w:space="0"/>
                  </w:tcBorders>
                  <w:noWrap w:val="0"/>
                  <w:vAlign w:val="center"/>
                </w:tcPr>
                <w:p w14:paraId="642448E6">
                  <w:pPr>
                    <w:spacing w:line="360" w:lineRule="exact"/>
                    <w:jc w:val="center"/>
                    <w:rPr>
                      <w:rFonts w:eastAsia="宋体"/>
                      <w:color w:val="auto"/>
                      <w:spacing w:val="-8"/>
                      <w:sz w:val="21"/>
                      <w:szCs w:val="21"/>
                      <w:highlight w:val="none"/>
                    </w:rPr>
                  </w:pPr>
                  <w:r>
                    <w:rPr>
                      <w:rFonts w:eastAsia="宋体"/>
                      <w:color w:val="auto"/>
                      <w:sz w:val="21"/>
                      <w:szCs w:val="21"/>
                      <w:highlight w:val="none"/>
                    </w:rPr>
                    <w:t>NW</w:t>
                  </w:r>
                </w:p>
              </w:tc>
              <w:tc>
                <w:tcPr>
                  <w:tcW w:w="935" w:type="dxa"/>
                  <w:noWrap w:val="0"/>
                  <w:vAlign w:val="center"/>
                </w:tcPr>
                <w:p w14:paraId="4248ACA3">
                  <w:pPr>
                    <w:spacing w:line="360" w:lineRule="exact"/>
                    <w:jc w:val="center"/>
                    <w:rPr>
                      <w:rFonts w:hint="default" w:eastAsia="宋体"/>
                      <w:color w:val="auto"/>
                      <w:spacing w:val="-8"/>
                      <w:sz w:val="21"/>
                      <w:szCs w:val="21"/>
                      <w:highlight w:val="none"/>
                      <w:lang w:val="en-US" w:eastAsia="zh-CN"/>
                    </w:rPr>
                  </w:pPr>
                  <w:r>
                    <w:rPr>
                      <w:rFonts w:hint="eastAsia" w:eastAsia="宋体"/>
                      <w:color w:val="auto"/>
                      <w:sz w:val="21"/>
                      <w:szCs w:val="21"/>
                      <w:highlight w:val="none"/>
                      <w:lang w:val="en-US" w:eastAsia="zh-CN"/>
                    </w:rPr>
                    <w:t>725</w:t>
                  </w:r>
                </w:p>
              </w:tc>
            </w:tr>
          </w:tbl>
          <w:p w14:paraId="243D5FF1">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3.7声环境保护目标</w:t>
            </w:r>
          </w:p>
          <w:p w14:paraId="11B0A57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本项目厂</w:t>
            </w:r>
            <w:r>
              <w:rPr>
                <w:rFonts w:hint="eastAsia" w:cs="Times New Roman"/>
                <w:color w:val="auto"/>
                <w:sz w:val="24"/>
                <w:szCs w:val="24"/>
                <w:highlight w:val="none"/>
                <w:lang w:eastAsia="zh-CN"/>
              </w:rPr>
              <w:t>房</w:t>
            </w:r>
            <w:r>
              <w:rPr>
                <w:rFonts w:hint="default" w:ascii="Times New Roman" w:hAnsi="Times New Roman" w:eastAsia="宋体" w:cs="Times New Roman"/>
                <w:color w:val="auto"/>
                <w:sz w:val="24"/>
                <w:szCs w:val="24"/>
                <w:highlight w:val="none"/>
              </w:rPr>
              <w:t>外50米范围内无声环境保护目标。</w:t>
            </w:r>
          </w:p>
          <w:p w14:paraId="1B43BB85">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3.8地表水环境保护目标</w:t>
            </w:r>
          </w:p>
          <w:p w14:paraId="61B03318">
            <w:pPr>
              <w:adjustRightInd w:val="0"/>
              <w:snapToGrid w:val="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表3</w:t>
            </w:r>
            <w:r>
              <w:rPr>
                <w:rFonts w:hint="eastAsia"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地表水环境保护目标</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61"/>
              <w:gridCol w:w="1196"/>
              <w:gridCol w:w="818"/>
              <w:gridCol w:w="1142"/>
              <w:gridCol w:w="3332"/>
            </w:tblGrid>
            <w:tr w14:paraId="29D20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82" w:type="pct"/>
                  <w:tcBorders>
                    <w:tl2br w:val="nil"/>
                    <w:tr2bl w:val="nil"/>
                  </w:tcBorders>
                  <w:noWrap w:val="0"/>
                  <w:vAlign w:val="center"/>
                </w:tcPr>
                <w:p w14:paraId="3D28C44F">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570" w:type="pct"/>
                  <w:tcBorders>
                    <w:tl2br w:val="nil"/>
                    <w:tr2bl w:val="nil"/>
                  </w:tcBorders>
                  <w:noWrap w:val="0"/>
                  <w:vAlign w:val="center"/>
                </w:tcPr>
                <w:p w14:paraId="573C5E3C">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709" w:type="pct"/>
                  <w:tcBorders>
                    <w:tl2br w:val="nil"/>
                    <w:tr2bl w:val="nil"/>
                  </w:tcBorders>
                  <w:noWrap w:val="0"/>
                  <w:vAlign w:val="center"/>
                </w:tcPr>
                <w:p w14:paraId="5148983C">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485" w:type="pct"/>
                  <w:tcBorders>
                    <w:tl2br w:val="nil"/>
                    <w:tr2bl w:val="nil"/>
                  </w:tcBorders>
                  <w:noWrap w:val="0"/>
                  <w:vAlign w:val="center"/>
                </w:tcPr>
                <w:p w14:paraId="25CEB105">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相对方位</w:t>
                  </w:r>
                </w:p>
              </w:tc>
              <w:tc>
                <w:tcPr>
                  <w:tcW w:w="677" w:type="pct"/>
                  <w:tcBorders>
                    <w:tl2br w:val="nil"/>
                    <w:tr2bl w:val="nil"/>
                  </w:tcBorders>
                  <w:noWrap w:val="0"/>
                  <w:vAlign w:val="center"/>
                </w:tcPr>
                <w:p w14:paraId="5645EB93">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最近距离（m）</w:t>
                  </w:r>
                </w:p>
              </w:tc>
              <w:tc>
                <w:tcPr>
                  <w:tcW w:w="1975" w:type="pct"/>
                  <w:tcBorders>
                    <w:tl2br w:val="nil"/>
                    <w:tr2bl w:val="nil"/>
                  </w:tcBorders>
                  <w:noWrap w:val="0"/>
                  <w:vAlign w:val="center"/>
                </w:tcPr>
                <w:p w14:paraId="29316939">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环境质量标准</w:t>
                  </w:r>
                </w:p>
              </w:tc>
            </w:tr>
            <w:tr w14:paraId="20100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tcBorders>
                    <w:tl2br w:val="nil"/>
                    <w:tr2bl w:val="nil"/>
                  </w:tcBorders>
                  <w:noWrap w:val="0"/>
                  <w:vAlign w:val="center"/>
                </w:tcPr>
                <w:p w14:paraId="7F8DB88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570" w:type="pct"/>
                  <w:tcBorders>
                    <w:tl2br w:val="nil"/>
                    <w:tr2bl w:val="nil"/>
                  </w:tcBorders>
                  <w:noWrap w:val="0"/>
                  <w:vAlign w:val="center"/>
                </w:tcPr>
                <w:p w14:paraId="5B899E1B">
                  <w:pPr>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民训河</w:t>
                  </w:r>
                </w:p>
              </w:tc>
              <w:tc>
                <w:tcPr>
                  <w:tcW w:w="709" w:type="pct"/>
                  <w:tcBorders>
                    <w:tl2br w:val="nil"/>
                    <w:tr2bl w:val="nil"/>
                  </w:tcBorders>
                  <w:noWrap w:val="0"/>
                  <w:vAlign w:val="center"/>
                </w:tcPr>
                <w:p w14:paraId="28D1B69A">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地表河流</w:t>
                  </w:r>
                </w:p>
              </w:tc>
              <w:tc>
                <w:tcPr>
                  <w:tcW w:w="485" w:type="pct"/>
                  <w:tcBorders>
                    <w:tl2br w:val="nil"/>
                    <w:tr2bl w:val="nil"/>
                  </w:tcBorders>
                  <w:noWrap w:val="0"/>
                  <w:vAlign w:val="center"/>
                </w:tcPr>
                <w:p w14:paraId="52E7D4C7">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北</w:t>
                  </w:r>
                  <w:r>
                    <w:rPr>
                      <w:rFonts w:hint="default" w:ascii="Times New Roman" w:hAnsi="Times New Roman" w:eastAsia="宋体" w:cs="Times New Roman"/>
                      <w:color w:val="auto"/>
                      <w:sz w:val="21"/>
                      <w:szCs w:val="21"/>
                      <w:highlight w:val="none"/>
                    </w:rPr>
                    <w:t>侧</w:t>
                  </w:r>
                </w:p>
              </w:tc>
              <w:tc>
                <w:tcPr>
                  <w:tcW w:w="677" w:type="pct"/>
                  <w:tcBorders>
                    <w:tl2br w:val="nil"/>
                    <w:tr2bl w:val="nil"/>
                  </w:tcBorders>
                  <w:noWrap w:val="0"/>
                  <w:vAlign w:val="center"/>
                </w:tcPr>
                <w:p w14:paraId="246DD77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975" w:type="pct"/>
                  <w:tcBorders>
                    <w:tl2br w:val="nil"/>
                    <w:tr2bl w:val="nil"/>
                  </w:tcBorders>
                  <w:noWrap w:val="0"/>
                  <w:vAlign w:val="center"/>
                </w:tcPr>
                <w:p w14:paraId="2D9A1C7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《地表水环境质量标准》（GB3838-2002）中的Ⅲ类水标准</w:t>
                  </w:r>
                </w:p>
              </w:tc>
            </w:tr>
          </w:tbl>
          <w:p w14:paraId="457493E2">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3.9地下水环境保护目标</w:t>
            </w:r>
          </w:p>
          <w:p w14:paraId="7CCD785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本项目厂</w:t>
            </w:r>
            <w:r>
              <w:rPr>
                <w:rFonts w:hint="eastAsia" w:cs="Times New Roman"/>
                <w:color w:val="auto"/>
                <w:sz w:val="24"/>
                <w:szCs w:val="24"/>
                <w:highlight w:val="none"/>
                <w:lang w:eastAsia="zh-CN"/>
              </w:rPr>
              <w:t>房</w:t>
            </w:r>
            <w:r>
              <w:rPr>
                <w:rFonts w:hint="default" w:ascii="Times New Roman" w:hAnsi="Times New Roman" w:eastAsia="宋体" w:cs="Times New Roman"/>
                <w:color w:val="auto"/>
                <w:sz w:val="24"/>
                <w:szCs w:val="24"/>
                <w:highlight w:val="none"/>
              </w:rPr>
              <w:t>外500米范围内无地下水集中式饮用水水源和热水、矿泉水、温泉等特殊地下水资源，无地下水环境保护目标。</w:t>
            </w:r>
          </w:p>
          <w:p w14:paraId="7873D391">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3.10生态环境保护目标</w:t>
            </w:r>
          </w:p>
          <w:p w14:paraId="407264E0">
            <w:pPr>
              <w:adjustRightInd w:val="0"/>
              <w:snapToGrid w:val="0"/>
              <w:spacing w:line="360" w:lineRule="auto"/>
              <w:ind w:firstLine="480" w:firstLineChars="200"/>
              <w:rPr>
                <w:color w:val="auto"/>
                <w:highlight w:val="none"/>
              </w:rPr>
            </w:pPr>
            <w:r>
              <w:rPr>
                <w:rFonts w:hint="default" w:ascii="Times New Roman" w:hAnsi="Times New Roman" w:eastAsia="宋体" w:cs="Times New Roman"/>
                <w:color w:val="auto"/>
                <w:sz w:val="24"/>
                <w:szCs w:val="24"/>
                <w:highlight w:val="none"/>
              </w:rPr>
              <w:t>本项目位于宽城满族自治县</w:t>
            </w:r>
            <w:r>
              <w:rPr>
                <w:rFonts w:hint="eastAsia" w:ascii="Times New Roman" w:hAnsi="Times New Roman" w:eastAsia="宋体" w:cs="Times New Roman"/>
                <w:color w:val="auto"/>
                <w:sz w:val="24"/>
                <w:szCs w:val="24"/>
                <w:highlight w:val="none"/>
                <w:lang w:eastAsia="zh-CN"/>
              </w:rPr>
              <w:t>松岭镇木匠屯</w:t>
            </w:r>
            <w:r>
              <w:rPr>
                <w:rFonts w:hint="default" w:ascii="Times New Roman" w:hAnsi="Times New Roman" w:eastAsia="宋体" w:cs="Times New Roman"/>
                <w:color w:val="auto"/>
                <w:sz w:val="24"/>
                <w:szCs w:val="24"/>
                <w:highlight w:val="none"/>
              </w:rPr>
              <w:t>村</w:t>
            </w:r>
            <w:r>
              <w:rPr>
                <w:rFonts w:hint="eastAsia" w:ascii="Times New Roman" w:hAnsi="Times New Roman" w:eastAsia="宋体" w:cs="Times New Roman"/>
                <w:color w:val="auto"/>
                <w:sz w:val="24"/>
                <w:szCs w:val="24"/>
                <w:highlight w:val="none"/>
                <w:lang w:eastAsia="zh-CN"/>
              </w:rPr>
              <w:t>宽城双兴矿山设备制造有限公司内</w:t>
            </w:r>
            <w:r>
              <w:rPr>
                <w:rFonts w:hint="default" w:ascii="Times New Roman" w:hAnsi="Times New Roman" w:eastAsia="宋体" w:cs="Times New Roman"/>
                <w:color w:val="auto"/>
                <w:sz w:val="24"/>
                <w:szCs w:val="24"/>
                <w:highlight w:val="none"/>
              </w:rPr>
              <w:t>，利用原有厂房</w:t>
            </w:r>
            <w:r>
              <w:rPr>
                <w:rFonts w:hint="eastAsia" w:ascii="Times New Roman" w:hAnsi="Times New Roman" w:eastAsia="宋体" w:cs="Times New Roman"/>
                <w:color w:val="auto"/>
                <w:sz w:val="24"/>
                <w:szCs w:val="24"/>
                <w:highlight w:val="none"/>
                <w:lang w:eastAsia="zh-CN"/>
              </w:rPr>
              <w:t>进行建设</w:t>
            </w:r>
            <w:r>
              <w:rPr>
                <w:rFonts w:hint="default" w:ascii="Times New Roman" w:hAnsi="Times New Roman" w:eastAsia="宋体" w:cs="Times New Roman"/>
                <w:color w:val="auto"/>
                <w:sz w:val="24"/>
                <w:szCs w:val="24"/>
                <w:highlight w:val="none"/>
              </w:rPr>
              <w:t>，建设项目不新增用地，占地范围内无生态环境保护目标。</w:t>
            </w:r>
          </w:p>
        </w:tc>
      </w:tr>
      <w:tr w14:paraId="05005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8" w:hRule="atLeast"/>
          <w:jc w:val="center"/>
        </w:trPr>
        <w:tc>
          <w:tcPr>
            <w:tcW w:w="800" w:type="dxa"/>
            <w:noWrap w:val="0"/>
            <w:tcMar>
              <w:left w:w="28" w:type="dxa"/>
              <w:right w:w="28" w:type="dxa"/>
            </w:tcMar>
            <w:vAlign w:val="center"/>
          </w:tcPr>
          <w:p w14:paraId="55143810">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w:t>
            </w:r>
          </w:p>
          <w:p w14:paraId="307755B8">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物排</w:t>
            </w:r>
          </w:p>
          <w:p w14:paraId="6729FB8E">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放控</w:t>
            </w:r>
          </w:p>
          <w:p w14:paraId="75AC48EC">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制标</w:t>
            </w:r>
          </w:p>
          <w:p w14:paraId="44E2875A">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noWrap w:val="0"/>
            <w:vAlign w:val="center"/>
          </w:tcPr>
          <w:p w14:paraId="76CC3572">
            <w:pPr>
              <w:autoSpaceDE w:val="0"/>
              <w:autoSpaceDN w:val="0"/>
              <w:adjustRightInd w:val="0"/>
              <w:snapToGrid w:val="0"/>
              <w:spacing w:line="480" w:lineRule="exact"/>
              <w:ind w:firstLine="480" w:firstLineChars="200"/>
              <w:jc w:val="left"/>
              <w:rPr>
                <w:b w:val="0"/>
                <w:bCs w:val="0"/>
                <w:color w:val="auto"/>
                <w:sz w:val="24"/>
                <w:highlight w:val="none"/>
              </w:rPr>
            </w:pPr>
            <w:r>
              <w:rPr>
                <w:b w:val="0"/>
                <w:bCs w:val="0"/>
                <w:color w:val="auto"/>
                <w:sz w:val="24"/>
                <w:highlight w:val="none"/>
              </w:rPr>
              <w:t>1.废气排放标准</w:t>
            </w:r>
          </w:p>
          <w:p w14:paraId="54A93755">
            <w:pPr>
              <w:autoSpaceDE w:val="0"/>
              <w:autoSpaceDN w:val="0"/>
              <w:adjustRightInd w:val="0"/>
              <w:snapToGrid w:val="0"/>
              <w:spacing w:line="480" w:lineRule="exact"/>
              <w:ind w:firstLine="480" w:firstLineChars="200"/>
              <w:jc w:val="left"/>
              <w:rPr>
                <w:color w:val="auto"/>
                <w:sz w:val="24"/>
                <w:highlight w:val="none"/>
              </w:rPr>
            </w:pPr>
            <w:r>
              <w:rPr>
                <w:color w:val="auto"/>
                <w:sz w:val="24"/>
                <w:highlight w:val="none"/>
              </w:rPr>
              <w:t>（1）施工期颗粒物的排放执行《施工场地扬尘排放标准》（DB13/2934-2019）中表1扬尘排放浓度限值要求。具体标准限值见下表：</w:t>
            </w:r>
          </w:p>
          <w:p w14:paraId="4BF21390">
            <w:pPr>
              <w:pStyle w:val="23"/>
              <w:spacing w:line="480" w:lineRule="exact"/>
              <w:ind w:left="420"/>
              <w:rPr>
                <w:b w:val="0"/>
                <w:bCs w:val="0"/>
                <w:color w:val="auto"/>
                <w:w w:val="100"/>
                <w:sz w:val="24"/>
                <w:szCs w:val="24"/>
                <w:highlight w:val="none"/>
              </w:rPr>
            </w:pPr>
            <w:r>
              <w:rPr>
                <w:b w:val="0"/>
                <w:bCs w:val="0"/>
                <w:color w:val="auto"/>
                <w:w w:val="100"/>
                <w:sz w:val="24"/>
                <w:szCs w:val="24"/>
                <w:highlight w:val="none"/>
              </w:rPr>
              <w:t>表3-</w:t>
            </w:r>
            <w:r>
              <w:rPr>
                <w:rFonts w:hint="eastAsia"/>
                <w:b w:val="0"/>
                <w:bCs w:val="0"/>
                <w:color w:val="auto"/>
                <w:w w:val="100"/>
                <w:sz w:val="24"/>
                <w:szCs w:val="24"/>
                <w:highlight w:val="none"/>
                <w:lang w:val="en-US" w:eastAsia="zh-CN"/>
              </w:rPr>
              <w:t>7</w:t>
            </w:r>
            <w:r>
              <w:rPr>
                <w:b w:val="0"/>
                <w:bCs w:val="0"/>
                <w:color w:val="auto"/>
                <w:w w:val="100"/>
                <w:sz w:val="24"/>
                <w:szCs w:val="24"/>
                <w:highlight w:val="none"/>
              </w:rPr>
              <w:t xml:space="preserve"> </w:t>
            </w:r>
            <w:r>
              <w:rPr>
                <w:rFonts w:hint="eastAsia"/>
                <w:b w:val="0"/>
                <w:bCs w:val="0"/>
                <w:color w:val="auto"/>
                <w:w w:val="100"/>
                <w:sz w:val="24"/>
                <w:szCs w:val="24"/>
                <w:highlight w:val="none"/>
              </w:rPr>
              <w:t xml:space="preserve"> </w:t>
            </w:r>
            <w:r>
              <w:rPr>
                <w:b w:val="0"/>
                <w:bCs w:val="0"/>
                <w:color w:val="auto"/>
                <w:w w:val="100"/>
                <w:sz w:val="24"/>
                <w:szCs w:val="24"/>
                <w:highlight w:val="none"/>
              </w:rPr>
              <w:t>施工期大气污染物排放标准</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45"/>
              <w:gridCol w:w="892"/>
              <w:gridCol w:w="850"/>
              <w:gridCol w:w="2608"/>
              <w:gridCol w:w="2106"/>
            </w:tblGrid>
            <w:tr w14:paraId="21F6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726" w:type="dxa"/>
                  <w:noWrap w:val="0"/>
                  <w:vAlign w:val="center"/>
                </w:tcPr>
                <w:p w14:paraId="6195A66F">
                  <w:pPr>
                    <w:pStyle w:val="23"/>
                    <w:ind w:left="0" w:leftChars="0"/>
                    <w:rPr>
                      <w:b/>
                      <w:bCs/>
                      <w:color w:val="auto"/>
                      <w:w w:val="100"/>
                      <w:sz w:val="21"/>
                      <w:szCs w:val="21"/>
                      <w:highlight w:val="none"/>
                    </w:rPr>
                  </w:pPr>
                  <w:r>
                    <w:rPr>
                      <w:b/>
                      <w:bCs/>
                      <w:color w:val="auto"/>
                      <w:w w:val="100"/>
                      <w:sz w:val="21"/>
                      <w:szCs w:val="21"/>
                      <w:highlight w:val="none"/>
                    </w:rPr>
                    <w:t>类别</w:t>
                  </w:r>
                </w:p>
              </w:tc>
              <w:tc>
                <w:tcPr>
                  <w:tcW w:w="1420" w:type="dxa"/>
                  <w:noWrap w:val="0"/>
                  <w:vAlign w:val="center"/>
                </w:tcPr>
                <w:p w14:paraId="2FF9EC15">
                  <w:pPr>
                    <w:pStyle w:val="23"/>
                    <w:ind w:left="0" w:leftChars="0"/>
                    <w:rPr>
                      <w:b/>
                      <w:bCs/>
                      <w:color w:val="auto"/>
                      <w:w w:val="100"/>
                      <w:sz w:val="21"/>
                      <w:szCs w:val="21"/>
                      <w:highlight w:val="none"/>
                    </w:rPr>
                  </w:pPr>
                  <w:r>
                    <w:rPr>
                      <w:b/>
                      <w:bCs/>
                      <w:color w:val="auto"/>
                      <w:w w:val="100"/>
                      <w:sz w:val="21"/>
                      <w:szCs w:val="21"/>
                      <w:highlight w:val="none"/>
                    </w:rPr>
                    <w:t>排放类型</w:t>
                  </w:r>
                </w:p>
              </w:tc>
              <w:tc>
                <w:tcPr>
                  <w:tcW w:w="930" w:type="dxa"/>
                  <w:noWrap w:val="0"/>
                  <w:vAlign w:val="center"/>
                </w:tcPr>
                <w:p w14:paraId="7A971EEF">
                  <w:pPr>
                    <w:pStyle w:val="23"/>
                    <w:ind w:left="0" w:leftChars="0"/>
                    <w:rPr>
                      <w:b/>
                      <w:bCs/>
                      <w:color w:val="auto"/>
                      <w:w w:val="100"/>
                      <w:sz w:val="21"/>
                      <w:szCs w:val="21"/>
                      <w:highlight w:val="none"/>
                    </w:rPr>
                  </w:pPr>
                  <w:r>
                    <w:rPr>
                      <w:b/>
                      <w:bCs/>
                      <w:color w:val="auto"/>
                      <w:w w:val="100"/>
                      <w:sz w:val="21"/>
                      <w:szCs w:val="21"/>
                      <w:highlight w:val="none"/>
                    </w:rPr>
                    <w:t>污染</w:t>
                  </w:r>
                </w:p>
                <w:p w14:paraId="727C570A">
                  <w:pPr>
                    <w:pStyle w:val="23"/>
                    <w:ind w:left="0" w:leftChars="0"/>
                    <w:rPr>
                      <w:b/>
                      <w:bCs/>
                      <w:color w:val="auto"/>
                      <w:w w:val="100"/>
                      <w:sz w:val="21"/>
                      <w:szCs w:val="21"/>
                      <w:highlight w:val="none"/>
                    </w:rPr>
                  </w:pPr>
                  <w:r>
                    <w:rPr>
                      <w:b/>
                      <w:bCs/>
                      <w:color w:val="auto"/>
                      <w:w w:val="100"/>
                      <w:sz w:val="21"/>
                      <w:szCs w:val="21"/>
                      <w:highlight w:val="none"/>
                    </w:rPr>
                    <w:t>因子</w:t>
                  </w:r>
                </w:p>
              </w:tc>
              <w:tc>
                <w:tcPr>
                  <w:tcW w:w="885" w:type="dxa"/>
                  <w:noWrap w:val="0"/>
                  <w:vAlign w:val="center"/>
                </w:tcPr>
                <w:p w14:paraId="008426A1">
                  <w:pPr>
                    <w:pStyle w:val="23"/>
                    <w:ind w:left="0" w:leftChars="0"/>
                    <w:rPr>
                      <w:b/>
                      <w:bCs/>
                      <w:color w:val="auto"/>
                      <w:w w:val="100"/>
                      <w:sz w:val="21"/>
                      <w:szCs w:val="21"/>
                      <w:highlight w:val="none"/>
                    </w:rPr>
                  </w:pPr>
                  <w:r>
                    <w:rPr>
                      <w:b/>
                      <w:bCs/>
                      <w:color w:val="auto"/>
                      <w:w w:val="100"/>
                      <w:sz w:val="21"/>
                      <w:szCs w:val="21"/>
                      <w:highlight w:val="none"/>
                    </w:rPr>
                    <w:t>时期</w:t>
                  </w:r>
                </w:p>
              </w:tc>
              <w:tc>
                <w:tcPr>
                  <w:tcW w:w="2745" w:type="dxa"/>
                  <w:noWrap w:val="0"/>
                  <w:vAlign w:val="center"/>
                </w:tcPr>
                <w:p w14:paraId="75FB155D">
                  <w:pPr>
                    <w:pStyle w:val="23"/>
                    <w:ind w:left="0" w:leftChars="0"/>
                    <w:rPr>
                      <w:b/>
                      <w:bCs/>
                      <w:color w:val="auto"/>
                      <w:w w:val="100"/>
                      <w:sz w:val="21"/>
                      <w:szCs w:val="21"/>
                      <w:highlight w:val="none"/>
                    </w:rPr>
                  </w:pPr>
                  <w:r>
                    <w:rPr>
                      <w:b/>
                      <w:bCs/>
                      <w:color w:val="auto"/>
                      <w:w w:val="100"/>
                      <w:sz w:val="21"/>
                      <w:szCs w:val="21"/>
                      <w:highlight w:val="none"/>
                    </w:rPr>
                    <w:t>标准</w:t>
                  </w:r>
                </w:p>
              </w:tc>
              <w:tc>
                <w:tcPr>
                  <w:tcW w:w="1798" w:type="dxa"/>
                  <w:noWrap w:val="0"/>
                  <w:vAlign w:val="center"/>
                </w:tcPr>
                <w:p w14:paraId="0D827746">
                  <w:pPr>
                    <w:pStyle w:val="23"/>
                    <w:ind w:left="0" w:leftChars="0"/>
                    <w:rPr>
                      <w:b/>
                      <w:bCs/>
                      <w:color w:val="auto"/>
                      <w:w w:val="100"/>
                      <w:sz w:val="21"/>
                      <w:szCs w:val="21"/>
                      <w:highlight w:val="none"/>
                    </w:rPr>
                  </w:pPr>
                  <w:r>
                    <w:rPr>
                      <w:b/>
                      <w:bCs/>
                      <w:color w:val="auto"/>
                      <w:w w:val="100"/>
                      <w:sz w:val="21"/>
                      <w:szCs w:val="21"/>
                      <w:highlight w:val="none"/>
                    </w:rPr>
                    <w:t>标准来源</w:t>
                  </w:r>
                </w:p>
              </w:tc>
            </w:tr>
            <w:tr w14:paraId="6204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726" w:type="dxa"/>
                  <w:noWrap w:val="0"/>
                  <w:vAlign w:val="center"/>
                </w:tcPr>
                <w:p w14:paraId="4224E8C4">
                  <w:pPr>
                    <w:pStyle w:val="23"/>
                    <w:ind w:left="0" w:leftChars="0"/>
                    <w:rPr>
                      <w:color w:val="auto"/>
                      <w:w w:val="100"/>
                      <w:sz w:val="21"/>
                      <w:szCs w:val="21"/>
                      <w:highlight w:val="none"/>
                    </w:rPr>
                  </w:pPr>
                  <w:r>
                    <w:rPr>
                      <w:color w:val="auto"/>
                      <w:w w:val="100"/>
                      <w:sz w:val="21"/>
                      <w:szCs w:val="21"/>
                      <w:highlight w:val="none"/>
                    </w:rPr>
                    <w:t>废气</w:t>
                  </w:r>
                </w:p>
              </w:tc>
              <w:tc>
                <w:tcPr>
                  <w:tcW w:w="1420" w:type="dxa"/>
                  <w:noWrap w:val="0"/>
                  <w:vAlign w:val="center"/>
                </w:tcPr>
                <w:p w14:paraId="6BA45264">
                  <w:pPr>
                    <w:pStyle w:val="23"/>
                    <w:ind w:left="0" w:leftChars="0"/>
                    <w:rPr>
                      <w:color w:val="auto"/>
                      <w:w w:val="100"/>
                      <w:sz w:val="21"/>
                      <w:szCs w:val="21"/>
                      <w:highlight w:val="none"/>
                    </w:rPr>
                  </w:pPr>
                  <w:r>
                    <w:rPr>
                      <w:color w:val="auto"/>
                      <w:w w:val="100"/>
                      <w:sz w:val="21"/>
                      <w:szCs w:val="21"/>
                      <w:highlight w:val="none"/>
                    </w:rPr>
                    <w:t>无组织排放</w:t>
                  </w:r>
                </w:p>
              </w:tc>
              <w:tc>
                <w:tcPr>
                  <w:tcW w:w="930" w:type="dxa"/>
                  <w:noWrap w:val="0"/>
                  <w:vAlign w:val="center"/>
                </w:tcPr>
                <w:p w14:paraId="5B97EE1F">
                  <w:pPr>
                    <w:pStyle w:val="23"/>
                    <w:ind w:left="0" w:leftChars="0"/>
                    <w:rPr>
                      <w:color w:val="auto"/>
                      <w:w w:val="100"/>
                      <w:sz w:val="21"/>
                      <w:szCs w:val="21"/>
                      <w:highlight w:val="none"/>
                    </w:rPr>
                  </w:pPr>
                  <w:r>
                    <w:rPr>
                      <w:color w:val="auto"/>
                      <w:w w:val="100"/>
                      <w:sz w:val="21"/>
                      <w:szCs w:val="21"/>
                      <w:highlight w:val="none"/>
                    </w:rPr>
                    <w:t>颗粒物</w:t>
                  </w:r>
                </w:p>
              </w:tc>
              <w:tc>
                <w:tcPr>
                  <w:tcW w:w="885" w:type="dxa"/>
                  <w:noWrap w:val="0"/>
                  <w:vAlign w:val="center"/>
                </w:tcPr>
                <w:p w14:paraId="58476951">
                  <w:pPr>
                    <w:pStyle w:val="23"/>
                    <w:ind w:left="0" w:leftChars="0"/>
                    <w:rPr>
                      <w:color w:val="auto"/>
                      <w:w w:val="100"/>
                      <w:sz w:val="21"/>
                      <w:szCs w:val="21"/>
                      <w:highlight w:val="none"/>
                    </w:rPr>
                  </w:pPr>
                  <w:r>
                    <w:rPr>
                      <w:color w:val="auto"/>
                      <w:w w:val="100"/>
                      <w:sz w:val="21"/>
                      <w:szCs w:val="21"/>
                      <w:highlight w:val="none"/>
                    </w:rPr>
                    <w:t>施工期</w:t>
                  </w:r>
                </w:p>
              </w:tc>
              <w:tc>
                <w:tcPr>
                  <w:tcW w:w="2745" w:type="dxa"/>
                  <w:noWrap w:val="0"/>
                  <w:vAlign w:val="center"/>
                </w:tcPr>
                <w:p w14:paraId="718865FE">
                  <w:pPr>
                    <w:pStyle w:val="23"/>
                    <w:ind w:left="0" w:leftChars="0"/>
                    <w:rPr>
                      <w:color w:val="auto"/>
                      <w:w w:val="100"/>
                      <w:sz w:val="21"/>
                      <w:szCs w:val="21"/>
                      <w:highlight w:val="none"/>
                    </w:rPr>
                  </w:pPr>
                  <w:r>
                    <w:rPr>
                      <w:color w:val="auto"/>
                      <w:w w:val="100"/>
                      <w:sz w:val="21"/>
                      <w:szCs w:val="21"/>
                      <w:highlight w:val="none"/>
                    </w:rPr>
                    <w:t>监测点浓度限值，指监测点PM</w:t>
                  </w:r>
                  <w:r>
                    <w:rPr>
                      <w:rFonts w:hint="eastAsia"/>
                      <w:color w:val="auto"/>
                      <w:w w:val="100"/>
                      <w:sz w:val="21"/>
                      <w:szCs w:val="21"/>
                      <w:highlight w:val="none"/>
                      <w:vertAlign w:val="subscript"/>
                    </w:rPr>
                    <w:t>10</w:t>
                  </w:r>
                  <w:r>
                    <w:rPr>
                      <w:color w:val="auto"/>
                      <w:w w:val="100"/>
                      <w:sz w:val="21"/>
                      <w:szCs w:val="21"/>
                      <w:highlight w:val="none"/>
                    </w:rPr>
                    <w:t>小时平均浓度实测值与同时段所属县（市、区）PM</w:t>
                  </w:r>
                  <w:r>
                    <w:rPr>
                      <w:rFonts w:hint="eastAsia"/>
                      <w:color w:val="auto"/>
                      <w:w w:val="100"/>
                      <w:sz w:val="21"/>
                      <w:szCs w:val="21"/>
                      <w:highlight w:val="none"/>
                      <w:vertAlign w:val="subscript"/>
                    </w:rPr>
                    <w:t>10</w:t>
                  </w:r>
                  <w:r>
                    <w:rPr>
                      <w:color w:val="auto"/>
                      <w:w w:val="100"/>
                      <w:sz w:val="21"/>
                      <w:szCs w:val="21"/>
                      <w:highlight w:val="none"/>
                    </w:rPr>
                    <w:t>小时平均浓度的差值。当县（市、区）PM</w:t>
                  </w:r>
                  <w:r>
                    <w:rPr>
                      <w:rFonts w:hint="eastAsia"/>
                      <w:color w:val="auto"/>
                      <w:w w:val="100"/>
                      <w:sz w:val="21"/>
                      <w:szCs w:val="21"/>
                      <w:highlight w:val="none"/>
                      <w:vertAlign w:val="subscript"/>
                    </w:rPr>
                    <w:t>10</w:t>
                  </w:r>
                  <w:r>
                    <w:rPr>
                      <w:color w:val="auto"/>
                      <w:w w:val="100"/>
                      <w:sz w:val="21"/>
                      <w:szCs w:val="21"/>
                      <w:highlight w:val="none"/>
                    </w:rPr>
                    <w:t>小时平均浓度值大于80μg/m</w:t>
                  </w:r>
                  <w:r>
                    <w:rPr>
                      <w:rFonts w:hint="eastAsia"/>
                      <w:color w:val="auto"/>
                      <w:w w:val="100"/>
                      <w:sz w:val="21"/>
                      <w:szCs w:val="21"/>
                      <w:highlight w:val="none"/>
                      <w:vertAlign w:val="superscript"/>
                    </w:rPr>
                    <w:t>3</w:t>
                  </w:r>
                  <w:r>
                    <w:rPr>
                      <w:color w:val="auto"/>
                      <w:w w:val="100"/>
                      <w:sz w:val="21"/>
                      <w:szCs w:val="21"/>
                      <w:highlight w:val="none"/>
                    </w:rPr>
                    <w:t>计，达标判定依据≤2次/天。</w:t>
                  </w:r>
                </w:p>
              </w:tc>
              <w:tc>
                <w:tcPr>
                  <w:tcW w:w="1798" w:type="dxa"/>
                  <w:noWrap w:val="0"/>
                  <w:vAlign w:val="center"/>
                </w:tcPr>
                <w:p w14:paraId="17F0EA9E">
                  <w:pPr>
                    <w:pStyle w:val="23"/>
                    <w:ind w:left="0" w:leftChars="0"/>
                    <w:rPr>
                      <w:color w:val="auto"/>
                      <w:w w:val="100"/>
                      <w:sz w:val="21"/>
                      <w:szCs w:val="21"/>
                      <w:highlight w:val="none"/>
                    </w:rPr>
                  </w:pPr>
                  <w:r>
                    <w:rPr>
                      <w:rFonts w:hint="eastAsia"/>
                      <w:color w:val="auto"/>
                      <w:w w:val="100"/>
                      <w:sz w:val="21"/>
                      <w:szCs w:val="21"/>
                      <w:highlight w:val="none"/>
                    </w:rPr>
                    <w:t>《</w:t>
                  </w:r>
                  <w:r>
                    <w:rPr>
                      <w:color w:val="auto"/>
                      <w:w w:val="100"/>
                      <w:sz w:val="21"/>
                      <w:szCs w:val="21"/>
                      <w:highlight w:val="none"/>
                    </w:rPr>
                    <w:t>施工场地扬尘排放标准》（DB13/2934-2019）表一中扬尘排放浓度限值</w:t>
                  </w:r>
                </w:p>
              </w:tc>
            </w:tr>
          </w:tbl>
          <w:p w14:paraId="4FEB1A2D">
            <w:pPr>
              <w:autoSpaceDE w:val="0"/>
              <w:autoSpaceDN w:val="0"/>
              <w:adjustRightInd w:val="0"/>
              <w:snapToGrid w:val="0"/>
              <w:spacing w:line="480" w:lineRule="exact"/>
              <w:ind w:firstLine="480" w:firstLineChars="200"/>
              <w:jc w:val="left"/>
              <w:rPr>
                <w:rFonts w:hint="eastAsia" w:eastAsia="宋体"/>
                <w:color w:val="auto"/>
                <w:sz w:val="24"/>
                <w:highlight w:val="none"/>
                <w:lang w:eastAsia="zh-CN"/>
              </w:rPr>
            </w:pPr>
            <w:r>
              <w:rPr>
                <w:color w:val="auto"/>
                <w:sz w:val="24"/>
                <w:highlight w:val="none"/>
              </w:rPr>
              <w:t>（2）运营期</w:t>
            </w:r>
            <w:r>
              <w:rPr>
                <w:rFonts w:hint="eastAsia"/>
                <w:color w:val="auto"/>
                <w:sz w:val="24"/>
                <w:highlight w:val="none"/>
                <w:lang w:eastAsia="zh-CN"/>
              </w:rPr>
              <w:t>大气污染物执行标准如下</w:t>
            </w:r>
          </w:p>
          <w:p w14:paraId="43B2177B">
            <w:pPr>
              <w:pStyle w:val="23"/>
              <w:spacing w:line="480" w:lineRule="exact"/>
              <w:ind w:left="420"/>
              <w:rPr>
                <w:rFonts w:hint="eastAsia"/>
                <w:b w:val="0"/>
                <w:bCs w:val="0"/>
                <w:color w:val="auto"/>
                <w:w w:val="100"/>
                <w:sz w:val="24"/>
                <w:szCs w:val="24"/>
                <w:highlight w:val="none"/>
              </w:rPr>
            </w:pPr>
            <w:r>
              <w:rPr>
                <w:rFonts w:hint="eastAsia"/>
                <w:b w:val="0"/>
                <w:bCs w:val="0"/>
                <w:color w:val="auto"/>
                <w:w w:val="100"/>
                <w:sz w:val="24"/>
                <w:szCs w:val="24"/>
                <w:highlight w:val="none"/>
              </w:rPr>
              <w:t>表3-</w:t>
            </w:r>
            <w:r>
              <w:rPr>
                <w:rFonts w:hint="eastAsia"/>
                <w:b w:val="0"/>
                <w:bCs w:val="0"/>
                <w:color w:val="auto"/>
                <w:w w:val="100"/>
                <w:sz w:val="24"/>
                <w:szCs w:val="24"/>
                <w:highlight w:val="none"/>
                <w:lang w:val="en-US" w:eastAsia="zh-CN"/>
              </w:rPr>
              <w:t>8</w:t>
            </w:r>
            <w:r>
              <w:rPr>
                <w:rFonts w:hint="eastAsia"/>
                <w:b w:val="0"/>
                <w:bCs w:val="0"/>
                <w:color w:val="auto"/>
                <w:w w:val="100"/>
                <w:sz w:val="24"/>
                <w:szCs w:val="24"/>
                <w:highlight w:val="none"/>
              </w:rPr>
              <w:t xml:space="preserve">  大气污染物综合标准</w:t>
            </w:r>
          </w:p>
          <w:tbl>
            <w:tblPr>
              <w:tblStyle w:val="17"/>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826"/>
              <w:gridCol w:w="861"/>
              <w:gridCol w:w="1226"/>
              <w:gridCol w:w="4864"/>
            </w:tblGrid>
            <w:tr w14:paraId="41E0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tcBorders>
                    <w:tl2br w:val="nil"/>
                    <w:tr2bl w:val="nil"/>
                  </w:tcBorders>
                  <w:noWrap w:val="0"/>
                  <w:vAlign w:val="center"/>
                </w:tcPr>
                <w:p w14:paraId="01D3487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排放形式</w:t>
                  </w:r>
                </w:p>
              </w:tc>
              <w:tc>
                <w:tcPr>
                  <w:tcW w:w="1687" w:type="dxa"/>
                  <w:gridSpan w:val="2"/>
                  <w:tcBorders>
                    <w:tl2br w:val="nil"/>
                    <w:tr2bl w:val="nil"/>
                  </w:tcBorders>
                  <w:noWrap w:val="0"/>
                  <w:vAlign w:val="center"/>
                </w:tcPr>
                <w:p w14:paraId="53B5863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26" w:type="dxa"/>
                  <w:tcBorders>
                    <w:tl2br w:val="nil"/>
                    <w:tr2bl w:val="nil"/>
                  </w:tcBorders>
                  <w:noWrap w:val="0"/>
                  <w:vAlign w:val="center"/>
                </w:tcPr>
                <w:p w14:paraId="52C40269">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排放限值（mg/m³）</w:t>
                  </w:r>
                </w:p>
              </w:tc>
              <w:tc>
                <w:tcPr>
                  <w:tcW w:w="4864" w:type="dxa"/>
                  <w:tcBorders>
                    <w:tl2br w:val="nil"/>
                    <w:tr2bl w:val="nil"/>
                  </w:tcBorders>
                  <w:noWrap w:val="0"/>
                  <w:vAlign w:val="center"/>
                </w:tcPr>
                <w:p w14:paraId="269A1991">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14:paraId="4707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642" w:type="dxa"/>
                  <w:vMerge w:val="restart"/>
                  <w:tcBorders>
                    <w:tl2br w:val="nil"/>
                    <w:tr2bl w:val="nil"/>
                  </w:tcBorders>
                  <w:noWrap w:val="0"/>
                  <w:vAlign w:val="center"/>
                </w:tcPr>
                <w:p w14:paraId="78173A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1687" w:type="dxa"/>
                  <w:gridSpan w:val="2"/>
                  <w:tcBorders>
                    <w:tl2br w:val="nil"/>
                    <w:tr2bl w:val="nil"/>
                  </w:tcBorders>
                  <w:noWrap w:val="0"/>
                  <w:vAlign w:val="center"/>
                </w:tcPr>
                <w:p w14:paraId="177410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6" w:type="dxa"/>
                  <w:tcBorders>
                    <w:tl2br w:val="nil"/>
                    <w:tr2bl w:val="nil"/>
                  </w:tcBorders>
                  <w:noWrap w:val="0"/>
                  <w:vAlign w:val="center"/>
                </w:tcPr>
                <w:p w14:paraId="4BDC50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4864" w:type="dxa"/>
                  <w:tcBorders>
                    <w:tl2br w:val="nil"/>
                    <w:tr2bl w:val="nil"/>
                  </w:tcBorders>
                  <w:noWrap w:val="0"/>
                  <w:vAlign w:val="center"/>
                </w:tcPr>
                <w:p w14:paraId="15997E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《铸造工业大气污染物排放标准》（GB39726-2020）表1中排放浓度限值同时满足关于印发《承德市工业炉窑综合治理实施方案》的通知（承环办〔2020〕72号）中相关排放标准要求</w:t>
                  </w:r>
                </w:p>
              </w:tc>
            </w:tr>
            <w:tr w14:paraId="28A2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642" w:type="dxa"/>
                  <w:vMerge w:val="continue"/>
                  <w:tcBorders>
                    <w:tl2br w:val="nil"/>
                    <w:tr2bl w:val="nil"/>
                  </w:tcBorders>
                  <w:noWrap w:val="0"/>
                  <w:vAlign w:val="center"/>
                </w:tcPr>
                <w:p w14:paraId="38EF7C28">
                  <w:pPr>
                    <w:jc w:val="center"/>
                    <w:rPr>
                      <w:rFonts w:hint="default" w:ascii="Times New Roman" w:hAnsi="Times New Roman" w:eastAsia="宋体" w:cs="Times New Roman"/>
                      <w:color w:val="auto"/>
                      <w:sz w:val="21"/>
                      <w:szCs w:val="21"/>
                      <w:highlight w:val="none"/>
                    </w:rPr>
                  </w:pPr>
                </w:p>
              </w:tc>
              <w:tc>
                <w:tcPr>
                  <w:tcW w:w="1687" w:type="dxa"/>
                  <w:gridSpan w:val="2"/>
                  <w:tcBorders>
                    <w:tl2br w:val="nil"/>
                    <w:tr2bl w:val="nil"/>
                  </w:tcBorders>
                  <w:noWrap w:val="0"/>
                  <w:vAlign w:val="center"/>
                </w:tcPr>
                <w:p w14:paraId="5CB915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226" w:type="dxa"/>
                  <w:tcBorders>
                    <w:tl2br w:val="nil"/>
                    <w:tr2bl w:val="nil"/>
                  </w:tcBorders>
                  <w:noWrap w:val="0"/>
                  <w:vAlign w:val="center"/>
                </w:tcPr>
                <w:p w14:paraId="699BB5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4864" w:type="dxa"/>
                  <w:tcBorders>
                    <w:tl2br w:val="nil"/>
                    <w:tr2bl w:val="nil"/>
                  </w:tcBorders>
                  <w:noWrap w:val="0"/>
                  <w:vAlign w:val="center"/>
                </w:tcPr>
                <w:p w14:paraId="0CD504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《工业企业挥发性有机物排放控制标准》（DB13/2322-2016）表1其他行业最高允许排放浓度限值</w:t>
                  </w:r>
                </w:p>
              </w:tc>
            </w:tr>
            <w:tr w14:paraId="5502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42" w:type="dxa"/>
                  <w:vMerge w:val="restart"/>
                  <w:tcBorders>
                    <w:tl2br w:val="nil"/>
                    <w:tr2bl w:val="nil"/>
                  </w:tcBorders>
                  <w:noWrap w:val="0"/>
                  <w:vAlign w:val="center"/>
                </w:tcPr>
                <w:p w14:paraId="3F58E1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w:t>
                  </w:r>
                </w:p>
              </w:tc>
              <w:tc>
                <w:tcPr>
                  <w:tcW w:w="826" w:type="dxa"/>
                  <w:vMerge w:val="restart"/>
                  <w:tcBorders>
                    <w:tl2br w:val="nil"/>
                    <w:tr2bl w:val="nil"/>
                  </w:tcBorders>
                  <w:noWrap w:val="0"/>
                  <w:vAlign w:val="center"/>
                </w:tcPr>
                <w:p w14:paraId="6F8821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厂区内</w:t>
                  </w:r>
                </w:p>
              </w:tc>
              <w:tc>
                <w:tcPr>
                  <w:tcW w:w="861" w:type="dxa"/>
                  <w:tcBorders>
                    <w:tl2br w:val="nil"/>
                    <w:tr2bl w:val="nil"/>
                  </w:tcBorders>
                  <w:noWrap w:val="0"/>
                  <w:vAlign w:val="center"/>
                </w:tcPr>
                <w:p w14:paraId="57B648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6" w:type="dxa"/>
                  <w:tcBorders>
                    <w:tl2br w:val="nil"/>
                    <w:tr2bl w:val="nil"/>
                  </w:tcBorders>
                  <w:noWrap w:val="0"/>
                  <w:vAlign w:val="center"/>
                </w:tcPr>
                <w:p w14:paraId="2911AF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864" w:type="dxa"/>
                  <w:vMerge w:val="restart"/>
                  <w:tcBorders>
                    <w:tl2br w:val="nil"/>
                    <w:tr2bl w:val="nil"/>
                  </w:tcBorders>
                  <w:noWrap w:val="0"/>
                  <w:vAlign w:val="center"/>
                </w:tcPr>
                <w:p w14:paraId="158673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满足《铸造工业大气污染物排放标准》GB39726-2020附录A中表A.1厂区内颗粒物、VOCs无组织排放限值同时满足关于印发《承德市工业炉窑综合治理实施方案》的通知（承环办〔2020〕72号）中相关排放标准要求</w:t>
                  </w:r>
                </w:p>
              </w:tc>
            </w:tr>
            <w:tr w14:paraId="0572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42" w:type="dxa"/>
                  <w:vMerge w:val="continue"/>
                  <w:tcBorders>
                    <w:tl2br w:val="nil"/>
                    <w:tr2bl w:val="nil"/>
                  </w:tcBorders>
                  <w:noWrap w:val="0"/>
                  <w:vAlign w:val="center"/>
                </w:tcPr>
                <w:p w14:paraId="35D55733">
                  <w:pPr>
                    <w:jc w:val="center"/>
                    <w:rPr>
                      <w:rFonts w:hint="default" w:ascii="Times New Roman" w:hAnsi="Times New Roman" w:eastAsia="宋体" w:cs="Times New Roman"/>
                      <w:color w:val="auto"/>
                      <w:sz w:val="21"/>
                      <w:szCs w:val="21"/>
                      <w:highlight w:val="none"/>
                    </w:rPr>
                  </w:pPr>
                </w:p>
              </w:tc>
              <w:tc>
                <w:tcPr>
                  <w:tcW w:w="826" w:type="dxa"/>
                  <w:vMerge w:val="continue"/>
                  <w:tcBorders>
                    <w:tl2br w:val="nil"/>
                    <w:tr2bl w:val="nil"/>
                  </w:tcBorders>
                  <w:noWrap w:val="0"/>
                  <w:vAlign w:val="center"/>
                </w:tcPr>
                <w:p w14:paraId="1BFBCBC0">
                  <w:pPr>
                    <w:jc w:val="center"/>
                    <w:rPr>
                      <w:rFonts w:hint="default" w:ascii="Times New Roman" w:hAnsi="Times New Roman" w:eastAsia="宋体" w:cs="Times New Roman"/>
                      <w:color w:val="auto"/>
                      <w:sz w:val="21"/>
                      <w:szCs w:val="21"/>
                      <w:highlight w:val="none"/>
                    </w:rPr>
                  </w:pPr>
                </w:p>
              </w:tc>
              <w:tc>
                <w:tcPr>
                  <w:tcW w:w="861" w:type="dxa"/>
                  <w:tcBorders>
                    <w:tl2br w:val="nil"/>
                    <w:tr2bl w:val="nil"/>
                  </w:tcBorders>
                  <w:noWrap w:val="0"/>
                  <w:vAlign w:val="center"/>
                </w:tcPr>
                <w:p w14:paraId="647115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226" w:type="dxa"/>
                  <w:tcBorders>
                    <w:tl2br w:val="nil"/>
                    <w:tr2bl w:val="nil"/>
                  </w:tcBorders>
                  <w:noWrap w:val="0"/>
                  <w:vAlign w:val="center"/>
                </w:tcPr>
                <w:p w14:paraId="3AF2E0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864" w:type="dxa"/>
                  <w:vMerge w:val="continue"/>
                  <w:tcBorders>
                    <w:tl2br w:val="nil"/>
                    <w:tr2bl w:val="nil"/>
                  </w:tcBorders>
                  <w:noWrap w:val="0"/>
                  <w:vAlign w:val="center"/>
                </w:tcPr>
                <w:p w14:paraId="3B3EE99C">
                  <w:pPr>
                    <w:jc w:val="center"/>
                    <w:rPr>
                      <w:rFonts w:hint="default" w:ascii="Times New Roman" w:hAnsi="Times New Roman" w:eastAsia="宋体" w:cs="Times New Roman"/>
                      <w:color w:val="auto"/>
                      <w:sz w:val="21"/>
                      <w:szCs w:val="21"/>
                      <w:highlight w:val="none"/>
                    </w:rPr>
                  </w:pPr>
                </w:p>
              </w:tc>
            </w:tr>
            <w:tr w14:paraId="5AF1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42" w:type="dxa"/>
                  <w:vMerge w:val="continue"/>
                  <w:tcBorders>
                    <w:tl2br w:val="nil"/>
                    <w:tr2bl w:val="nil"/>
                  </w:tcBorders>
                  <w:noWrap w:val="0"/>
                  <w:vAlign w:val="center"/>
                </w:tcPr>
                <w:p w14:paraId="70CA5AE5">
                  <w:pPr>
                    <w:jc w:val="center"/>
                    <w:rPr>
                      <w:rFonts w:hint="default" w:ascii="Times New Roman" w:hAnsi="Times New Roman" w:eastAsia="宋体" w:cs="Times New Roman"/>
                      <w:color w:val="auto"/>
                      <w:sz w:val="21"/>
                      <w:szCs w:val="21"/>
                      <w:highlight w:val="none"/>
                    </w:rPr>
                  </w:pPr>
                </w:p>
              </w:tc>
              <w:tc>
                <w:tcPr>
                  <w:tcW w:w="826" w:type="dxa"/>
                  <w:vMerge w:val="restart"/>
                  <w:tcBorders>
                    <w:tl2br w:val="nil"/>
                    <w:tr2bl w:val="nil"/>
                  </w:tcBorders>
                  <w:noWrap w:val="0"/>
                  <w:vAlign w:val="center"/>
                </w:tcPr>
                <w:p w14:paraId="02983B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861" w:type="dxa"/>
                  <w:tcBorders>
                    <w:tl2br w:val="nil"/>
                    <w:tr2bl w:val="nil"/>
                  </w:tcBorders>
                  <w:noWrap w:val="0"/>
                  <w:vAlign w:val="center"/>
                </w:tcPr>
                <w:p w14:paraId="6160EE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6" w:type="dxa"/>
                  <w:tcBorders>
                    <w:tl2br w:val="nil"/>
                    <w:tr2bl w:val="nil"/>
                  </w:tcBorders>
                  <w:noWrap w:val="0"/>
                  <w:vAlign w:val="center"/>
                </w:tcPr>
                <w:p w14:paraId="10AC0C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864" w:type="dxa"/>
                  <w:tcBorders>
                    <w:tl2br w:val="nil"/>
                    <w:tr2bl w:val="nil"/>
                  </w:tcBorders>
                  <w:noWrap w:val="0"/>
                  <w:vAlign w:val="center"/>
                </w:tcPr>
                <w:p w14:paraId="5DF2E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《工业炉窑大气污染物排放标准》（DB13/1460-2012）表3无组织排放浓度限值</w:t>
                  </w:r>
                </w:p>
              </w:tc>
            </w:tr>
            <w:tr w14:paraId="04D0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42" w:type="dxa"/>
                  <w:vMerge w:val="continue"/>
                  <w:tcBorders>
                    <w:tl2br w:val="nil"/>
                    <w:tr2bl w:val="nil"/>
                  </w:tcBorders>
                  <w:noWrap w:val="0"/>
                  <w:vAlign w:val="center"/>
                </w:tcPr>
                <w:p w14:paraId="3590265C">
                  <w:pPr>
                    <w:jc w:val="center"/>
                    <w:rPr>
                      <w:rFonts w:hint="default" w:ascii="Times New Roman" w:hAnsi="Times New Roman" w:eastAsia="宋体" w:cs="Times New Roman"/>
                      <w:color w:val="auto"/>
                      <w:sz w:val="21"/>
                      <w:szCs w:val="21"/>
                      <w:highlight w:val="none"/>
                    </w:rPr>
                  </w:pPr>
                </w:p>
              </w:tc>
              <w:tc>
                <w:tcPr>
                  <w:tcW w:w="826" w:type="dxa"/>
                  <w:vMerge w:val="continue"/>
                  <w:tcBorders>
                    <w:tl2br w:val="nil"/>
                    <w:tr2bl w:val="nil"/>
                  </w:tcBorders>
                  <w:noWrap w:val="0"/>
                  <w:vAlign w:val="center"/>
                </w:tcPr>
                <w:p w14:paraId="4B2D7C77">
                  <w:pPr>
                    <w:jc w:val="center"/>
                    <w:rPr>
                      <w:rFonts w:hint="default" w:ascii="Times New Roman" w:hAnsi="Times New Roman" w:eastAsia="宋体" w:cs="Times New Roman"/>
                      <w:color w:val="auto"/>
                      <w:sz w:val="21"/>
                      <w:szCs w:val="21"/>
                      <w:highlight w:val="none"/>
                    </w:rPr>
                  </w:pPr>
                </w:p>
              </w:tc>
              <w:tc>
                <w:tcPr>
                  <w:tcW w:w="861" w:type="dxa"/>
                  <w:tcBorders>
                    <w:tl2br w:val="nil"/>
                    <w:tr2bl w:val="nil"/>
                  </w:tcBorders>
                  <w:noWrap w:val="0"/>
                  <w:vAlign w:val="center"/>
                </w:tcPr>
                <w:p w14:paraId="29E50B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226" w:type="dxa"/>
                  <w:tcBorders>
                    <w:tl2br w:val="nil"/>
                    <w:tr2bl w:val="nil"/>
                  </w:tcBorders>
                  <w:noWrap w:val="0"/>
                  <w:vAlign w:val="center"/>
                </w:tcPr>
                <w:p w14:paraId="5AF8BF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4864" w:type="dxa"/>
                  <w:tcBorders>
                    <w:tl2br w:val="nil"/>
                    <w:tr2bl w:val="nil"/>
                  </w:tcBorders>
                  <w:noWrap w:val="0"/>
                  <w:vAlign w:val="center"/>
                </w:tcPr>
                <w:p w14:paraId="5C3D7A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《工业企业挥发性有机物排放控制标准》（DB13/2322-2016）其它企业企业边界排放限值</w:t>
                  </w:r>
                </w:p>
              </w:tc>
            </w:tr>
          </w:tbl>
          <w:p w14:paraId="024EEC3B">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b w:val="0"/>
                <w:bCs w:val="0"/>
                <w:color w:val="auto"/>
                <w:sz w:val="24"/>
                <w:highlight w:val="none"/>
              </w:rPr>
            </w:pPr>
            <w:r>
              <w:rPr>
                <w:b w:val="0"/>
                <w:bCs w:val="0"/>
                <w:color w:val="auto"/>
                <w:sz w:val="24"/>
                <w:highlight w:val="none"/>
              </w:rPr>
              <w:t>2.废水排放标准</w:t>
            </w:r>
          </w:p>
          <w:p w14:paraId="7ACF31F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b/>
                <w:bCs/>
                <w:color w:val="auto"/>
                <w:sz w:val="24"/>
                <w:highlight w:val="none"/>
              </w:rPr>
            </w:pPr>
            <w:r>
              <w:rPr>
                <w:color w:val="auto"/>
                <w:sz w:val="24"/>
                <w:highlight w:val="none"/>
              </w:rPr>
              <w:t>项目运营期生产废水</w:t>
            </w:r>
            <w:r>
              <w:rPr>
                <w:rFonts w:hint="eastAsia"/>
                <w:color w:val="auto"/>
                <w:sz w:val="24"/>
                <w:highlight w:val="none"/>
              </w:rPr>
              <w:t>为</w:t>
            </w:r>
            <w:r>
              <w:rPr>
                <w:rFonts w:eastAsia="宋体"/>
                <w:color w:val="auto"/>
                <w:sz w:val="24"/>
                <w:szCs w:val="24"/>
                <w:highlight w:val="none"/>
              </w:rPr>
              <w:t>间接冷却用水</w:t>
            </w:r>
            <w:r>
              <w:rPr>
                <w:rFonts w:hint="eastAsia"/>
                <w:color w:val="auto"/>
                <w:sz w:val="24"/>
                <w:szCs w:val="24"/>
                <w:highlight w:val="none"/>
                <w:lang w:eastAsia="zh-CN"/>
              </w:rPr>
              <w:t>和淬火池蒸发用水</w:t>
            </w:r>
            <w:r>
              <w:rPr>
                <w:rFonts w:hint="eastAsia" w:eastAsia="宋体"/>
                <w:color w:val="auto"/>
                <w:sz w:val="24"/>
                <w:szCs w:val="24"/>
                <w:highlight w:val="none"/>
                <w:lang w:val="en-US" w:eastAsia="zh-CN"/>
              </w:rPr>
              <w:t>，废水</w:t>
            </w:r>
            <w:r>
              <w:rPr>
                <w:rFonts w:hint="eastAsia"/>
                <w:color w:val="auto"/>
                <w:sz w:val="24"/>
                <w:szCs w:val="24"/>
                <w:highlight w:val="none"/>
                <w:lang w:val="en-US" w:eastAsia="zh-CN"/>
              </w:rPr>
              <w:t>部分蒸发，剩余</w:t>
            </w:r>
            <w:r>
              <w:rPr>
                <w:rFonts w:hint="eastAsia" w:eastAsia="宋体"/>
                <w:color w:val="auto"/>
                <w:sz w:val="24"/>
                <w:szCs w:val="24"/>
                <w:highlight w:val="none"/>
                <w:lang w:val="en-US" w:eastAsia="zh-CN"/>
              </w:rPr>
              <w:t>循环利用不外排</w:t>
            </w:r>
            <w:r>
              <w:rPr>
                <w:rFonts w:hint="eastAsia" w:ascii="Times New Roman" w:hAnsi="Times New Roman" w:eastAsia="宋体" w:cs="Times New Roman"/>
                <w:color w:val="auto"/>
                <w:sz w:val="24"/>
                <w:highlight w:val="none"/>
                <w:vertAlign w:val="baseline"/>
                <w:lang w:val="en-US" w:eastAsia="zh-CN"/>
              </w:rPr>
              <w:t>。</w:t>
            </w:r>
            <w:r>
              <w:rPr>
                <w:color w:val="auto"/>
                <w:sz w:val="24"/>
                <w:highlight w:val="none"/>
              </w:rPr>
              <w:t>本项目不新增劳动定员，无新增生活污水</w:t>
            </w:r>
            <w:r>
              <w:rPr>
                <w:rFonts w:hint="eastAsia"/>
                <w:color w:val="auto"/>
                <w:sz w:val="24"/>
                <w:highlight w:val="none"/>
                <w:lang w:eastAsia="zh-CN"/>
              </w:rPr>
              <w:t>，生活污水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ascii="Times New Roman" w:hAnsi="Times New Roman" w:eastAsia="宋体" w:cs="Times New Roman"/>
                <w:color w:val="auto"/>
                <w:sz w:val="24"/>
                <w:szCs w:val="24"/>
                <w:highlight w:val="none"/>
              </w:rPr>
              <w:t>。</w:t>
            </w:r>
          </w:p>
          <w:p w14:paraId="5F406BA2">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b w:val="0"/>
                <w:bCs w:val="0"/>
                <w:color w:val="auto"/>
                <w:sz w:val="24"/>
                <w:highlight w:val="none"/>
              </w:rPr>
            </w:pPr>
            <w:r>
              <w:rPr>
                <w:b w:val="0"/>
                <w:bCs w:val="0"/>
                <w:color w:val="auto"/>
                <w:sz w:val="24"/>
                <w:highlight w:val="none"/>
              </w:rPr>
              <w:t>3.噪声排放标准</w:t>
            </w:r>
          </w:p>
          <w:p w14:paraId="65E4A15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eastAsia="宋体"/>
                <w:b w:val="0"/>
                <w:bCs w:val="0"/>
                <w:color w:val="auto"/>
                <w:highlight w:val="none"/>
              </w:rPr>
            </w:pPr>
            <w:r>
              <w:rPr>
                <w:color w:val="auto"/>
                <w:sz w:val="24"/>
                <w:highlight w:val="none"/>
              </w:rPr>
              <w:t>施工期噪声执行《建筑施工场界环境噪声排放标准》（GB12523-2011）中标准限值；运营期</w:t>
            </w:r>
            <w:r>
              <w:rPr>
                <w:rFonts w:hint="eastAsia"/>
                <w:color w:val="auto"/>
                <w:sz w:val="24"/>
                <w:highlight w:val="none"/>
                <w:lang w:eastAsia="zh-CN"/>
              </w:rPr>
              <w:t>东、西、北侧</w:t>
            </w:r>
            <w:r>
              <w:rPr>
                <w:color w:val="auto"/>
                <w:sz w:val="24"/>
                <w:highlight w:val="none"/>
              </w:rPr>
              <w:t>厂界噪声执行《</w:t>
            </w:r>
            <w:r>
              <w:rPr>
                <w:rFonts w:hint="eastAsia"/>
                <w:color w:val="auto"/>
                <w:sz w:val="24"/>
                <w:highlight w:val="none"/>
                <w:lang w:eastAsia="zh-CN"/>
              </w:rPr>
              <w:t>声环境质量标准</w:t>
            </w:r>
            <w:r>
              <w:rPr>
                <w:color w:val="auto"/>
                <w:sz w:val="24"/>
                <w:highlight w:val="none"/>
              </w:rPr>
              <w:t>》（GB</w:t>
            </w:r>
            <w:r>
              <w:rPr>
                <w:rFonts w:hint="eastAsia"/>
                <w:color w:val="auto"/>
                <w:sz w:val="24"/>
                <w:highlight w:val="none"/>
                <w:lang w:val="en-US" w:eastAsia="zh-CN"/>
              </w:rPr>
              <w:t>3096</w:t>
            </w:r>
            <w:r>
              <w:rPr>
                <w:color w:val="auto"/>
                <w:sz w:val="24"/>
                <w:highlight w:val="none"/>
              </w:rPr>
              <w:t>-2008）中的2类标准</w:t>
            </w:r>
            <w:r>
              <w:rPr>
                <w:rFonts w:hint="eastAsia"/>
                <w:color w:val="auto"/>
                <w:sz w:val="24"/>
                <w:highlight w:val="none"/>
                <w:lang w:eastAsia="zh-CN"/>
              </w:rPr>
              <w:t>，南侧厂界执行</w:t>
            </w:r>
            <w:r>
              <w:rPr>
                <w:color w:val="auto"/>
                <w:sz w:val="24"/>
                <w:highlight w:val="none"/>
              </w:rPr>
              <w:t>《</w:t>
            </w:r>
            <w:r>
              <w:rPr>
                <w:rFonts w:hint="eastAsia"/>
                <w:color w:val="auto"/>
                <w:sz w:val="24"/>
                <w:highlight w:val="none"/>
                <w:lang w:eastAsia="zh-CN"/>
              </w:rPr>
              <w:t>声环境质量标准</w:t>
            </w:r>
            <w:r>
              <w:rPr>
                <w:color w:val="auto"/>
                <w:sz w:val="24"/>
                <w:highlight w:val="none"/>
              </w:rPr>
              <w:t>》（GB</w:t>
            </w:r>
            <w:r>
              <w:rPr>
                <w:rFonts w:hint="eastAsia"/>
                <w:color w:val="auto"/>
                <w:sz w:val="24"/>
                <w:highlight w:val="none"/>
                <w:lang w:val="en-US" w:eastAsia="zh-CN"/>
              </w:rPr>
              <w:t>3096</w:t>
            </w:r>
            <w:r>
              <w:rPr>
                <w:color w:val="auto"/>
                <w:sz w:val="24"/>
                <w:highlight w:val="none"/>
              </w:rPr>
              <w:t>-2008）中的</w:t>
            </w:r>
            <w:r>
              <w:rPr>
                <w:rFonts w:hint="eastAsia"/>
                <w:color w:val="auto"/>
                <w:sz w:val="24"/>
                <w:highlight w:val="none"/>
                <w:lang w:val="en-US" w:eastAsia="zh-CN"/>
              </w:rPr>
              <w:t>4a</w:t>
            </w:r>
            <w:r>
              <w:rPr>
                <w:color w:val="auto"/>
                <w:sz w:val="24"/>
                <w:highlight w:val="none"/>
              </w:rPr>
              <w:t>类标准</w:t>
            </w:r>
            <w:r>
              <w:rPr>
                <w:rFonts w:hint="eastAsia"/>
                <w:color w:val="auto"/>
                <w:sz w:val="24"/>
                <w:highlight w:val="none"/>
                <w:lang w:eastAsia="zh-CN"/>
              </w:rPr>
              <w:t>。</w:t>
            </w:r>
          </w:p>
          <w:p w14:paraId="4C04F1CF">
            <w:pPr>
              <w:pStyle w:val="35"/>
              <w:spacing w:line="440" w:lineRule="exact"/>
              <w:rPr>
                <w:rFonts w:eastAsia="宋体"/>
                <w:b w:val="0"/>
                <w:bCs w:val="0"/>
                <w:color w:val="auto"/>
                <w:sz w:val="21"/>
                <w:szCs w:val="21"/>
                <w:highlight w:val="none"/>
              </w:rPr>
            </w:pPr>
            <w:r>
              <w:rPr>
                <w:rFonts w:eastAsia="宋体"/>
                <w:b w:val="0"/>
                <w:bCs w:val="0"/>
                <w:color w:val="auto"/>
                <w:highlight w:val="none"/>
              </w:rPr>
              <w:t>表3-</w:t>
            </w:r>
            <w:r>
              <w:rPr>
                <w:rFonts w:hint="eastAsia" w:eastAsia="宋体"/>
                <w:b w:val="0"/>
                <w:bCs w:val="0"/>
                <w:color w:val="auto"/>
                <w:highlight w:val="none"/>
                <w:lang w:val="en-US" w:eastAsia="zh-CN"/>
              </w:rPr>
              <w:t>9</w:t>
            </w:r>
            <w:r>
              <w:rPr>
                <w:rFonts w:hint="eastAsia" w:eastAsia="宋体"/>
                <w:b w:val="0"/>
                <w:bCs w:val="0"/>
                <w:color w:val="auto"/>
                <w:highlight w:val="none"/>
              </w:rPr>
              <w:t xml:space="preserve"> </w:t>
            </w:r>
            <w:r>
              <w:rPr>
                <w:rFonts w:eastAsia="宋体"/>
                <w:b w:val="0"/>
                <w:bCs w:val="0"/>
                <w:color w:val="auto"/>
                <w:highlight w:val="none"/>
              </w:rPr>
              <w:t xml:space="preserve"> 运营期噪声排放标准</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914"/>
              <w:gridCol w:w="1505"/>
              <w:gridCol w:w="3973"/>
            </w:tblGrid>
            <w:tr w14:paraId="1F39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2" w:type="pct"/>
                  <w:noWrap w:val="0"/>
                  <w:vAlign w:val="center"/>
                </w:tcPr>
                <w:p w14:paraId="112337AC">
                  <w:pPr>
                    <w:spacing w:line="320" w:lineRule="exact"/>
                    <w:jc w:val="center"/>
                    <w:rPr>
                      <w:color w:val="auto"/>
                      <w:szCs w:val="21"/>
                      <w:highlight w:val="none"/>
                    </w:rPr>
                  </w:pPr>
                  <w:r>
                    <w:rPr>
                      <w:color w:val="auto"/>
                      <w:szCs w:val="21"/>
                      <w:highlight w:val="none"/>
                    </w:rPr>
                    <w:t>项目</w:t>
                  </w:r>
                </w:p>
              </w:tc>
              <w:tc>
                <w:tcPr>
                  <w:tcW w:w="1136" w:type="pct"/>
                  <w:noWrap w:val="0"/>
                  <w:vAlign w:val="center"/>
                </w:tcPr>
                <w:p w14:paraId="012DC108">
                  <w:pPr>
                    <w:spacing w:line="320" w:lineRule="exact"/>
                    <w:jc w:val="center"/>
                    <w:rPr>
                      <w:color w:val="auto"/>
                      <w:szCs w:val="21"/>
                      <w:highlight w:val="none"/>
                    </w:rPr>
                  </w:pPr>
                  <w:r>
                    <w:rPr>
                      <w:color w:val="auto"/>
                      <w:szCs w:val="21"/>
                      <w:highlight w:val="none"/>
                    </w:rPr>
                    <w:t>污染物</w:t>
                  </w:r>
                </w:p>
              </w:tc>
              <w:tc>
                <w:tcPr>
                  <w:tcW w:w="893" w:type="pct"/>
                  <w:noWrap w:val="0"/>
                  <w:vAlign w:val="center"/>
                </w:tcPr>
                <w:p w14:paraId="10489E58">
                  <w:pPr>
                    <w:spacing w:line="320" w:lineRule="exact"/>
                    <w:jc w:val="center"/>
                    <w:rPr>
                      <w:rFonts w:hint="eastAsia" w:eastAsia="宋体"/>
                      <w:color w:val="auto"/>
                      <w:szCs w:val="21"/>
                      <w:highlight w:val="none"/>
                      <w:lang w:eastAsia="zh-CN"/>
                    </w:rPr>
                  </w:pPr>
                  <w:r>
                    <w:rPr>
                      <w:rFonts w:hint="eastAsia"/>
                      <w:color w:val="auto"/>
                      <w:szCs w:val="21"/>
                      <w:highlight w:val="none"/>
                      <w:lang w:eastAsia="zh-CN"/>
                    </w:rPr>
                    <w:t>二类区标准值</w:t>
                  </w:r>
                </w:p>
              </w:tc>
              <w:tc>
                <w:tcPr>
                  <w:tcW w:w="2358" w:type="pct"/>
                  <w:noWrap w:val="0"/>
                  <w:vAlign w:val="center"/>
                </w:tcPr>
                <w:p w14:paraId="6E5761A5">
                  <w:pPr>
                    <w:spacing w:line="320" w:lineRule="exact"/>
                    <w:jc w:val="center"/>
                    <w:rPr>
                      <w:color w:val="auto"/>
                      <w:szCs w:val="21"/>
                      <w:highlight w:val="none"/>
                    </w:rPr>
                  </w:pPr>
                  <w:r>
                    <w:rPr>
                      <w:color w:val="auto"/>
                      <w:szCs w:val="21"/>
                      <w:highlight w:val="none"/>
                    </w:rPr>
                    <w:t>标准来源</w:t>
                  </w:r>
                </w:p>
              </w:tc>
            </w:tr>
            <w:tr w14:paraId="13F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12" w:type="pct"/>
                  <w:vMerge w:val="restart"/>
                  <w:noWrap w:val="0"/>
                  <w:vAlign w:val="center"/>
                </w:tcPr>
                <w:p w14:paraId="5DAE5475">
                  <w:pPr>
                    <w:spacing w:line="320" w:lineRule="exact"/>
                    <w:jc w:val="center"/>
                    <w:rPr>
                      <w:color w:val="auto"/>
                      <w:szCs w:val="21"/>
                      <w:highlight w:val="none"/>
                    </w:rPr>
                  </w:pPr>
                  <w:r>
                    <w:rPr>
                      <w:color w:val="auto"/>
                      <w:szCs w:val="21"/>
                      <w:highlight w:val="none"/>
                    </w:rPr>
                    <w:t>施工期</w:t>
                  </w:r>
                </w:p>
              </w:tc>
              <w:tc>
                <w:tcPr>
                  <w:tcW w:w="1136" w:type="pct"/>
                  <w:vMerge w:val="restart"/>
                  <w:noWrap w:val="0"/>
                  <w:vAlign w:val="center"/>
                </w:tcPr>
                <w:p w14:paraId="7352B2EB">
                  <w:pPr>
                    <w:spacing w:line="320" w:lineRule="exact"/>
                    <w:jc w:val="center"/>
                    <w:rPr>
                      <w:color w:val="auto"/>
                      <w:szCs w:val="21"/>
                      <w:highlight w:val="none"/>
                    </w:rPr>
                  </w:pPr>
                  <w:r>
                    <w:rPr>
                      <w:color w:val="auto"/>
                      <w:szCs w:val="21"/>
                      <w:highlight w:val="none"/>
                    </w:rPr>
                    <w:t>等效连续A声级</w:t>
                  </w:r>
                </w:p>
              </w:tc>
              <w:tc>
                <w:tcPr>
                  <w:tcW w:w="893" w:type="pct"/>
                  <w:noWrap w:val="0"/>
                  <w:vAlign w:val="center"/>
                </w:tcPr>
                <w:p w14:paraId="5632E352">
                  <w:pPr>
                    <w:spacing w:line="320" w:lineRule="exact"/>
                    <w:jc w:val="center"/>
                    <w:rPr>
                      <w:color w:val="auto"/>
                      <w:szCs w:val="21"/>
                      <w:highlight w:val="none"/>
                    </w:rPr>
                  </w:pPr>
                  <w:r>
                    <w:rPr>
                      <w:color w:val="auto"/>
                      <w:szCs w:val="21"/>
                      <w:highlight w:val="none"/>
                    </w:rPr>
                    <w:t>昼间70dB(A)</w:t>
                  </w:r>
                </w:p>
              </w:tc>
              <w:tc>
                <w:tcPr>
                  <w:tcW w:w="2358" w:type="pct"/>
                  <w:vMerge w:val="restart"/>
                  <w:noWrap w:val="0"/>
                  <w:vAlign w:val="center"/>
                </w:tcPr>
                <w:p w14:paraId="4E02216C">
                  <w:pPr>
                    <w:spacing w:line="320" w:lineRule="exact"/>
                    <w:jc w:val="center"/>
                    <w:rPr>
                      <w:color w:val="auto"/>
                      <w:szCs w:val="21"/>
                      <w:highlight w:val="none"/>
                    </w:rPr>
                  </w:pPr>
                  <w:r>
                    <w:rPr>
                      <w:color w:val="auto"/>
                      <w:szCs w:val="21"/>
                      <w:highlight w:val="none"/>
                    </w:rPr>
                    <w:t>《建筑施工场界环境噪声排放标准》（GB12523-2011）</w:t>
                  </w:r>
                </w:p>
              </w:tc>
            </w:tr>
            <w:tr w14:paraId="7E4B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12" w:type="pct"/>
                  <w:vMerge w:val="continue"/>
                  <w:noWrap w:val="0"/>
                  <w:vAlign w:val="center"/>
                </w:tcPr>
                <w:p w14:paraId="22E7B9AA">
                  <w:pPr>
                    <w:spacing w:line="320" w:lineRule="exact"/>
                    <w:jc w:val="center"/>
                    <w:rPr>
                      <w:color w:val="auto"/>
                      <w:szCs w:val="21"/>
                      <w:highlight w:val="none"/>
                    </w:rPr>
                  </w:pPr>
                </w:p>
              </w:tc>
              <w:tc>
                <w:tcPr>
                  <w:tcW w:w="1136" w:type="pct"/>
                  <w:vMerge w:val="continue"/>
                  <w:noWrap w:val="0"/>
                  <w:vAlign w:val="center"/>
                </w:tcPr>
                <w:p w14:paraId="3CDDDBE9">
                  <w:pPr>
                    <w:spacing w:line="320" w:lineRule="exact"/>
                    <w:jc w:val="center"/>
                    <w:rPr>
                      <w:color w:val="auto"/>
                      <w:szCs w:val="21"/>
                      <w:highlight w:val="none"/>
                    </w:rPr>
                  </w:pPr>
                </w:p>
              </w:tc>
              <w:tc>
                <w:tcPr>
                  <w:tcW w:w="893" w:type="pct"/>
                  <w:noWrap w:val="0"/>
                  <w:vAlign w:val="center"/>
                </w:tcPr>
                <w:p w14:paraId="1476DE24">
                  <w:pPr>
                    <w:spacing w:line="320" w:lineRule="exact"/>
                    <w:jc w:val="center"/>
                    <w:rPr>
                      <w:color w:val="auto"/>
                      <w:szCs w:val="21"/>
                      <w:highlight w:val="none"/>
                    </w:rPr>
                  </w:pPr>
                  <w:r>
                    <w:rPr>
                      <w:color w:val="auto"/>
                      <w:szCs w:val="21"/>
                      <w:highlight w:val="none"/>
                    </w:rPr>
                    <w:t>夜间55dB(A)</w:t>
                  </w:r>
                </w:p>
              </w:tc>
              <w:tc>
                <w:tcPr>
                  <w:tcW w:w="2358" w:type="pct"/>
                  <w:vMerge w:val="continue"/>
                  <w:noWrap w:val="0"/>
                  <w:vAlign w:val="center"/>
                </w:tcPr>
                <w:p w14:paraId="0AAC272D">
                  <w:pPr>
                    <w:spacing w:line="320" w:lineRule="exact"/>
                    <w:jc w:val="center"/>
                    <w:rPr>
                      <w:color w:val="auto"/>
                      <w:szCs w:val="21"/>
                      <w:highlight w:val="none"/>
                    </w:rPr>
                  </w:pPr>
                </w:p>
              </w:tc>
            </w:tr>
            <w:tr w14:paraId="59E1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2" w:type="pct"/>
                  <w:vMerge w:val="restart"/>
                  <w:noWrap w:val="0"/>
                  <w:vAlign w:val="center"/>
                </w:tcPr>
                <w:p w14:paraId="308E3F84">
                  <w:pPr>
                    <w:spacing w:line="320" w:lineRule="exact"/>
                    <w:jc w:val="center"/>
                    <w:rPr>
                      <w:color w:val="auto"/>
                      <w:szCs w:val="21"/>
                      <w:highlight w:val="none"/>
                    </w:rPr>
                  </w:pPr>
                  <w:r>
                    <w:rPr>
                      <w:color w:val="auto"/>
                      <w:szCs w:val="21"/>
                      <w:highlight w:val="none"/>
                    </w:rPr>
                    <w:t>运营期</w:t>
                  </w:r>
                </w:p>
              </w:tc>
              <w:tc>
                <w:tcPr>
                  <w:tcW w:w="1136" w:type="pct"/>
                  <w:vMerge w:val="restart"/>
                  <w:noWrap w:val="0"/>
                  <w:vAlign w:val="center"/>
                </w:tcPr>
                <w:p w14:paraId="2645FEB3">
                  <w:pPr>
                    <w:spacing w:line="320" w:lineRule="exact"/>
                    <w:jc w:val="center"/>
                    <w:rPr>
                      <w:color w:val="auto"/>
                      <w:szCs w:val="21"/>
                      <w:highlight w:val="none"/>
                    </w:rPr>
                  </w:pPr>
                  <w:r>
                    <w:rPr>
                      <w:color w:val="auto"/>
                      <w:szCs w:val="21"/>
                      <w:highlight w:val="none"/>
                    </w:rPr>
                    <w:t>等效连续A声级</w:t>
                  </w:r>
                </w:p>
              </w:tc>
              <w:tc>
                <w:tcPr>
                  <w:tcW w:w="893" w:type="pct"/>
                  <w:noWrap w:val="0"/>
                  <w:vAlign w:val="center"/>
                </w:tcPr>
                <w:p w14:paraId="45EA1B08">
                  <w:pPr>
                    <w:spacing w:line="320" w:lineRule="exact"/>
                    <w:jc w:val="center"/>
                    <w:rPr>
                      <w:color w:val="auto"/>
                      <w:szCs w:val="21"/>
                      <w:highlight w:val="none"/>
                    </w:rPr>
                  </w:pPr>
                  <w:r>
                    <w:rPr>
                      <w:color w:val="auto"/>
                      <w:szCs w:val="21"/>
                      <w:highlight w:val="none"/>
                    </w:rPr>
                    <w:t>昼间60dB(A)</w:t>
                  </w:r>
                </w:p>
              </w:tc>
              <w:tc>
                <w:tcPr>
                  <w:tcW w:w="2358" w:type="pct"/>
                  <w:vMerge w:val="restart"/>
                  <w:noWrap w:val="0"/>
                  <w:vAlign w:val="center"/>
                </w:tcPr>
                <w:p w14:paraId="2FFF1C53">
                  <w:pPr>
                    <w:spacing w:line="320" w:lineRule="exact"/>
                    <w:jc w:val="center"/>
                    <w:rPr>
                      <w:rFonts w:hint="eastAsia" w:eastAsia="宋体"/>
                      <w:color w:val="auto"/>
                      <w:szCs w:val="21"/>
                      <w:highlight w:val="none"/>
                      <w:lang w:val="en-US" w:eastAsia="zh-CN"/>
                    </w:rPr>
                  </w:pPr>
                  <w:r>
                    <w:rPr>
                      <w:color w:val="auto"/>
                      <w:szCs w:val="21"/>
                      <w:highlight w:val="none"/>
                    </w:rPr>
                    <w:t>《</w:t>
                  </w:r>
                  <w:r>
                    <w:rPr>
                      <w:rFonts w:hint="eastAsia"/>
                      <w:color w:val="auto"/>
                      <w:szCs w:val="21"/>
                      <w:highlight w:val="none"/>
                      <w:lang w:eastAsia="zh-CN"/>
                    </w:rPr>
                    <w:t>声环境质量标准</w:t>
                  </w:r>
                  <w:r>
                    <w:rPr>
                      <w:color w:val="auto"/>
                      <w:szCs w:val="21"/>
                      <w:highlight w:val="none"/>
                    </w:rPr>
                    <w:t>》（GB</w:t>
                  </w:r>
                  <w:r>
                    <w:rPr>
                      <w:rFonts w:hint="eastAsia"/>
                      <w:color w:val="auto"/>
                      <w:szCs w:val="21"/>
                      <w:highlight w:val="none"/>
                      <w:lang w:val="en-US" w:eastAsia="zh-CN"/>
                    </w:rPr>
                    <w:t>3096</w:t>
                  </w:r>
                  <w:r>
                    <w:rPr>
                      <w:color w:val="auto"/>
                      <w:szCs w:val="21"/>
                      <w:highlight w:val="none"/>
                    </w:rPr>
                    <w:t>-2008）</w:t>
                  </w:r>
                  <w:r>
                    <w:rPr>
                      <w:rFonts w:hint="eastAsia"/>
                      <w:color w:val="auto"/>
                      <w:szCs w:val="21"/>
                      <w:highlight w:val="none"/>
                      <w:lang w:val="en-US" w:eastAsia="zh-CN"/>
                    </w:rPr>
                    <w:t>2类标准</w:t>
                  </w:r>
                </w:p>
              </w:tc>
            </w:tr>
            <w:tr w14:paraId="3051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2" w:type="pct"/>
                  <w:vMerge w:val="continue"/>
                  <w:noWrap w:val="0"/>
                  <w:vAlign w:val="center"/>
                </w:tcPr>
                <w:p w14:paraId="0C629384">
                  <w:pPr>
                    <w:spacing w:line="320" w:lineRule="exact"/>
                    <w:jc w:val="center"/>
                    <w:rPr>
                      <w:color w:val="auto"/>
                      <w:szCs w:val="21"/>
                      <w:highlight w:val="none"/>
                    </w:rPr>
                  </w:pPr>
                </w:p>
              </w:tc>
              <w:tc>
                <w:tcPr>
                  <w:tcW w:w="1136" w:type="pct"/>
                  <w:vMerge w:val="continue"/>
                  <w:noWrap w:val="0"/>
                  <w:vAlign w:val="center"/>
                </w:tcPr>
                <w:p w14:paraId="03CCCA11">
                  <w:pPr>
                    <w:spacing w:line="320" w:lineRule="exact"/>
                    <w:jc w:val="center"/>
                    <w:rPr>
                      <w:color w:val="auto"/>
                      <w:szCs w:val="21"/>
                      <w:highlight w:val="none"/>
                    </w:rPr>
                  </w:pPr>
                </w:p>
              </w:tc>
              <w:tc>
                <w:tcPr>
                  <w:tcW w:w="893" w:type="pct"/>
                  <w:noWrap w:val="0"/>
                  <w:vAlign w:val="center"/>
                </w:tcPr>
                <w:p w14:paraId="6A346D36">
                  <w:pPr>
                    <w:spacing w:line="320" w:lineRule="exact"/>
                    <w:jc w:val="center"/>
                    <w:rPr>
                      <w:color w:val="auto"/>
                      <w:szCs w:val="21"/>
                      <w:highlight w:val="none"/>
                    </w:rPr>
                  </w:pPr>
                  <w:r>
                    <w:rPr>
                      <w:color w:val="auto"/>
                      <w:szCs w:val="21"/>
                      <w:highlight w:val="none"/>
                    </w:rPr>
                    <w:t>夜间50dB(A)</w:t>
                  </w:r>
                </w:p>
              </w:tc>
              <w:tc>
                <w:tcPr>
                  <w:tcW w:w="2358" w:type="pct"/>
                  <w:vMerge w:val="continue"/>
                  <w:noWrap w:val="0"/>
                  <w:vAlign w:val="center"/>
                </w:tcPr>
                <w:p w14:paraId="5534607C">
                  <w:pPr>
                    <w:spacing w:line="320" w:lineRule="exact"/>
                    <w:jc w:val="center"/>
                    <w:rPr>
                      <w:color w:val="auto"/>
                      <w:szCs w:val="21"/>
                      <w:highlight w:val="none"/>
                    </w:rPr>
                  </w:pPr>
                </w:p>
              </w:tc>
            </w:tr>
            <w:tr w14:paraId="68C9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2" w:type="pct"/>
                  <w:vMerge w:val="continue"/>
                  <w:noWrap w:val="0"/>
                  <w:vAlign w:val="center"/>
                </w:tcPr>
                <w:p w14:paraId="10087EB1">
                  <w:pPr>
                    <w:spacing w:line="320" w:lineRule="exact"/>
                    <w:jc w:val="center"/>
                    <w:rPr>
                      <w:color w:val="auto"/>
                      <w:szCs w:val="21"/>
                      <w:highlight w:val="none"/>
                    </w:rPr>
                  </w:pPr>
                </w:p>
              </w:tc>
              <w:tc>
                <w:tcPr>
                  <w:tcW w:w="1136" w:type="pct"/>
                  <w:vMerge w:val="restart"/>
                  <w:noWrap w:val="0"/>
                  <w:vAlign w:val="center"/>
                </w:tcPr>
                <w:p w14:paraId="5C277788">
                  <w:pPr>
                    <w:spacing w:line="320" w:lineRule="exact"/>
                    <w:jc w:val="center"/>
                    <w:rPr>
                      <w:color w:val="auto"/>
                      <w:szCs w:val="21"/>
                      <w:highlight w:val="none"/>
                    </w:rPr>
                  </w:pPr>
                  <w:r>
                    <w:rPr>
                      <w:color w:val="auto"/>
                      <w:szCs w:val="21"/>
                      <w:highlight w:val="none"/>
                    </w:rPr>
                    <w:t>等效连续A声级</w:t>
                  </w:r>
                </w:p>
              </w:tc>
              <w:tc>
                <w:tcPr>
                  <w:tcW w:w="893" w:type="pct"/>
                  <w:noWrap w:val="0"/>
                  <w:vAlign w:val="center"/>
                </w:tcPr>
                <w:p w14:paraId="5CDBC943">
                  <w:pPr>
                    <w:spacing w:line="320" w:lineRule="exact"/>
                    <w:jc w:val="center"/>
                    <w:rPr>
                      <w:color w:val="auto"/>
                      <w:szCs w:val="21"/>
                      <w:highlight w:val="none"/>
                    </w:rPr>
                  </w:pPr>
                  <w:r>
                    <w:rPr>
                      <w:color w:val="auto"/>
                      <w:szCs w:val="21"/>
                      <w:highlight w:val="none"/>
                    </w:rPr>
                    <w:t>昼间</w:t>
                  </w:r>
                  <w:r>
                    <w:rPr>
                      <w:rFonts w:hint="eastAsia"/>
                      <w:color w:val="auto"/>
                      <w:szCs w:val="21"/>
                      <w:highlight w:val="none"/>
                      <w:lang w:val="en-US" w:eastAsia="zh-CN"/>
                    </w:rPr>
                    <w:t>7</w:t>
                  </w:r>
                  <w:r>
                    <w:rPr>
                      <w:color w:val="auto"/>
                      <w:szCs w:val="21"/>
                      <w:highlight w:val="none"/>
                    </w:rPr>
                    <w:t>0dB(A)</w:t>
                  </w:r>
                </w:p>
              </w:tc>
              <w:tc>
                <w:tcPr>
                  <w:tcW w:w="2358" w:type="pct"/>
                  <w:vMerge w:val="restart"/>
                  <w:noWrap w:val="0"/>
                  <w:vAlign w:val="center"/>
                </w:tcPr>
                <w:p w14:paraId="343068AD">
                  <w:pPr>
                    <w:spacing w:line="320" w:lineRule="exact"/>
                    <w:jc w:val="center"/>
                    <w:rPr>
                      <w:color w:val="auto"/>
                      <w:szCs w:val="21"/>
                      <w:highlight w:val="none"/>
                    </w:rPr>
                  </w:pPr>
                  <w:r>
                    <w:rPr>
                      <w:color w:val="auto"/>
                      <w:szCs w:val="21"/>
                      <w:highlight w:val="none"/>
                    </w:rPr>
                    <w:t>《</w:t>
                  </w:r>
                  <w:r>
                    <w:rPr>
                      <w:rFonts w:hint="eastAsia"/>
                      <w:color w:val="auto"/>
                      <w:szCs w:val="21"/>
                      <w:highlight w:val="none"/>
                      <w:lang w:eastAsia="zh-CN"/>
                    </w:rPr>
                    <w:t>声环境质量标准</w:t>
                  </w:r>
                  <w:r>
                    <w:rPr>
                      <w:color w:val="auto"/>
                      <w:szCs w:val="21"/>
                      <w:highlight w:val="none"/>
                    </w:rPr>
                    <w:t>》（GB</w:t>
                  </w:r>
                  <w:r>
                    <w:rPr>
                      <w:rFonts w:hint="eastAsia"/>
                      <w:color w:val="auto"/>
                      <w:szCs w:val="21"/>
                      <w:highlight w:val="none"/>
                      <w:lang w:val="en-US" w:eastAsia="zh-CN"/>
                    </w:rPr>
                    <w:t>3096</w:t>
                  </w:r>
                  <w:r>
                    <w:rPr>
                      <w:color w:val="auto"/>
                      <w:szCs w:val="21"/>
                      <w:highlight w:val="none"/>
                    </w:rPr>
                    <w:t>-2008）</w:t>
                  </w:r>
                  <w:r>
                    <w:rPr>
                      <w:rFonts w:hint="eastAsia"/>
                      <w:color w:val="auto"/>
                      <w:szCs w:val="21"/>
                      <w:highlight w:val="none"/>
                      <w:lang w:val="en-US" w:eastAsia="zh-CN"/>
                    </w:rPr>
                    <w:t>4a类标准</w:t>
                  </w:r>
                </w:p>
              </w:tc>
            </w:tr>
            <w:tr w14:paraId="0604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12" w:type="pct"/>
                  <w:vMerge w:val="continue"/>
                  <w:noWrap w:val="0"/>
                  <w:vAlign w:val="center"/>
                </w:tcPr>
                <w:p w14:paraId="3116BE8C">
                  <w:pPr>
                    <w:spacing w:line="320" w:lineRule="exact"/>
                    <w:jc w:val="center"/>
                    <w:rPr>
                      <w:color w:val="auto"/>
                      <w:szCs w:val="21"/>
                      <w:highlight w:val="none"/>
                    </w:rPr>
                  </w:pPr>
                </w:p>
              </w:tc>
              <w:tc>
                <w:tcPr>
                  <w:tcW w:w="1136" w:type="pct"/>
                  <w:vMerge w:val="continue"/>
                  <w:noWrap w:val="0"/>
                  <w:vAlign w:val="center"/>
                </w:tcPr>
                <w:p w14:paraId="29DB161F">
                  <w:pPr>
                    <w:spacing w:line="320" w:lineRule="exact"/>
                    <w:jc w:val="center"/>
                    <w:rPr>
                      <w:color w:val="auto"/>
                      <w:szCs w:val="21"/>
                      <w:highlight w:val="none"/>
                    </w:rPr>
                  </w:pPr>
                </w:p>
              </w:tc>
              <w:tc>
                <w:tcPr>
                  <w:tcW w:w="893" w:type="pct"/>
                  <w:noWrap w:val="0"/>
                  <w:vAlign w:val="center"/>
                </w:tcPr>
                <w:p w14:paraId="70CD822A">
                  <w:pPr>
                    <w:spacing w:line="320" w:lineRule="exact"/>
                    <w:jc w:val="center"/>
                    <w:rPr>
                      <w:color w:val="auto"/>
                      <w:szCs w:val="21"/>
                      <w:highlight w:val="none"/>
                    </w:rPr>
                  </w:pPr>
                  <w:r>
                    <w:rPr>
                      <w:color w:val="auto"/>
                      <w:szCs w:val="21"/>
                      <w:highlight w:val="none"/>
                    </w:rPr>
                    <w:t>夜间5</w:t>
                  </w:r>
                  <w:r>
                    <w:rPr>
                      <w:rFonts w:hint="eastAsia"/>
                      <w:color w:val="auto"/>
                      <w:szCs w:val="21"/>
                      <w:highlight w:val="none"/>
                      <w:lang w:val="en-US" w:eastAsia="zh-CN"/>
                    </w:rPr>
                    <w:t>5</w:t>
                  </w:r>
                  <w:r>
                    <w:rPr>
                      <w:color w:val="auto"/>
                      <w:szCs w:val="21"/>
                      <w:highlight w:val="none"/>
                    </w:rPr>
                    <w:t>dB(A)</w:t>
                  </w:r>
                </w:p>
              </w:tc>
              <w:tc>
                <w:tcPr>
                  <w:tcW w:w="2358" w:type="pct"/>
                  <w:vMerge w:val="continue"/>
                  <w:noWrap w:val="0"/>
                  <w:vAlign w:val="center"/>
                </w:tcPr>
                <w:p w14:paraId="55DA98A5">
                  <w:pPr>
                    <w:spacing w:line="320" w:lineRule="exact"/>
                    <w:jc w:val="center"/>
                    <w:rPr>
                      <w:color w:val="auto"/>
                      <w:szCs w:val="21"/>
                      <w:highlight w:val="none"/>
                    </w:rPr>
                  </w:pPr>
                </w:p>
              </w:tc>
            </w:tr>
          </w:tbl>
          <w:p w14:paraId="4E754029">
            <w:pPr>
              <w:shd w:val="clear" w:color="auto" w:fill="auto"/>
              <w:autoSpaceDE w:val="0"/>
              <w:autoSpaceDN w:val="0"/>
              <w:adjustRightInd w:val="0"/>
              <w:snapToGrid w:val="0"/>
              <w:spacing w:line="480" w:lineRule="exact"/>
              <w:ind w:firstLine="480" w:firstLineChars="200"/>
              <w:jc w:val="left"/>
              <w:rPr>
                <w:b w:val="0"/>
                <w:bCs w:val="0"/>
                <w:color w:val="auto"/>
                <w:sz w:val="24"/>
                <w:highlight w:val="none"/>
              </w:rPr>
            </w:pPr>
            <w:r>
              <w:rPr>
                <w:b w:val="0"/>
                <w:bCs w:val="0"/>
                <w:color w:val="auto"/>
                <w:sz w:val="24"/>
                <w:highlight w:val="none"/>
              </w:rPr>
              <w:t>4</w:t>
            </w:r>
            <w:r>
              <w:rPr>
                <w:rFonts w:hint="eastAsia"/>
                <w:b w:val="0"/>
                <w:bCs w:val="0"/>
                <w:color w:val="auto"/>
                <w:sz w:val="24"/>
                <w:highlight w:val="none"/>
                <w:lang w:eastAsia="zh-CN"/>
              </w:rPr>
              <w:t>、</w:t>
            </w:r>
            <w:r>
              <w:rPr>
                <w:b w:val="0"/>
                <w:bCs w:val="0"/>
                <w:color w:val="auto"/>
                <w:sz w:val="24"/>
                <w:highlight w:val="none"/>
              </w:rPr>
              <w:t>固体废物控制标准</w:t>
            </w:r>
          </w:p>
          <w:p w14:paraId="15858AED">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color w:val="auto"/>
                <w:sz w:val="24"/>
                <w:highlight w:val="none"/>
              </w:rPr>
            </w:pPr>
            <w:r>
              <w:rPr>
                <w:color w:val="auto"/>
                <w:sz w:val="24"/>
                <w:highlight w:val="none"/>
              </w:rPr>
              <w:t>一般固废执行《一般工业固体废物贮存和填埋污染控制标准》(GB18599-2020)中的相关规定；</w:t>
            </w:r>
          </w:p>
          <w:p w14:paraId="61B99D6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ascii="宋体" w:hAnsi="宋体" w:cs="宋体"/>
                <w:color w:val="auto"/>
                <w:kern w:val="0"/>
                <w:szCs w:val="21"/>
                <w:highlight w:val="none"/>
              </w:rPr>
            </w:pPr>
            <w:r>
              <w:rPr>
                <w:color w:val="auto"/>
                <w:sz w:val="24"/>
                <w:highlight w:val="none"/>
              </w:rPr>
              <w:t>危险废物执行《危险废物贮存污染控制标准》（GB18597-20</w:t>
            </w:r>
            <w:r>
              <w:rPr>
                <w:rFonts w:hint="eastAsia"/>
                <w:color w:val="auto"/>
                <w:sz w:val="24"/>
                <w:highlight w:val="none"/>
                <w:lang w:val="en-US" w:eastAsia="zh-CN"/>
              </w:rPr>
              <w:t>23</w:t>
            </w:r>
            <w:r>
              <w:rPr>
                <w:color w:val="auto"/>
                <w:sz w:val="24"/>
                <w:highlight w:val="none"/>
              </w:rPr>
              <w:t>）的相关规定。</w:t>
            </w:r>
          </w:p>
        </w:tc>
      </w:tr>
      <w:tr w14:paraId="76392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52ADFB33">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14:paraId="126E6982">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14:paraId="2935C52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noWrap w:val="0"/>
            <w:vAlign w:val="center"/>
          </w:tcPr>
          <w:p w14:paraId="0E5BC14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根据国家《“十四五”生态环境保护规划》中规定的考核指标，结合项目所在区域，本项目无二氧化硫和氮氧化物排放，因此建议不给出大气污染物总量控制指标；本项目生产过程仅产生生活污水，</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default" w:ascii="Times New Roman" w:hAnsi="Times New Roman" w:eastAsia="宋体" w:cs="Times New Roman"/>
                <w:color w:val="auto"/>
                <w:sz w:val="24"/>
                <w:szCs w:val="24"/>
                <w:highlight w:val="none"/>
              </w:rPr>
              <w:t>无废水外排，因此本项目建议不给出水污染物总量控制指标。本项目污染物排放总量控制指标为：COD：0t/a，氨氮：0t/a，NOx：0t/a，SO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：0t/a。</w:t>
            </w:r>
          </w:p>
          <w:p w14:paraId="0B88D6E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本项目排放的大气污染物主要为颗粒物、非甲烷总烃</w:t>
            </w:r>
            <w:r>
              <w:rPr>
                <w:rFonts w:hint="eastAsia"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颗粒物执行《铸造工业大气污染物排放标准》（GB39726-2020）表1中排放浓度限值同时满足关于印发《承德市工业炉窑综合治理实施方案》的通知（承环办〔2020〕72号）中相关排放标准要求，</w:t>
            </w:r>
            <w:r>
              <w:rPr>
                <w:rFonts w:hint="default" w:ascii="Times New Roman" w:hAnsi="Times New Roman" w:eastAsia="宋体" w:cs="Times New Roman"/>
                <w:color w:val="auto"/>
                <w:spacing w:val="-6"/>
                <w:kern w:val="0"/>
                <w:sz w:val="24"/>
                <w:szCs w:val="24"/>
                <w:highlight w:val="none"/>
                <w:lang w:bidi="ar"/>
              </w:rPr>
              <w:t>颗粒物</w:t>
            </w:r>
            <w:r>
              <w:rPr>
                <w:rFonts w:hint="default" w:ascii="Times New Roman" w:hAnsi="Times New Roman" w:eastAsia="宋体" w:cs="Times New Roman"/>
                <w:color w:val="auto"/>
                <w:sz w:val="24"/>
                <w:szCs w:val="24"/>
                <w:highlight w:val="none"/>
              </w:rPr>
              <w:t>最高允许排放限值30mg/m</w:t>
            </w:r>
            <w:r>
              <w:rPr>
                <w:rFonts w:hint="default" w:ascii="Times New Roman" w:hAnsi="Times New Roman" w:eastAsia="宋体" w:cs="Times New Roman"/>
                <w:color w:val="auto"/>
                <w:sz w:val="24"/>
                <w:szCs w:val="24"/>
                <w:highlight w:val="none"/>
                <w:vertAlign w:val="superscript"/>
              </w:rPr>
              <w:t>3</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非甲烷总烃执行《工业企业挥发性有机物排放控制标准》（DB13/2322-2016）表1其他行业最高允许排放浓度限值，最高允许排放限值80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1811E7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根据废气源强核算，本次评价建议给出大气污染物总量管理指标为：颗粒物为</w:t>
            </w:r>
            <w:r>
              <w:rPr>
                <w:rFonts w:hint="eastAsia" w:ascii="Times New Roman" w:hAnsi="Times New Roman" w:eastAsia="宋体" w:cs="Times New Roman"/>
                <w:color w:val="auto"/>
                <w:sz w:val="24"/>
                <w:szCs w:val="24"/>
                <w:highlight w:val="none"/>
                <w:lang w:val="en-US" w:eastAsia="zh-CN"/>
              </w:rPr>
              <w:t>0.5086</w:t>
            </w:r>
            <w:r>
              <w:rPr>
                <w:rFonts w:hint="default" w:ascii="Times New Roman" w:hAnsi="Times New Roman" w:eastAsia="宋体" w:cs="Times New Roman"/>
                <w:color w:val="auto"/>
                <w:sz w:val="24"/>
                <w:szCs w:val="24"/>
                <w:highlight w:val="none"/>
              </w:rPr>
              <w:t>t/a、非甲烷总烃为</w:t>
            </w:r>
            <w:r>
              <w:rPr>
                <w:rFonts w:hint="eastAsia" w:cs="Times New Roman"/>
                <w:color w:val="auto"/>
                <w:sz w:val="24"/>
                <w:szCs w:val="24"/>
                <w:highlight w:val="none"/>
                <w:lang w:val="en-US" w:eastAsia="zh-CN"/>
              </w:rPr>
              <w:t>0.1892</w:t>
            </w:r>
            <w:r>
              <w:rPr>
                <w:rFonts w:hint="default" w:ascii="Times New Roman" w:hAnsi="Times New Roman" w:eastAsia="宋体" w:cs="Times New Roman"/>
                <w:color w:val="auto"/>
                <w:sz w:val="24"/>
                <w:szCs w:val="24"/>
                <w:highlight w:val="none"/>
              </w:rPr>
              <w:t>t/a。</w:t>
            </w:r>
          </w:p>
          <w:p w14:paraId="7ED9960F">
            <w:pPr>
              <w:pStyle w:val="2"/>
              <w:rPr>
                <w:color w:val="auto"/>
                <w:highlight w:val="none"/>
              </w:rPr>
            </w:pPr>
          </w:p>
          <w:p w14:paraId="2175CDD4">
            <w:pPr>
              <w:pStyle w:val="11"/>
              <w:rPr>
                <w:color w:val="auto"/>
                <w:highlight w:val="none"/>
              </w:rPr>
            </w:pPr>
          </w:p>
          <w:p w14:paraId="3A537633">
            <w:pPr>
              <w:rPr>
                <w:color w:val="auto"/>
                <w:highlight w:val="none"/>
              </w:rPr>
            </w:pPr>
          </w:p>
          <w:p w14:paraId="00BAF470">
            <w:pPr>
              <w:pStyle w:val="2"/>
              <w:rPr>
                <w:color w:val="auto"/>
                <w:highlight w:val="none"/>
              </w:rPr>
            </w:pPr>
          </w:p>
          <w:p w14:paraId="01896A05">
            <w:pPr>
              <w:pStyle w:val="11"/>
              <w:rPr>
                <w:color w:val="auto"/>
                <w:highlight w:val="none"/>
              </w:rPr>
            </w:pPr>
          </w:p>
          <w:p w14:paraId="41DEC6DE">
            <w:pPr>
              <w:rPr>
                <w:color w:val="auto"/>
                <w:highlight w:val="none"/>
              </w:rPr>
            </w:pPr>
          </w:p>
          <w:p w14:paraId="63C5B64A">
            <w:pPr>
              <w:pStyle w:val="2"/>
              <w:rPr>
                <w:color w:val="auto"/>
                <w:highlight w:val="none"/>
              </w:rPr>
            </w:pPr>
          </w:p>
          <w:p w14:paraId="743088D2">
            <w:pPr>
              <w:pStyle w:val="11"/>
              <w:rPr>
                <w:color w:val="auto"/>
                <w:highlight w:val="none"/>
              </w:rPr>
            </w:pPr>
          </w:p>
          <w:p w14:paraId="229AA581">
            <w:pPr>
              <w:rPr>
                <w:color w:val="auto"/>
                <w:highlight w:val="none"/>
              </w:rPr>
            </w:pPr>
          </w:p>
          <w:p w14:paraId="51234AA6">
            <w:pPr>
              <w:pStyle w:val="2"/>
              <w:rPr>
                <w:color w:val="auto"/>
                <w:highlight w:val="none"/>
              </w:rPr>
            </w:pPr>
          </w:p>
          <w:p w14:paraId="1166D127">
            <w:pPr>
              <w:pStyle w:val="11"/>
              <w:rPr>
                <w:color w:val="auto"/>
                <w:highlight w:val="none"/>
              </w:rPr>
            </w:pPr>
          </w:p>
          <w:p w14:paraId="49DCA0BA">
            <w:pPr>
              <w:rPr>
                <w:color w:val="auto"/>
                <w:highlight w:val="none"/>
              </w:rPr>
            </w:pPr>
          </w:p>
          <w:p w14:paraId="73CB18D3">
            <w:pPr>
              <w:pStyle w:val="2"/>
              <w:rPr>
                <w:color w:val="auto"/>
                <w:highlight w:val="none"/>
              </w:rPr>
            </w:pPr>
          </w:p>
          <w:p w14:paraId="32212E6D">
            <w:pPr>
              <w:pStyle w:val="11"/>
              <w:rPr>
                <w:color w:val="auto"/>
                <w:highlight w:val="none"/>
              </w:rPr>
            </w:pPr>
          </w:p>
          <w:p w14:paraId="611860E3">
            <w:pPr>
              <w:rPr>
                <w:color w:val="auto"/>
                <w:highlight w:val="none"/>
              </w:rPr>
            </w:pPr>
          </w:p>
          <w:p w14:paraId="549C81AA">
            <w:pPr>
              <w:pStyle w:val="2"/>
              <w:rPr>
                <w:color w:val="auto"/>
                <w:highlight w:val="none"/>
              </w:rPr>
            </w:pPr>
          </w:p>
          <w:p w14:paraId="550A72CC">
            <w:pPr>
              <w:pStyle w:val="11"/>
              <w:rPr>
                <w:color w:val="auto"/>
                <w:highlight w:val="none"/>
              </w:rPr>
            </w:pPr>
          </w:p>
          <w:p w14:paraId="4EAD02F2">
            <w:pPr>
              <w:rPr>
                <w:color w:val="auto"/>
                <w:highlight w:val="none"/>
              </w:rPr>
            </w:pPr>
          </w:p>
          <w:p w14:paraId="173C4C29">
            <w:pPr>
              <w:pStyle w:val="2"/>
              <w:rPr>
                <w:color w:val="auto"/>
                <w:highlight w:val="none"/>
              </w:rPr>
            </w:pPr>
          </w:p>
          <w:p w14:paraId="264372D0">
            <w:pPr>
              <w:pStyle w:val="11"/>
              <w:rPr>
                <w:color w:val="auto"/>
                <w:highlight w:val="none"/>
              </w:rPr>
            </w:pPr>
          </w:p>
          <w:p w14:paraId="65D2253A">
            <w:pPr>
              <w:rPr>
                <w:color w:val="auto"/>
                <w:highlight w:val="none"/>
              </w:rPr>
            </w:pPr>
          </w:p>
          <w:p w14:paraId="0B0C8CA7">
            <w:pPr>
              <w:pStyle w:val="2"/>
              <w:rPr>
                <w:color w:val="auto"/>
                <w:highlight w:val="none"/>
              </w:rPr>
            </w:pPr>
          </w:p>
          <w:p w14:paraId="4CE2ECB3">
            <w:pPr>
              <w:pStyle w:val="11"/>
              <w:rPr>
                <w:color w:val="auto"/>
                <w:highlight w:val="none"/>
              </w:rPr>
            </w:pPr>
          </w:p>
          <w:p w14:paraId="7D2056EC">
            <w:pPr>
              <w:rPr>
                <w:color w:val="auto"/>
                <w:highlight w:val="none"/>
              </w:rPr>
            </w:pPr>
          </w:p>
          <w:p w14:paraId="37822146">
            <w:pPr>
              <w:pStyle w:val="2"/>
              <w:rPr>
                <w:color w:val="auto"/>
                <w:highlight w:val="none"/>
              </w:rPr>
            </w:pPr>
          </w:p>
          <w:p w14:paraId="3C9BCDD6">
            <w:pPr>
              <w:pStyle w:val="11"/>
              <w:rPr>
                <w:color w:val="auto"/>
                <w:highlight w:val="none"/>
              </w:rPr>
            </w:pPr>
          </w:p>
          <w:p w14:paraId="7E87EAB4">
            <w:pPr>
              <w:rPr>
                <w:color w:val="auto"/>
                <w:highlight w:val="none"/>
              </w:rPr>
            </w:pPr>
          </w:p>
          <w:p w14:paraId="78F74ED2">
            <w:pPr>
              <w:pStyle w:val="2"/>
              <w:rPr>
                <w:color w:val="auto"/>
                <w:highlight w:val="none"/>
              </w:rPr>
            </w:pPr>
          </w:p>
          <w:p w14:paraId="30CE9180">
            <w:pPr>
              <w:pStyle w:val="11"/>
              <w:rPr>
                <w:color w:val="auto"/>
                <w:highlight w:val="none"/>
              </w:rPr>
            </w:pPr>
          </w:p>
          <w:p w14:paraId="32636B0C">
            <w:pPr>
              <w:rPr>
                <w:color w:val="auto"/>
                <w:highlight w:val="none"/>
              </w:rPr>
            </w:pPr>
          </w:p>
          <w:p w14:paraId="2C267A41">
            <w:pPr>
              <w:pStyle w:val="2"/>
              <w:rPr>
                <w:color w:val="auto"/>
                <w:highlight w:val="none"/>
              </w:rPr>
            </w:pPr>
          </w:p>
          <w:p w14:paraId="423BAEF0">
            <w:pPr>
              <w:pStyle w:val="11"/>
              <w:rPr>
                <w:color w:val="auto"/>
                <w:highlight w:val="none"/>
              </w:rPr>
            </w:pPr>
          </w:p>
          <w:p w14:paraId="797C1356">
            <w:pPr>
              <w:rPr>
                <w:color w:val="auto"/>
                <w:highlight w:val="none"/>
              </w:rPr>
            </w:pPr>
          </w:p>
          <w:p w14:paraId="722887A7">
            <w:pPr>
              <w:pStyle w:val="2"/>
              <w:rPr>
                <w:color w:val="auto"/>
                <w:highlight w:val="none"/>
              </w:rPr>
            </w:pPr>
          </w:p>
          <w:p w14:paraId="323ECC45">
            <w:pPr>
              <w:pStyle w:val="11"/>
              <w:rPr>
                <w:color w:val="auto"/>
                <w:highlight w:val="none"/>
              </w:rPr>
            </w:pPr>
          </w:p>
          <w:p w14:paraId="1A501130">
            <w:pPr>
              <w:rPr>
                <w:color w:val="auto"/>
                <w:highlight w:val="none"/>
              </w:rPr>
            </w:pPr>
          </w:p>
          <w:p w14:paraId="1BAA0C36">
            <w:pPr>
              <w:pStyle w:val="2"/>
              <w:rPr>
                <w:color w:val="auto"/>
                <w:highlight w:val="none"/>
              </w:rPr>
            </w:pPr>
          </w:p>
          <w:p w14:paraId="3B482E6C">
            <w:pPr>
              <w:pStyle w:val="11"/>
              <w:rPr>
                <w:color w:val="auto"/>
                <w:highlight w:val="none"/>
              </w:rPr>
            </w:pPr>
          </w:p>
          <w:p w14:paraId="2CD085FE">
            <w:pPr>
              <w:rPr>
                <w:color w:val="auto"/>
                <w:highlight w:val="none"/>
              </w:rPr>
            </w:pPr>
          </w:p>
          <w:p w14:paraId="09E70E7B">
            <w:pPr>
              <w:pStyle w:val="2"/>
              <w:rPr>
                <w:color w:val="auto"/>
                <w:highlight w:val="none"/>
              </w:rPr>
            </w:pPr>
          </w:p>
          <w:p w14:paraId="1A7F95A4">
            <w:pPr>
              <w:pStyle w:val="11"/>
              <w:rPr>
                <w:color w:val="auto"/>
                <w:highlight w:val="none"/>
              </w:rPr>
            </w:pPr>
          </w:p>
          <w:p w14:paraId="5C7D1F19">
            <w:pPr>
              <w:rPr>
                <w:color w:val="auto"/>
                <w:highlight w:val="none"/>
              </w:rPr>
            </w:pPr>
          </w:p>
          <w:p w14:paraId="75950891">
            <w:pPr>
              <w:pStyle w:val="2"/>
              <w:rPr>
                <w:color w:val="auto"/>
                <w:highlight w:val="none"/>
              </w:rPr>
            </w:pPr>
          </w:p>
          <w:p w14:paraId="3B98465C">
            <w:pPr>
              <w:pStyle w:val="11"/>
              <w:rPr>
                <w:color w:val="auto"/>
                <w:highlight w:val="none"/>
              </w:rPr>
            </w:pPr>
          </w:p>
          <w:p w14:paraId="49672F06">
            <w:pPr>
              <w:pStyle w:val="11"/>
              <w:jc w:val="both"/>
              <w:rPr>
                <w:color w:val="auto"/>
                <w:highlight w:val="none"/>
              </w:rPr>
            </w:pPr>
          </w:p>
        </w:tc>
      </w:tr>
    </w:tbl>
    <w:p w14:paraId="0C0F2EE7">
      <w:pPr>
        <w:pStyle w:val="14"/>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
        <w:gridCol w:w="8733"/>
      </w:tblGrid>
      <w:tr w14:paraId="35FBA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jc w:val="center"/>
        </w:trPr>
        <w:tc>
          <w:tcPr>
            <w:tcW w:w="746" w:type="dxa"/>
            <w:noWrap w:val="0"/>
            <w:tcMar>
              <w:left w:w="28" w:type="dxa"/>
              <w:right w:w="28" w:type="dxa"/>
            </w:tcMar>
            <w:vAlign w:val="center"/>
          </w:tcPr>
          <w:p w14:paraId="6607B5AC">
            <w:pPr>
              <w:pStyle w:val="14"/>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施工</w:t>
            </w:r>
          </w:p>
          <w:p w14:paraId="1DEC1504">
            <w:pPr>
              <w:pStyle w:val="14"/>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14:paraId="3D75FD24">
            <w:pPr>
              <w:pStyle w:val="14"/>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境保</w:t>
            </w:r>
          </w:p>
          <w:p w14:paraId="57C90278">
            <w:pPr>
              <w:pStyle w:val="14"/>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护措</w:t>
            </w:r>
          </w:p>
          <w:p w14:paraId="57177E46">
            <w:pPr>
              <w:pStyle w:val="14"/>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color w:val="auto"/>
                <w:kern w:val="2"/>
                <w:sz w:val="21"/>
                <w:szCs w:val="21"/>
                <w:highlight w:val="none"/>
              </w:rPr>
              <w:t>施</w:t>
            </w:r>
          </w:p>
        </w:tc>
        <w:tc>
          <w:tcPr>
            <w:tcW w:w="8162" w:type="dxa"/>
            <w:noWrap w:val="0"/>
            <w:vAlign w:val="center"/>
          </w:tcPr>
          <w:p w14:paraId="2C69C02F">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本项目为</w:t>
            </w:r>
            <w:r>
              <w:rPr>
                <w:rFonts w:hint="eastAsia"/>
                <w:color w:val="auto"/>
                <w:sz w:val="24"/>
                <w:highlight w:val="none"/>
                <w:lang w:eastAsia="zh-CN"/>
              </w:rPr>
              <w:t>改扩建</w:t>
            </w:r>
            <w:r>
              <w:rPr>
                <w:color w:val="auto"/>
                <w:sz w:val="24"/>
                <w:highlight w:val="none"/>
              </w:rPr>
              <w:t>项目，在原有厂区内</w:t>
            </w:r>
            <w:r>
              <w:rPr>
                <w:rFonts w:hint="eastAsia"/>
                <w:color w:val="auto"/>
                <w:sz w:val="24"/>
                <w:highlight w:val="none"/>
                <w:lang w:eastAsia="zh-CN"/>
              </w:rPr>
              <w:t>利用原有车间</w:t>
            </w:r>
            <w:r>
              <w:rPr>
                <w:rFonts w:hint="eastAsia"/>
                <w:color w:val="auto"/>
                <w:sz w:val="24"/>
                <w:highlight w:val="none"/>
              </w:rPr>
              <w:t>建设</w:t>
            </w:r>
            <w:r>
              <w:rPr>
                <w:rFonts w:hint="eastAsia"/>
                <w:color w:val="auto"/>
                <w:sz w:val="24"/>
                <w:highlight w:val="none"/>
                <w:lang w:eastAsia="zh-CN"/>
              </w:rPr>
              <w:t>铸造车间</w:t>
            </w:r>
            <w:r>
              <w:rPr>
                <w:color w:val="auto"/>
                <w:sz w:val="24"/>
                <w:highlight w:val="none"/>
              </w:rPr>
              <w:t>。施工过程中产生的扬尘主要来源于施工颗粒物和</w:t>
            </w:r>
            <w:r>
              <w:rPr>
                <w:rFonts w:hint="eastAsia"/>
                <w:color w:val="auto"/>
                <w:sz w:val="24"/>
                <w:highlight w:val="none"/>
                <w:lang w:eastAsia="zh-CN"/>
              </w:rPr>
              <w:t>厂房内设备拆除、安装过程中</w:t>
            </w:r>
            <w:r>
              <w:rPr>
                <w:color w:val="auto"/>
                <w:sz w:val="24"/>
                <w:highlight w:val="none"/>
              </w:rPr>
              <w:t>产生的颗粒物。其中施工颗粒物主要为建筑场地平整、</w:t>
            </w:r>
            <w:r>
              <w:rPr>
                <w:rFonts w:hint="eastAsia"/>
                <w:color w:val="auto"/>
                <w:sz w:val="24"/>
                <w:highlight w:val="none"/>
              </w:rPr>
              <w:t>物料装卸</w:t>
            </w:r>
            <w:r>
              <w:rPr>
                <w:color w:val="auto"/>
                <w:sz w:val="24"/>
                <w:highlight w:val="none"/>
              </w:rPr>
              <w:t>等施工过程产生的颗粒物。为减少施工期扬尘的产生，采取以下积极控制措施：</w:t>
            </w:r>
          </w:p>
          <w:p w14:paraId="35912C5A">
            <w:pPr>
              <w:autoSpaceDE w:val="0"/>
              <w:autoSpaceDN w:val="0"/>
              <w:adjustRightInd w:val="0"/>
              <w:snapToGrid w:val="0"/>
              <w:spacing w:line="440" w:lineRule="exact"/>
              <w:ind w:firstLine="480" w:firstLineChars="200"/>
              <w:jc w:val="left"/>
              <w:rPr>
                <w:rFonts w:hint="eastAsia" w:eastAsia="宋体"/>
                <w:color w:val="auto"/>
                <w:sz w:val="24"/>
                <w:highlight w:val="none"/>
                <w:lang w:eastAsia="zh-CN"/>
              </w:rPr>
            </w:pPr>
            <w:r>
              <w:rPr>
                <w:color w:val="auto"/>
                <w:sz w:val="24"/>
                <w:highlight w:val="none"/>
              </w:rPr>
              <w:t>施工单位必须在施工现场出入口明显位置设置扬尘防治公示牌，内容包括建设、施工、监理及监管等单位名称、扬尘防治负责人的名称、联系电话、举报电话等</w:t>
            </w:r>
            <w:r>
              <w:rPr>
                <w:rFonts w:hint="eastAsia"/>
                <w:color w:val="auto"/>
                <w:sz w:val="24"/>
                <w:highlight w:val="none"/>
                <w:lang w:eastAsia="zh-CN"/>
              </w:rPr>
              <w:t>。</w:t>
            </w:r>
          </w:p>
          <w:p w14:paraId="4C6829FA">
            <w:pPr>
              <w:autoSpaceDE w:val="0"/>
              <w:autoSpaceDN w:val="0"/>
              <w:adjustRightInd w:val="0"/>
              <w:snapToGrid w:val="0"/>
              <w:spacing w:line="440" w:lineRule="exact"/>
              <w:ind w:firstLine="480" w:firstLineChars="200"/>
              <w:jc w:val="left"/>
              <w:rPr>
                <w:rFonts w:hint="eastAsia" w:eastAsia="宋体"/>
                <w:color w:val="auto"/>
                <w:sz w:val="24"/>
                <w:highlight w:val="none"/>
                <w:lang w:eastAsia="zh-CN"/>
              </w:rPr>
            </w:pPr>
            <w:r>
              <w:rPr>
                <w:rFonts w:hint="eastAsia"/>
                <w:color w:val="auto"/>
                <w:sz w:val="24"/>
                <w:highlight w:val="none"/>
              </w:rPr>
              <w:t>施工现场应当有专人负责保洁工作，配备喷雾机等洒水设备，定期对运输道路洒水，以降低路面扬尘，重污染天气时相应增加洒水频次</w:t>
            </w:r>
            <w:r>
              <w:rPr>
                <w:color w:val="auto"/>
                <w:sz w:val="24"/>
                <w:highlight w:val="none"/>
              </w:rPr>
              <w:t>现场施工过程中采用洒水降尘措施，以减少扬尘产生量</w:t>
            </w:r>
            <w:r>
              <w:rPr>
                <w:rFonts w:hint="eastAsia"/>
                <w:color w:val="auto"/>
                <w:sz w:val="24"/>
                <w:highlight w:val="none"/>
                <w:lang w:eastAsia="zh-CN"/>
              </w:rPr>
              <w:t>。</w:t>
            </w:r>
          </w:p>
          <w:p w14:paraId="3871D795">
            <w:pPr>
              <w:autoSpaceDE w:val="0"/>
              <w:autoSpaceDN w:val="0"/>
              <w:adjustRightInd w:val="0"/>
              <w:snapToGrid w:val="0"/>
              <w:spacing w:line="440" w:lineRule="exact"/>
              <w:ind w:firstLine="480" w:firstLineChars="200"/>
              <w:jc w:val="left"/>
              <w:rPr>
                <w:rFonts w:hint="eastAsia"/>
                <w:color w:val="auto"/>
                <w:sz w:val="24"/>
                <w:highlight w:val="none"/>
                <w:lang w:eastAsia="zh-CN"/>
              </w:rPr>
            </w:pPr>
            <w:r>
              <w:rPr>
                <w:color w:val="auto"/>
                <w:sz w:val="24"/>
                <w:highlight w:val="none"/>
              </w:rPr>
              <w:t>设置建筑材料专用堆放地，并用篷布遮挡，定期清运建筑垃圾避免长时间堆存，减少建筑材料在堆放时由于风力作用产生的颗粒物；</w:t>
            </w:r>
            <w:r>
              <w:rPr>
                <w:rFonts w:hint="eastAsia"/>
                <w:color w:val="auto"/>
                <w:sz w:val="24"/>
                <w:highlight w:val="none"/>
              </w:rPr>
              <w:t>施工工地须做到“六个百分百”，具体要求为“工地周边100%设置围挡、散体物料堆放100%苫盖、出入车辆100%冲洗、建筑施工现场地面100%硬化、土方施工工地100%湿法作业、渣土车辆100%密闭运输”。5000平方米及以上土石方建筑工地安装在线监测和视频监控设施，并与当地有关部门联网。工地内非道路移动机械车辆应100%达标。施工现场应配备雾炮车等洒水设备，定期洒水清扫。独立裸露地面80%以上的面积都应采取覆盖措施，覆盖措施的完好率必须在90%以上。苫盖物须可回收、重复利用。地形处理后应及时进行植被恢复。制定合理的施工计划，分区域施工，减少单次施工作业面积，减少土方转运距离</w:t>
            </w:r>
            <w:r>
              <w:rPr>
                <w:rFonts w:hint="eastAsia"/>
                <w:color w:val="auto"/>
                <w:sz w:val="24"/>
                <w:highlight w:val="none"/>
                <w:lang w:eastAsia="zh-CN"/>
              </w:rPr>
              <w:t>；</w:t>
            </w:r>
            <w:r>
              <w:rPr>
                <w:rFonts w:hint="eastAsia"/>
                <w:color w:val="auto"/>
                <w:sz w:val="24"/>
                <w:highlight w:val="none"/>
              </w:rPr>
              <w:t>节约水资源，减少洒水抑尘作业面积</w:t>
            </w:r>
            <w:r>
              <w:rPr>
                <w:rFonts w:hint="eastAsia"/>
                <w:color w:val="auto"/>
                <w:sz w:val="24"/>
                <w:highlight w:val="none"/>
                <w:lang w:eastAsia="zh-CN"/>
              </w:rPr>
              <w:t>。</w:t>
            </w:r>
          </w:p>
          <w:p w14:paraId="11F019E2">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施工单位加强监管，对现场作业人员进行环境保护方面的培训教育，严格按照《河北省扬尘污染防治办法》（河北省人民政府令〔2020〕第1号）要求进行施工作业。</w:t>
            </w:r>
          </w:p>
          <w:p w14:paraId="4EF4E910">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color w:val="auto"/>
                <w:sz w:val="24"/>
                <w:highlight w:val="none"/>
              </w:rPr>
            </w:pPr>
            <w:r>
              <w:rPr>
                <w:rFonts w:hint="eastAsia"/>
                <w:color w:val="auto"/>
                <w:sz w:val="24"/>
                <w:highlight w:val="none"/>
              </w:rPr>
              <w:t>本项目施工场地主要位于</w:t>
            </w:r>
            <w:r>
              <w:rPr>
                <w:rFonts w:hint="eastAsia"/>
                <w:color w:val="auto"/>
                <w:sz w:val="24"/>
                <w:highlight w:val="none"/>
                <w:lang w:eastAsia="zh-CN"/>
              </w:rPr>
              <w:t>原有厂区内</w:t>
            </w:r>
            <w:r>
              <w:rPr>
                <w:rFonts w:hint="eastAsia"/>
                <w:color w:val="auto"/>
                <w:sz w:val="24"/>
                <w:highlight w:val="none"/>
              </w:rPr>
              <w:t>，在采取洒水抑尘等控制措施的前提下，受施工扬尘影响较小。由于施工是暂时的，随着施工结束，上述环境影响也将消失。因此在采取一定污染防治措施的情况下，本项目施工期施工扬尘影响可接受。</w:t>
            </w:r>
          </w:p>
          <w:p w14:paraId="3D2F7A2B">
            <w:pPr>
              <w:keepNext w:val="0"/>
              <w:keepLines w:val="0"/>
              <w:pageBreakBefore w:val="0"/>
              <w:widowControl w:val="0"/>
              <w:kinsoku/>
              <w:wordWrap/>
              <w:overflowPunct/>
              <w:topLinePunct w:val="0"/>
              <w:bidi w:val="0"/>
              <w:spacing w:line="480" w:lineRule="exact"/>
              <w:ind w:firstLine="482" w:firstLineChars="200"/>
              <w:textAlignment w:val="auto"/>
              <w:rPr>
                <w:b/>
                <w:bCs/>
                <w:color w:val="auto"/>
                <w:sz w:val="24"/>
                <w:szCs w:val="24"/>
                <w:highlight w:val="none"/>
              </w:rPr>
            </w:pPr>
            <w:r>
              <w:rPr>
                <w:rFonts w:hint="eastAsia"/>
                <w:b/>
                <w:bCs/>
                <w:color w:val="auto"/>
                <w:sz w:val="24"/>
                <w:szCs w:val="24"/>
                <w:highlight w:val="none"/>
              </w:rPr>
              <w:t>2、水环境影响分析</w:t>
            </w:r>
          </w:p>
          <w:p w14:paraId="45D8914E">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本项目施工期产生的废水主要来源于施工员的生活污水、施工作业产生的施工废水以及下雨时冲刷及建筑泥沙等产生的地表径流污水（主要污染物SS）。</w:t>
            </w:r>
          </w:p>
          <w:p w14:paraId="45276425">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施工期间施工人员绝大多数为当地民工，施工场地不设置宿舍和食堂。施工人员按12人，施工期间生活用水量按20L/（</w:t>
            </w:r>
            <w:r>
              <w:rPr>
                <w:rFonts w:hint="eastAsia"/>
                <w:color w:val="auto"/>
                <w:sz w:val="24"/>
                <w:highlight w:val="none"/>
                <w:lang w:eastAsia="zh-CN"/>
              </w:rPr>
              <w:t>人</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d</w:t>
            </w:r>
            <w:r>
              <w:rPr>
                <w:color w:val="auto"/>
                <w:sz w:val="24"/>
                <w:highlight w:val="none"/>
              </w:rPr>
              <w:t>）计，则生活用水量为0.8m</w:t>
            </w:r>
            <w:r>
              <w:rPr>
                <w:rFonts w:hint="eastAsia"/>
                <w:color w:val="auto"/>
                <w:sz w:val="24"/>
                <w:highlight w:val="none"/>
                <w:vertAlign w:val="superscript"/>
              </w:rPr>
              <w:t>3</w:t>
            </w:r>
            <w:r>
              <w:rPr>
                <w:color w:val="auto"/>
                <w:sz w:val="24"/>
                <w:highlight w:val="none"/>
              </w:rPr>
              <w:t>/d，生活污水的排放量按用水量的80%计算，则本项目施工期间生活污水产生量为0.192m</w:t>
            </w:r>
            <w:r>
              <w:rPr>
                <w:rFonts w:hint="eastAsia"/>
                <w:color w:val="auto"/>
                <w:sz w:val="24"/>
                <w:highlight w:val="none"/>
                <w:vertAlign w:val="superscript"/>
              </w:rPr>
              <w:t>3</w:t>
            </w:r>
            <w:r>
              <w:rPr>
                <w:color w:val="auto"/>
                <w:sz w:val="24"/>
                <w:highlight w:val="none"/>
              </w:rPr>
              <w:t>/d，主要污染因子为COD、BOD</w:t>
            </w:r>
            <w:r>
              <w:rPr>
                <w:rFonts w:hint="eastAsia"/>
                <w:color w:val="auto"/>
                <w:sz w:val="24"/>
                <w:highlight w:val="none"/>
                <w:vertAlign w:val="subscript"/>
              </w:rPr>
              <w:t>5</w:t>
            </w:r>
            <w:r>
              <w:rPr>
                <w:color w:val="auto"/>
                <w:sz w:val="24"/>
                <w:highlight w:val="none"/>
              </w:rPr>
              <w:t>、SS、NH</w:t>
            </w:r>
            <w:r>
              <w:rPr>
                <w:rFonts w:hint="eastAsia"/>
                <w:color w:val="auto"/>
                <w:sz w:val="24"/>
                <w:highlight w:val="none"/>
                <w:vertAlign w:val="subscript"/>
              </w:rPr>
              <w:t>3</w:t>
            </w:r>
            <w:r>
              <w:rPr>
                <w:color w:val="auto"/>
                <w:sz w:val="24"/>
                <w:highlight w:val="none"/>
              </w:rPr>
              <w:t>-N，该污水产生量较小且水质简单，直接泼洒地面抑尘，不外排。</w:t>
            </w:r>
          </w:p>
          <w:p w14:paraId="7474C7B2">
            <w:pPr>
              <w:autoSpaceDE w:val="0"/>
              <w:autoSpaceDN w:val="0"/>
              <w:adjustRightInd w:val="0"/>
              <w:snapToGrid w:val="0"/>
              <w:spacing w:line="440" w:lineRule="exact"/>
              <w:ind w:firstLine="482" w:firstLineChars="200"/>
              <w:jc w:val="left"/>
              <w:rPr>
                <w:b/>
                <w:bCs/>
                <w:color w:val="auto"/>
                <w:sz w:val="24"/>
                <w:highlight w:val="none"/>
              </w:rPr>
            </w:pPr>
            <w:r>
              <w:rPr>
                <w:b/>
                <w:bCs/>
                <w:color w:val="auto"/>
                <w:sz w:val="24"/>
                <w:highlight w:val="none"/>
              </w:rPr>
              <w:t>3.施工期噪声防治措施</w:t>
            </w:r>
          </w:p>
          <w:p w14:paraId="20853C65">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施工期产生的噪声主要是各种施工机械和运输车辆的噪声，经过类比调查，噪声值一般在80～85dB（A）之间。为了减少施工噪声对周边居民的影响，施工过程中可采取如下控制措施：</w:t>
            </w:r>
          </w:p>
          <w:p w14:paraId="3AA900A0">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施工期间选用产生噪声值较低的施工设备，从源头削减噪声</w:t>
            </w:r>
            <w:r>
              <w:rPr>
                <w:rFonts w:hint="eastAsia"/>
                <w:color w:val="auto"/>
                <w:sz w:val="24"/>
                <w:highlight w:val="none"/>
              </w:rPr>
              <w:t>。</w:t>
            </w:r>
            <w:r>
              <w:rPr>
                <w:color w:val="auto"/>
                <w:sz w:val="24"/>
                <w:highlight w:val="none"/>
              </w:rPr>
              <w:t>施工现场不得安装混凝土搅拌机，应在有关部门指定地点搅拌好后，运至工地使用，运输车辆通过要减速慢行以减低噪声；合理制定施工计划，一定要严格控制和管理产生噪声的设备的使用时间，尽可能避免在同一区段安排大量强噪声设备同时施工</w:t>
            </w:r>
            <w:r>
              <w:rPr>
                <w:rFonts w:hint="eastAsia"/>
                <w:color w:val="auto"/>
                <w:sz w:val="24"/>
                <w:highlight w:val="none"/>
              </w:rPr>
              <w:t>。</w:t>
            </w:r>
          </w:p>
          <w:p w14:paraId="26144840">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施工期间严格控制施工时间，若必须连续施工作业时，须提前向有关部门提出申请，并应提前张贴公告通知周边可能受到影响的居民及单位，经批准后，方可进行夜间施工</w:t>
            </w:r>
            <w:r>
              <w:rPr>
                <w:rFonts w:hint="eastAsia"/>
                <w:color w:val="auto"/>
                <w:sz w:val="24"/>
                <w:highlight w:val="none"/>
              </w:rPr>
              <w:t>。</w:t>
            </w:r>
          </w:p>
          <w:p w14:paraId="613F13D1">
            <w:pPr>
              <w:autoSpaceDE w:val="0"/>
              <w:autoSpaceDN w:val="0"/>
              <w:adjustRightInd w:val="0"/>
              <w:snapToGrid w:val="0"/>
              <w:spacing w:line="440" w:lineRule="exact"/>
              <w:ind w:firstLine="480" w:firstLineChars="200"/>
              <w:jc w:val="left"/>
              <w:rPr>
                <w:color w:val="auto"/>
                <w:sz w:val="24"/>
                <w:highlight w:val="none"/>
              </w:rPr>
            </w:pPr>
            <w:r>
              <w:rPr>
                <w:color w:val="auto"/>
                <w:sz w:val="24"/>
                <w:highlight w:val="none"/>
              </w:rPr>
              <w:t>经采取以上措施后，可有效减轻施工噪声对周围环境产生的影响，可使建筑施工场界噪声满足《建筑施工场界环境噪声排放标准》（GB12523-2011）的要求，且施工期噪声影响将随着施工期结束而终止。</w:t>
            </w:r>
          </w:p>
          <w:p w14:paraId="6E9E34CE">
            <w:pPr>
              <w:autoSpaceDE w:val="0"/>
              <w:autoSpaceDN w:val="0"/>
              <w:adjustRightInd w:val="0"/>
              <w:snapToGrid w:val="0"/>
              <w:spacing w:line="440" w:lineRule="exact"/>
              <w:ind w:firstLine="482" w:firstLineChars="200"/>
              <w:jc w:val="left"/>
              <w:rPr>
                <w:b/>
                <w:bCs/>
                <w:color w:val="auto"/>
                <w:sz w:val="24"/>
                <w:highlight w:val="none"/>
              </w:rPr>
            </w:pPr>
            <w:r>
              <w:rPr>
                <w:b/>
                <w:bCs/>
                <w:color w:val="auto"/>
                <w:sz w:val="24"/>
                <w:highlight w:val="none"/>
              </w:rPr>
              <w:t>4.施工期固体废物防治措施</w:t>
            </w:r>
          </w:p>
          <w:p w14:paraId="097D0E61">
            <w:pPr>
              <w:pStyle w:val="2"/>
              <w:keepNext w:val="0"/>
              <w:keepLines w:val="0"/>
              <w:pageBreakBefore w:val="0"/>
              <w:widowControl w:val="0"/>
              <w:kinsoku/>
              <w:wordWrap/>
              <w:overflowPunct/>
              <w:topLinePunct w:val="0"/>
              <w:autoSpaceDE/>
              <w:autoSpaceDN/>
              <w:bidi w:val="0"/>
              <w:adjustRightInd/>
              <w:snapToGrid/>
              <w:spacing w:line="480" w:lineRule="exact"/>
              <w:textAlignment w:val="auto"/>
              <w:rPr>
                <w:color w:val="auto"/>
                <w:sz w:val="24"/>
                <w:highlight w:val="none"/>
              </w:rPr>
            </w:pPr>
            <w:r>
              <w:rPr>
                <w:color w:val="auto"/>
                <w:sz w:val="24"/>
                <w:highlight w:val="none"/>
              </w:rPr>
              <w:t>施工期的固体废物主要为建筑垃圾及施工人员产生的生活垃圾。生活垃圾经集中收集后，清运至当地的垃圾收集点，送至生活垃圾填埋场，对当地环境影响较小。建筑垃圾运至指定的场所处理，不随意丢弃，对环境的影响较小。其危险废物交由相关有资质单位处理，故本项目产生固废均能得到妥善处理处置，对周围环境影响不明显。采取上述措施后，施工期固体废物均得到妥善处理。</w:t>
            </w:r>
          </w:p>
          <w:p w14:paraId="159CB952">
            <w:pPr>
              <w:rPr>
                <w:color w:val="auto"/>
                <w:highlight w:val="none"/>
              </w:rPr>
            </w:pPr>
          </w:p>
        </w:tc>
      </w:tr>
      <w:tr w14:paraId="70E63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1" w:hRule="atLeast"/>
          <w:jc w:val="center"/>
        </w:trPr>
        <w:tc>
          <w:tcPr>
            <w:tcW w:w="746" w:type="dxa"/>
            <w:noWrap w:val="0"/>
            <w:tcMar>
              <w:left w:w="28" w:type="dxa"/>
              <w:right w:w="28" w:type="dxa"/>
            </w:tcMar>
            <w:vAlign w:val="center"/>
          </w:tcPr>
          <w:p w14:paraId="00969F7A">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14:paraId="1685A375">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14:paraId="0DF17B9E">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14:paraId="5334F17F">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14:paraId="4116C9C0">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14:paraId="5DE6DE8D">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162" w:type="dxa"/>
            <w:noWrap w:val="0"/>
            <w:vAlign w:val="center"/>
          </w:tcPr>
          <w:p w14:paraId="7B1C34E5">
            <w:pPr>
              <w:numPr>
                <w:ilvl w:val="0"/>
                <w:numId w:val="5"/>
              </w:numPr>
              <w:adjustRightInd w:val="0"/>
              <w:snapToGrid w:val="0"/>
              <w:rPr>
                <w:rFonts w:hint="eastAsia"/>
                <w:b/>
                <w:bCs w:val="0"/>
                <w:color w:val="auto"/>
                <w:sz w:val="24"/>
                <w:szCs w:val="24"/>
                <w:highlight w:val="none"/>
                <w:lang w:val="en-US" w:eastAsia="zh-CN"/>
              </w:rPr>
            </w:pPr>
            <w:r>
              <w:rPr>
                <w:rFonts w:hint="eastAsia" w:ascii="宋体" w:hAnsi="宋体" w:cs="宋体"/>
                <w:b/>
                <w:bCs w:val="0"/>
                <w:color w:val="auto"/>
                <w:spacing w:val="-10"/>
                <w:sz w:val="24"/>
                <w:szCs w:val="24"/>
                <w:highlight w:val="none"/>
                <w:lang w:val="en-US" w:eastAsia="zh-CN"/>
              </w:rPr>
              <w:t>废气</w:t>
            </w:r>
          </w:p>
          <w:p w14:paraId="4D331C9C">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废气污染源分析</w:t>
            </w:r>
          </w:p>
          <w:p w14:paraId="530CC84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本项目运营期间主要涉及到的废气为</w:t>
            </w:r>
            <w:r>
              <w:rPr>
                <w:rFonts w:hint="default" w:ascii="Times New Roman" w:hAnsi="Times New Roman" w:eastAsia="宋体" w:cs="Times New Roman"/>
                <w:color w:val="auto"/>
                <w:sz w:val="24"/>
                <w:szCs w:val="24"/>
                <w:highlight w:val="none"/>
              </w:rPr>
              <w:t>中频感应电炉</w:t>
            </w:r>
            <w:r>
              <w:rPr>
                <w:rFonts w:hint="default" w:ascii="Times New Roman" w:hAnsi="Times New Roman" w:eastAsia="宋体" w:cs="Times New Roman"/>
                <w:color w:val="auto"/>
                <w:sz w:val="24"/>
                <w:szCs w:val="24"/>
                <w:highlight w:val="none"/>
                <w:lang w:eastAsia="zh-CN"/>
              </w:rPr>
              <w:t>熔化</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、浇</w:t>
            </w:r>
            <w:r>
              <w:rPr>
                <w:rFonts w:hint="eastAsia" w:ascii="Times New Roman" w:hAnsi="Times New Roman" w:eastAsia="宋体" w:cs="Times New Roman"/>
                <w:color w:val="auto"/>
                <w:sz w:val="24"/>
                <w:szCs w:val="24"/>
                <w:highlight w:val="none"/>
                <w:lang w:eastAsia="zh-CN"/>
              </w:rPr>
              <w:t>注</w:t>
            </w:r>
            <w:r>
              <w:rPr>
                <w:rFonts w:hint="default" w:ascii="Times New Roman" w:hAnsi="Times New Roman" w:eastAsia="宋体" w:cs="Times New Roman"/>
                <w:color w:val="auto"/>
                <w:sz w:val="24"/>
                <w:szCs w:val="24"/>
                <w:highlight w:val="none"/>
              </w:rPr>
              <w:t>废气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砂处理系统</w:t>
            </w:r>
            <w:r>
              <w:rPr>
                <w:rFonts w:hint="default" w:ascii="Times New Roman" w:hAnsi="Times New Roman" w:eastAsia="宋体" w:cs="Times New Roman"/>
                <w:b w:val="0"/>
                <w:bCs w:val="0"/>
                <w:color w:val="auto"/>
                <w:sz w:val="24"/>
                <w:szCs w:val="24"/>
                <w:highlight w:val="none"/>
                <w:lang w:val="en-US" w:eastAsia="zh-CN"/>
              </w:rPr>
              <w:t>废气</w:t>
            </w:r>
            <w:r>
              <w:rPr>
                <w:rFonts w:hint="eastAsia" w:ascii="Times New Roman" w:hAnsi="Times New Roman" w:eastAsia="宋体" w:cs="Times New Roman"/>
                <w:b w:val="0"/>
                <w:bCs w:val="0"/>
                <w:color w:val="auto"/>
                <w:sz w:val="24"/>
                <w:szCs w:val="24"/>
                <w:highlight w:val="none"/>
                <w:lang w:val="en-US" w:eastAsia="zh-CN"/>
              </w:rPr>
              <w:t>和抛丸废气</w:t>
            </w:r>
            <w:r>
              <w:rPr>
                <w:rFonts w:hint="default" w:ascii="Times New Roman" w:hAnsi="Times New Roman" w:eastAsia="宋体" w:cs="Times New Roman"/>
                <w:color w:val="auto"/>
                <w:sz w:val="24"/>
                <w:szCs w:val="24"/>
                <w:highlight w:val="none"/>
              </w:rPr>
              <w:t>。</w:t>
            </w:r>
          </w:p>
          <w:p w14:paraId="107873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树脂砂</w:t>
            </w:r>
            <w:r>
              <w:rPr>
                <w:rFonts w:hint="default" w:ascii="Times New Roman" w:hAnsi="Times New Roman" w:eastAsia="宋体" w:cs="Times New Roman"/>
                <w:color w:val="auto"/>
                <w:sz w:val="24"/>
                <w:szCs w:val="24"/>
                <w:highlight w:val="none"/>
                <w:lang w:val="en-US" w:eastAsia="zh-CN"/>
              </w:rPr>
              <w:t>消失模生产线，</w:t>
            </w:r>
            <w:r>
              <w:rPr>
                <w:rFonts w:hint="default" w:ascii="Times New Roman" w:hAnsi="Times New Roman" w:eastAsia="宋体" w:cs="Times New Roman"/>
                <w:color w:val="auto"/>
                <w:sz w:val="24"/>
                <w:szCs w:val="24"/>
                <w:highlight w:val="none"/>
              </w:rPr>
              <w:t>设有</w:t>
            </w:r>
            <w:r>
              <w:rPr>
                <w:rFonts w:hint="eastAsia" w:ascii="Times New Roman" w:hAnsi="Times New Roman" w:eastAsia="宋体" w:cs="Times New Roman"/>
                <w:color w:val="auto"/>
                <w:sz w:val="24"/>
                <w:szCs w:val="24"/>
                <w:highlight w:val="none"/>
                <w:lang w:eastAsia="zh-CN"/>
              </w:rPr>
              <w:t>一</w:t>
            </w:r>
            <w:r>
              <w:rPr>
                <w:rFonts w:hint="default" w:ascii="Times New Roman" w:hAnsi="Times New Roman" w:eastAsia="宋体" w:cs="Times New Roman"/>
                <w:color w:val="auto"/>
                <w:sz w:val="24"/>
                <w:szCs w:val="24"/>
                <w:highlight w:val="none"/>
                <w:lang w:eastAsia="zh-CN"/>
              </w:rPr>
              <w:t>台</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中频感应电炉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电炉产生的烟气通过顶置整罩式除尘炉盖的集尘方式集中收集后，通过风机引至</w:t>
            </w:r>
            <w:r>
              <w:rPr>
                <w:rFonts w:hint="eastAsia" w:ascii="Times New Roman" w:hAnsi="Times New Roman" w:eastAsia="宋体" w:cs="Times New Roman"/>
                <w:color w:val="auto"/>
                <w:sz w:val="24"/>
                <w:szCs w:val="24"/>
                <w:highlight w:val="none"/>
                <w:lang w:eastAsia="zh-CN"/>
              </w:rPr>
              <w:t>脉冲布袋除尘器</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进行处理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经排气筒</w:t>
            </w:r>
            <w:r>
              <w:rPr>
                <w:rFonts w:hint="eastAsia" w:ascii="Times New Roman" w:hAnsi="Times New Roman" w:eastAsia="宋体" w:cs="Times New Roman"/>
                <w:color w:val="auto"/>
                <w:sz w:val="24"/>
                <w:szCs w:val="24"/>
                <w:highlight w:val="none"/>
                <w:lang w:val="en-US" w:eastAsia="zh-CN"/>
              </w:rPr>
              <w:t>J1</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参考</w:t>
            </w:r>
            <w:r>
              <w:rPr>
                <w:rFonts w:hint="default" w:ascii="Times New Roman" w:hAnsi="Times New Roman" w:eastAsia="宋体" w:cs="Times New Roman"/>
                <w:color w:val="auto"/>
                <w:sz w:val="24"/>
                <w:szCs w:val="24"/>
                <w:highlight w:val="none"/>
              </w:rPr>
              <w:t>《排放源统计调查产排污核算方法和系数手册》中所示</w:t>
            </w:r>
            <w:r>
              <w:rPr>
                <w:rFonts w:hint="default" w:ascii="Times New Roman" w:hAnsi="Times New Roman" w:eastAsia="宋体" w:cs="Times New Roman"/>
                <w:color w:val="auto"/>
                <w:sz w:val="24"/>
                <w:szCs w:val="24"/>
                <w:highlight w:val="none"/>
                <w:lang w:val="en-US" w:eastAsia="zh-CN"/>
              </w:rPr>
              <w:t>感应电炉熔化颗粒物</w:t>
            </w:r>
            <w:r>
              <w:rPr>
                <w:rFonts w:hint="default" w:ascii="Times New Roman" w:hAnsi="Times New Roman" w:eastAsia="宋体" w:cs="Times New Roman"/>
                <w:color w:val="auto"/>
                <w:sz w:val="24"/>
                <w:szCs w:val="24"/>
                <w:highlight w:val="none"/>
              </w:rPr>
              <w:t>产污系数为0.</w:t>
            </w:r>
            <w:r>
              <w:rPr>
                <w:rFonts w:hint="default" w:ascii="Times New Roman" w:hAnsi="Times New Roman" w:eastAsia="宋体" w:cs="Times New Roman"/>
                <w:color w:val="auto"/>
                <w:sz w:val="24"/>
                <w:szCs w:val="24"/>
                <w:highlight w:val="none"/>
                <w:lang w:val="en-US" w:eastAsia="zh-CN"/>
              </w:rPr>
              <w:t>479</w:t>
            </w:r>
            <w:r>
              <w:rPr>
                <w:rFonts w:hint="default" w:ascii="Times New Roman" w:hAnsi="Times New Roman" w:eastAsia="宋体" w:cs="Times New Roman"/>
                <w:color w:val="auto"/>
                <w:sz w:val="24"/>
                <w:szCs w:val="24"/>
                <w:highlight w:val="none"/>
              </w:rPr>
              <w:t>千克/吨-</w:t>
            </w:r>
            <w:r>
              <w:rPr>
                <w:rFonts w:hint="eastAsia" w:ascii="Times New Roman" w:hAnsi="Times New Roman" w:eastAsia="宋体" w:cs="Times New Roman"/>
                <w:color w:val="auto"/>
                <w:sz w:val="24"/>
                <w:szCs w:val="24"/>
                <w:highlight w:val="none"/>
                <w:lang w:eastAsia="zh-CN"/>
              </w:rPr>
              <w:t>产品</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消失模生产线年产铸件</w:t>
            </w:r>
            <w:r>
              <w:rPr>
                <w:rFonts w:hint="eastAsia"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则中频感应电炉</w:t>
            </w:r>
            <w:r>
              <w:rPr>
                <w:rFonts w:hint="default" w:ascii="Times New Roman" w:hAnsi="Times New Roman" w:eastAsia="宋体" w:cs="Times New Roman"/>
                <w:color w:val="auto"/>
                <w:sz w:val="24"/>
                <w:szCs w:val="24"/>
                <w:highlight w:val="none"/>
                <w:lang w:eastAsia="zh-CN"/>
              </w:rPr>
              <w:t>熔化</w:t>
            </w:r>
            <w:r>
              <w:rPr>
                <w:rFonts w:hint="default" w:ascii="Times New Roman" w:hAnsi="Times New Roman" w:eastAsia="宋体" w:cs="Times New Roman"/>
                <w:color w:val="auto"/>
                <w:sz w:val="24"/>
                <w:szCs w:val="24"/>
                <w:highlight w:val="none"/>
              </w:rPr>
              <w:t>工序</w:t>
            </w:r>
            <w:r>
              <w:rPr>
                <w:rFonts w:hint="default" w:ascii="Times New Roman" w:hAnsi="Times New Roman" w:eastAsia="宋体" w:cs="Times New Roman"/>
                <w:color w:val="auto"/>
                <w:sz w:val="24"/>
                <w:szCs w:val="24"/>
                <w:highlight w:val="none"/>
                <w:lang w:val="en-US" w:eastAsia="zh-CN"/>
              </w:rPr>
              <w:t>废气颗粒物</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0.958</w:t>
            </w:r>
            <w:r>
              <w:rPr>
                <w:rFonts w:hint="default" w:ascii="Times New Roman" w:hAnsi="Times New Roman" w:eastAsia="宋体" w:cs="Times New Roman"/>
                <w:color w:val="auto"/>
                <w:sz w:val="24"/>
                <w:szCs w:val="24"/>
                <w:highlight w:val="none"/>
              </w:rPr>
              <w:t>t/a。</w:t>
            </w:r>
          </w:p>
          <w:p w14:paraId="03EEAF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熔化废气</w:t>
            </w:r>
          </w:p>
          <w:p w14:paraId="4DE812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消失模生产线</w:t>
            </w:r>
            <w:r>
              <w:rPr>
                <w:rFonts w:hint="default" w:ascii="Times New Roman" w:hAnsi="Times New Roman" w:eastAsia="宋体" w:cs="Times New Roman"/>
                <w:color w:val="auto"/>
                <w:sz w:val="24"/>
                <w:szCs w:val="24"/>
                <w:highlight w:val="none"/>
              </w:rPr>
              <w:t>中频感应电炉采用顶置整罩式除尘炉盖的集尘方式，</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捕集效率9</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%，捕集的中频感应电炉</w:t>
            </w:r>
            <w:r>
              <w:rPr>
                <w:rFonts w:hint="default" w:ascii="Times New Roman" w:hAnsi="Times New Roman" w:eastAsia="宋体" w:cs="Times New Roman"/>
                <w:color w:val="auto"/>
                <w:sz w:val="24"/>
                <w:szCs w:val="24"/>
                <w:highlight w:val="none"/>
                <w:lang w:eastAsia="zh-CN"/>
              </w:rPr>
              <w:t>熔化</w:t>
            </w:r>
            <w:r>
              <w:rPr>
                <w:rFonts w:hint="default" w:ascii="Times New Roman" w:hAnsi="Times New Roman" w:eastAsia="宋体" w:cs="Times New Roman"/>
                <w:color w:val="auto"/>
                <w:sz w:val="24"/>
                <w:szCs w:val="24"/>
                <w:highlight w:val="none"/>
              </w:rPr>
              <w:t>废气由风机引至</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套</w:t>
            </w:r>
            <w:r>
              <w:rPr>
                <w:rFonts w:hint="eastAsia" w:ascii="Times New Roman" w:hAnsi="Times New Roman" w:eastAsia="宋体" w:cs="Times New Roman"/>
                <w:color w:val="auto"/>
                <w:sz w:val="24"/>
                <w:szCs w:val="24"/>
                <w:highlight w:val="none"/>
                <w:lang w:eastAsia="zh-CN"/>
              </w:rPr>
              <w:t>脉冲布袋除尘器</w:t>
            </w:r>
            <w:r>
              <w:rPr>
                <w:rFonts w:hint="default" w:ascii="Times New Roman" w:hAnsi="Times New Roman" w:eastAsia="宋体" w:cs="Times New Roman"/>
                <w:color w:val="auto"/>
                <w:sz w:val="24"/>
                <w:szCs w:val="24"/>
                <w:highlight w:val="none"/>
              </w:rPr>
              <w:t>进行处理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除尘器</w:t>
            </w:r>
            <w:r>
              <w:rPr>
                <w:rFonts w:hint="default" w:ascii="Times New Roman" w:hAnsi="Times New Roman" w:eastAsia="宋体" w:cs="Times New Roman"/>
                <w:color w:val="auto"/>
                <w:sz w:val="24"/>
                <w:szCs w:val="24"/>
                <w:highlight w:val="none"/>
                <w:lang w:val="en-US" w:eastAsia="zh-CN"/>
              </w:rPr>
              <w:t>处理能力</w:t>
            </w:r>
            <w:r>
              <w:rPr>
                <w:rFonts w:hint="eastAsia" w:ascii="Times New Roman" w:hAnsi="Times New Roman" w:eastAsia="宋体" w:cs="Times New Roman"/>
                <w:color w:val="auto"/>
                <w:sz w:val="24"/>
                <w:szCs w:val="24"/>
                <w:highlight w:val="none"/>
                <w:lang w:val="en-US" w:eastAsia="zh-CN"/>
              </w:rPr>
              <w:t>21600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/h，处理后的废气经排气筒排放，电炉</w:t>
            </w:r>
            <w:r>
              <w:rPr>
                <w:rFonts w:hint="default" w:ascii="Times New Roman" w:hAnsi="Times New Roman" w:eastAsia="宋体" w:cs="Times New Roman"/>
                <w:color w:val="auto"/>
                <w:sz w:val="24"/>
                <w:szCs w:val="24"/>
                <w:highlight w:val="none"/>
                <w:lang w:val="en-US" w:eastAsia="zh-CN"/>
              </w:rPr>
              <w:t>年运行5400h，颗粒物</w:t>
            </w:r>
            <w:r>
              <w:rPr>
                <w:rFonts w:hint="default" w:ascii="Times New Roman" w:hAnsi="Times New Roman" w:eastAsia="宋体" w:cs="Times New Roman"/>
                <w:color w:val="auto"/>
                <w:sz w:val="24"/>
                <w:szCs w:val="24"/>
                <w:highlight w:val="none"/>
              </w:rPr>
              <w:t>排放量为</w:t>
            </w:r>
            <w:r>
              <w:rPr>
                <w:rFonts w:hint="eastAsia" w:ascii="Times New Roman" w:hAnsi="Times New Roman" w:eastAsia="宋体" w:cs="Times New Roman"/>
                <w:color w:val="auto"/>
                <w:sz w:val="24"/>
                <w:szCs w:val="24"/>
                <w:highlight w:val="none"/>
                <w:lang w:val="en-US" w:eastAsia="zh-CN"/>
              </w:rPr>
              <w:t>0.0479</w:t>
            </w:r>
            <w:r>
              <w:rPr>
                <w:rFonts w:hint="default" w:ascii="Times New Roman" w:hAnsi="Times New Roman" w:eastAsia="宋体" w:cs="Times New Roman"/>
                <w:color w:val="auto"/>
                <w:sz w:val="24"/>
                <w:szCs w:val="24"/>
                <w:highlight w:val="none"/>
              </w:rPr>
              <w:t>t/a，排放速率为</w:t>
            </w:r>
            <w:r>
              <w:rPr>
                <w:rFonts w:hint="default" w:ascii="Times New Roman" w:hAnsi="Times New Roman" w:eastAsia="宋体" w:cs="Times New Roman"/>
                <w:color w:val="auto"/>
                <w:sz w:val="24"/>
                <w:szCs w:val="24"/>
                <w:highlight w:val="none"/>
                <w:lang w:eastAsia="zh-CN"/>
              </w:rPr>
              <w:t>0</w:t>
            </w:r>
            <w:r>
              <w:rPr>
                <w:rFonts w:hint="eastAsia" w:ascii="Times New Roman" w:hAnsi="Times New Roman" w:eastAsia="宋体" w:cs="Times New Roman"/>
                <w:color w:val="auto"/>
                <w:sz w:val="24"/>
                <w:szCs w:val="24"/>
                <w:highlight w:val="none"/>
                <w:lang w:val="en-US" w:eastAsia="zh-CN"/>
              </w:rPr>
              <w:t>.0089</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eastAsia="宋体" w:cs="Times New Roman"/>
                <w:color w:val="auto"/>
                <w:sz w:val="24"/>
                <w:szCs w:val="24"/>
                <w:highlight w:val="none"/>
                <w:lang w:val="en-US" w:eastAsia="zh-CN"/>
              </w:rPr>
              <w:t>0.412</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szCs w:val="24"/>
                <w:highlight w:val="none"/>
                <w:lang w:val="en-US" w:eastAsia="zh-CN"/>
              </w:rPr>
              <w:t>《铸造工业大气污染物排放标准》（GB39726</w:t>
            </w:r>
            <w:r>
              <w:rPr>
                <w:rFonts w:hint="default" w:ascii="Times New Roman" w:hAnsi="Times New Roman" w:eastAsia="宋体" w:cs="Times New Roman"/>
                <w:color w:val="auto"/>
                <w:sz w:val="24"/>
                <w:szCs w:val="24"/>
                <w:highlight w:val="none"/>
                <w:lang w:val="en-US" w:eastAsia="zh-CN"/>
              </w:rPr>
              <w:t>-2020）表1大气污染物</w:t>
            </w:r>
            <w:r>
              <w:rPr>
                <w:rFonts w:hint="default" w:ascii="Times New Roman" w:hAnsi="Times New Roman" w:eastAsia="宋体" w:cs="Times New Roman"/>
                <w:color w:val="auto"/>
                <w:sz w:val="24"/>
                <w:szCs w:val="24"/>
                <w:highlight w:val="none"/>
              </w:rPr>
              <w:t>排放限值。</w:t>
            </w:r>
          </w:p>
          <w:p w14:paraId="2F1C99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②浇注废气</w:t>
            </w:r>
          </w:p>
          <w:p w14:paraId="3A108D8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参照《排放源统计调查产排污核算方法和系数手册》</w:t>
            </w:r>
            <w:r>
              <w:rPr>
                <w:rFonts w:hint="default" w:ascii="Times New Roman" w:hAnsi="Times New Roman" w:eastAsia="宋体" w:cs="Times New Roman"/>
                <w:color w:val="auto"/>
                <w:sz w:val="24"/>
                <w:szCs w:val="24"/>
                <w:highlight w:val="none"/>
                <w:lang w:val="en-US" w:eastAsia="zh-CN"/>
              </w:rPr>
              <w:t>铸造行业</w:t>
            </w:r>
            <w:r>
              <w:rPr>
                <w:rFonts w:hint="default" w:ascii="Times New Roman" w:hAnsi="Times New Roman" w:eastAsia="宋体" w:cs="Times New Roman"/>
                <w:color w:val="auto"/>
                <w:sz w:val="24"/>
                <w:szCs w:val="24"/>
                <w:highlight w:val="none"/>
                <w:lang w:eastAsia="zh-CN"/>
              </w:rPr>
              <w:t>浇注(消失模/实型）</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产污系数为0.</w:t>
            </w:r>
            <w:r>
              <w:rPr>
                <w:rFonts w:hint="default" w:ascii="Times New Roman" w:hAnsi="Times New Roman" w:eastAsia="宋体" w:cs="Times New Roman"/>
                <w:color w:val="auto"/>
                <w:sz w:val="24"/>
                <w:szCs w:val="24"/>
                <w:highlight w:val="none"/>
                <w:lang w:val="en-US" w:eastAsia="zh-CN"/>
              </w:rPr>
              <w:t>967</w:t>
            </w:r>
            <w:r>
              <w:rPr>
                <w:rFonts w:hint="default" w:ascii="Times New Roman" w:hAnsi="Times New Roman" w:eastAsia="宋体" w:cs="Times New Roman"/>
                <w:color w:val="auto"/>
                <w:sz w:val="24"/>
                <w:szCs w:val="24"/>
                <w:highlight w:val="none"/>
              </w:rPr>
              <w:t>千克/吨-产品</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树脂砂</w:t>
            </w:r>
            <w:r>
              <w:rPr>
                <w:rFonts w:hint="default" w:ascii="Times New Roman" w:hAnsi="Times New Roman" w:eastAsia="宋体" w:cs="Times New Roman"/>
                <w:color w:val="auto"/>
                <w:sz w:val="24"/>
                <w:szCs w:val="24"/>
                <w:highlight w:val="none"/>
                <w:lang w:val="en-US" w:eastAsia="zh-CN"/>
              </w:rPr>
              <w:t>消失模生产线设计年产铸件共</w:t>
            </w:r>
            <w:r>
              <w:rPr>
                <w:rFonts w:hint="eastAsia"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浇注</w:t>
            </w:r>
            <w:r>
              <w:rPr>
                <w:rFonts w:hint="default" w:ascii="Times New Roman" w:hAnsi="Times New Roman" w:eastAsia="宋体" w:cs="Times New Roman"/>
                <w:color w:val="auto"/>
                <w:sz w:val="24"/>
                <w:szCs w:val="24"/>
                <w:highlight w:val="none"/>
              </w:rPr>
              <w:t>工序</w:t>
            </w:r>
            <w:r>
              <w:rPr>
                <w:rFonts w:hint="default" w:ascii="Times New Roman" w:hAnsi="Times New Roman" w:eastAsia="宋体" w:cs="Times New Roman"/>
                <w:color w:val="auto"/>
                <w:sz w:val="24"/>
                <w:szCs w:val="24"/>
                <w:highlight w:val="none"/>
                <w:lang w:val="en-US" w:eastAsia="zh-CN"/>
              </w:rPr>
              <w:t>废气颗粒物</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1.934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聚苯乙烯在铸造浇注过程（</w:t>
            </w:r>
            <w:r>
              <w:rPr>
                <w:rFonts w:hint="default" w:ascii="Times New Roman" w:hAnsi="Times New Roman" w:eastAsia="宋体" w:cs="Times New Roman"/>
                <w:color w:val="auto"/>
                <w:sz w:val="24"/>
                <w:szCs w:val="24"/>
                <w:highlight w:val="none"/>
                <w:lang w:val="en-US" w:eastAsia="zh-CN"/>
              </w:rPr>
              <w:t>1400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）热解生成物组成：氢11%、二氧化碳0.5%、一氧化碳7.5%、甲烷9.0%、非甲烷总烃计12.01%（包含苯、甲苯、苯乙烯）、炭黑50%，</w:t>
            </w:r>
            <w:r>
              <w:rPr>
                <w:rFonts w:hint="eastAsia" w:ascii="Times New Roman" w:hAnsi="Times New Roman" w:eastAsia="宋体" w:cs="Times New Roman"/>
                <w:color w:val="auto"/>
                <w:sz w:val="24"/>
                <w:szCs w:val="24"/>
                <w:highlight w:val="none"/>
                <w:lang w:val="en-US" w:eastAsia="zh-CN"/>
              </w:rPr>
              <w:t>树脂砂</w:t>
            </w:r>
            <w:r>
              <w:rPr>
                <w:rFonts w:hint="default" w:ascii="Times New Roman" w:hAnsi="Times New Roman" w:eastAsia="宋体" w:cs="Times New Roman"/>
                <w:color w:val="auto"/>
                <w:sz w:val="24"/>
                <w:szCs w:val="24"/>
                <w:highlight w:val="none"/>
                <w:lang w:val="en-US" w:eastAsia="zh-CN"/>
              </w:rPr>
              <w:t>消失模生产线净消耗聚苯乙烯板</w:t>
            </w:r>
            <w:r>
              <w:rPr>
                <w:rFonts w:hint="eastAsia" w:ascii="Times New Roman" w:hAnsi="Times New Roman" w:eastAsia="宋体" w:cs="Times New Roman"/>
                <w:color w:val="auto"/>
                <w:sz w:val="24"/>
                <w:szCs w:val="24"/>
                <w:highlight w:val="none"/>
                <w:lang w:val="en-US" w:eastAsia="zh-CN"/>
              </w:rPr>
              <w:t>9.214</w:t>
            </w:r>
            <w:r>
              <w:rPr>
                <w:rFonts w:hint="default" w:ascii="Times New Roman" w:hAnsi="Times New Roman" w:eastAsia="宋体" w:cs="Times New Roman"/>
                <w:color w:val="auto"/>
                <w:sz w:val="24"/>
                <w:szCs w:val="24"/>
                <w:highlight w:val="none"/>
                <w:lang w:val="en-US" w:eastAsia="zh-CN"/>
              </w:rPr>
              <w:t>t（不包括加工下脚料），</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浇注</w:t>
            </w:r>
            <w:r>
              <w:rPr>
                <w:rFonts w:hint="default" w:ascii="Times New Roman" w:hAnsi="Times New Roman" w:eastAsia="宋体" w:cs="Times New Roman"/>
                <w:color w:val="auto"/>
                <w:sz w:val="24"/>
                <w:szCs w:val="24"/>
                <w:highlight w:val="none"/>
              </w:rPr>
              <w:t>工序</w:t>
            </w:r>
            <w:r>
              <w:rPr>
                <w:rFonts w:hint="default" w:ascii="Times New Roman" w:hAnsi="Times New Roman" w:eastAsia="宋体" w:cs="Times New Roman"/>
                <w:color w:val="auto"/>
                <w:sz w:val="24"/>
                <w:szCs w:val="24"/>
                <w:highlight w:val="none"/>
                <w:lang w:val="en-US" w:eastAsia="zh-CN"/>
              </w:rPr>
              <w:t>产生废气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挥发性有机污染物非甲烷总烃为</w:t>
            </w:r>
            <w:r>
              <w:rPr>
                <w:rFonts w:hint="eastAsia" w:ascii="Times New Roman" w:hAnsi="Times New Roman" w:eastAsia="宋体" w:cs="Times New Roman"/>
                <w:color w:val="auto"/>
                <w:sz w:val="24"/>
                <w:szCs w:val="24"/>
                <w:highlight w:val="none"/>
                <w:lang w:val="en-US" w:eastAsia="zh-CN"/>
              </w:rPr>
              <w:t>1.106</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；邦尼树脂年用量为</w:t>
            </w:r>
            <w:r>
              <w:rPr>
                <w:rFonts w:hint="eastAsia" w:ascii="Times New Roman" w:hAnsi="Times New Roman" w:eastAsia="宋体" w:cs="Times New Roman"/>
                <w:color w:val="auto"/>
                <w:sz w:val="24"/>
                <w:szCs w:val="24"/>
                <w:highlight w:val="none"/>
                <w:lang w:val="en-US" w:eastAsia="zh-CN"/>
              </w:rPr>
              <w:t>188t/a，</w:t>
            </w:r>
            <w:r>
              <w:rPr>
                <w:rFonts w:hint="eastAsia" w:cs="Times New Roman"/>
                <w:color w:val="auto"/>
                <w:sz w:val="24"/>
                <w:szCs w:val="24"/>
                <w:highlight w:val="none"/>
                <w:lang w:val="en-US" w:eastAsia="zh-CN"/>
              </w:rPr>
              <w:t>其中邦尼树脂经高温转化后，产生的非甲烷总烃占比为1.2%，则非甲烷产生量为2.256吨。</w:t>
            </w:r>
            <w:r>
              <w:rPr>
                <w:rFonts w:hint="default" w:ascii="Times New Roman" w:hAnsi="Times New Roman" w:eastAsia="宋体" w:cs="Times New Roman"/>
                <w:color w:val="auto"/>
                <w:sz w:val="24"/>
                <w:szCs w:val="24"/>
                <w:highlight w:val="none"/>
              </w:rPr>
              <w:t>浇注工位</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设置侧顶吸式集气罩，</w:t>
            </w:r>
            <w:r>
              <w:rPr>
                <w:rFonts w:hint="default" w:ascii="Times New Roman" w:hAnsi="Times New Roman" w:eastAsia="宋体" w:cs="Times New Roman"/>
                <w:color w:val="auto"/>
                <w:sz w:val="24"/>
                <w:szCs w:val="24"/>
                <w:highlight w:val="none"/>
                <w:lang w:val="en-US" w:eastAsia="zh-CN"/>
              </w:rPr>
              <w:t>综合废气</w:t>
            </w:r>
            <w:r>
              <w:rPr>
                <w:rFonts w:hint="default" w:ascii="Times New Roman" w:hAnsi="Times New Roman" w:eastAsia="宋体" w:cs="Times New Roman"/>
                <w:color w:val="auto"/>
                <w:sz w:val="24"/>
                <w:szCs w:val="24"/>
                <w:highlight w:val="none"/>
              </w:rPr>
              <w:t>捕集效率9</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捕集的</w:t>
            </w:r>
            <w:r>
              <w:rPr>
                <w:rFonts w:hint="default" w:ascii="Times New Roman" w:hAnsi="Times New Roman" w:eastAsia="宋体" w:cs="Times New Roman"/>
                <w:color w:val="auto"/>
                <w:sz w:val="24"/>
                <w:szCs w:val="24"/>
                <w:highlight w:val="none"/>
                <w:lang w:val="en-US" w:eastAsia="zh-CN"/>
              </w:rPr>
              <w:t>浇注过程废气</w:t>
            </w:r>
            <w:r>
              <w:rPr>
                <w:rFonts w:hint="default" w:ascii="Times New Roman" w:hAnsi="Times New Roman" w:eastAsia="宋体" w:cs="Times New Roman"/>
                <w:color w:val="auto"/>
                <w:sz w:val="24"/>
                <w:szCs w:val="24"/>
                <w:highlight w:val="none"/>
              </w:rPr>
              <w:t>由风机引至</w:t>
            </w:r>
            <w:r>
              <w:rPr>
                <w:rFonts w:hint="eastAsia" w:ascii="Times New Roman" w:hAnsi="Times New Roman" w:eastAsia="宋体" w:cs="Times New Roman"/>
                <w:color w:val="auto"/>
                <w:sz w:val="24"/>
                <w:szCs w:val="24"/>
                <w:highlight w:val="none"/>
                <w:lang w:eastAsia="zh-CN"/>
              </w:rPr>
              <w:t>脉冲布袋除尘器</w:t>
            </w:r>
            <w:r>
              <w:rPr>
                <w:rFonts w:hint="eastAsia" w:ascii="Times New Roman" w:hAnsi="Times New Roman" w:eastAsia="宋体" w:cs="Times New Roman"/>
                <w:color w:val="auto"/>
                <w:sz w:val="24"/>
                <w:szCs w:val="24"/>
                <w:highlight w:val="none"/>
                <w:lang w:val="en-US" w:eastAsia="zh-CN"/>
              </w:rPr>
              <w:t>2+光氧机</w:t>
            </w:r>
            <w:r>
              <w:rPr>
                <w:rFonts w:hint="default" w:ascii="Times New Roman" w:hAnsi="Times New Roman" w:eastAsia="宋体" w:cs="Times New Roman"/>
                <w:color w:val="auto"/>
                <w:sz w:val="24"/>
                <w:szCs w:val="24"/>
                <w:highlight w:val="none"/>
              </w:rPr>
              <w:t>进行处理，</w:t>
            </w:r>
            <w:r>
              <w:rPr>
                <w:rFonts w:hint="default" w:ascii="Times New Roman" w:hAnsi="Times New Roman" w:eastAsia="宋体" w:cs="Times New Roman"/>
                <w:color w:val="auto"/>
                <w:sz w:val="24"/>
                <w:szCs w:val="24"/>
                <w:highlight w:val="none"/>
                <w:lang w:val="en-US" w:eastAsia="zh-CN"/>
              </w:rPr>
              <w:t>除尘器处理能力</w:t>
            </w:r>
            <w:r>
              <w:rPr>
                <w:rFonts w:hint="eastAsia" w:ascii="Times New Roman" w:hAnsi="Times New Roman" w:eastAsia="宋体" w:cs="Times New Roman"/>
                <w:color w:val="auto"/>
                <w:sz w:val="24"/>
                <w:szCs w:val="24"/>
                <w:highlight w:val="none"/>
                <w:lang w:val="en-US" w:eastAsia="zh-CN"/>
              </w:rPr>
              <w:t>21600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b w:val="0"/>
                <w:bCs w:val="0"/>
                <w:color w:val="auto"/>
                <w:sz w:val="24"/>
                <w:szCs w:val="24"/>
                <w:highlight w:val="none"/>
                <w:lang w:val="en-US" w:eastAsia="zh-CN"/>
              </w:rPr>
              <w:t>处理后</w:t>
            </w:r>
            <w:r>
              <w:rPr>
                <w:rFonts w:hint="default" w:ascii="Times New Roman" w:hAnsi="Times New Roman" w:eastAsia="宋体" w:cs="Times New Roman"/>
                <w:b w:val="0"/>
                <w:bCs w:val="0"/>
                <w:color w:val="auto"/>
                <w:sz w:val="24"/>
                <w:szCs w:val="24"/>
                <w:highlight w:val="none"/>
              </w:rPr>
              <w:t>经排气筒排放</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脉冲布袋除尘器</w:t>
            </w:r>
            <w:r>
              <w:rPr>
                <w:rFonts w:hint="default" w:ascii="Times New Roman" w:hAnsi="Times New Roman" w:eastAsia="宋体" w:cs="Times New Roman"/>
                <w:color w:val="auto"/>
                <w:sz w:val="24"/>
                <w:szCs w:val="24"/>
                <w:highlight w:val="none"/>
                <w:lang w:val="en-US" w:eastAsia="zh-CN"/>
              </w:rPr>
              <w:t>效率为</w:t>
            </w: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，浇注年运行6000h则颗粒物有组织</w:t>
            </w:r>
            <w:r>
              <w:rPr>
                <w:rFonts w:hint="default" w:ascii="Times New Roman" w:hAnsi="Times New Roman" w:eastAsia="宋体" w:cs="Times New Roman"/>
                <w:color w:val="auto"/>
                <w:sz w:val="24"/>
                <w:szCs w:val="24"/>
                <w:highlight w:val="none"/>
              </w:rPr>
              <w:t>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0967</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排放速率为</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eastAsia="宋体" w:cs="Times New Roman"/>
                <w:color w:val="auto"/>
                <w:sz w:val="24"/>
                <w:szCs w:val="24"/>
                <w:highlight w:val="none"/>
                <w:lang w:val="en-US" w:eastAsia="zh-CN"/>
              </w:rPr>
              <w:t>0.74</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满足《铸造工业大气污染物排放标准》（GB39726-2020）表1排放限值；非甲烷总烃</w:t>
            </w:r>
            <w:r>
              <w:rPr>
                <w:rFonts w:hint="default"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rPr>
              <w:t>排放量为</w:t>
            </w:r>
            <w:r>
              <w:rPr>
                <w:rFonts w:hint="eastAsia" w:ascii="Times New Roman" w:hAnsi="Times New Roman" w:eastAsia="宋体" w:cs="Times New Roman"/>
                <w:color w:val="auto"/>
                <w:sz w:val="24"/>
                <w:szCs w:val="24"/>
                <w:highlight w:val="none"/>
                <w:lang w:val="en-US" w:eastAsia="zh-CN"/>
              </w:rPr>
              <w:t>0.1892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rPr>
              <w:t>排放速率为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0315</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eastAsia="宋体" w:cs="Times New Roman"/>
                <w:color w:val="auto"/>
                <w:sz w:val="24"/>
                <w:szCs w:val="24"/>
                <w:highlight w:val="none"/>
                <w:lang w:val="en-US" w:eastAsia="zh-CN"/>
              </w:rPr>
              <w:t>1.45</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满足《工业企业挥发性有机物排放控制标准》（DB13/2322-2016）表1其他行业最高允许排放浓度限值</w:t>
            </w:r>
            <w:r>
              <w:rPr>
                <w:rFonts w:hint="eastAsia" w:ascii="Times New Roman" w:hAnsi="Times New Roman" w:eastAsia="宋体" w:cs="Times New Roman"/>
                <w:color w:val="auto"/>
                <w:sz w:val="24"/>
                <w:szCs w:val="24"/>
                <w:highlight w:val="none"/>
                <w:lang w:val="en-US" w:eastAsia="zh-CN"/>
              </w:rPr>
              <w:t>。</w:t>
            </w:r>
          </w:p>
          <w:p w14:paraId="2CC2AC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b w:val="0"/>
                <w:bCs w:val="0"/>
                <w:color w:val="auto"/>
                <w:sz w:val="24"/>
                <w:szCs w:val="24"/>
                <w:highlight w:val="none"/>
                <w:lang w:val="en-US" w:eastAsia="zh-CN"/>
              </w:rPr>
              <w:t>砂处理</w:t>
            </w:r>
            <w:r>
              <w:rPr>
                <w:rFonts w:hint="eastAsia" w:ascii="Times New Roman" w:hAnsi="Times New Roman" w:eastAsia="宋体" w:cs="Times New Roman"/>
                <w:b w:val="0"/>
                <w:bCs w:val="0"/>
                <w:color w:val="auto"/>
                <w:sz w:val="24"/>
                <w:szCs w:val="24"/>
                <w:highlight w:val="none"/>
                <w:lang w:val="en-US" w:eastAsia="zh-CN"/>
              </w:rPr>
              <w:t>系统</w:t>
            </w:r>
            <w:r>
              <w:rPr>
                <w:rFonts w:hint="default" w:ascii="Times New Roman" w:hAnsi="Times New Roman" w:eastAsia="宋体" w:cs="Times New Roman"/>
                <w:b w:val="0"/>
                <w:bCs w:val="0"/>
                <w:color w:val="auto"/>
                <w:sz w:val="24"/>
                <w:szCs w:val="24"/>
                <w:highlight w:val="none"/>
                <w:lang w:val="en-US" w:eastAsia="zh-CN"/>
              </w:rPr>
              <w:t>废气</w:t>
            </w:r>
          </w:p>
          <w:p w14:paraId="6789F90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参照《排放源统计调查产排污核算方法和系数手册》</w:t>
            </w:r>
            <w:r>
              <w:rPr>
                <w:rFonts w:hint="default" w:ascii="Times New Roman" w:hAnsi="Times New Roman" w:eastAsia="宋体" w:cs="Times New Roman"/>
                <w:color w:val="auto"/>
                <w:sz w:val="24"/>
                <w:szCs w:val="24"/>
                <w:highlight w:val="none"/>
                <w:lang w:val="en-US" w:eastAsia="zh-CN"/>
              </w:rPr>
              <w:t>铸造行业</w:t>
            </w:r>
            <w:r>
              <w:rPr>
                <w:rFonts w:hint="default" w:ascii="Times New Roman" w:hAnsi="Times New Roman" w:eastAsia="宋体" w:cs="Times New Roman"/>
                <w:color w:val="auto"/>
                <w:sz w:val="24"/>
                <w:szCs w:val="24"/>
                <w:highlight w:val="none"/>
                <w:lang w:eastAsia="zh-CN"/>
              </w:rPr>
              <w:t>砂处理(</w:t>
            </w:r>
            <w:r>
              <w:rPr>
                <w:rFonts w:hint="default" w:ascii="Times New Roman" w:hAnsi="Times New Roman" w:eastAsia="宋体" w:cs="Times New Roman"/>
                <w:color w:val="auto"/>
                <w:sz w:val="24"/>
                <w:szCs w:val="24"/>
                <w:highlight w:val="none"/>
                <w:lang w:val="en-US" w:eastAsia="zh-CN"/>
              </w:rPr>
              <w:t>树脂砂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产污系数为</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千克/吨-产品。</w:t>
            </w:r>
            <w:r>
              <w:rPr>
                <w:rFonts w:hint="default" w:ascii="Times New Roman" w:hAnsi="Times New Roman" w:eastAsia="宋体" w:cs="Times New Roman"/>
                <w:color w:val="auto"/>
                <w:sz w:val="24"/>
                <w:szCs w:val="24"/>
                <w:highlight w:val="none"/>
                <w:lang w:val="en-US" w:eastAsia="zh-CN"/>
              </w:rPr>
              <w:t>消失模生产线涉及树脂砂铸件年产</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000t，则树脂砂砂处理系统</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废气颗粒物</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砂处理系统为封闭设备，废气捕集效率100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砂处理过程废气</w:t>
            </w:r>
            <w:r>
              <w:rPr>
                <w:rFonts w:hint="default" w:ascii="Times New Roman" w:hAnsi="Times New Roman" w:eastAsia="宋体" w:cs="Times New Roman"/>
                <w:color w:val="auto"/>
                <w:sz w:val="24"/>
                <w:szCs w:val="24"/>
                <w:highlight w:val="none"/>
              </w:rPr>
              <w:t>由风机引至</w:t>
            </w:r>
            <w:r>
              <w:rPr>
                <w:rFonts w:hint="eastAsia" w:ascii="Times New Roman" w:hAnsi="Times New Roman" w:eastAsia="宋体" w:cs="Times New Roman"/>
                <w:color w:val="auto"/>
                <w:sz w:val="24"/>
                <w:szCs w:val="24"/>
                <w:highlight w:val="none"/>
                <w:lang w:eastAsia="zh-CN"/>
              </w:rPr>
              <w:t>脉冲布袋除尘器</w:t>
            </w:r>
            <w:r>
              <w:rPr>
                <w:rFonts w:hint="default" w:ascii="Times New Roman" w:hAnsi="Times New Roman" w:eastAsia="宋体" w:cs="Times New Roman"/>
                <w:color w:val="auto"/>
                <w:sz w:val="24"/>
                <w:szCs w:val="24"/>
                <w:highlight w:val="none"/>
              </w:rPr>
              <w:t>进行处理，</w:t>
            </w:r>
            <w:r>
              <w:rPr>
                <w:rFonts w:hint="default" w:ascii="Times New Roman" w:hAnsi="Times New Roman" w:eastAsia="宋体" w:cs="Times New Roman"/>
                <w:color w:val="auto"/>
                <w:sz w:val="24"/>
                <w:szCs w:val="24"/>
                <w:highlight w:val="none"/>
                <w:lang w:val="en-US" w:eastAsia="zh-CN"/>
              </w:rPr>
              <w:t>除尘器处理能力</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b w:val="0"/>
                <w:bCs w:val="0"/>
                <w:color w:val="auto"/>
                <w:sz w:val="24"/>
                <w:szCs w:val="24"/>
                <w:highlight w:val="none"/>
                <w:lang w:val="en-US" w:eastAsia="zh-CN"/>
              </w:rPr>
              <w:t>处理后</w:t>
            </w:r>
            <w:r>
              <w:rPr>
                <w:rFonts w:hint="default" w:ascii="Times New Roman" w:hAnsi="Times New Roman" w:eastAsia="宋体" w:cs="Times New Roman"/>
                <w:b w:val="0"/>
                <w:bCs w:val="0"/>
                <w:color w:val="auto"/>
                <w:sz w:val="24"/>
                <w:szCs w:val="24"/>
                <w:highlight w:val="none"/>
              </w:rPr>
              <w:t>经排气筒排放</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脉冲袋式除尘器效率为</w:t>
            </w: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，浇注、砂处理年运行6000h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则颗粒物有组织</w:t>
            </w:r>
            <w:r>
              <w:rPr>
                <w:rFonts w:hint="default" w:ascii="Times New Roman" w:hAnsi="Times New Roman" w:eastAsia="宋体" w:cs="Times New Roman"/>
                <w:color w:val="auto"/>
                <w:sz w:val="24"/>
                <w:szCs w:val="24"/>
                <w:highlight w:val="none"/>
              </w:rPr>
              <w:t>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rPr>
              <w:t>排放速率为</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53</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eastAsia="宋体" w:cs="Times New Roman"/>
                <w:color w:val="auto"/>
                <w:sz w:val="24"/>
                <w:szCs w:val="24"/>
                <w:highlight w:val="none"/>
                <w:lang w:val="en-US" w:eastAsia="zh-CN"/>
              </w:rPr>
              <w:t>1.77</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满足《铸造工业大气污染物排放标准》（GB39726-2020）表1排放限值</w:t>
            </w:r>
            <w:r>
              <w:rPr>
                <w:rFonts w:hint="eastAsia" w:ascii="Times New Roman" w:hAnsi="Times New Roman" w:eastAsia="宋体" w:cs="Times New Roman"/>
                <w:color w:val="auto"/>
                <w:sz w:val="24"/>
                <w:szCs w:val="24"/>
                <w:highlight w:val="none"/>
                <w:lang w:val="en-US" w:eastAsia="zh-CN"/>
              </w:rPr>
              <w:t>。</w:t>
            </w:r>
          </w:p>
          <w:p w14:paraId="5B5DD5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④抛丸废气</w:t>
            </w:r>
          </w:p>
          <w:p w14:paraId="5D3523C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本项目渣浆泵过流件需进行抛丸加工，抛丸加工过程废气由</w:t>
            </w:r>
            <w:r>
              <w:rPr>
                <w:rFonts w:hint="default" w:ascii="Times New Roman" w:hAnsi="Times New Roman" w:eastAsia="宋体" w:cs="Times New Roman"/>
                <w:b w:val="0"/>
                <w:bCs w:val="0"/>
                <w:color w:val="auto"/>
                <w:sz w:val="24"/>
                <w:szCs w:val="24"/>
                <w:highlight w:val="none"/>
              </w:rPr>
              <w:t>风机引至布袋除尘器进行处理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处理后</w:t>
            </w:r>
            <w:r>
              <w:rPr>
                <w:rFonts w:hint="default" w:ascii="Times New Roman" w:hAnsi="Times New Roman" w:eastAsia="宋体" w:cs="Times New Roman"/>
                <w:b w:val="0"/>
                <w:bCs w:val="0"/>
                <w:color w:val="auto"/>
                <w:sz w:val="24"/>
                <w:szCs w:val="24"/>
                <w:highlight w:val="none"/>
              </w:rPr>
              <w:t>经排气筒排放</w:t>
            </w:r>
            <w:r>
              <w:rPr>
                <w:rFonts w:hint="default" w:ascii="Times New Roman" w:hAnsi="Times New Roman" w:eastAsia="宋体" w:cs="Times New Roman"/>
                <w:color w:val="auto"/>
                <w:sz w:val="24"/>
                <w:szCs w:val="24"/>
                <w:highlight w:val="none"/>
                <w:lang w:val="en-US" w:eastAsia="zh-CN"/>
              </w:rPr>
              <w:t>。</w:t>
            </w:r>
          </w:p>
          <w:p w14:paraId="288A79D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参照《排放源统计调查产排污核算方法和系数手册》</w:t>
            </w:r>
            <w:r>
              <w:rPr>
                <w:rFonts w:hint="default" w:ascii="Times New Roman" w:hAnsi="Times New Roman" w:eastAsia="宋体" w:cs="Times New Roman"/>
                <w:color w:val="auto"/>
                <w:sz w:val="24"/>
                <w:szCs w:val="24"/>
                <w:highlight w:val="none"/>
                <w:lang w:val="en-US" w:eastAsia="zh-CN"/>
              </w:rPr>
              <w:t>铸造行业抛丸、喷砂、打磨工艺颗粒物</w:t>
            </w:r>
            <w:r>
              <w:rPr>
                <w:rFonts w:hint="default" w:ascii="Times New Roman" w:hAnsi="Times New Roman" w:eastAsia="宋体" w:cs="Times New Roman"/>
                <w:color w:val="auto"/>
                <w:sz w:val="24"/>
                <w:szCs w:val="24"/>
                <w:highlight w:val="none"/>
              </w:rPr>
              <w:t>产污系数</w:t>
            </w:r>
            <w:r>
              <w:rPr>
                <w:rFonts w:hint="default" w:ascii="Times New Roman" w:hAnsi="Times New Roman" w:eastAsia="宋体" w:cs="Times New Roman"/>
                <w:color w:val="auto"/>
                <w:sz w:val="24"/>
                <w:szCs w:val="24"/>
                <w:highlight w:val="none"/>
                <w:lang w:val="en-US" w:eastAsia="zh-CN"/>
              </w:rPr>
              <w:t>2.19</w:t>
            </w:r>
            <w:r>
              <w:rPr>
                <w:rFonts w:hint="default" w:ascii="Times New Roman" w:hAnsi="Times New Roman" w:eastAsia="宋体" w:cs="Times New Roman"/>
                <w:color w:val="auto"/>
                <w:sz w:val="24"/>
                <w:szCs w:val="24"/>
                <w:highlight w:val="none"/>
              </w:rPr>
              <w:t>千克/吨-产品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袋式除尘器效率</w:t>
            </w: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渣浆泵过流件</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000t，</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抛丸</w:t>
            </w:r>
            <w:r>
              <w:rPr>
                <w:rFonts w:hint="default" w:ascii="Times New Roman" w:hAnsi="Times New Roman" w:eastAsia="宋体" w:cs="Times New Roman"/>
                <w:color w:val="auto"/>
                <w:sz w:val="24"/>
                <w:szCs w:val="24"/>
                <w:highlight w:val="none"/>
              </w:rPr>
              <w:t>工序的</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4.38</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p>
          <w:p w14:paraId="11CB84E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highlight w:val="none"/>
              </w:rPr>
            </w:pPr>
            <w:r>
              <w:rPr>
                <w:rFonts w:hint="default" w:ascii="Times New Roman" w:hAnsi="Times New Roman" w:eastAsia="宋体" w:cs="Times New Roman"/>
                <w:color w:val="auto"/>
                <w:sz w:val="24"/>
                <w:szCs w:val="24"/>
                <w:highlight w:val="none"/>
                <w:lang w:val="en-US" w:eastAsia="zh-CN"/>
              </w:rPr>
              <w:t>抛丸工段单独进行封闭处理，</w:t>
            </w:r>
            <w:r>
              <w:rPr>
                <w:rFonts w:hint="default" w:ascii="Times New Roman" w:hAnsi="Times New Roman" w:eastAsia="宋体" w:cs="Times New Roman"/>
                <w:color w:val="auto"/>
                <w:sz w:val="24"/>
                <w:szCs w:val="24"/>
                <w:highlight w:val="none"/>
              </w:rPr>
              <w:t>设置顶吸式集气罩，</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捕集效率</w:t>
            </w:r>
            <w:r>
              <w:rPr>
                <w:rFonts w:hint="default"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捕集的</w:t>
            </w:r>
            <w:r>
              <w:rPr>
                <w:rFonts w:hint="default"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由风机引至布袋除尘器进行处理，</w:t>
            </w:r>
            <w:r>
              <w:rPr>
                <w:rFonts w:hint="eastAsia" w:ascii="Times New Roman" w:hAnsi="Times New Roman" w:eastAsia="宋体" w:cs="Times New Roman"/>
                <w:color w:val="auto"/>
                <w:sz w:val="24"/>
                <w:szCs w:val="24"/>
                <w:highlight w:val="none"/>
                <w:lang w:eastAsia="zh-CN"/>
              </w:rPr>
              <w:t>布袋</w:t>
            </w:r>
            <w:r>
              <w:rPr>
                <w:rFonts w:hint="default" w:ascii="Times New Roman" w:hAnsi="Times New Roman" w:eastAsia="宋体" w:cs="Times New Roman"/>
                <w:color w:val="auto"/>
                <w:sz w:val="24"/>
                <w:szCs w:val="24"/>
                <w:highlight w:val="none"/>
                <w:lang w:val="en-US" w:eastAsia="zh-CN"/>
              </w:rPr>
              <w:t>除尘器效率为</w:t>
            </w:r>
            <w:r>
              <w:rPr>
                <w:rFonts w:hint="default"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处理后</w:t>
            </w:r>
            <w:r>
              <w:rPr>
                <w:rFonts w:hint="default" w:ascii="Times New Roman" w:hAnsi="Times New Roman" w:eastAsia="宋体" w:cs="Times New Roman"/>
                <w:b w:val="0"/>
                <w:bCs w:val="0"/>
                <w:color w:val="auto"/>
                <w:sz w:val="24"/>
                <w:szCs w:val="24"/>
                <w:highlight w:val="none"/>
              </w:rPr>
              <w:t>经排气筒排放</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除尘器处理能力8</w:t>
            </w:r>
            <w:r>
              <w:rPr>
                <w:rFonts w:hint="default" w:ascii="Times New Roman" w:hAnsi="Times New Roman" w:eastAsia="宋体" w:cs="Times New Roman"/>
                <w:color w:val="auto"/>
                <w:sz w:val="24"/>
                <w:szCs w:val="24"/>
                <w:highlight w:val="none"/>
              </w:rPr>
              <w:t>000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抛丸年运行3600h，颗粒物</w:t>
            </w:r>
            <w:r>
              <w:rPr>
                <w:rFonts w:hint="default" w:ascii="Times New Roman" w:hAnsi="Times New Roman" w:eastAsia="宋体" w:cs="Times New Roman"/>
                <w:color w:val="auto"/>
                <w:sz w:val="24"/>
                <w:szCs w:val="24"/>
                <w:highlight w:val="none"/>
              </w:rPr>
              <w:t>排放量为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044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rPr>
              <w:t>排放速率为</w:t>
            </w:r>
            <w:r>
              <w:rPr>
                <w:rFonts w:hint="default" w:ascii="Times New Roman" w:hAnsi="Times New Roman" w:eastAsia="宋体" w:cs="Times New Roman"/>
                <w:color w:val="auto"/>
                <w:sz w:val="24"/>
                <w:szCs w:val="24"/>
                <w:highlight w:val="none"/>
                <w:lang w:val="en-US" w:eastAsia="zh-CN"/>
              </w:rPr>
              <w:t>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kg/h，排放浓度为</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mg/</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满足</w:t>
            </w:r>
            <w:r>
              <w:rPr>
                <w:rFonts w:hint="default" w:ascii="Times New Roman" w:hAnsi="Times New Roman" w:eastAsia="宋体" w:cs="Times New Roman"/>
                <w:color w:val="auto"/>
                <w:sz w:val="24"/>
                <w:szCs w:val="24"/>
                <w:highlight w:val="none"/>
                <w:lang w:val="en-US" w:eastAsia="zh-CN"/>
              </w:rPr>
              <w:t>《铸造工业大气污染物排放标准》（GB39726-2020）表1大气污染物</w:t>
            </w:r>
            <w:r>
              <w:rPr>
                <w:rFonts w:hint="default" w:ascii="Times New Roman" w:hAnsi="Times New Roman" w:eastAsia="宋体" w:cs="Times New Roman"/>
                <w:color w:val="auto"/>
                <w:sz w:val="24"/>
                <w:szCs w:val="24"/>
                <w:highlight w:val="none"/>
              </w:rPr>
              <w:t>排放限值</w:t>
            </w:r>
            <w:r>
              <w:rPr>
                <w:rFonts w:hint="default" w:ascii="Times New Roman" w:hAnsi="Times New Roman" w:eastAsia="宋体" w:cs="Times New Roman"/>
                <w:color w:val="auto"/>
                <w:sz w:val="24"/>
                <w:szCs w:val="24"/>
                <w:highlight w:val="none"/>
                <w:lang w:val="en-US" w:eastAsia="zh-CN"/>
              </w:rPr>
              <w:t>。</w:t>
            </w:r>
          </w:p>
          <w:p w14:paraId="2399F544">
            <w:pPr>
              <w:pStyle w:val="37"/>
              <w:ind w:firstLine="0" w:firstLineChars="0"/>
              <w:jc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表4-1产排污环节及污染物种类一览表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297"/>
              <w:gridCol w:w="1016"/>
              <w:gridCol w:w="2646"/>
              <w:gridCol w:w="1188"/>
              <w:gridCol w:w="1928"/>
            </w:tblGrid>
            <w:tr w14:paraId="3C21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014" w:type="pct"/>
                  <w:gridSpan w:val="2"/>
                  <w:tcBorders>
                    <w:tl2br w:val="nil"/>
                    <w:tr2bl w:val="nil"/>
                  </w:tcBorders>
                  <w:noWrap w:val="0"/>
                  <w:vAlign w:val="center"/>
                </w:tcPr>
                <w:p w14:paraId="295A1EC3">
                  <w:pPr>
                    <w:pStyle w:val="3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597" w:type="pct"/>
                  <w:tcBorders>
                    <w:tl2br w:val="nil"/>
                    <w:tr2bl w:val="nil"/>
                  </w:tcBorders>
                  <w:noWrap w:val="0"/>
                  <w:vAlign w:val="center"/>
                </w:tcPr>
                <w:p w14:paraId="6A3065C6">
                  <w:pPr>
                    <w:pStyle w:val="3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555" w:type="pct"/>
                  <w:tcBorders>
                    <w:tl2br w:val="nil"/>
                    <w:tr2bl w:val="nil"/>
                  </w:tcBorders>
                  <w:noWrap w:val="0"/>
                  <w:vAlign w:val="center"/>
                </w:tcPr>
                <w:p w14:paraId="0E94738C">
                  <w:pPr>
                    <w:pStyle w:val="3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w:t>
                  </w:r>
                </w:p>
              </w:tc>
              <w:tc>
                <w:tcPr>
                  <w:tcW w:w="698" w:type="pct"/>
                  <w:tcBorders>
                    <w:tl2br w:val="nil"/>
                    <w:tr2bl w:val="nil"/>
                  </w:tcBorders>
                  <w:noWrap w:val="0"/>
                  <w:vAlign w:val="center"/>
                </w:tcPr>
                <w:p w14:paraId="6F970758">
                  <w:pPr>
                    <w:pStyle w:val="3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排放类型</w:t>
                  </w:r>
                </w:p>
              </w:tc>
              <w:tc>
                <w:tcPr>
                  <w:tcW w:w="1133" w:type="pct"/>
                  <w:tcBorders>
                    <w:tl2br w:val="nil"/>
                    <w:tr2bl w:val="nil"/>
                  </w:tcBorders>
                  <w:noWrap w:val="0"/>
                  <w:vAlign w:val="center"/>
                </w:tcPr>
                <w:p w14:paraId="6F267FA0">
                  <w:pPr>
                    <w:pStyle w:val="33"/>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r>
            <w:tr w14:paraId="791E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52" w:type="pct"/>
                  <w:vMerge w:val="restart"/>
                  <w:tcBorders>
                    <w:tl2br w:val="nil"/>
                    <w:tr2bl w:val="nil"/>
                  </w:tcBorders>
                  <w:noWrap w:val="0"/>
                  <w:vAlign w:val="center"/>
                </w:tcPr>
                <w:p w14:paraId="038EA738">
                  <w:pPr>
                    <w:pStyle w:val="33"/>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树脂砂消失模</w:t>
                  </w:r>
                  <w:r>
                    <w:rPr>
                      <w:rFonts w:hint="default" w:ascii="Times New Roman" w:hAnsi="Times New Roman" w:eastAsia="宋体" w:cs="Times New Roman"/>
                      <w:color w:val="auto"/>
                      <w:sz w:val="21"/>
                      <w:szCs w:val="21"/>
                      <w:highlight w:val="none"/>
                    </w:rPr>
                    <w:t>生产线</w:t>
                  </w:r>
                </w:p>
              </w:tc>
              <w:tc>
                <w:tcPr>
                  <w:tcW w:w="762" w:type="pct"/>
                  <w:tcBorders>
                    <w:tl2br w:val="nil"/>
                    <w:tr2bl w:val="nil"/>
                  </w:tcBorders>
                  <w:noWrap w:val="0"/>
                  <w:vAlign w:val="center"/>
                </w:tcPr>
                <w:p w14:paraId="0BD3248B">
                  <w:pPr>
                    <w:pStyle w:val="33"/>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cs="Times New Roman"/>
                      <w:color w:val="auto"/>
                      <w:sz w:val="21"/>
                      <w:szCs w:val="21"/>
                      <w:highlight w:val="none"/>
                      <w:lang w:eastAsia="zh-CN"/>
                    </w:rPr>
                    <w:t>熔化</w:t>
                  </w:r>
                </w:p>
              </w:tc>
              <w:tc>
                <w:tcPr>
                  <w:tcW w:w="597" w:type="pct"/>
                  <w:tcBorders>
                    <w:tl2br w:val="nil"/>
                    <w:tr2bl w:val="nil"/>
                  </w:tcBorders>
                  <w:noWrap w:val="0"/>
                  <w:vAlign w:val="center"/>
                </w:tcPr>
                <w:p w14:paraId="1C95BB6D">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1555" w:type="pct"/>
                  <w:tcBorders>
                    <w:tl2br w:val="nil"/>
                    <w:tr2bl w:val="nil"/>
                  </w:tcBorders>
                  <w:noWrap w:val="0"/>
                  <w:vAlign w:val="center"/>
                </w:tcPr>
                <w:p w14:paraId="16C1DDB4">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废气由</w:t>
                  </w:r>
                  <w:r>
                    <w:rPr>
                      <w:rFonts w:hint="eastAsia" w:ascii="Times New Roman" w:hAnsi="Times New Roman" w:eastAsia="宋体" w:cs="Times New Roman"/>
                      <w:color w:val="auto"/>
                      <w:sz w:val="21"/>
                      <w:szCs w:val="21"/>
                      <w:highlight w:val="none"/>
                      <w:lang w:eastAsia="zh-CN"/>
                    </w:rPr>
                    <w:t>顶置整罩</w:t>
                  </w:r>
                  <w:r>
                    <w:rPr>
                      <w:rFonts w:hint="default" w:ascii="Times New Roman" w:hAnsi="Times New Roman" w:eastAsia="宋体" w:cs="Times New Roman"/>
                      <w:color w:val="auto"/>
                      <w:sz w:val="21"/>
                      <w:szCs w:val="21"/>
                      <w:highlight w:val="none"/>
                    </w:rPr>
                    <w:t>集气罩收集后进入集气管路，经</w:t>
                  </w:r>
                  <w:r>
                    <w:rPr>
                      <w:rFonts w:hint="eastAsia" w:cs="Times New Roman"/>
                      <w:color w:val="auto"/>
                      <w:sz w:val="21"/>
                      <w:szCs w:val="21"/>
                      <w:highlight w:val="none"/>
                      <w:lang w:eastAsia="zh-CN"/>
                    </w:rPr>
                    <w:t>脉冲布袋除尘器</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处理后由1根1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J1</w:t>
                  </w:r>
                  <w:r>
                    <w:rPr>
                      <w:rFonts w:hint="default" w:ascii="Times New Roman" w:hAnsi="Times New Roman" w:eastAsia="宋体" w:cs="Times New Roman"/>
                      <w:color w:val="auto"/>
                      <w:sz w:val="21"/>
                      <w:szCs w:val="21"/>
                      <w:highlight w:val="none"/>
                    </w:rPr>
                    <w:t>排放。</w:t>
                  </w:r>
                </w:p>
              </w:tc>
              <w:tc>
                <w:tcPr>
                  <w:tcW w:w="698" w:type="pct"/>
                  <w:tcBorders>
                    <w:tl2br w:val="nil"/>
                    <w:tr2bl w:val="nil"/>
                  </w:tcBorders>
                  <w:noWrap w:val="0"/>
                  <w:vAlign w:val="center"/>
                </w:tcPr>
                <w:p w14:paraId="236D4BA6">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1133" w:type="pct"/>
                  <w:tcBorders>
                    <w:tl2br w:val="nil"/>
                    <w:tr2bl w:val="nil"/>
                  </w:tcBorders>
                  <w:noWrap w:val="0"/>
                  <w:vAlign w:val="center"/>
                </w:tcPr>
                <w:p w14:paraId="3DC465B0">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r>
            <w:tr w14:paraId="358E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52" w:type="pct"/>
                  <w:vMerge w:val="continue"/>
                  <w:tcBorders>
                    <w:tl2br w:val="nil"/>
                    <w:tr2bl w:val="nil"/>
                  </w:tcBorders>
                  <w:noWrap w:val="0"/>
                  <w:vAlign w:val="center"/>
                </w:tcPr>
                <w:p w14:paraId="728AE54D">
                  <w:pPr>
                    <w:pStyle w:val="33"/>
                    <w:jc w:val="center"/>
                    <w:rPr>
                      <w:rFonts w:hint="eastAsia" w:cs="Times New Roman"/>
                      <w:color w:val="auto"/>
                      <w:sz w:val="21"/>
                      <w:szCs w:val="21"/>
                      <w:highlight w:val="none"/>
                      <w:lang w:eastAsia="zh-CN"/>
                    </w:rPr>
                  </w:pPr>
                </w:p>
              </w:tc>
              <w:tc>
                <w:tcPr>
                  <w:tcW w:w="762" w:type="pct"/>
                  <w:tcBorders>
                    <w:tl2br w:val="nil"/>
                    <w:tr2bl w:val="nil"/>
                  </w:tcBorders>
                  <w:noWrap w:val="0"/>
                  <w:vAlign w:val="center"/>
                </w:tcPr>
                <w:p w14:paraId="2983DB99">
                  <w:pPr>
                    <w:pStyle w:val="33"/>
                    <w:jc w:val="center"/>
                    <w:rPr>
                      <w:rFonts w:hint="eastAsia" w:asci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浇注</w:t>
                  </w:r>
                  <w:r>
                    <w:rPr>
                      <w:rFonts w:hint="eastAsia" w:ascii="Times New Roman" w:hAnsi="Times New Roman" w:eastAsia="宋体" w:cs="Times New Roman"/>
                      <w:color w:val="auto"/>
                      <w:sz w:val="21"/>
                      <w:szCs w:val="21"/>
                      <w:highlight w:val="none"/>
                      <w:lang w:eastAsia="zh-CN"/>
                    </w:rPr>
                    <w:t>废气</w:t>
                  </w:r>
                </w:p>
              </w:tc>
              <w:tc>
                <w:tcPr>
                  <w:tcW w:w="597" w:type="pct"/>
                  <w:tcBorders>
                    <w:tl2br w:val="nil"/>
                    <w:tr2bl w:val="nil"/>
                  </w:tcBorders>
                  <w:noWrap w:val="0"/>
                  <w:vAlign w:val="center"/>
                </w:tcPr>
                <w:p w14:paraId="7A45C231">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555" w:type="pct"/>
                  <w:tcBorders>
                    <w:tl2br w:val="nil"/>
                    <w:tr2bl w:val="nil"/>
                  </w:tcBorders>
                  <w:noWrap w:val="0"/>
                  <w:vAlign w:val="center"/>
                </w:tcPr>
                <w:p w14:paraId="33E31C59">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w:t>
                  </w:r>
                  <w:r>
                    <w:rPr>
                      <w:rFonts w:hint="eastAsia" w:ascii="Times New Roman" w:hAnsi="Times New Roman" w:eastAsia="宋体" w:cs="Times New Roman"/>
                      <w:color w:val="auto"/>
                      <w:sz w:val="21"/>
                      <w:szCs w:val="21"/>
                      <w:highlight w:val="none"/>
                      <w:lang w:eastAsia="zh-CN"/>
                    </w:rPr>
                    <w:t>侧顶吸式</w:t>
                  </w:r>
                  <w:r>
                    <w:rPr>
                      <w:rFonts w:hint="default" w:ascii="Times New Roman" w:hAnsi="Times New Roman" w:eastAsia="宋体" w:cs="Times New Roman"/>
                      <w:color w:val="auto"/>
                      <w:sz w:val="21"/>
                      <w:szCs w:val="21"/>
                      <w:highlight w:val="none"/>
                    </w:rPr>
                    <w:t>集气罩收集后进入集气管路，经</w:t>
                  </w:r>
                  <w:r>
                    <w:rPr>
                      <w:rFonts w:hint="eastAsia" w:cs="Times New Roman"/>
                      <w:color w:val="auto"/>
                      <w:sz w:val="21"/>
                      <w:szCs w:val="21"/>
                      <w:highlight w:val="none"/>
                      <w:lang w:eastAsia="zh-CN"/>
                    </w:rPr>
                    <w:t>脉冲布袋除尘器</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+光氧机装置</w:t>
                  </w:r>
                  <w:r>
                    <w:rPr>
                      <w:rFonts w:hint="default" w:ascii="Times New Roman" w:hAnsi="Times New Roman" w:eastAsia="宋体" w:cs="Times New Roman"/>
                      <w:color w:val="auto"/>
                      <w:sz w:val="21"/>
                      <w:szCs w:val="21"/>
                      <w:highlight w:val="none"/>
                    </w:rPr>
                    <w:t>处理后由1根1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ascii="Times New Roman" w:hAnsi="Times New Roman" w:eastAsia="宋体"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c>
                <w:tcPr>
                  <w:tcW w:w="698" w:type="pct"/>
                  <w:tcBorders>
                    <w:tl2br w:val="nil"/>
                    <w:tr2bl w:val="nil"/>
                  </w:tcBorders>
                  <w:noWrap w:val="0"/>
                  <w:vAlign w:val="center"/>
                </w:tcPr>
                <w:p w14:paraId="1E628D3B">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33" w:type="pct"/>
                  <w:tcBorders>
                    <w:tl2br w:val="nil"/>
                    <w:tr2bl w:val="nil"/>
                  </w:tcBorders>
                  <w:noWrap w:val="0"/>
                  <w:vAlign w:val="center"/>
                </w:tcPr>
                <w:p w14:paraId="4AA72AA7">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颗粒物、非甲烷总烃</w:t>
                  </w:r>
                </w:p>
              </w:tc>
            </w:tr>
            <w:tr w14:paraId="144D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52" w:type="pct"/>
                  <w:vMerge w:val="continue"/>
                  <w:tcBorders>
                    <w:tl2br w:val="nil"/>
                    <w:tr2bl w:val="nil"/>
                  </w:tcBorders>
                  <w:noWrap w:val="0"/>
                  <w:vAlign w:val="center"/>
                </w:tcPr>
                <w:p w14:paraId="7EB6DFC8">
                  <w:pPr>
                    <w:pStyle w:val="33"/>
                    <w:jc w:val="center"/>
                    <w:rPr>
                      <w:rFonts w:hint="default" w:ascii="Times New Roman" w:hAnsi="Times New Roman" w:eastAsia="宋体" w:cs="Times New Roman"/>
                      <w:color w:val="auto"/>
                      <w:sz w:val="21"/>
                      <w:szCs w:val="21"/>
                      <w:highlight w:val="none"/>
                    </w:rPr>
                  </w:pPr>
                </w:p>
              </w:tc>
              <w:tc>
                <w:tcPr>
                  <w:tcW w:w="762" w:type="pct"/>
                  <w:tcBorders>
                    <w:tl2br w:val="nil"/>
                    <w:tr2bl w:val="nil"/>
                  </w:tcBorders>
                  <w:noWrap w:val="0"/>
                  <w:vAlign w:val="center"/>
                </w:tcPr>
                <w:p w14:paraId="614695BB">
                  <w:pPr>
                    <w:pStyle w:val="33"/>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砂处理系统废气</w:t>
                  </w:r>
                </w:p>
              </w:tc>
              <w:tc>
                <w:tcPr>
                  <w:tcW w:w="597" w:type="pct"/>
                  <w:tcBorders>
                    <w:tl2br w:val="nil"/>
                    <w:tr2bl w:val="nil"/>
                  </w:tcBorders>
                  <w:noWrap w:val="0"/>
                  <w:vAlign w:val="center"/>
                </w:tcPr>
                <w:p w14:paraId="0B771C18">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555" w:type="pct"/>
                  <w:tcBorders>
                    <w:tl2br w:val="nil"/>
                    <w:tr2bl w:val="nil"/>
                  </w:tcBorders>
                  <w:noWrap w:val="0"/>
                  <w:vAlign w:val="center"/>
                </w:tcPr>
                <w:p w14:paraId="3492B493">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废气由集气罩收集后进入集气管路，经</w:t>
                  </w:r>
                  <w:r>
                    <w:rPr>
                      <w:rFonts w:hint="eastAsia" w:cs="Times New Roman"/>
                      <w:color w:val="auto"/>
                      <w:sz w:val="21"/>
                      <w:szCs w:val="21"/>
                      <w:highlight w:val="none"/>
                      <w:lang w:eastAsia="zh-CN"/>
                    </w:rPr>
                    <w:t>脉冲布袋除尘器</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处理后由1根1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eastAsia" w:cs="Times New Roman"/>
                      <w:color w:val="auto"/>
                      <w:sz w:val="21"/>
                      <w:szCs w:val="21"/>
                      <w:highlight w:val="none"/>
                      <w:lang w:val="en-US" w:eastAsia="zh-CN"/>
                    </w:rPr>
                    <w:t>J2</w:t>
                  </w:r>
                  <w:r>
                    <w:rPr>
                      <w:rFonts w:hint="default" w:ascii="Times New Roman" w:hAnsi="Times New Roman" w:eastAsia="宋体" w:cs="Times New Roman"/>
                      <w:color w:val="auto"/>
                      <w:sz w:val="21"/>
                      <w:szCs w:val="21"/>
                      <w:highlight w:val="none"/>
                    </w:rPr>
                    <w:t>排放。</w:t>
                  </w:r>
                </w:p>
              </w:tc>
              <w:tc>
                <w:tcPr>
                  <w:tcW w:w="698" w:type="pct"/>
                  <w:tcBorders>
                    <w:tl2br w:val="nil"/>
                    <w:tr2bl w:val="nil"/>
                  </w:tcBorders>
                  <w:noWrap w:val="0"/>
                  <w:vAlign w:val="center"/>
                </w:tcPr>
                <w:p w14:paraId="199F50C6">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33" w:type="pct"/>
                  <w:tcBorders>
                    <w:tl2br w:val="nil"/>
                    <w:tr2bl w:val="nil"/>
                  </w:tcBorders>
                  <w:noWrap w:val="0"/>
                  <w:vAlign w:val="center"/>
                </w:tcPr>
                <w:p w14:paraId="44B55E76">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r>
            <w:tr w14:paraId="597B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52" w:type="pct"/>
                  <w:vMerge w:val="continue"/>
                  <w:tcBorders>
                    <w:tl2br w:val="nil"/>
                    <w:tr2bl w:val="nil"/>
                  </w:tcBorders>
                  <w:noWrap w:val="0"/>
                  <w:vAlign w:val="center"/>
                </w:tcPr>
                <w:p w14:paraId="181FEAEC">
                  <w:pPr>
                    <w:pStyle w:val="33"/>
                    <w:jc w:val="center"/>
                    <w:rPr>
                      <w:rFonts w:hint="default" w:ascii="Times New Roman" w:hAnsi="Times New Roman" w:eastAsia="宋体" w:cs="Times New Roman"/>
                      <w:color w:val="auto"/>
                      <w:sz w:val="21"/>
                      <w:szCs w:val="21"/>
                      <w:highlight w:val="none"/>
                    </w:rPr>
                  </w:pPr>
                </w:p>
              </w:tc>
              <w:tc>
                <w:tcPr>
                  <w:tcW w:w="762" w:type="pct"/>
                  <w:tcBorders>
                    <w:tl2br w:val="nil"/>
                    <w:tr2bl w:val="nil"/>
                  </w:tcBorders>
                  <w:noWrap w:val="0"/>
                  <w:vAlign w:val="center"/>
                </w:tcPr>
                <w:p w14:paraId="45D53874">
                  <w:pPr>
                    <w:pStyle w:val="33"/>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抛丸废气</w:t>
                  </w:r>
                </w:p>
              </w:tc>
              <w:tc>
                <w:tcPr>
                  <w:tcW w:w="597" w:type="pct"/>
                  <w:tcBorders>
                    <w:tl2br w:val="nil"/>
                    <w:tr2bl w:val="nil"/>
                  </w:tcBorders>
                  <w:noWrap w:val="0"/>
                  <w:vAlign w:val="center"/>
                </w:tcPr>
                <w:p w14:paraId="5BACCB48">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555" w:type="pct"/>
                  <w:tcBorders>
                    <w:tl2br w:val="nil"/>
                    <w:tr2bl w:val="nil"/>
                  </w:tcBorders>
                  <w:noWrap w:val="0"/>
                  <w:vAlign w:val="center"/>
                </w:tcPr>
                <w:p w14:paraId="2B27D1E8">
                  <w:pPr>
                    <w:pStyle w:val="3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废气由集气罩收集后进入集气管路，经布袋除尘器处理后由1根1</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5m高排气筒</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排放</w:t>
                  </w:r>
                </w:p>
              </w:tc>
              <w:tc>
                <w:tcPr>
                  <w:tcW w:w="698" w:type="pct"/>
                  <w:tcBorders>
                    <w:tl2br w:val="nil"/>
                    <w:tr2bl w:val="nil"/>
                  </w:tcBorders>
                  <w:noWrap w:val="0"/>
                  <w:vAlign w:val="center"/>
                </w:tcPr>
                <w:p w14:paraId="5D61C97A">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1133" w:type="pct"/>
                  <w:tcBorders>
                    <w:tl2br w:val="nil"/>
                    <w:tr2bl w:val="nil"/>
                  </w:tcBorders>
                  <w:noWrap w:val="0"/>
                  <w:vAlign w:val="center"/>
                </w:tcPr>
                <w:p w14:paraId="457F7C35">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r>
          </w:tbl>
          <w:p w14:paraId="3D93EAF2">
            <w:pPr>
              <w:pStyle w:val="2"/>
              <w:ind w:left="0" w:leftChars="0" w:firstLine="0" w:firstLineChars="0"/>
              <w:rPr>
                <w:rFonts w:hint="eastAsia" w:ascii="宋体" w:hAnsi="宋体" w:cs="宋体"/>
                <w:bCs/>
                <w:color w:val="auto"/>
                <w:spacing w:val="-10"/>
                <w:sz w:val="24"/>
                <w:szCs w:val="24"/>
                <w:highlight w:val="none"/>
                <w:lang w:val="en-US" w:eastAsia="zh-CN"/>
              </w:rPr>
            </w:pPr>
            <w:r>
              <w:rPr>
                <w:rFonts w:hint="eastAsia" w:ascii="宋体" w:hAnsi="宋体" w:cs="宋体"/>
                <w:bCs/>
                <w:color w:val="auto"/>
                <w:spacing w:val="-10"/>
                <w:sz w:val="24"/>
                <w:szCs w:val="24"/>
                <w:highlight w:val="none"/>
                <w:lang w:val="en-US" w:eastAsia="zh-CN"/>
              </w:rPr>
              <w:t>（2）</w:t>
            </w:r>
            <w:r>
              <w:rPr>
                <w:rFonts w:hint="eastAsia" w:ascii="宋体" w:hAnsi="宋体" w:cs="宋体"/>
                <w:bCs/>
                <w:color w:val="auto"/>
                <w:spacing w:val="-10"/>
                <w:sz w:val="24"/>
                <w:szCs w:val="24"/>
                <w:highlight w:val="none"/>
                <w:lang w:val="en-US" w:eastAsia="zh-CN"/>
              </w:rPr>
              <w:t>大气污染物达标分析</w:t>
            </w:r>
          </w:p>
          <w:p w14:paraId="5F03BA0A">
            <w:pPr>
              <w:keepNext w:val="0"/>
              <w:keepLines w:val="0"/>
              <w:pageBreakBefore w:val="0"/>
              <w:widowControl w:val="0"/>
              <w:kinsoku/>
              <w:wordWrap w:val="0"/>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大气环境影响评价等级判定方法按照《环境影响评价技术导则—大气环境》（HJ2.2-2018）推荐的估算模型AERSCREEN。</w:t>
            </w:r>
          </w:p>
          <w:p w14:paraId="3175D5C3">
            <w:pPr>
              <w:keepNext w:val="0"/>
              <w:keepLines w:val="0"/>
              <w:pageBreakBefore w:val="0"/>
              <w:widowControl w:val="0"/>
              <w:kinsoku/>
              <w:wordWrap w:val="0"/>
              <w:overflowPunct/>
              <w:topLinePunct w:val="0"/>
              <w:autoSpaceDE/>
              <w:autoSpaceDN/>
              <w:bidi w:val="0"/>
              <w:adjustRightInd w:val="0"/>
              <w:snapToGrid w:val="0"/>
              <w:spacing w:line="480" w:lineRule="exact"/>
              <w:ind w:firstLine="480" w:firstLineChars="200"/>
              <w:textAlignment w:val="auto"/>
              <w:rPr>
                <w:rFonts w:hint="eastAsia"/>
                <w:color w:val="auto"/>
                <w:spacing w:val="0"/>
                <w:w w:val="100"/>
                <w:kern w:val="0"/>
                <w:position w:val="0"/>
                <w:sz w:val="24"/>
                <w:szCs w:val="24"/>
                <w:highlight w:val="none"/>
                <w:lang w:val="en-US" w:eastAsia="zh-CN"/>
              </w:rPr>
            </w:pPr>
            <w:r>
              <w:rPr>
                <w:rFonts w:eastAsia="宋体"/>
                <w:color w:val="auto"/>
                <w:spacing w:val="0"/>
                <w:w w:val="100"/>
                <w:kern w:val="0"/>
                <w:position w:val="0"/>
                <w:sz w:val="24"/>
                <w:szCs w:val="24"/>
                <w:highlight w:val="none"/>
              </w:rPr>
              <w:t>经过工程分析，项目产生的大气污染物主要是</w:t>
            </w:r>
            <w:r>
              <w:rPr>
                <w:rFonts w:hint="eastAsia" w:eastAsia="宋体"/>
                <w:color w:val="auto"/>
                <w:spacing w:val="0"/>
                <w:w w:val="100"/>
                <w:kern w:val="0"/>
                <w:position w:val="0"/>
                <w:sz w:val="24"/>
                <w:szCs w:val="24"/>
                <w:highlight w:val="none"/>
                <w:lang w:eastAsia="zh-CN"/>
              </w:rPr>
              <w:t>铸造车间</w:t>
            </w:r>
            <w:r>
              <w:rPr>
                <w:rFonts w:hint="eastAsia"/>
                <w:color w:val="auto"/>
                <w:spacing w:val="0"/>
                <w:w w:val="100"/>
                <w:kern w:val="0"/>
                <w:position w:val="0"/>
                <w:sz w:val="24"/>
                <w:szCs w:val="24"/>
                <w:highlight w:val="none"/>
                <w:lang w:val="en-US" w:eastAsia="zh-CN"/>
              </w:rPr>
              <w:t>产生的有</w:t>
            </w:r>
            <w:r>
              <w:rPr>
                <w:rFonts w:eastAsia="宋体"/>
                <w:snapToGrid w:val="0"/>
                <w:color w:val="auto"/>
                <w:spacing w:val="0"/>
                <w:w w:val="100"/>
                <w:kern w:val="0"/>
                <w:position w:val="0"/>
                <w:sz w:val="24"/>
                <w:szCs w:val="24"/>
                <w:highlight w:val="none"/>
              </w:rPr>
              <w:t>组织排放。评价因子为：</w:t>
            </w:r>
            <w:r>
              <w:rPr>
                <w:rFonts w:hint="eastAsia" w:eastAsia="宋体"/>
                <w:snapToGrid w:val="0"/>
                <w:color w:val="auto"/>
                <w:spacing w:val="0"/>
                <w:w w:val="100"/>
                <w:kern w:val="0"/>
                <w:position w:val="0"/>
                <w:sz w:val="24"/>
                <w:szCs w:val="24"/>
                <w:highlight w:val="none"/>
                <w:lang w:eastAsia="zh-CN"/>
              </w:rPr>
              <w:t>颗粒物、非甲烷总烃</w:t>
            </w:r>
            <w:r>
              <w:rPr>
                <w:rFonts w:hint="eastAsia"/>
                <w:snapToGrid w:val="0"/>
                <w:color w:val="auto"/>
                <w:spacing w:val="0"/>
                <w:w w:val="100"/>
                <w:kern w:val="0"/>
                <w:position w:val="0"/>
                <w:sz w:val="24"/>
                <w:szCs w:val="24"/>
                <w:highlight w:val="none"/>
                <w:lang w:eastAsia="zh-CN"/>
              </w:rPr>
              <w:t>。</w:t>
            </w:r>
            <w:r>
              <w:rPr>
                <w:rFonts w:eastAsia="宋体"/>
                <w:color w:val="auto"/>
                <w:spacing w:val="0"/>
                <w:w w:val="100"/>
                <w:kern w:val="0"/>
                <w:position w:val="0"/>
                <w:sz w:val="24"/>
                <w:szCs w:val="24"/>
                <w:highlight w:val="none"/>
              </w:rPr>
              <w:t>项目评价因子和评价标准见</w:t>
            </w:r>
            <w:r>
              <w:rPr>
                <w:rFonts w:hint="eastAsia"/>
                <w:color w:val="auto"/>
                <w:spacing w:val="0"/>
                <w:w w:val="100"/>
                <w:kern w:val="0"/>
                <w:position w:val="0"/>
                <w:sz w:val="24"/>
                <w:szCs w:val="24"/>
                <w:highlight w:val="none"/>
                <w:lang w:val="en-US" w:eastAsia="zh-CN"/>
              </w:rPr>
              <w:t>下表。</w:t>
            </w:r>
          </w:p>
          <w:p w14:paraId="1B734D98">
            <w:pPr>
              <w:pStyle w:val="28"/>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460" w:lineRule="exact"/>
              <w:ind w:left="0" w:leftChars="0" w:firstLine="0" w:firstLineChars="0"/>
              <w:jc w:val="center"/>
              <w:textAlignment w:val="auto"/>
              <w:rPr>
                <w:rFonts w:hint="eastAsia"/>
                <w:color w:val="auto"/>
                <w:highlight w:val="none"/>
                <w:lang w:val="en-US" w:eastAsia="zh-CN"/>
              </w:rPr>
            </w:pPr>
            <w:r>
              <w:rPr>
                <w:rFonts w:ascii="Times New Roman" w:hAnsi="Times New Roman" w:eastAsia="宋体"/>
                <w:color w:val="auto"/>
                <w:spacing w:val="0"/>
                <w:w w:val="100"/>
                <w:kern w:val="0"/>
                <w:position w:val="0"/>
                <w:sz w:val="24"/>
                <w:szCs w:val="24"/>
                <w:highlight w:val="none"/>
              </w:rPr>
              <w:t>表</w:t>
            </w:r>
            <w:r>
              <w:rPr>
                <w:rFonts w:hint="eastAsia" w:ascii="Times New Roman" w:hAnsi="Times New Roman" w:eastAsia="宋体"/>
                <w:color w:val="auto"/>
                <w:spacing w:val="0"/>
                <w:w w:val="100"/>
                <w:kern w:val="0"/>
                <w:position w:val="0"/>
                <w:sz w:val="24"/>
                <w:szCs w:val="24"/>
                <w:highlight w:val="none"/>
                <w:lang w:val="en-US" w:eastAsia="zh-CN"/>
              </w:rPr>
              <w:t>4-2</w:t>
            </w:r>
            <w:r>
              <w:rPr>
                <w:rFonts w:ascii="Times New Roman" w:hAnsi="Times New Roman" w:eastAsia="宋体"/>
                <w:color w:val="auto"/>
                <w:spacing w:val="0"/>
                <w:w w:val="100"/>
                <w:kern w:val="0"/>
                <w:position w:val="0"/>
                <w:sz w:val="24"/>
                <w:szCs w:val="24"/>
                <w:highlight w:val="none"/>
              </w:rPr>
              <w:t xml:space="preserve">  污染物评价标准</w:t>
            </w:r>
          </w:p>
          <w:tbl>
            <w:tblPr>
              <w:tblStyle w:val="17"/>
              <w:tblW w:w="823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264"/>
              <w:gridCol w:w="1314"/>
              <w:gridCol w:w="1709"/>
              <w:gridCol w:w="3952"/>
            </w:tblGrid>
            <w:tr w14:paraId="3E1115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trPr>
              <w:tc>
                <w:tcPr>
                  <w:tcW w:w="1264" w:type="dxa"/>
                  <w:tcBorders>
                    <w:tl2br w:val="nil"/>
                    <w:tr2bl w:val="nil"/>
                  </w:tcBorders>
                  <w:noWrap w:val="0"/>
                  <w:vAlign w:val="center"/>
                </w:tcPr>
                <w:p w14:paraId="48EEE13F">
                  <w:pPr>
                    <w:ind w:right="28"/>
                    <w:jc w:val="center"/>
                    <w:rPr>
                      <w:color w:val="auto"/>
                      <w:sz w:val="21"/>
                      <w:szCs w:val="21"/>
                      <w:highlight w:val="none"/>
                    </w:rPr>
                  </w:pPr>
                  <w:r>
                    <w:rPr>
                      <w:color w:val="auto"/>
                      <w:sz w:val="21"/>
                      <w:szCs w:val="21"/>
                      <w:highlight w:val="none"/>
                    </w:rPr>
                    <w:t>评价因子</w:t>
                  </w:r>
                </w:p>
              </w:tc>
              <w:tc>
                <w:tcPr>
                  <w:tcW w:w="1314" w:type="dxa"/>
                  <w:tcBorders>
                    <w:tl2br w:val="nil"/>
                    <w:tr2bl w:val="nil"/>
                  </w:tcBorders>
                  <w:noWrap w:val="0"/>
                  <w:vAlign w:val="center"/>
                </w:tcPr>
                <w:p w14:paraId="088200B4">
                  <w:pPr>
                    <w:ind w:right="28"/>
                    <w:jc w:val="center"/>
                    <w:rPr>
                      <w:color w:val="auto"/>
                      <w:sz w:val="21"/>
                      <w:szCs w:val="21"/>
                      <w:highlight w:val="none"/>
                    </w:rPr>
                  </w:pPr>
                  <w:r>
                    <w:rPr>
                      <w:rFonts w:hint="eastAsia"/>
                      <w:color w:val="auto"/>
                      <w:sz w:val="21"/>
                      <w:szCs w:val="21"/>
                      <w:highlight w:val="none"/>
                    </w:rPr>
                    <w:t>平均时段</w:t>
                  </w:r>
                </w:p>
              </w:tc>
              <w:tc>
                <w:tcPr>
                  <w:tcW w:w="1709" w:type="dxa"/>
                  <w:tcBorders>
                    <w:tl2br w:val="nil"/>
                    <w:tr2bl w:val="nil"/>
                  </w:tcBorders>
                  <w:noWrap w:val="0"/>
                  <w:vAlign w:val="center"/>
                </w:tcPr>
                <w:p w14:paraId="18513F43">
                  <w:pPr>
                    <w:ind w:right="28"/>
                    <w:jc w:val="center"/>
                    <w:rPr>
                      <w:color w:val="auto"/>
                      <w:sz w:val="21"/>
                      <w:szCs w:val="21"/>
                      <w:highlight w:val="none"/>
                    </w:rPr>
                  </w:pPr>
                  <w:r>
                    <w:rPr>
                      <w:rFonts w:hint="eastAsia"/>
                      <w:color w:val="auto"/>
                      <w:sz w:val="21"/>
                      <w:szCs w:val="21"/>
                      <w:highlight w:val="none"/>
                    </w:rPr>
                    <w:t>标准值（</w:t>
                  </w:r>
                  <w:r>
                    <w:rPr>
                      <w:color w:val="auto"/>
                      <w:sz w:val="21"/>
                      <w:szCs w:val="21"/>
                      <w:highlight w:val="none"/>
                    </w:rPr>
                    <w:t>μg</w:t>
                  </w:r>
                  <w:r>
                    <w:rPr>
                      <w:rFonts w:hint="eastAsia"/>
                      <w:color w:val="auto"/>
                      <w:sz w:val="21"/>
                      <w:szCs w:val="21"/>
                      <w:highlight w:val="none"/>
                    </w:rPr>
                    <w:t>/</w:t>
                  </w:r>
                  <w:r>
                    <w:rPr>
                      <w:rFonts w:hint="eastAsia"/>
                      <w:color w:val="auto"/>
                      <w:sz w:val="21"/>
                      <w:szCs w:val="21"/>
                      <w:highlight w:val="none"/>
                      <w:lang w:eastAsia="zh-CN"/>
                    </w:rPr>
                    <w:t>m³</w:t>
                  </w:r>
                  <w:r>
                    <w:rPr>
                      <w:rFonts w:hint="eastAsia"/>
                      <w:color w:val="auto"/>
                      <w:sz w:val="21"/>
                      <w:szCs w:val="21"/>
                      <w:highlight w:val="none"/>
                    </w:rPr>
                    <w:t>）</w:t>
                  </w:r>
                </w:p>
              </w:tc>
              <w:tc>
                <w:tcPr>
                  <w:tcW w:w="3952" w:type="dxa"/>
                  <w:tcBorders>
                    <w:tl2br w:val="nil"/>
                    <w:tr2bl w:val="nil"/>
                  </w:tcBorders>
                  <w:noWrap w:val="0"/>
                  <w:vAlign w:val="center"/>
                </w:tcPr>
                <w:p w14:paraId="1A5C914A">
                  <w:pPr>
                    <w:ind w:right="28"/>
                    <w:jc w:val="center"/>
                    <w:rPr>
                      <w:color w:val="auto"/>
                      <w:sz w:val="21"/>
                      <w:szCs w:val="21"/>
                      <w:highlight w:val="none"/>
                    </w:rPr>
                  </w:pPr>
                  <w:r>
                    <w:rPr>
                      <w:rFonts w:hint="eastAsia"/>
                      <w:color w:val="auto"/>
                      <w:sz w:val="21"/>
                      <w:szCs w:val="21"/>
                      <w:highlight w:val="none"/>
                    </w:rPr>
                    <w:t>标准来源</w:t>
                  </w:r>
                </w:p>
              </w:tc>
            </w:tr>
            <w:tr w14:paraId="6ED0D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7" w:hRule="atLeast"/>
              </w:trPr>
              <w:tc>
                <w:tcPr>
                  <w:tcW w:w="1264" w:type="dxa"/>
                  <w:tcBorders>
                    <w:tl2br w:val="nil"/>
                    <w:tr2bl w:val="nil"/>
                  </w:tcBorders>
                  <w:noWrap w:val="0"/>
                  <w:vAlign w:val="center"/>
                </w:tcPr>
                <w:p w14:paraId="283BF074">
                  <w:pPr>
                    <w:ind w:right="28"/>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TSP</w:t>
                  </w:r>
                </w:p>
              </w:tc>
              <w:tc>
                <w:tcPr>
                  <w:tcW w:w="1314" w:type="dxa"/>
                  <w:tcBorders>
                    <w:tl2br w:val="nil"/>
                    <w:tr2bl w:val="nil"/>
                  </w:tcBorders>
                  <w:noWrap w:val="0"/>
                  <w:vAlign w:val="center"/>
                </w:tcPr>
                <w:p w14:paraId="1088DE50">
                  <w:pPr>
                    <w:ind w:right="28"/>
                    <w:jc w:val="center"/>
                    <w:rPr>
                      <w:color w:val="auto"/>
                      <w:sz w:val="21"/>
                      <w:szCs w:val="21"/>
                      <w:highlight w:val="none"/>
                    </w:rPr>
                  </w:pPr>
                  <w:r>
                    <w:rPr>
                      <w:rFonts w:hint="eastAsia"/>
                      <w:color w:val="auto"/>
                      <w:sz w:val="21"/>
                      <w:szCs w:val="21"/>
                      <w:highlight w:val="none"/>
                    </w:rPr>
                    <w:t>1h</w:t>
                  </w:r>
                </w:p>
              </w:tc>
              <w:tc>
                <w:tcPr>
                  <w:tcW w:w="1709" w:type="dxa"/>
                  <w:tcBorders>
                    <w:tl2br w:val="nil"/>
                    <w:tr2bl w:val="nil"/>
                  </w:tcBorders>
                  <w:noWrap w:val="0"/>
                  <w:vAlign w:val="center"/>
                </w:tcPr>
                <w:p w14:paraId="54832FEC">
                  <w:pPr>
                    <w:ind w:right="28"/>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900</w:t>
                  </w:r>
                </w:p>
              </w:tc>
              <w:tc>
                <w:tcPr>
                  <w:tcW w:w="3952" w:type="dxa"/>
                  <w:tcBorders>
                    <w:tl2br w:val="nil"/>
                    <w:tr2bl w:val="nil"/>
                  </w:tcBorders>
                  <w:noWrap w:val="0"/>
                  <w:vAlign w:val="center"/>
                </w:tcPr>
                <w:p w14:paraId="3BE3A7D1">
                  <w:pPr>
                    <w:ind w:right="28"/>
                    <w:jc w:val="center"/>
                    <w:rPr>
                      <w:color w:val="auto"/>
                      <w:sz w:val="21"/>
                      <w:szCs w:val="21"/>
                      <w:highlight w:val="none"/>
                    </w:rPr>
                  </w:pPr>
                  <w:r>
                    <w:rPr>
                      <w:rFonts w:hint="eastAsia"/>
                      <w:color w:val="auto"/>
                      <w:sz w:val="21"/>
                      <w:szCs w:val="21"/>
                      <w:highlight w:val="none"/>
                    </w:rPr>
                    <w:t>《环境空气质量标准》（GB3095－2012）二级标准</w:t>
                  </w:r>
                </w:p>
              </w:tc>
            </w:tr>
            <w:tr w14:paraId="7AE0F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atLeast"/>
              </w:trPr>
              <w:tc>
                <w:tcPr>
                  <w:tcW w:w="1264" w:type="dxa"/>
                  <w:tcBorders>
                    <w:tl2br w:val="nil"/>
                    <w:tr2bl w:val="nil"/>
                  </w:tcBorders>
                  <w:noWrap w:val="0"/>
                  <w:vAlign w:val="center"/>
                </w:tcPr>
                <w:p w14:paraId="793E2428">
                  <w:pPr>
                    <w:ind w:right="28"/>
                    <w:jc w:val="center"/>
                    <w:rPr>
                      <w:color w:val="auto"/>
                      <w:sz w:val="21"/>
                      <w:szCs w:val="21"/>
                      <w:highlight w:val="none"/>
                    </w:rPr>
                  </w:pPr>
                  <w:r>
                    <w:rPr>
                      <w:rFonts w:hint="eastAsia" w:ascii="Times New Roman" w:hAnsi="Times New Roman" w:cs="Times New Roman"/>
                      <w:color w:val="auto"/>
                      <w:sz w:val="21"/>
                      <w:szCs w:val="21"/>
                      <w:highlight w:val="none"/>
                      <w:lang w:val="en-US" w:eastAsia="zh-CN"/>
                    </w:rPr>
                    <w:t>NMHC</w:t>
                  </w:r>
                </w:p>
              </w:tc>
              <w:tc>
                <w:tcPr>
                  <w:tcW w:w="1314" w:type="dxa"/>
                  <w:tcBorders>
                    <w:tl2br w:val="nil"/>
                    <w:tr2bl w:val="nil"/>
                  </w:tcBorders>
                  <w:noWrap w:val="0"/>
                  <w:vAlign w:val="center"/>
                </w:tcPr>
                <w:p w14:paraId="72B1CA39">
                  <w:pPr>
                    <w:ind w:right="28"/>
                    <w:jc w:val="center"/>
                    <w:rPr>
                      <w:color w:val="auto"/>
                      <w:sz w:val="21"/>
                      <w:szCs w:val="21"/>
                      <w:highlight w:val="none"/>
                    </w:rPr>
                  </w:pPr>
                  <w:r>
                    <w:rPr>
                      <w:rFonts w:hint="eastAsia"/>
                      <w:color w:val="auto"/>
                      <w:sz w:val="21"/>
                      <w:szCs w:val="21"/>
                      <w:highlight w:val="none"/>
                    </w:rPr>
                    <w:t>1h</w:t>
                  </w:r>
                </w:p>
              </w:tc>
              <w:tc>
                <w:tcPr>
                  <w:tcW w:w="1709" w:type="dxa"/>
                  <w:tcBorders>
                    <w:tl2br w:val="nil"/>
                    <w:tr2bl w:val="nil"/>
                  </w:tcBorders>
                  <w:noWrap w:val="0"/>
                  <w:vAlign w:val="center"/>
                </w:tcPr>
                <w:p w14:paraId="0A7B9F7C">
                  <w:pPr>
                    <w:ind w:right="28"/>
                    <w:jc w:val="center"/>
                    <w:rPr>
                      <w:color w:val="auto"/>
                      <w:sz w:val="21"/>
                      <w:szCs w:val="21"/>
                      <w:highlight w:val="none"/>
                    </w:rPr>
                  </w:pPr>
                  <w:r>
                    <w:rPr>
                      <w:rFonts w:hint="eastAsia"/>
                      <w:color w:val="auto"/>
                      <w:sz w:val="21"/>
                      <w:szCs w:val="21"/>
                      <w:highlight w:val="none"/>
                    </w:rPr>
                    <w:t>2000</w:t>
                  </w:r>
                </w:p>
              </w:tc>
              <w:tc>
                <w:tcPr>
                  <w:tcW w:w="3952" w:type="dxa"/>
                  <w:tcBorders>
                    <w:tl2br w:val="nil"/>
                    <w:tr2bl w:val="nil"/>
                  </w:tcBorders>
                  <w:noWrap w:val="0"/>
                  <w:vAlign w:val="center"/>
                </w:tcPr>
                <w:p w14:paraId="295403FD">
                  <w:pPr>
                    <w:ind w:right="28"/>
                    <w:jc w:val="center"/>
                    <w:rPr>
                      <w:color w:val="auto"/>
                      <w:sz w:val="21"/>
                      <w:szCs w:val="21"/>
                      <w:highlight w:val="none"/>
                    </w:rPr>
                  </w:pPr>
                  <w:r>
                    <w:rPr>
                      <w:rFonts w:hint="eastAsia"/>
                      <w:color w:val="auto"/>
                      <w:sz w:val="21"/>
                      <w:szCs w:val="21"/>
                      <w:highlight w:val="none"/>
                    </w:rPr>
                    <w:t>《环境空气质量 非甲烷总烃限值》（DB13/1577-2012）</w:t>
                  </w:r>
                </w:p>
              </w:tc>
            </w:tr>
          </w:tbl>
          <w:p w14:paraId="2314A921">
            <w:pPr>
              <w:keepNext w:val="0"/>
              <w:keepLines w:val="0"/>
              <w:pageBreakBefore w:val="0"/>
              <w:widowControl w:val="0"/>
              <w:numPr>
                <w:ilvl w:val="0"/>
                <w:numId w:val="5"/>
              </w:numPr>
              <w:kinsoku/>
              <w:wordWrap/>
              <w:overflowPunct/>
              <w:topLinePunct w:val="0"/>
              <w:autoSpaceDE/>
              <w:autoSpaceDN/>
              <w:bidi w:val="0"/>
              <w:adjustRightInd w:val="0"/>
              <w:snapToGrid w:val="0"/>
              <w:spacing w:line="480" w:lineRule="exact"/>
              <w:ind w:left="0" w:leftChars="0" w:firstLine="0" w:firstLineChars="0"/>
              <w:textAlignment w:val="auto"/>
              <w:rPr>
                <w:rFonts w:eastAsia="宋体"/>
                <w:color w:val="auto"/>
                <w:spacing w:val="0"/>
                <w:w w:val="100"/>
                <w:kern w:val="0"/>
                <w:position w:val="0"/>
                <w:sz w:val="24"/>
                <w:szCs w:val="24"/>
                <w:highlight w:val="none"/>
              </w:rPr>
            </w:pPr>
            <w:r>
              <w:rPr>
                <w:rFonts w:eastAsia="宋体"/>
                <w:color w:val="auto"/>
                <w:spacing w:val="0"/>
                <w:w w:val="100"/>
                <w:kern w:val="0"/>
                <w:position w:val="0"/>
                <w:sz w:val="24"/>
                <w:szCs w:val="24"/>
                <w:highlight w:val="none"/>
              </w:rPr>
              <w:t>项目参数</w:t>
            </w:r>
          </w:p>
          <w:p w14:paraId="36E7CD0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pacing w:val="0"/>
                <w:w w:val="100"/>
                <w:kern w:val="0"/>
                <w:position w:val="0"/>
                <w:sz w:val="24"/>
                <w:szCs w:val="24"/>
                <w:highlight w:val="none"/>
                <w:lang w:eastAsia="zh-CN"/>
              </w:rPr>
            </w:pPr>
            <w:r>
              <w:rPr>
                <w:rFonts w:hint="eastAsia" w:eastAsia="宋体"/>
                <w:color w:val="auto"/>
                <w:spacing w:val="0"/>
                <w:w w:val="100"/>
                <w:kern w:val="0"/>
                <w:position w:val="0"/>
                <w:sz w:val="24"/>
                <w:szCs w:val="24"/>
                <w:highlight w:val="none"/>
                <w:lang w:eastAsia="zh-CN"/>
              </w:rPr>
              <w:t>①点</w:t>
            </w:r>
            <w:r>
              <w:rPr>
                <w:rFonts w:hint="default" w:eastAsia="宋体"/>
                <w:color w:val="auto"/>
                <w:spacing w:val="0"/>
                <w:w w:val="100"/>
                <w:kern w:val="0"/>
                <w:position w:val="0"/>
                <w:sz w:val="24"/>
                <w:szCs w:val="24"/>
                <w:highlight w:val="none"/>
              </w:rPr>
              <w:t>源参数见下表</w:t>
            </w:r>
            <w:r>
              <w:rPr>
                <w:rFonts w:hint="eastAsia"/>
                <w:color w:val="auto"/>
                <w:spacing w:val="0"/>
                <w:w w:val="100"/>
                <w:kern w:val="0"/>
                <w:position w:val="0"/>
                <w:sz w:val="24"/>
                <w:szCs w:val="24"/>
                <w:highlight w:val="none"/>
                <w:lang w:eastAsia="zh-CN"/>
              </w:rPr>
              <w:t>。</w:t>
            </w:r>
          </w:p>
          <w:p w14:paraId="2B4C3AB6">
            <w:pPr>
              <w:pStyle w:val="28"/>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480" w:lineRule="exact"/>
              <w:textAlignment w:val="auto"/>
              <w:rPr>
                <w:rFonts w:hint="default" w:ascii="Times New Roman" w:hAnsi="Times New Roman" w:eastAsia="宋体"/>
                <w:color w:val="auto"/>
                <w:spacing w:val="0"/>
                <w:w w:val="100"/>
                <w:kern w:val="0"/>
                <w:position w:val="0"/>
                <w:sz w:val="24"/>
                <w:szCs w:val="24"/>
                <w:highlight w:val="none"/>
              </w:rPr>
            </w:pPr>
            <w:r>
              <w:rPr>
                <w:rFonts w:hint="default" w:ascii="Times New Roman" w:hAnsi="Times New Roman" w:eastAsia="宋体"/>
                <w:color w:val="auto"/>
                <w:spacing w:val="0"/>
                <w:w w:val="100"/>
                <w:kern w:val="0"/>
                <w:position w:val="0"/>
                <w:sz w:val="24"/>
                <w:szCs w:val="24"/>
                <w:highlight w:val="none"/>
              </w:rPr>
              <w:t>表</w:t>
            </w:r>
            <w:r>
              <w:rPr>
                <w:rFonts w:hint="eastAsia" w:ascii="Times New Roman" w:hAnsi="Times New Roman" w:eastAsia="宋体"/>
                <w:color w:val="auto"/>
                <w:spacing w:val="0"/>
                <w:w w:val="100"/>
                <w:kern w:val="0"/>
                <w:position w:val="0"/>
                <w:sz w:val="24"/>
                <w:szCs w:val="24"/>
                <w:highlight w:val="none"/>
                <w:lang w:val="en-US" w:eastAsia="zh-CN"/>
              </w:rPr>
              <w:t>4-3</w:t>
            </w:r>
            <w:r>
              <w:rPr>
                <w:rFonts w:hint="default" w:ascii="Times New Roman" w:hAnsi="Times New Roman" w:eastAsia="宋体"/>
                <w:color w:val="auto"/>
                <w:spacing w:val="0"/>
                <w:w w:val="100"/>
                <w:kern w:val="0"/>
                <w:position w:val="0"/>
                <w:sz w:val="24"/>
                <w:szCs w:val="24"/>
                <w:highlight w:val="none"/>
              </w:rPr>
              <w:t xml:space="preserve">  主要废气污染源参数一览表（</w:t>
            </w:r>
            <w:r>
              <w:rPr>
                <w:rFonts w:hint="eastAsia" w:ascii="Times New Roman" w:hAnsi="Times New Roman" w:eastAsia="宋体"/>
                <w:color w:val="auto"/>
                <w:spacing w:val="0"/>
                <w:w w:val="100"/>
                <w:kern w:val="0"/>
                <w:position w:val="0"/>
                <w:sz w:val="24"/>
                <w:szCs w:val="24"/>
                <w:highlight w:val="none"/>
                <w:lang w:eastAsia="zh-CN"/>
              </w:rPr>
              <w:t>点</w:t>
            </w:r>
            <w:r>
              <w:rPr>
                <w:rFonts w:hint="default" w:ascii="Times New Roman" w:hAnsi="Times New Roman" w:eastAsia="宋体"/>
                <w:color w:val="auto"/>
                <w:spacing w:val="0"/>
                <w:w w:val="100"/>
                <w:kern w:val="0"/>
                <w:position w:val="0"/>
                <w:sz w:val="24"/>
                <w:szCs w:val="24"/>
                <w:highlight w:val="none"/>
              </w:rPr>
              <w:t>源）</w:t>
            </w:r>
          </w:p>
          <w:tbl>
            <w:tblPr>
              <w:tblStyle w:val="17"/>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71"/>
              <w:gridCol w:w="1296"/>
              <w:gridCol w:w="1192"/>
              <w:gridCol w:w="853"/>
              <w:gridCol w:w="740"/>
              <w:gridCol w:w="627"/>
              <w:gridCol w:w="853"/>
              <w:gridCol w:w="732"/>
              <w:gridCol w:w="910"/>
              <w:gridCol w:w="853"/>
            </w:tblGrid>
            <w:tr w14:paraId="659533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restart"/>
                  <w:noWrap w:val="0"/>
                  <w:vAlign w:val="center"/>
                </w:tcPr>
                <w:p w14:paraId="6C180C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污染源名称</w:t>
                  </w:r>
                </w:p>
              </w:tc>
              <w:tc>
                <w:tcPr>
                  <w:tcW w:w="0" w:type="dxa"/>
                  <w:gridSpan w:val="2"/>
                  <w:noWrap w:val="0"/>
                  <w:vAlign w:val="center"/>
                </w:tcPr>
                <w:p w14:paraId="336309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排气筒底部中心坐标(°)</w:t>
                  </w:r>
                </w:p>
              </w:tc>
              <w:tc>
                <w:tcPr>
                  <w:tcW w:w="0" w:type="dxa"/>
                  <w:vMerge w:val="restart"/>
                  <w:noWrap w:val="0"/>
                  <w:vAlign w:val="center"/>
                </w:tcPr>
                <w:p w14:paraId="791F7F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排气筒底部海拔高度(m)</w:t>
                  </w:r>
                </w:p>
              </w:tc>
              <w:tc>
                <w:tcPr>
                  <w:tcW w:w="0" w:type="dxa"/>
                  <w:gridSpan w:val="4"/>
                  <w:noWrap w:val="0"/>
                  <w:vAlign w:val="center"/>
                </w:tcPr>
                <w:p w14:paraId="43AD59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排气筒参数</w:t>
                  </w:r>
                </w:p>
              </w:tc>
              <w:tc>
                <w:tcPr>
                  <w:tcW w:w="0" w:type="dxa"/>
                  <w:gridSpan w:val="2"/>
                  <w:noWrap w:val="0"/>
                  <w:vAlign w:val="center"/>
                </w:tcPr>
                <w:p w14:paraId="0498A1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污染物排放速率(kg/h)</w:t>
                  </w:r>
                </w:p>
              </w:tc>
            </w:tr>
            <w:tr w14:paraId="1F07F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continue"/>
                  <w:noWrap w:val="0"/>
                  <w:vAlign w:val="center"/>
                </w:tcPr>
                <w:p w14:paraId="046AE172">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05E714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经度</w:t>
                  </w:r>
                </w:p>
              </w:tc>
              <w:tc>
                <w:tcPr>
                  <w:tcW w:w="0" w:type="dxa"/>
                  <w:noWrap w:val="0"/>
                  <w:vAlign w:val="center"/>
                </w:tcPr>
                <w:p w14:paraId="20E42A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纬度</w:t>
                  </w:r>
                </w:p>
              </w:tc>
              <w:tc>
                <w:tcPr>
                  <w:tcW w:w="0" w:type="dxa"/>
                  <w:vMerge w:val="continue"/>
                  <w:noWrap w:val="0"/>
                  <w:vAlign w:val="center"/>
                </w:tcPr>
                <w:p w14:paraId="7359A4D2">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3BF4BA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高度(m)</w:t>
                  </w:r>
                </w:p>
              </w:tc>
              <w:tc>
                <w:tcPr>
                  <w:tcW w:w="0" w:type="dxa"/>
                  <w:noWrap w:val="0"/>
                  <w:vAlign w:val="center"/>
                </w:tcPr>
                <w:p w14:paraId="4F38CC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内径(m)</w:t>
                  </w:r>
                </w:p>
              </w:tc>
              <w:tc>
                <w:tcPr>
                  <w:tcW w:w="0" w:type="dxa"/>
                  <w:noWrap w:val="0"/>
                  <w:vAlign w:val="center"/>
                </w:tcPr>
                <w:p w14:paraId="78B284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温度(℃)</w:t>
                  </w:r>
                </w:p>
              </w:tc>
              <w:tc>
                <w:tcPr>
                  <w:tcW w:w="0" w:type="dxa"/>
                  <w:noWrap w:val="0"/>
                  <w:vAlign w:val="center"/>
                </w:tcPr>
                <w:p w14:paraId="45D49D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流速(m/s)</w:t>
                  </w:r>
                </w:p>
              </w:tc>
              <w:tc>
                <w:tcPr>
                  <w:tcW w:w="0" w:type="dxa"/>
                  <w:noWrap w:val="0"/>
                  <w:vAlign w:val="center"/>
                </w:tcPr>
                <w:p w14:paraId="22ACAA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w:t>
                  </w:r>
                </w:p>
              </w:tc>
              <w:tc>
                <w:tcPr>
                  <w:tcW w:w="0" w:type="dxa"/>
                  <w:noWrap w:val="0"/>
                  <w:vAlign w:val="center"/>
                </w:tcPr>
                <w:p w14:paraId="408082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w:t>
                  </w:r>
                </w:p>
              </w:tc>
            </w:tr>
            <w:tr w14:paraId="5BB0AF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noWrap w:val="0"/>
                  <w:vAlign w:val="center"/>
                </w:tcPr>
                <w:p w14:paraId="374078F9">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sz w:val="21"/>
                      <w:szCs w:val="21"/>
                      <w:highlight w:val="none"/>
                      <w:lang w:val="en-US" w:eastAsia="zh-CN"/>
                    </w:rPr>
                    <w:t>J</w:t>
                  </w:r>
                  <w:r>
                    <w:rPr>
                      <w:rFonts w:hint="default" w:ascii="Times New Roman" w:hAnsi="Times New Roman" w:eastAsia="宋体" w:cs="Times New Roman"/>
                      <w:b w:val="0"/>
                      <w:color w:val="auto"/>
                      <w:sz w:val="21"/>
                      <w:szCs w:val="21"/>
                      <w:highlight w:val="none"/>
                    </w:rPr>
                    <w:t>1排气筒</w:t>
                  </w:r>
                </w:p>
              </w:tc>
              <w:tc>
                <w:tcPr>
                  <w:tcW w:w="0" w:type="dxa"/>
                  <w:noWrap w:val="0"/>
                  <w:vAlign w:val="center"/>
                </w:tcPr>
                <w:p w14:paraId="4C355A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118.565126</w:t>
                  </w:r>
                </w:p>
              </w:tc>
              <w:tc>
                <w:tcPr>
                  <w:tcW w:w="0" w:type="dxa"/>
                  <w:noWrap w:val="0"/>
                  <w:vAlign w:val="center"/>
                </w:tcPr>
                <w:p w14:paraId="1D74F2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40.434801</w:t>
                  </w:r>
                </w:p>
              </w:tc>
              <w:tc>
                <w:tcPr>
                  <w:tcW w:w="0" w:type="dxa"/>
                  <w:noWrap w:val="0"/>
                  <w:vAlign w:val="center"/>
                </w:tcPr>
                <w:p w14:paraId="7A6C5D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362.00</w:t>
                  </w:r>
                </w:p>
              </w:tc>
              <w:tc>
                <w:tcPr>
                  <w:tcW w:w="0" w:type="dxa"/>
                  <w:noWrap w:val="0"/>
                  <w:vAlign w:val="center"/>
                </w:tcPr>
                <w:p w14:paraId="73B6E4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0" w:type="dxa"/>
                  <w:noWrap w:val="0"/>
                  <w:vAlign w:val="center"/>
                </w:tcPr>
                <w:p w14:paraId="58736E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0" w:type="dxa"/>
                  <w:noWrap w:val="0"/>
                  <w:vAlign w:val="center"/>
                </w:tcPr>
                <w:p w14:paraId="03B5FF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141.85</w:t>
                  </w:r>
                </w:p>
              </w:tc>
              <w:tc>
                <w:tcPr>
                  <w:tcW w:w="0" w:type="dxa"/>
                  <w:noWrap w:val="0"/>
                  <w:vAlign w:val="center"/>
                </w:tcPr>
                <w:p w14:paraId="472289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11.00</w:t>
                  </w:r>
                </w:p>
              </w:tc>
              <w:tc>
                <w:tcPr>
                  <w:tcW w:w="0" w:type="dxa"/>
                  <w:noWrap w:val="0"/>
                  <w:vAlign w:val="center"/>
                </w:tcPr>
                <w:p w14:paraId="653B57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6AE562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0.0100</w:t>
                  </w:r>
                </w:p>
              </w:tc>
            </w:tr>
            <w:tr w14:paraId="342024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noWrap w:val="0"/>
                  <w:vAlign w:val="center"/>
                </w:tcPr>
                <w:p w14:paraId="76F08EB8">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sz w:val="21"/>
                      <w:szCs w:val="21"/>
                      <w:highlight w:val="none"/>
                      <w:lang w:val="en-US" w:eastAsia="zh-CN"/>
                    </w:rPr>
                    <w:t>J</w:t>
                  </w:r>
                  <w:r>
                    <w:rPr>
                      <w:rFonts w:hint="default" w:ascii="Times New Roman" w:hAnsi="Times New Roman" w:eastAsia="宋体" w:cs="Times New Roman"/>
                      <w:b w:val="0"/>
                      <w:color w:val="auto"/>
                      <w:sz w:val="21"/>
                      <w:szCs w:val="21"/>
                      <w:highlight w:val="none"/>
                    </w:rPr>
                    <w:t>2排气筒</w:t>
                  </w:r>
                </w:p>
              </w:tc>
              <w:tc>
                <w:tcPr>
                  <w:tcW w:w="0" w:type="dxa"/>
                  <w:noWrap w:val="0"/>
                  <w:vAlign w:val="center"/>
                </w:tcPr>
                <w:p w14:paraId="0AAE36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118.565345</w:t>
                  </w:r>
                </w:p>
              </w:tc>
              <w:tc>
                <w:tcPr>
                  <w:tcW w:w="0" w:type="dxa"/>
                  <w:noWrap w:val="0"/>
                  <w:vAlign w:val="center"/>
                </w:tcPr>
                <w:p w14:paraId="767182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40.434769</w:t>
                  </w:r>
                </w:p>
              </w:tc>
              <w:tc>
                <w:tcPr>
                  <w:tcW w:w="0" w:type="dxa"/>
                  <w:noWrap w:val="0"/>
                  <w:vAlign w:val="center"/>
                </w:tcPr>
                <w:p w14:paraId="1C064F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362.00</w:t>
                  </w:r>
                </w:p>
              </w:tc>
              <w:tc>
                <w:tcPr>
                  <w:tcW w:w="0" w:type="dxa"/>
                  <w:noWrap w:val="0"/>
                  <w:vAlign w:val="center"/>
                </w:tcPr>
                <w:p w14:paraId="3284EC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0" w:type="dxa"/>
                  <w:noWrap w:val="0"/>
                  <w:vAlign w:val="center"/>
                </w:tcPr>
                <w:p w14:paraId="5FA016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0" w:type="dxa"/>
                  <w:noWrap w:val="0"/>
                  <w:vAlign w:val="center"/>
                </w:tcPr>
                <w:p w14:paraId="4FAD11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141.85</w:t>
                  </w:r>
                </w:p>
              </w:tc>
              <w:tc>
                <w:tcPr>
                  <w:tcW w:w="0" w:type="dxa"/>
                  <w:noWrap w:val="0"/>
                  <w:vAlign w:val="center"/>
                </w:tcPr>
                <w:p w14:paraId="6BC08B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11.00</w:t>
                  </w:r>
                </w:p>
              </w:tc>
              <w:tc>
                <w:tcPr>
                  <w:tcW w:w="0" w:type="dxa"/>
                  <w:noWrap w:val="0"/>
                  <w:vAlign w:val="center"/>
                </w:tcPr>
                <w:p w14:paraId="4795CA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0.6060</w:t>
                  </w:r>
                </w:p>
              </w:tc>
              <w:tc>
                <w:tcPr>
                  <w:tcW w:w="0" w:type="dxa"/>
                  <w:noWrap w:val="0"/>
                  <w:vAlign w:val="center"/>
                </w:tcPr>
                <w:p w14:paraId="5D3F88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0.0980</w:t>
                  </w:r>
                </w:p>
              </w:tc>
            </w:tr>
            <w:tr w14:paraId="25FBBA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noWrap w:val="0"/>
                  <w:vAlign w:val="center"/>
                </w:tcPr>
                <w:p w14:paraId="15B14214">
                  <w:pPr>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P</w:t>
                  </w:r>
                  <w:r>
                    <w:rPr>
                      <w:rFonts w:hint="eastAsia" w:ascii="Times New Roman" w:hAnsi="Times New Roman" w:eastAsia="宋体" w:cs="Times New Roman"/>
                      <w:b w:val="0"/>
                      <w:color w:val="auto"/>
                      <w:sz w:val="21"/>
                      <w:szCs w:val="21"/>
                      <w:highlight w:val="none"/>
                      <w:lang w:val="en-US" w:eastAsia="zh-CN"/>
                    </w:rPr>
                    <w:t>8</w:t>
                  </w:r>
                  <w:r>
                    <w:rPr>
                      <w:rFonts w:hint="default" w:ascii="Times New Roman" w:hAnsi="Times New Roman" w:eastAsia="宋体" w:cs="Times New Roman"/>
                      <w:b w:val="0"/>
                      <w:color w:val="auto"/>
                      <w:sz w:val="21"/>
                      <w:szCs w:val="21"/>
                      <w:highlight w:val="none"/>
                      <w:lang w:val="en-US" w:eastAsia="zh-CN"/>
                    </w:rPr>
                    <w:t>排气筒</w:t>
                  </w:r>
                </w:p>
              </w:tc>
              <w:tc>
                <w:tcPr>
                  <w:tcW w:w="0" w:type="dxa"/>
                  <w:noWrap w:val="0"/>
                  <w:vAlign w:val="center"/>
                </w:tcPr>
                <w:p w14:paraId="5C937199">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118.564656</w:t>
                  </w:r>
                </w:p>
              </w:tc>
              <w:tc>
                <w:tcPr>
                  <w:tcW w:w="0" w:type="dxa"/>
                  <w:noWrap w:val="0"/>
                  <w:vAlign w:val="center"/>
                </w:tcPr>
                <w:p w14:paraId="098A68F0">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40.434869</w:t>
                  </w:r>
                </w:p>
              </w:tc>
              <w:tc>
                <w:tcPr>
                  <w:tcW w:w="0" w:type="dxa"/>
                  <w:noWrap w:val="0"/>
                  <w:vAlign w:val="center"/>
                </w:tcPr>
                <w:p w14:paraId="0E49A499">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362.00</w:t>
                  </w:r>
                </w:p>
              </w:tc>
              <w:tc>
                <w:tcPr>
                  <w:tcW w:w="0" w:type="dxa"/>
                  <w:noWrap w:val="0"/>
                  <w:vAlign w:val="center"/>
                </w:tcPr>
                <w:p w14:paraId="1C93A2CC">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0" w:type="dxa"/>
                  <w:noWrap w:val="0"/>
                  <w:vAlign w:val="center"/>
                </w:tcPr>
                <w:p w14:paraId="01EAC16D">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0" w:type="dxa"/>
                  <w:noWrap w:val="0"/>
                  <w:vAlign w:val="center"/>
                </w:tcPr>
                <w:p w14:paraId="6253C20D">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141.85</w:t>
                  </w:r>
                </w:p>
              </w:tc>
              <w:tc>
                <w:tcPr>
                  <w:tcW w:w="0" w:type="dxa"/>
                  <w:noWrap w:val="0"/>
                  <w:vAlign w:val="center"/>
                </w:tcPr>
                <w:p w14:paraId="7AF1407B">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11.00</w:t>
                  </w:r>
                </w:p>
              </w:tc>
              <w:tc>
                <w:tcPr>
                  <w:tcW w:w="0" w:type="dxa"/>
                  <w:noWrap w:val="0"/>
                  <w:vAlign w:val="center"/>
                </w:tcPr>
                <w:p w14:paraId="37C39D0F">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55B96003">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0.1460</w:t>
                  </w:r>
                </w:p>
              </w:tc>
            </w:tr>
          </w:tbl>
          <w:p w14:paraId="49043F3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cs="Times New Roman"/>
                <w:color w:val="auto"/>
                <w:spacing w:val="0"/>
                <w:w w:val="100"/>
                <w:position w:val="0"/>
                <w:sz w:val="24"/>
                <w:szCs w:val="24"/>
                <w:highlight w:val="none"/>
                <w:lang w:val="en-US" w:eastAsia="zh-CN"/>
              </w:rPr>
            </w:pPr>
            <w:r>
              <w:rPr>
                <w:rStyle w:val="20"/>
                <w:rFonts w:hint="eastAsia" w:eastAsia="宋体"/>
                <w:b w:val="0"/>
                <w:bCs/>
                <w:color w:val="auto"/>
                <w:spacing w:val="0"/>
                <w:w w:val="100"/>
                <w:kern w:val="0"/>
                <w:position w:val="0"/>
                <w:sz w:val="24"/>
                <w:szCs w:val="24"/>
                <w:highlight w:val="none"/>
                <w:lang w:eastAsia="zh-CN"/>
              </w:rPr>
              <w:t>②</w:t>
            </w:r>
            <w:r>
              <w:rPr>
                <w:rStyle w:val="20"/>
                <w:rFonts w:hint="default" w:eastAsia="宋体"/>
                <w:b w:val="0"/>
                <w:bCs/>
                <w:color w:val="auto"/>
                <w:spacing w:val="0"/>
                <w:w w:val="100"/>
                <w:kern w:val="0"/>
                <w:position w:val="0"/>
                <w:sz w:val="24"/>
                <w:szCs w:val="24"/>
                <w:highlight w:val="none"/>
              </w:rPr>
              <w:t>估算模式参数选取</w:t>
            </w:r>
            <w:r>
              <w:rPr>
                <w:rStyle w:val="20"/>
                <w:rFonts w:hint="eastAsia"/>
                <w:b w:val="0"/>
                <w:bCs/>
                <w:color w:val="auto"/>
                <w:spacing w:val="0"/>
                <w:w w:val="100"/>
                <w:kern w:val="0"/>
                <w:position w:val="0"/>
                <w:sz w:val="24"/>
                <w:szCs w:val="24"/>
                <w:highlight w:val="none"/>
                <w:lang w:val="en-US" w:eastAsia="zh-CN"/>
              </w:rPr>
              <w:t>见下表；</w:t>
            </w:r>
            <w:r>
              <w:rPr>
                <w:rFonts w:hint="eastAsia" w:ascii="Times New Roman" w:hAnsi="Times New Roman" w:cs="Times New Roman"/>
                <w:color w:val="auto"/>
                <w:spacing w:val="0"/>
                <w:w w:val="100"/>
                <w:position w:val="0"/>
                <w:sz w:val="24"/>
                <w:szCs w:val="24"/>
                <w:highlight w:val="none"/>
                <w:lang w:val="en-US" w:eastAsia="zh-CN"/>
              </w:rPr>
              <w:t>其中项目周边500半径范围内城市建成区和规划区为达到范围内一半面积，因此预测参数选择农村</w:t>
            </w:r>
            <w:r>
              <w:rPr>
                <w:rFonts w:hint="default" w:ascii="Times New Roman" w:hAnsi="Times New Roman" w:cs="Times New Roman"/>
                <w:color w:val="auto"/>
                <w:spacing w:val="0"/>
                <w:w w:val="100"/>
                <w:position w:val="0"/>
                <w:sz w:val="24"/>
                <w:szCs w:val="24"/>
                <w:highlight w:val="none"/>
                <w:lang w:val="en-US" w:eastAsia="zh-CN"/>
              </w:rPr>
              <w:t>。</w:t>
            </w:r>
          </w:p>
          <w:p w14:paraId="6BB718A2">
            <w:pPr>
              <w:pStyle w:val="28"/>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460" w:lineRule="exact"/>
              <w:ind w:firstLine="0" w:firstLineChars="0"/>
              <w:textAlignment w:val="auto"/>
              <w:rPr>
                <w:rFonts w:hint="default" w:ascii="Times New Roman" w:hAnsi="Times New Roman" w:eastAsia="宋体"/>
                <w:color w:val="auto"/>
                <w:spacing w:val="0"/>
                <w:w w:val="100"/>
                <w:kern w:val="0"/>
                <w:position w:val="0"/>
                <w:sz w:val="24"/>
                <w:szCs w:val="24"/>
                <w:highlight w:val="none"/>
              </w:rPr>
            </w:pPr>
            <w:r>
              <w:rPr>
                <w:rFonts w:hint="default" w:ascii="Times New Roman" w:hAnsi="Times New Roman" w:eastAsia="宋体"/>
                <w:color w:val="auto"/>
                <w:spacing w:val="0"/>
                <w:w w:val="100"/>
                <w:kern w:val="0"/>
                <w:position w:val="0"/>
                <w:sz w:val="24"/>
                <w:szCs w:val="24"/>
                <w:highlight w:val="none"/>
              </w:rPr>
              <w:t>表</w:t>
            </w:r>
            <w:r>
              <w:rPr>
                <w:rFonts w:hint="eastAsia" w:ascii="Times New Roman" w:hAnsi="Times New Roman" w:eastAsia="宋体"/>
                <w:color w:val="auto"/>
                <w:spacing w:val="0"/>
                <w:w w:val="100"/>
                <w:kern w:val="0"/>
                <w:position w:val="0"/>
                <w:sz w:val="24"/>
                <w:szCs w:val="24"/>
                <w:highlight w:val="none"/>
                <w:lang w:val="en-US" w:eastAsia="zh-CN"/>
              </w:rPr>
              <w:t>4</w:t>
            </w:r>
            <w:r>
              <w:rPr>
                <w:rFonts w:hint="default" w:ascii="Times New Roman" w:hAnsi="Times New Roman" w:eastAsia="宋体"/>
                <w:color w:val="auto"/>
                <w:spacing w:val="0"/>
                <w:w w:val="100"/>
                <w:kern w:val="0"/>
                <w:position w:val="0"/>
                <w:sz w:val="24"/>
                <w:szCs w:val="24"/>
                <w:highlight w:val="none"/>
              </w:rPr>
              <w:t>-</w:t>
            </w:r>
            <w:r>
              <w:rPr>
                <w:rFonts w:hint="eastAsia" w:ascii="Times New Roman" w:hAnsi="Times New Roman" w:eastAsia="宋体"/>
                <w:color w:val="auto"/>
                <w:spacing w:val="0"/>
                <w:w w:val="100"/>
                <w:kern w:val="0"/>
                <w:position w:val="0"/>
                <w:sz w:val="24"/>
                <w:szCs w:val="24"/>
                <w:highlight w:val="none"/>
                <w:lang w:val="en-US" w:eastAsia="zh-CN"/>
              </w:rPr>
              <w:t>4</w:t>
            </w:r>
            <w:r>
              <w:rPr>
                <w:rFonts w:hint="default" w:ascii="Times New Roman" w:hAnsi="Times New Roman" w:eastAsia="宋体"/>
                <w:color w:val="auto"/>
                <w:spacing w:val="0"/>
                <w:w w:val="100"/>
                <w:kern w:val="0"/>
                <w:position w:val="0"/>
                <w:sz w:val="24"/>
                <w:szCs w:val="24"/>
                <w:highlight w:val="none"/>
              </w:rPr>
              <w:t xml:space="preserve">  估算模型参数表</w:t>
            </w:r>
          </w:p>
          <w:tbl>
            <w:tblPr>
              <w:tblStyle w:val="17"/>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270"/>
              <w:gridCol w:w="2771"/>
              <w:gridCol w:w="3486"/>
            </w:tblGrid>
            <w:tr w14:paraId="7D74FA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gridSpan w:val="2"/>
                  <w:noWrap w:val="0"/>
                  <w:vAlign w:val="center"/>
                </w:tcPr>
                <w:p w14:paraId="596BA4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参数</w:t>
                  </w:r>
                </w:p>
              </w:tc>
              <w:tc>
                <w:tcPr>
                  <w:tcW w:w="0" w:type="dxa"/>
                  <w:noWrap w:val="0"/>
                  <w:vAlign w:val="center"/>
                </w:tcPr>
                <w:p w14:paraId="11DE3E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取值</w:t>
                  </w:r>
                </w:p>
              </w:tc>
            </w:tr>
            <w:tr w14:paraId="4E0683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restart"/>
                  <w:noWrap w:val="0"/>
                  <w:vAlign w:val="center"/>
                </w:tcPr>
                <w:p w14:paraId="315A69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城市/农村选项</w:t>
                  </w:r>
                </w:p>
              </w:tc>
              <w:tc>
                <w:tcPr>
                  <w:tcW w:w="0" w:type="dxa"/>
                  <w:noWrap w:val="0"/>
                  <w:vAlign w:val="center"/>
                </w:tcPr>
                <w:p w14:paraId="62048E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城市/农村</w:t>
                  </w:r>
                </w:p>
              </w:tc>
              <w:tc>
                <w:tcPr>
                  <w:tcW w:w="0" w:type="dxa"/>
                  <w:noWrap w:val="0"/>
                  <w:vAlign w:val="center"/>
                </w:tcPr>
                <w:p w14:paraId="1D7A96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农村</w:t>
                  </w:r>
                </w:p>
              </w:tc>
            </w:tr>
            <w:tr w14:paraId="4E4387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continue"/>
                  <w:noWrap w:val="0"/>
                  <w:vAlign w:val="center"/>
                </w:tcPr>
                <w:p w14:paraId="6DAEE86D">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3B3737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人口数(城市人口数)</w:t>
                  </w:r>
                </w:p>
              </w:tc>
              <w:tc>
                <w:tcPr>
                  <w:tcW w:w="0" w:type="dxa"/>
                  <w:noWrap w:val="0"/>
                  <w:vAlign w:val="center"/>
                </w:tcPr>
                <w:p w14:paraId="45FD81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14:paraId="6DBB11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gridSpan w:val="2"/>
                  <w:noWrap w:val="0"/>
                  <w:vAlign w:val="center"/>
                </w:tcPr>
                <w:p w14:paraId="3D6578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最高环境温度</w:t>
                  </w:r>
                </w:p>
              </w:tc>
              <w:tc>
                <w:tcPr>
                  <w:tcW w:w="0" w:type="dxa"/>
                  <w:noWrap w:val="0"/>
                  <w:vAlign w:val="center"/>
                </w:tcPr>
                <w:p w14:paraId="6CAFC1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39.6</w:t>
                  </w:r>
                </w:p>
              </w:tc>
            </w:tr>
            <w:tr w14:paraId="3D0397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gridSpan w:val="2"/>
                  <w:noWrap w:val="0"/>
                  <w:vAlign w:val="center"/>
                </w:tcPr>
                <w:p w14:paraId="542BA9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最低环境温度</w:t>
                  </w:r>
                </w:p>
              </w:tc>
              <w:tc>
                <w:tcPr>
                  <w:tcW w:w="0" w:type="dxa"/>
                  <w:noWrap w:val="0"/>
                  <w:vAlign w:val="center"/>
                </w:tcPr>
                <w:p w14:paraId="208991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-29.2</w:t>
                  </w:r>
                </w:p>
              </w:tc>
            </w:tr>
            <w:tr w14:paraId="7D3293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gridSpan w:val="2"/>
                  <w:noWrap w:val="0"/>
                  <w:vAlign w:val="center"/>
                </w:tcPr>
                <w:p w14:paraId="103251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土地利用类型</w:t>
                  </w:r>
                </w:p>
              </w:tc>
              <w:tc>
                <w:tcPr>
                  <w:tcW w:w="0" w:type="dxa"/>
                  <w:noWrap w:val="0"/>
                  <w:vAlign w:val="center"/>
                </w:tcPr>
                <w:p w14:paraId="4E769C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草地</w:t>
                  </w:r>
                </w:p>
              </w:tc>
            </w:tr>
            <w:tr w14:paraId="492372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gridSpan w:val="2"/>
                  <w:noWrap w:val="0"/>
                  <w:vAlign w:val="center"/>
                </w:tcPr>
                <w:p w14:paraId="1BD48C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区域湿度条件</w:t>
                  </w:r>
                </w:p>
              </w:tc>
              <w:tc>
                <w:tcPr>
                  <w:tcW w:w="0" w:type="dxa"/>
                  <w:noWrap w:val="0"/>
                  <w:vAlign w:val="center"/>
                </w:tcPr>
                <w:p w14:paraId="293221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中等湿度</w:t>
                  </w:r>
                </w:p>
              </w:tc>
            </w:tr>
            <w:tr w14:paraId="0FB2C6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restart"/>
                  <w:noWrap w:val="0"/>
                  <w:vAlign w:val="center"/>
                </w:tcPr>
                <w:p w14:paraId="074D66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是否考虑地形</w:t>
                  </w:r>
                </w:p>
              </w:tc>
              <w:tc>
                <w:tcPr>
                  <w:tcW w:w="0" w:type="dxa"/>
                  <w:noWrap w:val="0"/>
                  <w:vAlign w:val="center"/>
                </w:tcPr>
                <w:p w14:paraId="39C260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考虑地形</w:t>
                  </w:r>
                </w:p>
              </w:tc>
              <w:tc>
                <w:tcPr>
                  <w:tcW w:w="0" w:type="dxa"/>
                  <w:noWrap w:val="0"/>
                  <w:vAlign w:val="center"/>
                </w:tcPr>
                <w:p w14:paraId="078237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是</w:t>
                  </w:r>
                </w:p>
              </w:tc>
            </w:tr>
            <w:tr w14:paraId="265B5C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continue"/>
                  <w:noWrap w:val="0"/>
                  <w:vAlign w:val="center"/>
                </w:tcPr>
                <w:p w14:paraId="6288A764">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1660A8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地形数据分辨率(m)</w:t>
                  </w:r>
                </w:p>
              </w:tc>
              <w:tc>
                <w:tcPr>
                  <w:tcW w:w="0" w:type="dxa"/>
                  <w:noWrap w:val="0"/>
                  <w:vAlign w:val="center"/>
                </w:tcPr>
                <w:p w14:paraId="34E699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w:t>
                  </w:r>
                </w:p>
              </w:tc>
            </w:tr>
            <w:tr w14:paraId="116DCA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restart"/>
                  <w:noWrap w:val="0"/>
                  <w:vAlign w:val="center"/>
                </w:tcPr>
                <w:p w14:paraId="6DB3F3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是否考虑岸线熏烟</w:t>
                  </w:r>
                </w:p>
              </w:tc>
              <w:tc>
                <w:tcPr>
                  <w:tcW w:w="0" w:type="dxa"/>
                  <w:noWrap w:val="0"/>
                  <w:vAlign w:val="center"/>
                </w:tcPr>
                <w:p w14:paraId="0188C5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考虑岸线熏烟</w:t>
                  </w:r>
                </w:p>
              </w:tc>
              <w:tc>
                <w:tcPr>
                  <w:tcW w:w="0" w:type="dxa"/>
                  <w:noWrap w:val="0"/>
                  <w:vAlign w:val="center"/>
                </w:tcPr>
                <w:p w14:paraId="5F78B8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否</w:t>
                  </w:r>
                </w:p>
              </w:tc>
            </w:tr>
            <w:tr w14:paraId="045EF6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continue"/>
                  <w:noWrap w:val="0"/>
                  <w:vAlign w:val="center"/>
                </w:tcPr>
                <w:p w14:paraId="73324995">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631BC9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岸线距离/m</w:t>
                  </w:r>
                </w:p>
              </w:tc>
              <w:tc>
                <w:tcPr>
                  <w:tcW w:w="0" w:type="dxa"/>
                  <w:noWrap w:val="0"/>
                  <w:vAlign w:val="center"/>
                </w:tcPr>
                <w:p w14:paraId="1DB300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14:paraId="1E8A78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0" w:type="dxa"/>
                  <w:vMerge w:val="continue"/>
                  <w:noWrap w:val="0"/>
                  <w:vAlign w:val="center"/>
                </w:tcPr>
                <w:p w14:paraId="37B73523">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424A1C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岸线方向/°</w:t>
                  </w:r>
                </w:p>
              </w:tc>
              <w:tc>
                <w:tcPr>
                  <w:tcW w:w="0" w:type="dxa"/>
                  <w:noWrap w:val="0"/>
                  <w:vAlign w:val="center"/>
                </w:tcPr>
                <w:p w14:paraId="71B0BA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bl>
          <w:p w14:paraId="496D45D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eastAsia="zh-CN"/>
              </w:rPr>
            </w:pPr>
            <w:r>
              <w:rPr>
                <w:rFonts w:hint="eastAsia"/>
                <w:color w:val="auto"/>
                <w:sz w:val="24"/>
                <w:szCs w:val="24"/>
                <w:highlight w:val="none"/>
                <w:lang w:val="en-US" w:eastAsia="zh-CN"/>
              </w:rPr>
              <w:t>3、估算结果分析</w:t>
            </w:r>
          </w:p>
          <w:p w14:paraId="5BBAA8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面源估算结果见下表。</w:t>
            </w:r>
          </w:p>
          <w:p w14:paraId="4B6E04A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color w:val="auto"/>
                <w:sz w:val="24"/>
                <w:szCs w:val="24"/>
                <w:highlight w:val="none"/>
                <w:lang w:val="en-US" w:eastAsia="zh-CN"/>
              </w:rPr>
            </w:pPr>
            <w:r>
              <w:rPr>
                <w:rFonts w:hint="eastAsia"/>
                <w:color w:val="auto"/>
                <w:sz w:val="24"/>
                <w:szCs w:val="24"/>
                <w:highlight w:val="none"/>
                <w:lang w:val="en-US" w:eastAsia="zh-CN"/>
              </w:rPr>
              <w:t>表4-5  主要污染源估算模型计算结果表（J1）</w:t>
            </w:r>
          </w:p>
          <w:tbl>
            <w:tblPr>
              <w:tblStyle w:val="17"/>
              <w:tblW w:w="8527" w:type="dxa"/>
              <w:tblInd w:w="-2"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845"/>
              <w:gridCol w:w="1764"/>
              <w:gridCol w:w="1415"/>
              <w:gridCol w:w="1764"/>
              <w:gridCol w:w="1739"/>
            </w:tblGrid>
            <w:tr w14:paraId="3B09D5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restart"/>
                  <w:noWrap w:val="0"/>
                  <w:vAlign w:val="center"/>
                </w:tcPr>
                <w:p w14:paraId="47B719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下风向距离</w:t>
                  </w:r>
                </w:p>
              </w:tc>
              <w:tc>
                <w:tcPr>
                  <w:tcW w:w="0" w:type="dxa"/>
                  <w:gridSpan w:val="4"/>
                  <w:noWrap w:val="0"/>
                  <w:vAlign w:val="center"/>
                </w:tcPr>
                <w:p w14:paraId="2DE743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排气筒</w:t>
                  </w:r>
                  <w:r>
                    <w:rPr>
                      <w:rFonts w:hint="eastAsia" w:ascii="Times New Roman" w:hAnsi="Times New Roman" w:eastAsia="宋体" w:cs="Times New Roman"/>
                      <w:b w:val="0"/>
                      <w:color w:val="auto"/>
                      <w:sz w:val="21"/>
                      <w:szCs w:val="21"/>
                      <w:highlight w:val="none"/>
                      <w:lang w:val="en-US" w:eastAsia="zh-CN"/>
                    </w:rPr>
                    <w:t>J1</w:t>
                  </w:r>
                </w:p>
              </w:tc>
            </w:tr>
            <w:tr w14:paraId="2DEA63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45" w:hRule="exact"/>
              </w:trPr>
              <w:tc>
                <w:tcPr>
                  <w:tcW w:w="0" w:type="dxa"/>
                  <w:vMerge w:val="continue"/>
                  <w:noWrap w:val="0"/>
                  <w:vAlign w:val="center"/>
                </w:tcPr>
                <w:p w14:paraId="3CBF6BB9">
                  <w:pPr>
                    <w:jc w:val="center"/>
                    <w:rPr>
                      <w:rFonts w:hint="default" w:ascii="Times New Roman" w:hAnsi="Times New Roman" w:eastAsia="宋体" w:cs="Times New Roman"/>
                      <w:color w:val="auto"/>
                      <w:sz w:val="21"/>
                      <w:szCs w:val="21"/>
                      <w:highlight w:val="none"/>
                    </w:rPr>
                  </w:pPr>
                </w:p>
              </w:tc>
              <w:tc>
                <w:tcPr>
                  <w:tcW w:w="0" w:type="dxa"/>
                  <w:noWrap w:val="0"/>
                  <w:vAlign w:val="center"/>
                </w:tcPr>
                <w:p w14:paraId="1AD9B7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TSP浓度(μg/m³)</w:t>
                  </w:r>
                </w:p>
              </w:tc>
              <w:tc>
                <w:tcPr>
                  <w:tcW w:w="0" w:type="dxa"/>
                  <w:noWrap w:val="0"/>
                  <w:vAlign w:val="center"/>
                </w:tcPr>
                <w:p w14:paraId="4B55E9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TSP占标率(%)</w:t>
                  </w:r>
                </w:p>
              </w:tc>
              <w:tc>
                <w:tcPr>
                  <w:tcW w:w="0" w:type="dxa"/>
                  <w:noWrap w:val="0"/>
                  <w:vAlign w:val="center"/>
                </w:tcPr>
                <w:p w14:paraId="72006D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NMHC浓度(μg/m³)</w:t>
                  </w:r>
                </w:p>
              </w:tc>
              <w:tc>
                <w:tcPr>
                  <w:tcW w:w="0" w:type="dxa"/>
                  <w:noWrap w:val="0"/>
                  <w:vAlign w:val="center"/>
                </w:tcPr>
                <w:p w14:paraId="690387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NMHC占标率(%)</w:t>
                  </w:r>
                </w:p>
              </w:tc>
            </w:tr>
            <w:tr w14:paraId="2E4668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AE5E0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0" w:type="dxa"/>
                  <w:noWrap w:val="0"/>
                  <w:vAlign w:val="center"/>
                </w:tcPr>
                <w:p w14:paraId="2E409D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c>
                <w:tcPr>
                  <w:tcW w:w="0" w:type="dxa"/>
                  <w:noWrap w:val="0"/>
                  <w:vAlign w:val="center"/>
                </w:tcPr>
                <w:p w14:paraId="310AC1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0" w:type="dxa"/>
                  <w:noWrap w:val="0"/>
                  <w:vAlign w:val="center"/>
                </w:tcPr>
                <w:p w14:paraId="27FE02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0" w:type="dxa"/>
                  <w:noWrap w:val="0"/>
                  <w:vAlign w:val="center"/>
                </w:tcPr>
                <w:p w14:paraId="356218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4F2E93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BEF46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w:t>
                  </w:r>
                </w:p>
              </w:tc>
              <w:tc>
                <w:tcPr>
                  <w:tcW w:w="0" w:type="dxa"/>
                  <w:noWrap w:val="0"/>
                  <w:vAlign w:val="center"/>
                </w:tcPr>
                <w:p w14:paraId="2B149E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0" w:type="dxa"/>
                  <w:noWrap w:val="0"/>
                  <w:vAlign w:val="center"/>
                </w:tcPr>
                <w:p w14:paraId="3C518F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0" w:type="dxa"/>
                  <w:noWrap w:val="0"/>
                  <w:vAlign w:val="center"/>
                </w:tcPr>
                <w:p w14:paraId="431C36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0.12</w:t>
                  </w:r>
                </w:p>
              </w:tc>
              <w:tc>
                <w:tcPr>
                  <w:tcW w:w="0" w:type="dxa"/>
                  <w:noWrap w:val="0"/>
                  <w:vAlign w:val="center"/>
                </w:tcPr>
                <w:p w14:paraId="7EA44E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61F8F3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5EA68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0" w:type="dxa"/>
                  <w:noWrap w:val="0"/>
                  <w:vAlign w:val="center"/>
                </w:tcPr>
                <w:p w14:paraId="0B2F97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7D5580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0" w:type="dxa"/>
                  <w:noWrap w:val="0"/>
                  <w:vAlign w:val="center"/>
                </w:tcPr>
                <w:p w14:paraId="033769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0.18</w:t>
                  </w:r>
                </w:p>
              </w:tc>
              <w:tc>
                <w:tcPr>
                  <w:tcW w:w="0" w:type="dxa"/>
                  <w:noWrap w:val="0"/>
                  <w:vAlign w:val="center"/>
                </w:tcPr>
                <w:p w14:paraId="1C7EED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325F8B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93684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w:t>
                  </w:r>
                </w:p>
              </w:tc>
              <w:tc>
                <w:tcPr>
                  <w:tcW w:w="0" w:type="dxa"/>
                  <w:noWrap w:val="0"/>
                  <w:vAlign w:val="center"/>
                </w:tcPr>
                <w:p w14:paraId="3145E5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0.45</w:t>
                  </w:r>
                </w:p>
              </w:tc>
              <w:tc>
                <w:tcPr>
                  <w:tcW w:w="0" w:type="dxa"/>
                  <w:noWrap w:val="0"/>
                  <w:vAlign w:val="center"/>
                </w:tcPr>
                <w:p w14:paraId="2472F8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0.05</w:t>
                  </w:r>
                </w:p>
              </w:tc>
              <w:tc>
                <w:tcPr>
                  <w:tcW w:w="0" w:type="dxa"/>
                  <w:noWrap w:val="0"/>
                  <w:vAlign w:val="center"/>
                </w:tcPr>
                <w:p w14:paraId="39EF6B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2.77</w:t>
                  </w:r>
                </w:p>
              </w:tc>
              <w:tc>
                <w:tcPr>
                  <w:tcW w:w="0" w:type="dxa"/>
                  <w:noWrap w:val="0"/>
                  <w:vAlign w:val="center"/>
                </w:tcPr>
                <w:p w14:paraId="723EEF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0.14</w:t>
                  </w:r>
                </w:p>
              </w:tc>
            </w:tr>
            <w:tr w14:paraId="2957D5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690F9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w:t>
                  </w:r>
                </w:p>
              </w:tc>
              <w:tc>
                <w:tcPr>
                  <w:tcW w:w="0" w:type="dxa"/>
                  <w:noWrap w:val="0"/>
                  <w:vAlign w:val="center"/>
                </w:tcPr>
                <w:p w14:paraId="6E3C3B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0.81</w:t>
                  </w:r>
                </w:p>
              </w:tc>
              <w:tc>
                <w:tcPr>
                  <w:tcW w:w="0" w:type="dxa"/>
                  <w:noWrap w:val="0"/>
                  <w:vAlign w:val="center"/>
                </w:tcPr>
                <w:p w14:paraId="07C93F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c>
                <w:tcPr>
                  <w:tcW w:w="0" w:type="dxa"/>
                  <w:noWrap w:val="0"/>
                  <w:vAlign w:val="center"/>
                </w:tcPr>
                <w:p w14:paraId="5028A2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5.04</w:t>
                  </w:r>
                </w:p>
              </w:tc>
              <w:tc>
                <w:tcPr>
                  <w:tcW w:w="0" w:type="dxa"/>
                  <w:noWrap w:val="0"/>
                  <w:vAlign w:val="center"/>
                </w:tcPr>
                <w:p w14:paraId="6FB71C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0.25</w:t>
                  </w:r>
                </w:p>
              </w:tc>
            </w:tr>
            <w:tr w14:paraId="44BF4C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C935C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w:t>
                  </w:r>
                </w:p>
              </w:tc>
              <w:tc>
                <w:tcPr>
                  <w:tcW w:w="0" w:type="dxa"/>
                  <w:noWrap w:val="0"/>
                  <w:vAlign w:val="center"/>
                </w:tcPr>
                <w:p w14:paraId="1A5B44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1.19</w:t>
                  </w:r>
                </w:p>
              </w:tc>
              <w:tc>
                <w:tcPr>
                  <w:tcW w:w="0" w:type="dxa"/>
                  <w:noWrap w:val="0"/>
                  <w:vAlign w:val="center"/>
                </w:tcPr>
                <w:p w14:paraId="7E293A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0.13</w:t>
                  </w:r>
                </w:p>
              </w:tc>
              <w:tc>
                <w:tcPr>
                  <w:tcW w:w="0" w:type="dxa"/>
                  <w:noWrap w:val="0"/>
                  <w:vAlign w:val="center"/>
                </w:tcPr>
                <w:p w14:paraId="632A36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7.36</w:t>
                  </w:r>
                </w:p>
              </w:tc>
              <w:tc>
                <w:tcPr>
                  <w:tcW w:w="0" w:type="dxa"/>
                  <w:noWrap w:val="0"/>
                  <w:vAlign w:val="center"/>
                </w:tcPr>
                <w:p w14:paraId="7FA798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0.37</w:t>
                  </w:r>
                </w:p>
              </w:tc>
            </w:tr>
            <w:tr w14:paraId="1CAC90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7E2AFE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0" w:type="dxa"/>
                  <w:noWrap w:val="0"/>
                  <w:vAlign w:val="center"/>
                </w:tcPr>
                <w:p w14:paraId="7507BA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2.38</w:t>
                  </w:r>
                </w:p>
              </w:tc>
              <w:tc>
                <w:tcPr>
                  <w:tcW w:w="0" w:type="dxa"/>
                  <w:noWrap w:val="0"/>
                  <w:vAlign w:val="center"/>
                </w:tcPr>
                <w:p w14:paraId="6E3093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0.26</w:t>
                  </w:r>
                </w:p>
              </w:tc>
              <w:tc>
                <w:tcPr>
                  <w:tcW w:w="0" w:type="dxa"/>
                  <w:noWrap w:val="0"/>
                  <w:vAlign w:val="center"/>
                </w:tcPr>
                <w:p w14:paraId="14492E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14.71</w:t>
                  </w:r>
                </w:p>
              </w:tc>
              <w:tc>
                <w:tcPr>
                  <w:tcW w:w="0" w:type="dxa"/>
                  <w:noWrap w:val="0"/>
                  <w:vAlign w:val="center"/>
                </w:tcPr>
                <w:p w14:paraId="7D3943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0.74</w:t>
                  </w:r>
                </w:p>
              </w:tc>
            </w:tr>
            <w:tr w14:paraId="18F513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B69E8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700.0</w:t>
                  </w:r>
                </w:p>
              </w:tc>
              <w:tc>
                <w:tcPr>
                  <w:tcW w:w="0" w:type="dxa"/>
                  <w:noWrap w:val="0"/>
                  <w:vAlign w:val="center"/>
                </w:tcPr>
                <w:p w14:paraId="260FE9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2.11</w:t>
                  </w:r>
                </w:p>
              </w:tc>
              <w:tc>
                <w:tcPr>
                  <w:tcW w:w="0" w:type="dxa"/>
                  <w:noWrap w:val="0"/>
                  <w:vAlign w:val="center"/>
                </w:tcPr>
                <w:p w14:paraId="2444DD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0.23</w:t>
                  </w:r>
                </w:p>
              </w:tc>
              <w:tc>
                <w:tcPr>
                  <w:tcW w:w="0" w:type="dxa"/>
                  <w:noWrap w:val="0"/>
                  <w:vAlign w:val="center"/>
                </w:tcPr>
                <w:p w14:paraId="370D8C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13.07</w:t>
                  </w:r>
                </w:p>
              </w:tc>
              <w:tc>
                <w:tcPr>
                  <w:tcW w:w="0" w:type="dxa"/>
                  <w:noWrap w:val="0"/>
                  <w:vAlign w:val="center"/>
                </w:tcPr>
                <w:p w14:paraId="0496D1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0.65</w:t>
                  </w:r>
                </w:p>
              </w:tc>
            </w:tr>
            <w:tr w14:paraId="1629C5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1364F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800.0</w:t>
                  </w:r>
                </w:p>
              </w:tc>
              <w:tc>
                <w:tcPr>
                  <w:tcW w:w="0" w:type="dxa"/>
                  <w:noWrap w:val="0"/>
                  <w:vAlign w:val="center"/>
                </w:tcPr>
                <w:p w14:paraId="752985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2.01</w:t>
                  </w:r>
                </w:p>
              </w:tc>
              <w:tc>
                <w:tcPr>
                  <w:tcW w:w="0" w:type="dxa"/>
                  <w:noWrap w:val="0"/>
                  <w:vAlign w:val="center"/>
                </w:tcPr>
                <w:p w14:paraId="1814CC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0.22</w:t>
                  </w:r>
                </w:p>
              </w:tc>
              <w:tc>
                <w:tcPr>
                  <w:tcW w:w="0" w:type="dxa"/>
                  <w:noWrap w:val="0"/>
                  <w:vAlign w:val="center"/>
                </w:tcPr>
                <w:p w14:paraId="17B6D5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12.45</w:t>
                  </w:r>
                </w:p>
              </w:tc>
              <w:tc>
                <w:tcPr>
                  <w:tcW w:w="0" w:type="dxa"/>
                  <w:noWrap w:val="0"/>
                  <w:vAlign w:val="center"/>
                </w:tcPr>
                <w:p w14:paraId="53F640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0.62</w:t>
                  </w:r>
                </w:p>
              </w:tc>
            </w:tr>
            <w:tr w14:paraId="2726F0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47019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900.0</w:t>
                  </w:r>
                </w:p>
              </w:tc>
              <w:tc>
                <w:tcPr>
                  <w:tcW w:w="0" w:type="dxa"/>
                  <w:noWrap w:val="0"/>
                  <w:vAlign w:val="center"/>
                </w:tcPr>
                <w:p w14:paraId="69B645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1.79</w:t>
                  </w:r>
                </w:p>
              </w:tc>
              <w:tc>
                <w:tcPr>
                  <w:tcW w:w="0" w:type="dxa"/>
                  <w:noWrap w:val="0"/>
                  <w:vAlign w:val="center"/>
                </w:tcPr>
                <w:p w14:paraId="5F2577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0.20</w:t>
                  </w:r>
                </w:p>
              </w:tc>
              <w:tc>
                <w:tcPr>
                  <w:tcW w:w="0" w:type="dxa"/>
                  <w:noWrap w:val="0"/>
                  <w:vAlign w:val="center"/>
                </w:tcPr>
                <w:p w14:paraId="4E54ED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11.06</w:t>
                  </w:r>
                </w:p>
              </w:tc>
              <w:tc>
                <w:tcPr>
                  <w:tcW w:w="0" w:type="dxa"/>
                  <w:noWrap w:val="0"/>
                  <w:vAlign w:val="center"/>
                </w:tcPr>
                <w:p w14:paraId="4C9609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0.55</w:t>
                  </w:r>
                </w:p>
              </w:tc>
            </w:tr>
            <w:tr w14:paraId="475DCD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B3027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w:t>
                  </w:r>
                </w:p>
              </w:tc>
              <w:tc>
                <w:tcPr>
                  <w:tcW w:w="0" w:type="dxa"/>
                  <w:noWrap w:val="0"/>
                  <w:vAlign w:val="center"/>
                </w:tcPr>
                <w:p w14:paraId="237D8C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1.69</w:t>
                  </w:r>
                </w:p>
              </w:tc>
              <w:tc>
                <w:tcPr>
                  <w:tcW w:w="0" w:type="dxa"/>
                  <w:noWrap w:val="0"/>
                  <w:vAlign w:val="center"/>
                </w:tcPr>
                <w:p w14:paraId="25682E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w:t>
                  </w:r>
                </w:p>
              </w:tc>
              <w:tc>
                <w:tcPr>
                  <w:tcW w:w="0" w:type="dxa"/>
                  <w:noWrap w:val="0"/>
                  <w:vAlign w:val="center"/>
                </w:tcPr>
                <w:p w14:paraId="747FE9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10.46</w:t>
                  </w:r>
                </w:p>
              </w:tc>
              <w:tc>
                <w:tcPr>
                  <w:tcW w:w="0" w:type="dxa"/>
                  <w:noWrap w:val="0"/>
                  <w:vAlign w:val="center"/>
                </w:tcPr>
                <w:p w14:paraId="16364D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0.52</w:t>
                  </w:r>
                </w:p>
              </w:tc>
            </w:tr>
            <w:tr w14:paraId="2B666C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F8328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w:t>
                  </w:r>
                </w:p>
              </w:tc>
              <w:tc>
                <w:tcPr>
                  <w:tcW w:w="0" w:type="dxa"/>
                  <w:noWrap w:val="0"/>
                  <w:vAlign w:val="center"/>
                </w:tcPr>
                <w:p w14:paraId="5CAD71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1.50</w:t>
                  </w:r>
                </w:p>
              </w:tc>
              <w:tc>
                <w:tcPr>
                  <w:tcW w:w="0" w:type="dxa"/>
                  <w:noWrap w:val="0"/>
                  <w:vAlign w:val="center"/>
                </w:tcPr>
                <w:p w14:paraId="0C034E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c>
                <w:tcPr>
                  <w:tcW w:w="0" w:type="dxa"/>
                  <w:noWrap w:val="0"/>
                  <w:vAlign w:val="center"/>
                </w:tcPr>
                <w:p w14:paraId="217EDA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9.29</w:t>
                  </w:r>
                </w:p>
              </w:tc>
              <w:tc>
                <w:tcPr>
                  <w:tcW w:w="0" w:type="dxa"/>
                  <w:noWrap w:val="0"/>
                  <w:vAlign w:val="center"/>
                </w:tcPr>
                <w:p w14:paraId="45A10B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0.46</w:t>
                  </w:r>
                </w:p>
              </w:tc>
            </w:tr>
            <w:tr w14:paraId="23B18A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4DA57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w:t>
                  </w:r>
                </w:p>
              </w:tc>
              <w:tc>
                <w:tcPr>
                  <w:tcW w:w="0" w:type="dxa"/>
                  <w:noWrap w:val="0"/>
                  <w:vAlign w:val="center"/>
                </w:tcPr>
                <w:p w14:paraId="6C0E7B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1.33</w:t>
                  </w:r>
                </w:p>
              </w:tc>
              <w:tc>
                <w:tcPr>
                  <w:tcW w:w="0" w:type="dxa"/>
                  <w:noWrap w:val="0"/>
                  <w:vAlign w:val="center"/>
                </w:tcPr>
                <w:p w14:paraId="78D66B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0.15</w:t>
                  </w:r>
                </w:p>
              </w:tc>
              <w:tc>
                <w:tcPr>
                  <w:tcW w:w="0" w:type="dxa"/>
                  <w:noWrap w:val="0"/>
                  <w:vAlign w:val="center"/>
                </w:tcPr>
                <w:p w14:paraId="1E5855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8.22</w:t>
                  </w:r>
                </w:p>
              </w:tc>
              <w:tc>
                <w:tcPr>
                  <w:tcW w:w="0" w:type="dxa"/>
                  <w:noWrap w:val="0"/>
                  <w:vAlign w:val="center"/>
                </w:tcPr>
                <w:p w14:paraId="6D7201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0.41</w:t>
                  </w:r>
                </w:p>
              </w:tc>
            </w:tr>
            <w:tr w14:paraId="43E284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CBA19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1600.0</w:t>
                  </w:r>
                </w:p>
              </w:tc>
              <w:tc>
                <w:tcPr>
                  <w:tcW w:w="0" w:type="dxa"/>
                  <w:noWrap w:val="0"/>
                  <w:vAlign w:val="center"/>
                </w:tcPr>
                <w:p w14:paraId="2CEE2E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1.17</w:t>
                  </w:r>
                </w:p>
              </w:tc>
              <w:tc>
                <w:tcPr>
                  <w:tcW w:w="0" w:type="dxa"/>
                  <w:noWrap w:val="0"/>
                  <w:vAlign w:val="center"/>
                </w:tcPr>
                <w:p w14:paraId="300592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0.13</w:t>
                  </w:r>
                </w:p>
              </w:tc>
              <w:tc>
                <w:tcPr>
                  <w:tcW w:w="0" w:type="dxa"/>
                  <w:noWrap w:val="0"/>
                  <w:vAlign w:val="center"/>
                </w:tcPr>
                <w:p w14:paraId="62D45A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7.24</w:t>
                  </w:r>
                </w:p>
              </w:tc>
              <w:tc>
                <w:tcPr>
                  <w:tcW w:w="0" w:type="dxa"/>
                  <w:noWrap w:val="0"/>
                  <w:vAlign w:val="center"/>
                </w:tcPr>
                <w:p w14:paraId="5FF05C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0.36</w:t>
                  </w:r>
                </w:p>
              </w:tc>
            </w:tr>
            <w:tr w14:paraId="6C9B01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E04FC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1800.0</w:t>
                  </w:r>
                </w:p>
              </w:tc>
              <w:tc>
                <w:tcPr>
                  <w:tcW w:w="0" w:type="dxa"/>
                  <w:noWrap w:val="0"/>
                  <w:vAlign w:val="center"/>
                </w:tcPr>
                <w:p w14:paraId="4B8745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1.11</w:t>
                  </w:r>
                </w:p>
              </w:tc>
              <w:tc>
                <w:tcPr>
                  <w:tcW w:w="0" w:type="dxa"/>
                  <w:noWrap w:val="0"/>
                  <w:vAlign w:val="center"/>
                </w:tcPr>
                <w:p w14:paraId="741C18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0.12</w:t>
                  </w:r>
                </w:p>
              </w:tc>
              <w:tc>
                <w:tcPr>
                  <w:tcW w:w="0" w:type="dxa"/>
                  <w:noWrap w:val="0"/>
                  <w:vAlign w:val="center"/>
                </w:tcPr>
                <w:p w14:paraId="230057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6.86</w:t>
                  </w:r>
                </w:p>
              </w:tc>
              <w:tc>
                <w:tcPr>
                  <w:tcW w:w="0" w:type="dxa"/>
                  <w:noWrap w:val="0"/>
                  <w:vAlign w:val="center"/>
                </w:tcPr>
                <w:p w14:paraId="088E41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0.34</w:t>
                  </w:r>
                </w:p>
              </w:tc>
            </w:tr>
            <w:tr w14:paraId="7DDE11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CE5B9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w:t>
                  </w:r>
                </w:p>
              </w:tc>
              <w:tc>
                <w:tcPr>
                  <w:tcW w:w="0" w:type="dxa"/>
                  <w:noWrap w:val="0"/>
                  <w:vAlign w:val="center"/>
                </w:tcPr>
                <w:p w14:paraId="08469B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1.02</w:t>
                  </w:r>
                </w:p>
              </w:tc>
              <w:tc>
                <w:tcPr>
                  <w:tcW w:w="0" w:type="dxa"/>
                  <w:noWrap w:val="0"/>
                  <w:vAlign w:val="center"/>
                </w:tcPr>
                <w:p w14:paraId="7A0D7E4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0.11</w:t>
                  </w:r>
                </w:p>
              </w:tc>
              <w:tc>
                <w:tcPr>
                  <w:tcW w:w="0" w:type="dxa"/>
                  <w:noWrap w:val="0"/>
                  <w:vAlign w:val="center"/>
                </w:tcPr>
                <w:p w14:paraId="7741A9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6.33</w:t>
                  </w:r>
                </w:p>
              </w:tc>
              <w:tc>
                <w:tcPr>
                  <w:tcW w:w="0" w:type="dxa"/>
                  <w:noWrap w:val="0"/>
                  <w:vAlign w:val="center"/>
                </w:tcPr>
                <w:p w14:paraId="4B495D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0.32</w:t>
                  </w:r>
                </w:p>
              </w:tc>
            </w:tr>
            <w:tr w14:paraId="6D1503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3946D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w:t>
                  </w:r>
                </w:p>
              </w:tc>
              <w:tc>
                <w:tcPr>
                  <w:tcW w:w="0" w:type="dxa"/>
                  <w:noWrap w:val="0"/>
                  <w:vAlign w:val="center"/>
                </w:tcPr>
                <w:p w14:paraId="74E8D9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0.79</w:t>
                  </w:r>
                </w:p>
              </w:tc>
              <w:tc>
                <w:tcPr>
                  <w:tcW w:w="0" w:type="dxa"/>
                  <w:noWrap w:val="0"/>
                  <w:vAlign w:val="center"/>
                </w:tcPr>
                <w:p w14:paraId="7ECD71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c>
                <w:tcPr>
                  <w:tcW w:w="0" w:type="dxa"/>
                  <w:noWrap w:val="0"/>
                  <w:vAlign w:val="center"/>
                </w:tcPr>
                <w:p w14:paraId="6B8E8F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4.90</w:t>
                  </w:r>
                </w:p>
              </w:tc>
              <w:tc>
                <w:tcPr>
                  <w:tcW w:w="0" w:type="dxa"/>
                  <w:noWrap w:val="0"/>
                  <w:vAlign w:val="center"/>
                </w:tcPr>
                <w:p w14:paraId="4AA1653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0.24</w:t>
                  </w:r>
                </w:p>
              </w:tc>
            </w:tr>
            <w:tr w14:paraId="49AEB3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EA70F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3000.0</w:t>
                  </w:r>
                </w:p>
              </w:tc>
              <w:tc>
                <w:tcPr>
                  <w:tcW w:w="0" w:type="dxa"/>
                  <w:noWrap w:val="0"/>
                  <w:vAlign w:val="center"/>
                </w:tcPr>
                <w:p w14:paraId="004ABD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0.76</w:t>
                  </w:r>
                </w:p>
              </w:tc>
              <w:tc>
                <w:tcPr>
                  <w:tcW w:w="0" w:type="dxa"/>
                  <w:noWrap w:val="0"/>
                  <w:vAlign w:val="center"/>
                </w:tcPr>
                <w:p w14:paraId="1BDB9F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0" w:type="dxa"/>
                  <w:noWrap w:val="0"/>
                  <w:vAlign w:val="center"/>
                </w:tcPr>
                <w:p w14:paraId="73FB44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4.71</w:t>
                  </w:r>
                </w:p>
              </w:tc>
              <w:tc>
                <w:tcPr>
                  <w:tcW w:w="0" w:type="dxa"/>
                  <w:noWrap w:val="0"/>
                  <w:vAlign w:val="center"/>
                </w:tcPr>
                <w:p w14:paraId="7B868F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0.24</w:t>
                  </w:r>
                </w:p>
              </w:tc>
            </w:tr>
            <w:tr w14:paraId="07708A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A37BC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3500.0</w:t>
                  </w:r>
                </w:p>
              </w:tc>
              <w:tc>
                <w:tcPr>
                  <w:tcW w:w="0" w:type="dxa"/>
                  <w:noWrap w:val="0"/>
                  <w:vAlign w:val="center"/>
                </w:tcPr>
                <w:p w14:paraId="248CA4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0.68</w:t>
                  </w:r>
                </w:p>
              </w:tc>
              <w:tc>
                <w:tcPr>
                  <w:tcW w:w="0" w:type="dxa"/>
                  <w:noWrap w:val="0"/>
                  <w:vAlign w:val="center"/>
                </w:tcPr>
                <w:p w14:paraId="27874A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0" w:type="dxa"/>
                  <w:noWrap w:val="0"/>
                  <w:vAlign w:val="center"/>
                </w:tcPr>
                <w:p w14:paraId="78C1D8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4.20</w:t>
                  </w:r>
                </w:p>
              </w:tc>
              <w:tc>
                <w:tcPr>
                  <w:tcW w:w="0" w:type="dxa"/>
                  <w:noWrap w:val="0"/>
                  <w:vAlign w:val="center"/>
                </w:tcPr>
                <w:p w14:paraId="364327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0.21</w:t>
                  </w:r>
                </w:p>
              </w:tc>
            </w:tr>
            <w:tr w14:paraId="74B1BA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54FD13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4000.0</w:t>
                  </w:r>
                </w:p>
              </w:tc>
              <w:tc>
                <w:tcPr>
                  <w:tcW w:w="0" w:type="dxa"/>
                  <w:noWrap w:val="0"/>
                  <w:vAlign w:val="center"/>
                </w:tcPr>
                <w:p w14:paraId="5D798B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0.55</w:t>
                  </w:r>
                </w:p>
              </w:tc>
              <w:tc>
                <w:tcPr>
                  <w:tcW w:w="0" w:type="dxa"/>
                  <w:noWrap w:val="0"/>
                  <w:vAlign w:val="center"/>
                </w:tcPr>
                <w:p w14:paraId="46FC71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c>
                <w:tcPr>
                  <w:tcW w:w="0" w:type="dxa"/>
                  <w:noWrap w:val="0"/>
                  <w:vAlign w:val="center"/>
                </w:tcPr>
                <w:p w14:paraId="73FC11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3.39</w:t>
                  </w:r>
                </w:p>
              </w:tc>
              <w:tc>
                <w:tcPr>
                  <w:tcW w:w="0" w:type="dxa"/>
                  <w:noWrap w:val="0"/>
                  <w:vAlign w:val="center"/>
                </w:tcPr>
                <w:p w14:paraId="68EE45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r>
            <w:tr w14:paraId="04EF4E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24D4E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4500.0</w:t>
                  </w:r>
                </w:p>
              </w:tc>
              <w:tc>
                <w:tcPr>
                  <w:tcW w:w="0" w:type="dxa"/>
                  <w:noWrap w:val="0"/>
                  <w:vAlign w:val="center"/>
                </w:tcPr>
                <w:p w14:paraId="3D9956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0.54</w:t>
                  </w:r>
                </w:p>
              </w:tc>
              <w:tc>
                <w:tcPr>
                  <w:tcW w:w="0" w:type="dxa"/>
                  <w:noWrap w:val="0"/>
                  <w:vAlign w:val="center"/>
                </w:tcPr>
                <w:p w14:paraId="00C20C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c>
                <w:tcPr>
                  <w:tcW w:w="0" w:type="dxa"/>
                  <w:noWrap w:val="0"/>
                  <w:vAlign w:val="center"/>
                </w:tcPr>
                <w:p w14:paraId="297A21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3.35</w:t>
                  </w:r>
                </w:p>
              </w:tc>
              <w:tc>
                <w:tcPr>
                  <w:tcW w:w="0" w:type="dxa"/>
                  <w:noWrap w:val="0"/>
                  <w:vAlign w:val="center"/>
                </w:tcPr>
                <w:p w14:paraId="4A72CD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r>
            <w:tr w14:paraId="31EB79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D70D1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5000.0</w:t>
                  </w:r>
                </w:p>
              </w:tc>
              <w:tc>
                <w:tcPr>
                  <w:tcW w:w="0" w:type="dxa"/>
                  <w:noWrap w:val="0"/>
                  <w:vAlign w:val="center"/>
                </w:tcPr>
                <w:p w14:paraId="3473D5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0.51</w:t>
                  </w:r>
                </w:p>
              </w:tc>
              <w:tc>
                <w:tcPr>
                  <w:tcW w:w="0" w:type="dxa"/>
                  <w:noWrap w:val="0"/>
                  <w:vAlign w:val="center"/>
                </w:tcPr>
                <w:p w14:paraId="3BF3EC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c>
                <w:tcPr>
                  <w:tcW w:w="0" w:type="dxa"/>
                  <w:noWrap w:val="0"/>
                  <w:vAlign w:val="center"/>
                </w:tcPr>
                <w:p w14:paraId="0EB94B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3.18</w:t>
                  </w:r>
                </w:p>
              </w:tc>
              <w:tc>
                <w:tcPr>
                  <w:tcW w:w="0" w:type="dxa"/>
                  <w:noWrap w:val="0"/>
                  <w:vAlign w:val="center"/>
                </w:tcPr>
                <w:p w14:paraId="7B3F5F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0.16</w:t>
                  </w:r>
                </w:p>
              </w:tc>
            </w:tr>
            <w:tr w14:paraId="1890F4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2FA43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10000.0</w:t>
                  </w:r>
                </w:p>
              </w:tc>
              <w:tc>
                <w:tcPr>
                  <w:tcW w:w="0" w:type="dxa"/>
                  <w:noWrap w:val="0"/>
                  <w:vAlign w:val="center"/>
                </w:tcPr>
                <w:p w14:paraId="7CCD5B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0.29</w:t>
                  </w:r>
                </w:p>
              </w:tc>
              <w:tc>
                <w:tcPr>
                  <w:tcW w:w="0" w:type="dxa"/>
                  <w:noWrap w:val="0"/>
                  <w:vAlign w:val="center"/>
                </w:tcPr>
                <w:p w14:paraId="1CB147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034032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1.81</w:t>
                  </w:r>
                </w:p>
              </w:tc>
              <w:tc>
                <w:tcPr>
                  <w:tcW w:w="0" w:type="dxa"/>
                  <w:noWrap w:val="0"/>
                  <w:vAlign w:val="center"/>
                </w:tcPr>
                <w:p w14:paraId="3ACE9B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r>
            <w:tr w14:paraId="49B65F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D9C37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11000.0</w:t>
                  </w:r>
                </w:p>
              </w:tc>
              <w:tc>
                <w:tcPr>
                  <w:tcW w:w="0" w:type="dxa"/>
                  <w:noWrap w:val="0"/>
                  <w:vAlign w:val="center"/>
                </w:tcPr>
                <w:p w14:paraId="51ADFD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0.27</w:t>
                  </w:r>
                </w:p>
              </w:tc>
              <w:tc>
                <w:tcPr>
                  <w:tcW w:w="0" w:type="dxa"/>
                  <w:noWrap w:val="0"/>
                  <w:vAlign w:val="center"/>
                </w:tcPr>
                <w:p w14:paraId="56F249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148C8D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1.67</w:t>
                  </w:r>
                </w:p>
              </w:tc>
              <w:tc>
                <w:tcPr>
                  <w:tcW w:w="0" w:type="dxa"/>
                  <w:noWrap w:val="0"/>
                  <w:vAlign w:val="center"/>
                </w:tcPr>
                <w:p w14:paraId="4F056A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r>
            <w:tr w14:paraId="0F7E94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0AFBD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12000.0</w:t>
                  </w:r>
                </w:p>
              </w:tc>
              <w:tc>
                <w:tcPr>
                  <w:tcW w:w="0" w:type="dxa"/>
                  <w:noWrap w:val="0"/>
                  <w:vAlign w:val="center"/>
                </w:tcPr>
                <w:p w14:paraId="5D2FFF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0.25</w:t>
                  </w:r>
                </w:p>
              </w:tc>
              <w:tc>
                <w:tcPr>
                  <w:tcW w:w="0" w:type="dxa"/>
                  <w:noWrap w:val="0"/>
                  <w:vAlign w:val="center"/>
                </w:tcPr>
                <w:p w14:paraId="34EC0B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3818D1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1.52</w:t>
                  </w:r>
                </w:p>
              </w:tc>
              <w:tc>
                <w:tcPr>
                  <w:tcW w:w="0" w:type="dxa"/>
                  <w:noWrap w:val="0"/>
                  <w:vAlign w:val="center"/>
                </w:tcPr>
                <w:p w14:paraId="6737C3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r>
            <w:tr w14:paraId="6C8B1F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BB6E1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13000.0</w:t>
                  </w:r>
                </w:p>
              </w:tc>
              <w:tc>
                <w:tcPr>
                  <w:tcW w:w="0" w:type="dxa"/>
                  <w:noWrap w:val="0"/>
                  <w:vAlign w:val="center"/>
                </w:tcPr>
                <w:p w14:paraId="1F442C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0.23</w:t>
                  </w:r>
                </w:p>
              </w:tc>
              <w:tc>
                <w:tcPr>
                  <w:tcW w:w="0" w:type="dxa"/>
                  <w:noWrap w:val="0"/>
                  <w:vAlign w:val="center"/>
                </w:tcPr>
                <w:p w14:paraId="6F53B4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0BA862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1.43</w:t>
                  </w:r>
                </w:p>
              </w:tc>
              <w:tc>
                <w:tcPr>
                  <w:tcW w:w="0" w:type="dxa"/>
                  <w:noWrap w:val="0"/>
                  <w:vAlign w:val="center"/>
                </w:tcPr>
                <w:p w14:paraId="0C1C91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0.07</w:t>
                  </w:r>
                </w:p>
              </w:tc>
            </w:tr>
            <w:tr w14:paraId="61A6CF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1DBF7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14000.0</w:t>
                  </w:r>
                </w:p>
              </w:tc>
              <w:tc>
                <w:tcPr>
                  <w:tcW w:w="0" w:type="dxa"/>
                  <w:noWrap w:val="0"/>
                  <w:vAlign w:val="center"/>
                </w:tcPr>
                <w:p w14:paraId="2A905E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w:t>
                  </w:r>
                </w:p>
              </w:tc>
              <w:tc>
                <w:tcPr>
                  <w:tcW w:w="0" w:type="dxa"/>
                  <w:noWrap w:val="0"/>
                  <w:vAlign w:val="center"/>
                </w:tcPr>
                <w:p w14:paraId="78F8C1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0" w:type="dxa"/>
                  <w:noWrap w:val="0"/>
                  <w:vAlign w:val="center"/>
                </w:tcPr>
                <w:p w14:paraId="5F322E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1.19</w:t>
                  </w:r>
                </w:p>
              </w:tc>
              <w:tc>
                <w:tcPr>
                  <w:tcW w:w="0" w:type="dxa"/>
                  <w:noWrap w:val="0"/>
                  <w:vAlign w:val="center"/>
                </w:tcPr>
                <w:p w14:paraId="4F6B0D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r>
            <w:tr w14:paraId="01F831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BDFCE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15000.0</w:t>
                  </w:r>
                </w:p>
              </w:tc>
              <w:tc>
                <w:tcPr>
                  <w:tcW w:w="0" w:type="dxa"/>
                  <w:noWrap w:val="0"/>
                  <w:vAlign w:val="center"/>
                </w:tcPr>
                <w:p w14:paraId="6514BE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w:t>
                  </w:r>
                </w:p>
              </w:tc>
              <w:tc>
                <w:tcPr>
                  <w:tcW w:w="0" w:type="dxa"/>
                  <w:noWrap w:val="0"/>
                  <w:vAlign w:val="center"/>
                </w:tcPr>
                <w:p w14:paraId="141A60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0" w:type="dxa"/>
                  <w:noWrap w:val="0"/>
                  <w:vAlign w:val="center"/>
                </w:tcPr>
                <w:p w14:paraId="4A13CD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w:t>
                  </w:r>
                </w:p>
              </w:tc>
              <w:tc>
                <w:tcPr>
                  <w:tcW w:w="0" w:type="dxa"/>
                  <w:noWrap w:val="0"/>
                  <w:vAlign w:val="center"/>
                </w:tcPr>
                <w:p w14:paraId="2EBCFC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r>
            <w:tr w14:paraId="16CD03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B89D4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20000.0</w:t>
                  </w:r>
                </w:p>
              </w:tc>
              <w:tc>
                <w:tcPr>
                  <w:tcW w:w="0" w:type="dxa"/>
                  <w:noWrap w:val="0"/>
                  <w:vAlign w:val="center"/>
                </w:tcPr>
                <w:p w14:paraId="0E14B2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0.14</w:t>
                  </w:r>
                </w:p>
              </w:tc>
              <w:tc>
                <w:tcPr>
                  <w:tcW w:w="0" w:type="dxa"/>
                  <w:noWrap w:val="0"/>
                  <w:vAlign w:val="center"/>
                </w:tcPr>
                <w:p w14:paraId="4D6E13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0" w:type="dxa"/>
                  <w:noWrap w:val="0"/>
                  <w:vAlign w:val="center"/>
                </w:tcPr>
                <w:p w14:paraId="06C0B4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0.87</w:t>
                  </w:r>
                </w:p>
              </w:tc>
              <w:tc>
                <w:tcPr>
                  <w:tcW w:w="0" w:type="dxa"/>
                  <w:noWrap w:val="0"/>
                  <w:vAlign w:val="center"/>
                </w:tcPr>
                <w:p w14:paraId="7D7607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r>
            <w:tr w14:paraId="4EF532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AB4A2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25000.0</w:t>
                  </w:r>
                </w:p>
              </w:tc>
              <w:tc>
                <w:tcPr>
                  <w:tcW w:w="0" w:type="dxa"/>
                  <w:noWrap w:val="0"/>
                  <w:vAlign w:val="center"/>
                </w:tcPr>
                <w:p w14:paraId="55C898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0.12</w:t>
                  </w:r>
                </w:p>
              </w:tc>
              <w:tc>
                <w:tcPr>
                  <w:tcW w:w="0" w:type="dxa"/>
                  <w:noWrap w:val="0"/>
                  <w:vAlign w:val="center"/>
                </w:tcPr>
                <w:p w14:paraId="6F113C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c>
                <w:tcPr>
                  <w:tcW w:w="0" w:type="dxa"/>
                  <w:noWrap w:val="0"/>
                  <w:vAlign w:val="center"/>
                </w:tcPr>
                <w:p w14:paraId="69045C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0.72</w:t>
                  </w:r>
                </w:p>
              </w:tc>
              <w:tc>
                <w:tcPr>
                  <w:tcW w:w="0" w:type="dxa"/>
                  <w:noWrap w:val="0"/>
                  <w:vAlign w:val="center"/>
                </w:tcPr>
                <w:p w14:paraId="6C6132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r>
            <w:tr w14:paraId="6D7079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0D79A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w:t>
                  </w:r>
                </w:p>
              </w:tc>
              <w:tc>
                <w:tcPr>
                  <w:tcW w:w="0" w:type="dxa"/>
                  <w:noWrap w:val="0"/>
                  <w:vAlign w:val="center"/>
                </w:tcPr>
                <w:p w14:paraId="00C419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2.59</w:t>
                  </w:r>
                </w:p>
              </w:tc>
              <w:tc>
                <w:tcPr>
                  <w:tcW w:w="0" w:type="dxa"/>
                  <w:noWrap w:val="0"/>
                  <w:vAlign w:val="center"/>
                </w:tcPr>
                <w:p w14:paraId="334CE0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0.29</w:t>
                  </w:r>
                </w:p>
              </w:tc>
              <w:tc>
                <w:tcPr>
                  <w:tcW w:w="0" w:type="dxa"/>
                  <w:noWrap w:val="0"/>
                  <w:vAlign w:val="center"/>
                </w:tcPr>
                <w:p w14:paraId="421F2E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15.99</w:t>
                  </w:r>
                </w:p>
              </w:tc>
              <w:tc>
                <w:tcPr>
                  <w:tcW w:w="0" w:type="dxa"/>
                  <w:noWrap w:val="0"/>
                  <w:vAlign w:val="center"/>
                </w:tcPr>
                <w:p w14:paraId="58D33C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0.80</w:t>
                  </w:r>
                </w:p>
              </w:tc>
            </w:tr>
            <w:tr w14:paraId="349E0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F5E43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下风向最大浓度出现距离</w:t>
                  </w:r>
                </w:p>
              </w:tc>
              <w:tc>
                <w:tcPr>
                  <w:tcW w:w="0" w:type="dxa"/>
                  <w:noWrap w:val="0"/>
                  <w:vAlign w:val="center"/>
                </w:tcPr>
                <w:p w14:paraId="65CE61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c>
                <w:tcPr>
                  <w:tcW w:w="0" w:type="dxa"/>
                  <w:noWrap w:val="0"/>
                  <w:vAlign w:val="center"/>
                </w:tcPr>
                <w:p w14:paraId="00B9EA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c>
                <w:tcPr>
                  <w:tcW w:w="0" w:type="dxa"/>
                  <w:noWrap w:val="0"/>
                  <w:vAlign w:val="center"/>
                </w:tcPr>
                <w:p w14:paraId="323228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c>
                <w:tcPr>
                  <w:tcW w:w="0" w:type="dxa"/>
                  <w:noWrap w:val="0"/>
                  <w:vAlign w:val="center"/>
                </w:tcPr>
                <w:p w14:paraId="57E3CA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r>
            <w:tr w14:paraId="537518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49358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D10%最远距离</w:t>
                  </w:r>
                </w:p>
              </w:tc>
              <w:tc>
                <w:tcPr>
                  <w:tcW w:w="0" w:type="dxa"/>
                  <w:noWrap w:val="0"/>
                  <w:vAlign w:val="center"/>
                </w:tcPr>
                <w:p w14:paraId="469881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03B807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3A4639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10777A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bl>
          <w:p w14:paraId="6EC1DA3F">
            <w:pPr>
              <w:jc w:val="both"/>
              <w:rPr>
                <w:rFonts w:hint="eastAsia"/>
                <w:color w:val="auto"/>
                <w:sz w:val="24"/>
                <w:szCs w:val="24"/>
                <w:highlight w:val="none"/>
                <w:lang w:val="en-US" w:eastAsia="zh-CN"/>
              </w:rPr>
            </w:pPr>
          </w:p>
          <w:p w14:paraId="22E21742">
            <w:pPr>
              <w:jc w:val="center"/>
              <w:rPr>
                <w:rFonts w:hint="eastAsia"/>
                <w:color w:val="auto"/>
                <w:sz w:val="24"/>
                <w:szCs w:val="24"/>
                <w:highlight w:val="none"/>
                <w:lang w:val="en-US" w:eastAsia="zh-CN"/>
              </w:rPr>
            </w:pPr>
            <w:r>
              <w:rPr>
                <w:rFonts w:hint="eastAsia"/>
                <w:color w:val="auto"/>
                <w:sz w:val="24"/>
                <w:szCs w:val="24"/>
                <w:highlight w:val="none"/>
                <w:lang w:val="en-US" w:eastAsia="zh-CN"/>
              </w:rPr>
              <w:t>表4-6 主要污染源估算模型计算结果表（J2）</w:t>
            </w:r>
          </w:p>
          <w:tbl>
            <w:tblPr>
              <w:tblStyle w:val="17"/>
              <w:tblW w:w="4999"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946"/>
              <w:gridCol w:w="3279"/>
              <w:gridCol w:w="2285"/>
            </w:tblGrid>
            <w:tr w14:paraId="1A8D7A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vMerge w:val="restart"/>
                  <w:noWrap w:val="0"/>
                  <w:vAlign w:val="center"/>
                </w:tcPr>
                <w:p w14:paraId="17434D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下风向距离</w:t>
                  </w:r>
                </w:p>
              </w:tc>
              <w:tc>
                <w:tcPr>
                  <w:tcW w:w="3268" w:type="pct"/>
                  <w:gridSpan w:val="2"/>
                  <w:noWrap w:val="0"/>
                  <w:vAlign w:val="center"/>
                </w:tcPr>
                <w:p w14:paraId="17BFA9F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排气筒</w:t>
                  </w:r>
                  <w:r>
                    <w:rPr>
                      <w:rFonts w:hint="eastAsia" w:ascii="Times New Roman" w:hAnsi="Times New Roman" w:eastAsia="宋体" w:cs="Times New Roman"/>
                      <w:b w:val="0"/>
                      <w:color w:val="auto"/>
                      <w:sz w:val="21"/>
                      <w:szCs w:val="21"/>
                      <w:highlight w:val="none"/>
                      <w:lang w:val="en-US" w:eastAsia="zh-CN"/>
                    </w:rPr>
                    <w:t>J2</w:t>
                  </w:r>
                </w:p>
              </w:tc>
            </w:tr>
            <w:tr w14:paraId="0AFE2A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vMerge w:val="continue"/>
                  <w:noWrap w:val="0"/>
                  <w:vAlign w:val="center"/>
                </w:tcPr>
                <w:p w14:paraId="22FE71B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1926" w:type="pct"/>
                  <w:noWrap w:val="0"/>
                  <w:vAlign w:val="center"/>
                </w:tcPr>
                <w:p w14:paraId="590D67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TSP浓度(μg/m³)</w:t>
                  </w:r>
                </w:p>
              </w:tc>
              <w:tc>
                <w:tcPr>
                  <w:tcW w:w="1342" w:type="pct"/>
                  <w:noWrap w:val="0"/>
                  <w:vAlign w:val="center"/>
                </w:tcPr>
                <w:p w14:paraId="154B87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TSP占标率(%)</w:t>
                  </w:r>
                </w:p>
              </w:tc>
            </w:tr>
            <w:tr w14:paraId="476D62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7A103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1926" w:type="pct"/>
                  <w:noWrap w:val="0"/>
                  <w:vAlign w:val="center"/>
                </w:tcPr>
                <w:p w14:paraId="54E8CDF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1342" w:type="pct"/>
                  <w:noWrap w:val="0"/>
                  <w:vAlign w:val="center"/>
                </w:tcPr>
                <w:p w14:paraId="529CFA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20E1A6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516EED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w:t>
                  </w:r>
                </w:p>
              </w:tc>
              <w:tc>
                <w:tcPr>
                  <w:tcW w:w="1926" w:type="pct"/>
                  <w:noWrap w:val="0"/>
                  <w:vAlign w:val="center"/>
                </w:tcPr>
                <w:p w14:paraId="0D16126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1342" w:type="pct"/>
                  <w:noWrap w:val="0"/>
                  <w:vAlign w:val="center"/>
                </w:tcPr>
                <w:p w14:paraId="2592F4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79D53E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127504D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1926" w:type="pct"/>
                  <w:noWrap w:val="0"/>
                  <w:vAlign w:val="center"/>
                </w:tcPr>
                <w:p w14:paraId="697F48E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c>
                <w:tcPr>
                  <w:tcW w:w="1342" w:type="pct"/>
                  <w:noWrap w:val="0"/>
                  <w:vAlign w:val="center"/>
                </w:tcPr>
                <w:p w14:paraId="43B405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41174F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248531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w:t>
                  </w:r>
                </w:p>
              </w:tc>
              <w:tc>
                <w:tcPr>
                  <w:tcW w:w="1926" w:type="pct"/>
                  <w:noWrap w:val="0"/>
                  <w:vAlign w:val="center"/>
                </w:tcPr>
                <w:p w14:paraId="54F87F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0.05</w:t>
                  </w:r>
                </w:p>
              </w:tc>
              <w:tc>
                <w:tcPr>
                  <w:tcW w:w="1342" w:type="pct"/>
                  <w:noWrap w:val="0"/>
                  <w:vAlign w:val="center"/>
                </w:tcPr>
                <w:p w14:paraId="6741DEA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160B52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18EC20A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w:t>
                  </w:r>
                </w:p>
              </w:tc>
              <w:tc>
                <w:tcPr>
                  <w:tcW w:w="1926" w:type="pct"/>
                  <w:noWrap w:val="0"/>
                  <w:vAlign w:val="center"/>
                </w:tcPr>
                <w:p w14:paraId="0F6DCF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1342" w:type="pct"/>
                  <w:noWrap w:val="0"/>
                  <w:vAlign w:val="center"/>
                </w:tcPr>
                <w:p w14:paraId="0B04E6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5B07FD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3207099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w:t>
                  </w:r>
                </w:p>
              </w:tc>
              <w:tc>
                <w:tcPr>
                  <w:tcW w:w="1926" w:type="pct"/>
                  <w:noWrap w:val="0"/>
                  <w:vAlign w:val="center"/>
                </w:tcPr>
                <w:p w14:paraId="5E5026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0.12</w:t>
                  </w:r>
                </w:p>
              </w:tc>
              <w:tc>
                <w:tcPr>
                  <w:tcW w:w="1342" w:type="pct"/>
                  <w:noWrap w:val="0"/>
                  <w:vAlign w:val="center"/>
                </w:tcPr>
                <w:p w14:paraId="4C14D70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38572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2627A2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1926" w:type="pct"/>
                  <w:noWrap w:val="0"/>
                  <w:vAlign w:val="center"/>
                </w:tcPr>
                <w:p w14:paraId="37BB468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0.24</w:t>
                  </w:r>
                </w:p>
              </w:tc>
              <w:tc>
                <w:tcPr>
                  <w:tcW w:w="1342" w:type="pct"/>
                  <w:noWrap w:val="0"/>
                  <w:vAlign w:val="center"/>
                </w:tcPr>
                <w:p w14:paraId="3163747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r>
            <w:tr w14:paraId="6CEFC3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5F347F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700.0</w:t>
                  </w:r>
                </w:p>
              </w:tc>
              <w:tc>
                <w:tcPr>
                  <w:tcW w:w="1926" w:type="pct"/>
                  <w:noWrap w:val="0"/>
                  <w:vAlign w:val="center"/>
                </w:tcPr>
                <w:p w14:paraId="4252E4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0.22</w:t>
                  </w:r>
                </w:p>
              </w:tc>
              <w:tc>
                <w:tcPr>
                  <w:tcW w:w="1342" w:type="pct"/>
                  <w:noWrap w:val="0"/>
                  <w:vAlign w:val="center"/>
                </w:tcPr>
                <w:p w14:paraId="1843C4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61A253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EDD9C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800.0</w:t>
                  </w:r>
                </w:p>
              </w:tc>
              <w:tc>
                <w:tcPr>
                  <w:tcW w:w="1926" w:type="pct"/>
                  <w:noWrap w:val="0"/>
                  <w:vAlign w:val="center"/>
                </w:tcPr>
                <w:p w14:paraId="4227D6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0.21</w:t>
                  </w:r>
                </w:p>
              </w:tc>
              <w:tc>
                <w:tcPr>
                  <w:tcW w:w="1342" w:type="pct"/>
                  <w:noWrap w:val="0"/>
                  <w:vAlign w:val="center"/>
                </w:tcPr>
                <w:p w14:paraId="566CB2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6A9E37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58C328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900.0</w:t>
                  </w:r>
                </w:p>
              </w:tc>
              <w:tc>
                <w:tcPr>
                  <w:tcW w:w="1926" w:type="pct"/>
                  <w:noWrap w:val="0"/>
                  <w:vAlign w:val="center"/>
                </w:tcPr>
                <w:p w14:paraId="2976D4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0.18</w:t>
                  </w:r>
                </w:p>
              </w:tc>
              <w:tc>
                <w:tcPr>
                  <w:tcW w:w="1342" w:type="pct"/>
                  <w:noWrap w:val="0"/>
                  <w:vAlign w:val="center"/>
                </w:tcPr>
                <w:p w14:paraId="7F4AF0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0E3D3F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93C3F2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w:t>
                  </w:r>
                </w:p>
              </w:tc>
              <w:tc>
                <w:tcPr>
                  <w:tcW w:w="1926" w:type="pct"/>
                  <w:noWrap w:val="0"/>
                  <w:vAlign w:val="center"/>
                </w:tcPr>
                <w:p w14:paraId="14DEDF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c>
                <w:tcPr>
                  <w:tcW w:w="1342" w:type="pct"/>
                  <w:noWrap w:val="0"/>
                  <w:vAlign w:val="center"/>
                </w:tcPr>
                <w:p w14:paraId="529FD6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727A5E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1829004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w:t>
                  </w:r>
                </w:p>
              </w:tc>
              <w:tc>
                <w:tcPr>
                  <w:tcW w:w="1926" w:type="pct"/>
                  <w:noWrap w:val="0"/>
                  <w:vAlign w:val="center"/>
                </w:tcPr>
                <w:p w14:paraId="0D1970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0.15</w:t>
                  </w:r>
                </w:p>
              </w:tc>
              <w:tc>
                <w:tcPr>
                  <w:tcW w:w="1342" w:type="pct"/>
                  <w:noWrap w:val="0"/>
                  <w:vAlign w:val="center"/>
                </w:tcPr>
                <w:p w14:paraId="6D8D9E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2F9D26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6FA22A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w:t>
                  </w:r>
                </w:p>
              </w:tc>
              <w:tc>
                <w:tcPr>
                  <w:tcW w:w="1926" w:type="pct"/>
                  <w:noWrap w:val="0"/>
                  <w:vAlign w:val="center"/>
                </w:tcPr>
                <w:p w14:paraId="6DC9A35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0.14</w:t>
                  </w:r>
                </w:p>
              </w:tc>
              <w:tc>
                <w:tcPr>
                  <w:tcW w:w="1342" w:type="pct"/>
                  <w:noWrap w:val="0"/>
                  <w:vAlign w:val="center"/>
                </w:tcPr>
                <w:p w14:paraId="431A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792C83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1DD720E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1600.0</w:t>
                  </w:r>
                </w:p>
              </w:tc>
              <w:tc>
                <w:tcPr>
                  <w:tcW w:w="1926" w:type="pct"/>
                  <w:noWrap w:val="0"/>
                  <w:vAlign w:val="center"/>
                </w:tcPr>
                <w:p w14:paraId="47EB18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0.12</w:t>
                  </w:r>
                </w:p>
              </w:tc>
              <w:tc>
                <w:tcPr>
                  <w:tcW w:w="1342" w:type="pct"/>
                  <w:noWrap w:val="0"/>
                  <w:vAlign w:val="center"/>
                </w:tcPr>
                <w:p w14:paraId="3755C2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0E303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0E5252B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1800.0</w:t>
                  </w:r>
                </w:p>
              </w:tc>
              <w:tc>
                <w:tcPr>
                  <w:tcW w:w="1926" w:type="pct"/>
                  <w:noWrap w:val="0"/>
                  <w:vAlign w:val="center"/>
                </w:tcPr>
                <w:p w14:paraId="660D79D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0.11</w:t>
                  </w:r>
                </w:p>
              </w:tc>
              <w:tc>
                <w:tcPr>
                  <w:tcW w:w="1342" w:type="pct"/>
                  <w:noWrap w:val="0"/>
                  <w:vAlign w:val="center"/>
                </w:tcPr>
                <w:p w14:paraId="78D789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31022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FCFA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w:t>
                  </w:r>
                </w:p>
              </w:tc>
              <w:tc>
                <w:tcPr>
                  <w:tcW w:w="1926" w:type="pct"/>
                  <w:noWrap w:val="0"/>
                  <w:vAlign w:val="center"/>
                </w:tcPr>
                <w:p w14:paraId="1560EE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0.10</w:t>
                  </w:r>
                </w:p>
              </w:tc>
              <w:tc>
                <w:tcPr>
                  <w:tcW w:w="1342" w:type="pct"/>
                  <w:noWrap w:val="0"/>
                  <w:vAlign w:val="center"/>
                </w:tcPr>
                <w:p w14:paraId="2953874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73ED3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369B92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w:t>
                  </w:r>
                </w:p>
              </w:tc>
              <w:tc>
                <w:tcPr>
                  <w:tcW w:w="1926" w:type="pct"/>
                  <w:noWrap w:val="0"/>
                  <w:vAlign w:val="center"/>
                </w:tcPr>
                <w:p w14:paraId="247614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1342" w:type="pct"/>
                  <w:noWrap w:val="0"/>
                  <w:vAlign w:val="center"/>
                </w:tcPr>
                <w:p w14:paraId="03DC42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670945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68A605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3000.0</w:t>
                  </w:r>
                </w:p>
              </w:tc>
              <w:tc>
                <w:tcPr>
                  <w:tcW w:w="1926" w:type="pct"/>
                  <w:noWrap w:val="0"/>
                  <w:vAlign w:val="center"/>
                </w:tcPr>
                <w:p w14:paraId="1B3C7C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0.08</w:t>
                  </w:r>
                </w:p>
              </w:tc>
              <w:tc>
                <w:tcPr>
                  <w:tcW w:w="1342" w:type="pct"/>
                  <w:noWrap w:val="0"/>
                  <w:vAlign w:val="center"/>
                </w:tcPr>
                <w:p w14:paraId="66BDC63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1B0E6B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DC5F0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3500.0</w:t>
                  </w:r>
                </w:p>
              </w:tc>
              <w:tc>
                <w:tcPr>
                  <w:tcW w:w="1926" w:type="pct"/>
                  <w:noWrap w:val="0"/>
                  <w:vAlign w:val="center"/>
                </w:tcPr>
                <w:p w14:paraId="5171D7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0.07</w:t>
                  </w:r>
                </w:p>
              </w:tc>
              <w:tc>
                <w:tcPr>
                  <w:tcW w:w="1342" w:type="pct"/>
                  <w:noWrap w:val="0"/>
                  <w:vAlign w:val="center"/>
                </w:tcPr>
                <w:p w14:paraId="726C1F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3BAF14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58AF39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4000.0</w:t>
                  </w:r>
                </w:p>
              </w:tc>
              <w:tc>
                <w:tcPr>
                  <w:tcW w:w="1926" w:type="pct"/>
                  <w:noWrap w:val="0"/>
                  <w:vAlign w:val="center"/>
                </w:tcPr>
                <w:p w14:paraId="0DEB171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c>
                <w:tcPr>
                  <w:tcW w:w="1342" w:type="pct"/>
                  <w:noWrap w:val="0"/>
                  <w:vAlign w:val="center"/>
                </w:tcPr>
                <w:p w14:paraId="759D76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B1454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3356100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4500.0</w:t>
                  </w:r>
                </w:p>
              </w:tc>
              <w:tc>
                <w:tcPr>
                  <w:tcW w:w="1926" w:type="pct"/>
                  <w:noWrap w:val="0"/>
                  <w:vAlign w:val="center"/>
                </w:tcPr>
                <w:p w14:paraId="4DFF79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0.06</w:t>
                  </w:r>
                </w:p>
              </w:tc>
              <w:tc>
                <w:tcPr>
                  <w:tcW w:w="1342" w:type="pct"/>
                  <w:noWrap w:val="0"/>
                  <w:vAlign w:val="center"/>
                </w:tcPr>
                <w:p w14:paraId="7813F7C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058B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6626A97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5000.0</w:t>
                  </w:r>
                </w:p>
              </w:tc>
              <w:tc>
                <w:tcPr>
                  <w:tcW w:w="1926" w:type="pct"/>
                  <w:noWrap w:val="0"/>
                  <w:vAlign w:val="center"/>
                </w:tcPr>
                <w:p w14:paraId="74F6190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0.05</w:t>
                  </w:r>
                </w:p>
              </w:tc>
              <w:tc>
                <w:tcPr>
                  <w:tcW w:w="1342" w:type="pct"/>
                  <w:noWrap w:val="0"/>
                  <w:vAlign w:val="center"/>
                </w:tcPr>
                <w:p w14:paraId="499460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r>
            <w:tr w14:paraId="437120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32F96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10000.0</w:t>
                  </w:r>
                </w:p>
              </w:tc>
              <w:tc>
                <w:tcPr>
                  <w:tcW w:w="1926" w:type="pct"/>
                  <w:noWrap w:val="0"/>
                  <w:vAlign w:val="center"/>
                </w:tcPr>
                <w:p w14:paraId="4060D0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1342" w:type="pct"/>
                  <w:noWrap w:val="0"/>
                  <w:vAlign w:val="center"/>
                </w:tcPr>
                <w:p w14:paraId="7A6A79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05DE4E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3A8D17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11000.0</w:t>
                  </w:r>
                </w:p>
              </w:tc>
              <w:tc>
                <w:tcPr>
                  <w:tcW w:w="1926" w:type="pct"/>
                  <w:noWrap w:val="0"/>
                  <w:vAlign w:val="center"/>
                </w:tcPr>
                <w:p w14:paraId="54A85E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1342" w:type="pct"/>
                  <w:noWrap w:val="0"/>
                  <w:vAlign w:val="center"/>
                </w:tcPr>
                <w:p w14:paraId="7F8DE1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0BC923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264CCD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12000.0</w:t>
                  </w:r>
                </w:p>
              </w:tc>
              <w:tc>
                <w:tcPr>
                  <w:tcW w:w="1926" w:type="pct"/>
                  <w:noWrap w:val="0"/>
                  <w:vAlign w:val="center"/>
                </w:tcPr>
                <w:p w14:paraId="32D6BC7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1342" w:type="pct"/>
                  <w:noWrap w:val="0"/>
                  <w:vAlign w:val="center"/>
                </w:tcPr>
                <w:p w14:paraId="16EE81D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33D4E0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640EE4A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13000.0</w:t>
                  </w:r>
                </w:p>
              </w:tc>
              <w:tc>
                <w:tcPr>
                  <w:tcW w:w="1926" w:type="pct"/>
                  <w:noWrap w:val="0"/>
                  <w:vAlign w:val="center"/>
                </w:tcPr>
                <w:p w14:paraId="406437E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1342" w:type="pct"/>
                  <w:noWrap w:val="0"/>
                  <w:vAlign w:val="center"/>
                </w:tcPr>
                <w:p w14:paraId="08068D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28FB5A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95A8DF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14000.0</w:t>
                  </w:r>
                </w:p>
              </w:tc>
              <w:tc>
                <w:tcPr>
                  <w:tcW w:w="1926" w:type="pct"/>
                  <w:noWrap w:val="0"/>
                  <w:vAlign w:val="center"/>
                </w:tcPr>
                <w:p w14:paraId="4DEFE8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1342" w:type="pct"/>
                  <w:noWrap w:val="0"/>
                  <w:vAlign w:val="center"/>
                </w:tcPr>
                <w:p w14:paraId="512D2C7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278568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F37A11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15000.0</w:t>
                  </w:r>
                </w:p>
              </w:tc>
              <w:tc>
                <w:tcPr>
                  <w:tcW w:w="1926" w:type="pct"/>
                  <w:noWrap w:val="0"/>
                  <w:vAlign w:val="center"/>
                </w:tcPr>
                <w:p w14:paraId="686A61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1342" w:type="pct"/>
                  <w:noWrap w:val="0"/>
                  <w:vAlign w:val="center"/>
                </w:tcPr>
                <w:p w14:paraId="0CE19E1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498E8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1CBC5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20000.0</w:t>
                  </w:r>
                </w:p>
              </w:tc>
              <w:tc>
                <w:tcPr>
                  <w:tcW w:w="1926" w:type="pct"/>
                  <w:noWrap w:val="0"/>
                  <w:vAlign w:val="center"/>
                </w:tcPr>
                <w:p w14:paraId="0C00DF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1342" w:type="pct"/>
                  <w:noWrap w:val="0"/>
                  <w:vAlign w:val="center"/>
                </w:tcPr>
                <w:p w14:paraId="115C32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0D8C33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48D2D0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25000.0</w:t>
                  </w:r>
                </w:p>
              </w:tc>
              <w:tc>
                <w:tcPr>
                  <w:tcW w:w="1926" w:type="pct"/>
                  <w:noWrap w:val="0"/>
                  <w:vAlign w:val="center"/>
                </w:tcPr>
                <w:p w14:paraId="6DCB2C1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0.01</w:t>
                  </w:r>
                </w:p>
              </w:tc>
              <w:tc>
                <w:tcPr>
                  <w:tcW w:w="1342" w:type="pct"/>
                  <w:noWrap w:val="0"/>
                  <w:vAlign w:val="center"/>
                </w:tcPr>
                <w:p w14:paraId="224728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34BC91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7A92636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w:t>
                  </w:r>
                </w:p>
              </w:tc>
              <w:tc>
                <w:tcPr>
                  <w:tcW w:w="1926" w:type="pct"/>
                  <w:noWrap w:val="0"/>
                  <w:vAlign w:val="center"/>
                </w:tcPr>
                <w:p w14:paraId="65585F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0.26</w:t>
                  </w:r>
                </w:p>
              </w:tc>
              <w:tc>
                <w:tcPr>
                  <w:tcW w:w="1342" w:type="pct"/>
                  <w:noWrap w:val="0"/>
                  <w:vAlign w:val="center"/>
                </w:tcPr>
                <w:p w14:paraId="176610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r>
            <w:tr w14:paraId="1BBC5F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18369D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下风向最大浓度出现距离</w:t>
                  </w:r>
                </w:p>
              </w:tc>
              <w:tc>
                <w:tcPr>
                  <w:tcW w:w="1926" w:type="pct"/>
                  <w:noWrap w:val="0"/>
                  <w:vAlign w:val="center"/>
                </w:tcPr>
                <w:p w14:paraId="77FB751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c>
                <w:tcPr>
                  <w:tcW w:w="1342" w:type="pct"/>
                  <w:noWrap w:val="0"/>
                  <w:vAlign w:val="center"/>
                </w:tcPr>
                <w:p w14:paraId="63B537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r>
            <w:tr w14:paraId="57CB8C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jc w:val="center"/>
              </w:trPr>
              <w:tc>
                <w:tcPr>
                  <w:tcW w:w="1731" w:type="pct"/>
                  <w:noWrap w:val="0"/>
                  <w:vAlign w:val="center"/>
                </w:tcPr>
                <w:p w14:paraId="5202294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D10%最远距离</w:t>
                  </w:r>
                </w:p>
              </w:tc>
              <w:tc>
                <w:tcPr>
                  <w:tcW w:w="1926" w:type="pct"/>
                  <w:noWrap w:val="0"/>
                  <w:vAlign w:val="center"/>
                </w:tcPr>
                <w:p w14:paraId="0C034FF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1342" w:type="pct"/>
                  <w:noWrap w:val="0"/>
                  <w:vAlign w:val="center"/>
                </w:tcPr>
                <w:p w14:paraId="79978B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bl>
          <w:p w14:paraId="0E8BEA89">
            <w:pPr>
              <w:pStyle w:val="2"/>
              <w:ind w:left="0" w:leftChars="0" w:firstLine="0" w:firstLineChars="0"/>
              <w:rPr>
                <w:rFonts w:hint="eastAsia"/>
                <w:color w:val="auto"/>
                <w:highlight w:val="none"/>
                <w:lang w:val="en-US" w:eastAsia="zh-CN"/>
              </w:rPr>
            </w:pPr>
          </w:p>
          <w:p w14:paraId="521FBDA3">
            <w:pPr>
              <w:jc w:val="center"/>
              <w:rPr>
                <w:rFonts w:hint="eastAsia"/>
                <w:color w:val="auto"/>
                <w:sz w:val="24"/>
                <w:szCs w:val="24"/>
                <w:highlight w:val="none"/>
                <w:lang w:val="en-US" w:eastAsia="zh-CN"/>
              </w:rPr>
            </w:pPr>
            <w:r>
              <w:rPr>
                <w:rFonts w:hint="eastAsia"/>
                <w:color w:val="auto"/>
                <w:sz w:val="24"/>
                <w:szCs w:val="24"/>
                <w:highlight w:val="none"/>
                <w:lang w:val="en-US" w:eastAsia="zh-CN"/>
              </w:rPr>
              <w:t>表4-7 主要污染源估算模型计算结果表（P8）</w:t>
            </w:r>
          </w:p>
          <w:tbl>
            <w:tblPr>
              <w:tblStyle w:val="17"/>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133"/>
              <w:gridCol w:w="2993"/>
              <w:gridCol w:w="2401"/>
            </w:tblGrid>
            <w:tr w14:paraId="380ECB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restart"/>
                  <w:noWrap w:val="0"/>
                  <w:vAlign w:val="center"/>
                </w:tcPr>
                <w:p w14:paraId="0F26C9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下风向距离</w:t>
                  </w:r>
                </w:p>
              </w:tc>
              <w:tc>
                <w:tcPr>
                  <w:tcW w:w="0" w:type="dxa"/>
                  <w:gridSpan w:val="2"/>
                  <w:noWrap w:val="0"/>
                  <w:vAlign w:val="center"/>
                </w:tcPr>
                <w:p w14:paraId="33FF44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排气筒</w:t>
                  </w:r>
                  <w:r>
                    <w:rPr>
                      <w:rFonts w:hint="eastAsia" w:ascii="Times New Roman" w:hAnsi="Times New Roman" w:eastAsia="宋体" w:cs="Times New Roman"/>
                      <w:b w:val="0"/>
                      <w:color w:val="auto"/>
                      <w:sz w:val="21"/>
                      <w:szCs w:val="21"/>
                      <w:highlight w:val="none"/>
                      <w:lang w:val="en-US" w:eastAsia="zh-CN"/>
                    </w:rPr>
                    <w:t>P8</w:t>
                  </w:r>
                </w:p>
              </w:tc>
            </w:tr>
            <w:tr w14:paraId="704441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vMerge w:val="continue"/>
                  <w:noWrap w:val="0"/>
                  <w:vAlign w:val="center"/>
                </w:tcPr>
                <w:p w14:paraId="27DFBB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0" w:type="dxa"/>
                  <w:noWrap w:val="0"/>
                  <w:vAlign w:val="center"/>
                </w:tcPr>
                <w:p w14:paraId="4F6CC07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TSP浓度(μg/m³)</w:t>
                  </w:r>
                </w:p>
              </w:tc>
              <w:tc>
                <w:tcPr>
                  <w:tcW w:w="0" w:type="dxa"/>
                  <w:noWrap w:val="0"/>
                  <w:vAlign w:val="center"/>
                </w:tcPr>
                <w:p w14:paraId="50F6DE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TSP占标率(%)</w:t>
                  </w:r>
                </w:p>
              </w:tc>
            </w:tr>
            <w:tr w14:paraId="0885DF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B5B1AB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w:t>
                  </w:r>
                </w:p>
              </w:tc>
              <w:tc>
                <w:tcPr>
                  <w:tcW w:w="0" w:type="dxa"/>
                  <w:noWrap w:val="0"/>
                  <w:vAlign w:val="center"/>
                </w:tcPr>
                <w:p w14:paraId="4301CA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c>
                <w:tcPr>
                  <w:tcW w:w="0" w:type="dxa"/>
                  <w:noWrap w:val="0"/>
                  <w:vAlign w:val="center"/>
                </w:tcPr>
                <w:p w14:paraId="2F83FAF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2662AD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4F0738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w:t>
                  </w:r>
                </w:p>
              </w:tc>
              <w:tc>
                <w:tcPr>
                  <w:tcW w:w="0" w:type="dxa"/>
                  <w:noWrap w:val="0"/>
                  <w:vAlign w:val="center"/>
                </w:tcPr>
                <w:p w14:paraId="1E0168D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c>
                <w:tcPr>
                  <w:tcW w:w="0" w:type="dxa"/>
                  <w:noWrap w:val="0"/>
                  <w:vAlign w:val="center"/>
                </w:tcPr>
                <w:p w14:paraId="008483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64A649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12615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0" w:type="dxa"/>
                  <w:noWrap w:val="0"/>
                  <w:vAlign w:val="center"/>
                </w:tcPr>
                <w:p w14:paraId="64CFE8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c>
                <w:tcPr>
                  <w:tcW w:w="0" w:type="dxa"/>
                  <w:noWrap w:val="0"/>
                  <w:vAlign w:val="center"/>
                </w:tcPr>
                <w:p w14:paraId="2C637EF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0.00</w:t>
                  </w:r>
                </w:p>
              </w:tc>
            </w:tr>
            <w:tr w14:paraId="5A2B96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565F235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w:t>
                  </w:r>
                </w:p>
              </w:tc>
              <w:tc>
                <w:tcPr>
                  <w:tcW w:w="0" w:type="dxa"/>
                  <w:noWrap w:val="0"/>
                  <w:vAlign w:val="center"/>
                </w:tcPr>
                <w:p w14:paraId="6991817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0.67</w:t>
                  </w:r>
                </w:p>
              </w:tc>
              <w:tc>
                <w:tcPr>
                  <w:tcW w:w="0" w:type="dxa"/>
                  <w:noWrap w:val="0"/>
                  <w:vAlign w:val="center"/>
                </w:tcPr>
                <w:p w14:paraId="7C15AA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0.07</w:t>
                  </w:r>
                </w:p>
              </w:tc>
            </w:tr>
            <w:tr w14:paraId="01CD28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7CD9E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w:t>
                  </w:r>
                </w:p>
              </w:tc>
              <w:tc>
                <w:tcPr>
                  <w:tcW w:w="0" w:type="dxa"/>
                  <w:noWrap w:val="0"/>
                  <w:vAlign w:val="center"/>
                </w:tcPr>
                <w:p w14:paraId="1D4040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1.21</w:t>
                  </w:r>
                </w:p>
              </w:tc>
              <w:tc>
                <w:tcPr>
                  <w:tcW w:w="0" w:type="dxa"/>
                  <w:noWrap w:val="0"/>
                  <w:vAlign w:val="center"/>
                </w:tcPr>
                <w:p w14:paraId="3ACB90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0.13</w:t>
                  </w:r>
                </w:p>
              </w:tc>
            </w:tr>
            <w:tr w14:paraId="2F315D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B35C5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w:t>
                  </w:r>
                </w:p>
              </w:tc>
              <w:tc>
                <w:tcPr>
                  <w:tcW w:w="0" w:type="dxa"/>
                  <w:noWrap w:val="0"/>
                  <w:vAlign w:val="center"/>
                </w:tcPr>
                <w:p w14:paraId="449B774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1.78</w:t>
                  </w:r>
                </w:p>
              </w:tc>
              <w:tc>
                <w:tcPr>
                  <w:tcW w:w="0" w:type="dxa"/>
                  <w:noWrap w:val="0"/>
                  <w:vAlign w:val="center"/>
                </w:tcPr>
                <w:p w14:paraId="1CDAD5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0.20</w:t>
                  </w:r>
                </w:p>
              </w:tc>
            </w:tr>
            <w:tr w14:paraId="581C64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B9FC7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600.0</w:t>
                  </w:r>
                </w:p>
              </w:tc>
              <w:tc>
                <w:tcPr>
                  <w:tcW w:w="0" w:type="dxa"/>
                  <w:noWrap w:val="0"/>
                  <w:vAlign w:val="center"/>
                </w:tcPr>
                <w:p w14:paraId="3E949AB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3.55</w:t>
                  </w:r>
                </w:p>
              </w:tc>
              <w:tc>
                <w:tcPr>
                  <w:tcW w:w="0" w:type="dxa"/>
                  <w:noWrap w:val="0"/>
                  <w:vAlign w:val="center"/>
                </w:tcPr>
                <w:p w14:paraId="0F2D0D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0.39</w:t>
                  </w:r>
                </w:p>
              </w:tc>
            </w:tr>
            <w:tr w14:paraId="4F3297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09C741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700.0</w:t>
                  </w:r>
                </w:p>
              </w:tc>
              <w:tc>
                <w:tcPr>
                  <w:tcW w:w="0" w:type="dxa"/>
                  <w:noWrap w:val="0"/>
                  <w:vAlign w:val="center"/>
                </w:tcPr>
                <w:p w14:paraId="361E447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3.15</w:t>
                  </w:r>
                </w:p>
              </w:tc>
              <w:tc>
                <w:tcPr>
                  <w:tcW w:w="0" w:type="dxa"/>
                  <w:noWrap w:val="0"/>
                  <w:vAlign w:val="center"/>
                </w:tcPr>
                <w:p w14:paraId="52629A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0.35</w:t>
                  </w:r>
                </w:p>
              </w:tc>
            </w:tr>
            <w:tr w14:paraId="31D521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595E4F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800.0</w:t>
                  </w:r>
                </w:p>
              </w:tc>
              <w:tc>
                <w:tcPr>
                  <w:tcW w:w="0" w:type="dxa"/>
                  <w:noWrap w:val="0"/>
                  <w:vAlign w:val="center"/>
                </w:tcPr>
                <w:p w14:paraId="20889A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w:t>
                  </w:r>
                </w:p>
              </w:tc>
              <w:tc>
                <w:tcPr>
                  <w:tcW w:w="0" w:type="dxa"/>
                  <w:noWrap w:val="0"/>
                  <w:vAlign w:val="center"/>
                </w:tcPr>
                <w:p w14:paraId="6478161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0.33</w:t>
                  </w:r>
                </w:p>
              </w:tc>
            </w:tr>
            <w:tr w14:paraId="66639B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676D1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900.0</w:t>
                  </w:r>
                </w:p>
              </w:tc>
              <w:tc>
                <w:tcPr>
                  <w:tcW w:w="0" w:type="dxa"/>
                  <w:noWrap w:val="0"/>
                  <w:vAlign w:val="center"/>
                </w:tcPr>
                <w:p w14:paraId="24D391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2.66</w:t>
                  </w:r>
                </w:p>
              </w:tc>
              <w:tc>
                <w:tcPr>
                  <w:tcW w:w="0" w:type="dxa"/>
                  <w:noWrap w:val="0"/>
                  <w:vAlign w:val="center"/>
                </w:tcPr>
                <w:p w14:paraId="599666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0.30</w:t>
                  </w:r>
                </w:p>
              </w:tc>
            </w:tr>
            <w:tr w14:paraId="4F3F69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70867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w:t>
                  </w:r>
                </w:p>
              </w:tc>
              <w:tc>
                <w:tcPr>
                  <w:tcW w:w="0" w:type="dxa"/>
                  <w:noWrap w:val="0"/>
                  <w:vAlign w:val="center"/>
                </w:tcPr>
                <w:p w14:paraId="5F0876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2.52</w:t>
                  </w:r>
                </w:p>
              </w:tc>
              <w:tc>
                <w:tcPr>
                  <w:tcW w:w="0" w:type="dxa"/>
                  <w:noWrap w:val="0"/>
                  <w:vAlign w:val="center"/>
                </w:tcPr>
                <w:p w14:paraId="1DA8BA7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0.28</w:t>
                  </w:r>
                </w:p>
              </w:tc>
            </w:tr>
            <w:tr w14:paraId="204915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1BE363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w:t>
                  </w:r>
                </w:p>
              </w:tc>
              <w:tc>
                <w:tcPr>
                  <w:tcW w:w="0" w:type="dxa"/>
                  <w:noWrap w:val="0"/>
                  <w:vAlign w:val="center"/>
                </w:tcPr>
                <w:p w14:paraId="0BC886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2.24</w:t>
                  </w:r>
                </w:p>
              </w:tc>
              <w:tc>
                <w:tcPr>
                  <w:tcW w:w="0" w:type="dxa"/>
                  <w:noWrap w:val="0"/>
                  <w:vAlign w:val="center"/>
                </w:tcPr>
                <w:p w14:paraId="1B603F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0.25</w:t>
                  </w:r>
                </w:p>
              </w:tc>
            </w:tr>
            <w:tr w14:paraId="6FD6A5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9AC00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w:t>
                  </w:r>
                </w:p>
              </w:tc>
              <w:tc>
                <w:tcPr>
                  <w:tcW w:w="0" w:type="dxa"/>
                  <w:noWrap w:val="0"/>
                  <w:vAlign w:val="center"/>
                </w:tcPr>
                <w:p w14:paraId="1E8D74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1.98</w:t>
                  </w:r>
                </w:p>
              </w:tc>
              <w:tc>
                <w:tcPr>
                  <w:tcW w:w="0" w:type="dxa"/>
                  <w:noWrap w:val="0"/>
                  <w:vAlign w:val="center"/>
                </w:tcPr>
                <w:p w14:paraId="733B51D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0.22</w:t>
                  </w:r>
                </w:p>
              </w:tc>
            </w:tr>
            <w:tr w14:paraId="6E8CF7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72C857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1600.0</w:t>
                  </w:r>
                </w:p>
              </w:tc>
              <w:tc>
                <w:tcPr>
                  <w:tcW w:w="0" w:type="dxa"/>
                  <w:noWrap w:val="0"/>
                  <w:vAlign w:val="center"/>
                </w:tcPr>
                <w:p w14:paraId="4A7592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1.75</w:t>
                  </w:r>
                </w:p>
              </w:tc>
              <w:tc>
                <w:tcPr>
                  <w:tcW w:w="0" w:type="dxa"/>
                  <w:noWrap w:val="0"/>
                  <w:vAlign w:val="center"/>
                </w:tcPr>
                <w:p w14:paraId="5751AE2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w:t>
                  </w:r>
                </w:p>
              </w:tc>
            </w:tr>
            <w:tr w14:paraId="3593DD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803792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1800.0</w:t>
                  </w:r>
                </w:p>
              </w:tc>
              <w:tc>
                <w:tcPr>
                  <w:tcW w:w="0" w:type="dxa"/>
                  <w:noWrap w:val="0"/>
                  <w:vAlign w:val="center"/>
                </w:tcPr>
                <w:p w14:paraId="4A7E729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1.65</w:t>
                  </w:r>
                </w:p>
              </w:tc>
              <w:tc>
                <w:tcPr>
                  <w:tcW w:w="0" w:type="dxa"/>
                  <w:noWrap w:val="0"/>
                  <w:vAlign w:val="center"/>
                </w:tcPr>
                <w:p w14:paraId="0CC9A82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0.18</w:t>
                  </w:r>
                </w:p>
              </w:tc>
            </w:tr>
            <w:tr w14:paraId="021D2F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5435A9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w:t>
                  </w:r>
                </w:p>
              </w:tc>
              <w:tc>
                <w:tcPr>
                  <w:tcW w:w="0" w:type="dxa"/>
                  <w:noWrap w:val="0"/>
                  <w:vAlign w:val="center"/>
                </w:tcPr>
                <w:p w14:paraId="5E7BD84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1.52</w:t>
                  </w:r>
                </w:p>
              </w:tc>
              <w:tc>
                <w:tcPr>
                  <w:tcW w:w="0" w:type="dxa"/>
                  <w:noWrap w:val="0"/>
                  <w:vAlign w:val="center"/>
                </w:tcPr>
                <w:p w14:paraId="2A94F2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r>
            <w:tr w14:paraId="6E00C9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494DB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w:t>
                  </w:r>
                </w:p>
              </w:tc>
              <w:tc>
                <w:tcPr>
                  <w:tcW w:w="0" w:type="dxa"/>
                  <w:noWrap w:val="0"/>
                  <w:vAlign w:val="center"/>
                </w:tcPr>
                <w:p w14:paraId="5D5426F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1.18</w:t>
                  </w:r>
                </w:p>
              </w:tc>
              <w:tc>
                <w:tcPr>
                  <w:tcW w:w="0" w:type="dxa"/>
                  <w:noWrap w:val="0"/>
                  <w:vAlign w:val="center"/>
                </w:tcPr>
                <w:p w14:paraId="268BED6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0.13</w:t>
                  </w:r>
                </w:p>
              </w:tc>
            </w:tr>
            <w:tr w14:paraId="52DA9C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74249B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3000.0</w:t>
                  </w:r>
                </w:p>
              </w:tc>
              <w:tc>
                <w:tcPr>
                  <w:tcW w:w="0" w:type="dxa"/>
                  <w:noWrap w:val="0"/>
                  <w:vAlign w:val="center"/>
                </w:tcPr>
                <w:p w14:paraId="7A270EB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1.14</w:t>
                  </w:r>
                </w:p>
              </w:tc>
              <w:tc>
                <w:tcPr>
                  <w:tcW w:w="0" w:type="dxa"/>
                  <w:noWrap w:val="0"/>
                  <w:vAlign w:val="center"/>
                </w:tcPr>
                <w:p w14:paraId="0E56EAB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0.13</w:t>
                  </w:r>
                </w:p>
              </w:tc>
            </w:tr>
            <w:tr w14:paraId="6A9140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16439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3500.0</w:t>
                  </w:r>
                </w:p>
              </w:tc>
              <w:tc>
                <w:tcPr>
                  <w:tcW w:w="0" w:type="dxa"/>
                  <w:noWrap w:val="0"/>
                  <w:vAlign w:val="center"/>
                </w:tcPr>
                <w:p w14:paraId="5BB98D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1.01</w:t>
                  </w:r>
                </w:p>
              </w:tc>
              <w:tc>
                <w:tcPr>
                  <w:tcW w:w="0" w:type="dxa"/>
                  <w:noWrap w:val="0"/>
                  <w:vAlign w:val="center"/>
                </w:tcPr>
                <w:p w14:paraId="52ACD7D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0.11</w:t>
                  </w:r>
                </w:p>
              </w:tc>
            </w:tr>
            <w:tr w14:paraId="21A6CE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ED8AC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4000.0</w:t>
                  </w:r>
                </w:p>
              </w:tc>
              <w:tc>
                <w:tcPr>
                  <w:tcW w:w="0" w:type="dxa"/>
                  <w:noWrap w:val="0"/>
                  <w:vAlign w:val="center"/>
                </w:tcPr>
                <w:p w14:paraId="7924CCD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0.82</w:t>
                  </w:r>
                </w:p>
              </w:tc>
              <w:tc>
                <w:tcPr>
                  <w:tcW w:w="0" w:type="dxa"/>
                  <w:noWrap w:val="0"/>
                  <w:vAlign w:val="center"/>
                </w:tcPr>
                <w:p w14:paraId="3AEC345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r>
            <w:tr w14:paraId="402482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8E371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4500.0</w:t>
                  </w:r>
                </w:p>
              </w:tc>
              <w:tc>
                <w:tcPr>
                  <w:tcW w:w="0" w:type="dxa"/>
                  <w:noWrap w:val="0"/>
                  <w:vAlign w:val="center"/>
                </w:tcPr>
                <w:p w14:paraId="065DF40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0.81</w:t>
                  </w:r>
                </w:p>
              </w:tc>
              <w:tc>
                <w:tcPr>
                  <w:tcW w:w="0" w:type="dxa"/>
                  <w:noWrap w:val="0"/>
                  <w:vAlign w:val="center"/>
                </w:tcPr>
                <w:p w14:paraId="4AF7D36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r>
            <w:tr w14:paraId="766B71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A6DB78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5000.0</w:t>
                  </w:r>
                </w:p>
              </w:tc>
              <w:tc>
                <w:tcPr>
                  <w:tcW w:w="0" w:type="dxa"/>
                  <w:noWrap w:val="0"/>
                  <w:vAlign w:val="center"/>
                </w:tcPr>
                <w:p w14:paraId="5C76BE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0.77</w:t>
                  </w:r>
                </w:p>
              </w:tc>
              <w:tc>
                <w:tcPr>
                  <w:tcW w:w="0" w:type="dxa"/>
                  <w:noWrap w:val="0"/>
                  <w:vAlign w:val="center"/>
                </w:tcPr>
                <w:p w14:paraId="72E225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w:t>
                  </w:r>
                </w:p>
              </w:tc>
            </w:tr>
            <w:tr w14:paraId="3A8799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FFEFE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10000.0</w:t>
                  </w:r>
                </w:p>
              </w:tc>
              <w:tc>
                <w:tcPr>
                  <w:tcW w:w="0" w:type="dxa"/>
                  <w:noWrap w:val="0"/>
                  <w:vAlign w:val="center"/>
                </w:tcPr>
                <w:p w14:paraId="6DBF41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0.44</w:t>
                  </w:r>
                </w:p>
              </w:tc>
              <w:tc>
                <w:tcPr>
                  <w:tcW w:w="0" w:type="dxa"/>
                  <w:noWrap w:val="0"/>
                  <w:vAlign w:val="center"/>
                </w:tcPr>
                <w:p w14:paraId="5DD9F9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0.05</w:t>
                  </w:r>
                </w:p>
              </w:tc>
            </w:tr>
            <w:tr w14:paraId="77E84B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239E31C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11000.0</w:t>
                  </w:r>
                </w:p>
              </w:tc>
              <w:tc>
                <w:tcPr>
                  <w:tcW w:w="0" w:type="dxa"/>
                  <w:noWrap w:val="0"/>
                  <w:vAlign w:val="center"/>
                </w:tcPr>
                <w:p w14:paraId="3BDE3E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0.40</w:t>
                  </w:r>
                </w:p>
              </w:tc>
              <w:tc>
                <w:tcPr>
                  <w:tcW w:w="0" w:type="dxa"/>
                  <w:noWrap w:val="0"/>
                  <w:vAlign w:val="center"/>
                </w:tcPr>
                <w:p w14:paraId="70BE5D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r>
            <w:tr w14:paraId="44B6DD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B5E15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12000.0</w:t>
                  </w:r>
                </w:p>
              </w:tc>
              <w:tc>
                <w:tcPr>
                  <w:tcW w:w="0" w:type="dxa"/>
                  <w:noWrap w:val="0"/>
                  <w:vAlign w:val="center"/>
                </w:tcPr>
                <w:p w14:paraId="670264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0.37</w:t>
                  </w:r>
                </w:p>
              </w:tc>
              <w:tc>
                <w:tcPr>
                  <w:tcW w:w="0" w:type="dxa"/>
                  <w:noWrap w:val="0"/>
                  <w:vAlign w:val="center"/>
                </w:tcPr>
                <w:p w14:paraId="1F99D9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r>
            <w:tr w14:paraId="23317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7109E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13000.0</w:t>
                  </w:r>
                </w:p>
              </w:tc>
              <w:tc>
                <w:tcPr>
                  <w:tcW w:w="0" w:type="dxa"/>
                  <w:noWrap w:val="0"/>
                  <w:vAlign w:val="center"/>
                </w:tcPr>
                <w:p w14:paraId="662AC1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0.34</w:t>
                  </w:r>
                </w:p>
              </w:tc>
              <w:tc>
                <w:tcPr>
                  <w:tcW w:w="0" w:type="dxa"/>
                  <w:noWrap w:val="0"/>
                  <w:vAlign w:val="center"/>
                </w:tcPr>
                <w:p w14:paraId="043778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0.04</w:t>
                  </w:r>
                </w:p>
              </w:tc>
            </w:tr>
            <w:tr w14:paraId="1F1062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7CC19D9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14000.0</w:t>
                  </w:r>
                </w:p>
              </w:tc>
              <w:tc>
                <w:tcPr>
                  <w:tcW w:w="0" w:type="dxa"/>
                  <w:noWrap w:val="0"/>
                  <w:vAlign w:val="center"/>
                </w:tcPr>
                <w:p w14:paraId="0B05E74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0.30</w:t>
                  </w:r>
                </w:p>
              </w:tc>
              <w:tc>
                <w:tcPr>
                  <w:tcW w:w="0" w:type="dxa"/>
                  <w:noWrap w:val="0"/>
                  <w:vAlign w:val="center"/>
                </w:tcPr>
                <w:p w14:paraId="19FD27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r>
            <w:tr w14:paraId="3132A6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B2FC8A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15000.0</w:t>
                  </w:r>
                </w:p>
              </w:tc>
              <w:tc>
                <w:tcPr>
                  <w:tcW w:w="0" w:type="dxa"/>
                  <w:noWrap w:val="0"/>
                  <w:vAlign w:val="center"/>
                </w:tcPr>
                <w:p w14:paraId="57509A5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0.29</w:t>
                  </w:r>
                </w:p>
              </w:tc>
              <w:tc>
                <w:tcPr>
                  <w:tcW w:w="0" w:type="dxa"/>
                  <w:noWrap w:val="0"/>
                  <w:vAlign w:val="center"/>
                </w:tcPr>
                <w:p w14:paraId="712BE8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r>
            <w:tr w14:paraId="039B42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7CCE8F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20000.0</w:t>
                  </w:r>
                </w:p>
              </w:tc>
              <w:tc>
                <w:tcPr>
                  <w:tcW w:w="0" w:type="dxa"/>
                  <w:noWrap w:val="0"/>
                  <w:vAlign w:val="center"/>
                </w:tcPr>
                <w:p w14:paraId="7ADD086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0.23</w:t>
                  </w:r>
                </w:p>
              </w:tc>
              <w:tc>
                <w:tcPr>
                  <w:tcW w:w="0" w:type="dxa"/>
                  <w:noWrap w:val="0"/>
                  <w:vAlign w:val="center"/>
                </w:tcPr>
                <w:p w14:paraId="23525D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0.03</w:t>
                  </w:r>
                </w:p>
              </w:tc>
            </w:tr>
            <w:tr w14:paraId="380B7E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3AF301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25000.0</w:t>
                  </w:r>
                </w:p>
              </w:tc>
              <w:tc>
                <w:tcPr>
                  <w:tcW w:w="0" w:type="dxa"/>
                  <w:noWrap w:val="0"/>
                  <w:vAlign w:val="center"/>
                </w:tcPr>
                <w:p w14:paraId="7F274FB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0.17</w:t>
                  </w:r>
                </w:p>
              </w:tc>
              <w:tc>
                <w:tcPr>
                  <w:tcW w:w="0" w:type="dxa"/>
                  <w:noWrap w:val="0"/>
                  <w:vAlign w:val="center"/>
                </w:tcPr>
                <w:p w14:paraId="7F2AEB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0.02</w:t>
                  </w:r>
                </w:p>
              </w:tc>
            </w:tr>
            <w:tr w14:paraId="4F582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0D192D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w:t>
                  </w:r>
                </w:p>
              </w:tc>
              <w:tc>
                <w:tcPr>
                  <w:tcW w:w="0" w:type="dxa"/>
                  <w:noWrap w:val="0"/>
                  <w:vAlign w:val="center"/>
                </w:tcPr>
                <w:p w14:paraId="536A50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3.85</w:t>
                  </w:r>
                </w:p>
              </w:tc>
              <w:tc>
                <w:tcPr>
                  <w:tcW w:w="0" w:type="dxa"/>
                  <w:noWrap w:val="0"/>
                  <w:vAlign w:val="center"/>
                </w:tcPr>
                <w:p w14:paraId="6AC985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0.43</w:t>
                  </w:r>
                </w:p>
              </w:tc>
            </w:tr>
            <w:tr w14:paraId="3C4A77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4B598C6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下风向最大浓度出现距离</w:t>
                  </w:r>
                </w:p>
              </w:tc>
              <w:tc>
                <w:tcPr>
                  <w:tcW w:w="0" w:type="dxa"/>
                  <w:noWrap w:val="0"/>
                  <w:vAlign w:val="center"/>
                </w:tcPr>
                <w:p w14:paraId="680C907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c>
                <w:tcPr>
                  <w:tcW w:w="0" w:type="dxa"/>
                  <w:noWrap w:val="0"/>
                  <w:vAlign w:val="center"/>
                </w:tcPr>
                <w:p w14:paraId="3700C3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540.0</w:t>
                  </w:r>
                </w:p>
              </w:tc>
            </w:tr>
            <w:tr w14:paraId="41A97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exact"/>
              </w:trPr>
              <w:tc>
                <w:tcPr>
                  <w:tcW w:w="0" w:type="dxa"/>
                  <w:noWrap w:val="0"/>
                  <w:vAlign w:val="center"/>
                </w:tcPr>
                <w:p w14:paraId="613102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D10%最远距离</w:t>
                  </w:r>
                </w:p>
              </w:tc>
              <w:tc>
                <w:tcPr>
                  <w:tcW w:w="0" w:type="dxa"/>
                  <w:noWrap w:val="0"/>
                  <w:vAlign w:val="center"/>
                </w:tcPr>
                <w:p w14:paraId="508776E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c>
                <w:tcPr>
                  <w:tcW w:w="0" w:type="dxa"/>
                  <w:noWrap w:val="0"/>
                  <w:vAlign w:val="center"/>
                </w:tcPr>
                <w:p w14:paraId="3739A1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bl>
          <w:p w14:paraId="13ADD2F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olor w:val="auto"/>
                <w:spacing w:val="0"/>
                <w:w w:val="100"/>
                <w:kern w:val="0"/>
                <w:position w:val="0"/>
                <w:sz w:val="24"/>
                <w:szCs w:val="24"/>
                <w:highlight w:val="none"/>
              </w:rPr>
            </w:pPr>
            <w:r>
              <w:rPr>
                <w:rFonts w:hint="eastAsia"/>
                <w:b w:val="0"/>
                <w:bCs w:val="0"/>
                <w:color w:val="auto"/>
                <w:spacing w:val="0"/>
                <w:w w:val="100"/>
                <w:kern w:val="0"/>
                <w:position w:val="0"/>
                <w:sz w:val="24"/>
                <w:szCs w:val="24"/>
                <w:highlight w:val="none"/>
                <w:lang w:eastAsia="zh-CN"/>
              </w:rPr>
              <w:t>将上述估算结果得出的项目运行阶段各污染源、污染因子、小时地面浓度最大值及占标率的相应指标进行汇总与统计，详见下表</w:t>
            </w:r>
            <w:r>
              <w:rPr>
                <w:rFonts w:hint="eastAsia"/>
                <w:b w:val="0"/>
                <w:bCs w:val="0"/>
                <w:color w:val="auto"/>
                <w:spacing w:val="0"/>
                <w:w w:val="100"/>
                <w:kern w:val="0"/>
                <w:position w:val="0"/>
                <w:sz w:val="24"/>
                <w:szCs w:val="24"/>
                <w:highlight w:val="none"/>
                <w:lang w:val="en-US" w:eastAsia="zh-CN"/>
              </w:rPr>
              <w:t>。</w:t>
            </w:r>
          </w:p>
          <w:p w14:paraId="51AAE0EC">
            <w:pPr>
              <w:pStyle w:val="28"/>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480" w:lineRule="exact"/>
              <w:textAlignment w:val="auto"/>
              <w:rPr>
                <w:rFonts w:hint="default" w:ascii="Times New Roman" w:hAnsi="Times New Roman" w:eastAsia="宋体"/>
                <w:color w:val="auto"/>
                <w:spacing w:val="0"/>
                <w:w w:val="100"/>
                <w:kern w:val="0"/>
                <w:position w:val="0"/>
                <w:sz w:val="24"/>
                <w:szCs w:val="24"/>
                <w:highlight w:val="none"/>
              </w:rPr>
            </w:pPr>
            <w:r>
              <w:rPr>
                <w:rFonts w:hint="default" w:ascii="Times New Roman" w:hAnsi="Times New Roman" w:eastAsia="宋体"/>
                <w:color w:val="auto"/>
                <w:spacing w:val="0"/>
                <w:w w:val="100"/>
                <w:kern w:val="0"/>
                <w:position w:val="0"/>
                <w:sz w:val="24"/>
                <w:szCs w:val="24"/>
                <w:highlight w:val="none"/>
              </w:rPr>
              <w:t>表4-</w:t>
            </w:r>
            <w:r>
              <w:rPr>
                <w:rFonts w:hint="eastAsia" w:ascii="Times New Roman" w:hAnsi="Times New Roman" w:eastAsia="宋体"/>
                <w:color w:val="auto"/>
                <w:spacing w:val="0"/>
                <w:w w:val="100"/>
                <w:kern w:val="0"/>
                <w:position w:val="0"/>
                <w:sz w:val="24"/>
                <w:szCs w:val="24"/>
                <w:highlight w:val="none"/>
                <w:lang w:val="en-US" w:eastAsia="zh-CN"/>
              </w:rPr>
              <w:t>8</w:t>
            </w:r>
            <w:r>
              <w:rPr>
                <w:rFonts w:hint="default" w:ascii="Times New Roman" w:hAnsi="Times New Roman" w:eastAsia="宋体"/>
                <w:color w:val="auto"/>
                <w:spacing w:val="0"/>
                <w:w w:val="100"/>
                <w:kern w:val="0"/>
                <w:position w:val="0"/>
                <w:sz w:val="24"/>
                <w:szCs w:val="24"/>
                <w:highlight w:val="none"/>
              </w:rPr>
              <w:t xml:space="preserve">  主要污染源估算模型计算结果表</w:t>
            </w:r>
          </w:p>
          <w:tbl>
            <w:tblPr>
              <w:tblStyle w:val="17"/>
              <w:tblW w:w="8527" w:type="dxa"/>
              <w:tblInd w:w="-1"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21"/>
              <w:gridCol w:w="1170"/>
              <w:gridCol w:w="2340"/>
              <w:gridCol w:w="1650"/>
              <w:gridCol w:w="1140"/>
              <w:gridCol w:w="1106"/>
            </w:tblGrid>
            <w:tr w14:paraId="44910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121" w:type="dxa"/>
                  <w:noWrap w:val="0"/>
                  <w:vAlign w:val="center"/>
                </w:tcPr>
                <w:p w14:paraId="496314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污染源名称</w:t>
                  </w:r>
                </w:p>
              </w:tc>
              <w:tc>
                <w:tcPr>
                  <w:tcW w:w="1170" w:type="dxa"/>
                  <w:noWrap w:val="0"/>
                  <w:vAlign w:val="center"/>
                </w:tcPr>
                <w:p w14:paraId="68DB50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评价因子</w:t>
                  </w:r>
                </w:p>
              </w:tc>
              <w:tc>
                <w:tcPr>
                  <w:tcW w:w="2340" w:type="dxa"/>
                  <w:noWrap w:val="0"/>
                  <w:vAlign w:val="center"/>
                </w:tcPr>
                <w:p w14:paraId="24305F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评价标准(μg/m³)</w:t>
                  </w:r>
                </w:p>
              </w:tc>
              <w:tc>
                <w:tcPr>
                  <w:tcW w:w="1650" w:type="dxa"/>
                  <w:noWrap w:val="0"/>
                  <w:vAlign w:val="center"/>
                </w:tcPr>
                <w:p w14:paraId="67C469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Cmax(μg/m³)</w:t>
                  </w:r>
                </w:p>
              </w:tc>
              <w:tc>
                <w:tcPr>
                  <w:tcW w:w="1140" w:type="dxa"/>
                  <w:noWrap w:val="0"/>
                  <w:vAlign w:val="center"/>
                </w:tcPr>
                <w:p w14:paraId="371137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Pmax(%)</w:t>
                  </w:r>
                </w:p>
              </w:tc>
              <w:tc>
                <w:tcPr>
                  <w:tcW w:w="1106" w:type="dxa"/>
                  <w:noWrap w:val="0"/>
                  <w:vAlign w:val="center"/>
                </w:tcPr>
                <w:p w14:paraId="0891D4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D10%(m)</w:t>
                  </w:r>
                </w:p>
              </w:tc>
            </w:tr>
            <w:tr w14:paraId="1206D0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121" w:type="dxa"/>
                  <w:noWrap w:val="0"/>
                  <w:vAlign w:val="center"/>
                </w:tcPr>
                <w:p w14:paraId="4F71E2DD">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sz w:val="21"/>
                      <w:szCs w:val="21"/>
                      <w:highlight w:val="none"/>
                      <w:lang w:val="en-US" w:eastAsia="zh-CN"/>
                    </w:rPr>
                    <w:t>J1</w:t>
                  </w:r>
                  <w:r>
                    <w:rPr>
                      <w:rFonts w:hint="default" w:ascii="Times New Roman" w:hAnsi="Times New Roman" w:eastAsia="宋体" w:cs="Times New Roman"/>
                      <w:b w:val="0"/>
                      <w:color w:val="auto"/>
                      <w:sz w:val="21"/>
                      <w:szCs w:val="21"/>
                      <w:highlight w:val="none"/>
                    </w:rPr>
                    <w:t>排气筒</w:t>
                  </w:r>
                </w:p>
              </w:tc>
              <w:tc>
                <w:tcPr>
                  <w:tcW w:w="1170" w:type="dxa"/>
                  <w:noWrap w:val="0"/>
                  <w:vAlign w:val="center"/>
                </w:tcPr>
                <w:p w14:paraId="068BE3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w:t>
                  </w:r>
                </w:p>
              </w:tc>
              <w:tc>
                <w:tcPr>
                  <w:tcW w:w="2340" w:type="dxa"/>
                  <w:noWrap w:val="0"/>
                  <w:vAlign w:val="center"/>
                </w:tcPr>
                <w:p w14:paraId="34C987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900.0</w:t>
                  </w:r>
                </w:p>
              </w:tc>
              <w:tc>
                <w:tcPr>
                  <w:tcW w:w="1650" w:type="dxa"/>
                  <w:noWrap w:val="0"/>
                  <w:vAlign w:val="center"/>
                </w:tcPr>
                <w:p w14:paraId="0E51E86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w:t>
                  </w:r>
                </w:p>
              </w:tc>
              <w:tc>
                <w:tcPr>
                  <w:tcW w:w="1140" w:type="dxa"/>
                  <w:noWrap w:val="0"/>
                  <w:vAlign w:val="center"/>
                </w:tcPr>
                <w:p w14:paraId="779FAD8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w:t>
                  </w:r>
                </w:p>
              </w:tc>
              <w:tc>
                <w:tcPr>
                  <w:tcW w:w="1106" w:type="dxa"/>
                  <w:noWrap w:val="0"/>
                  <w:vAlign w:val="center"/>
                </w:tcPr>
                <w:p w14:paraId="79B138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14:paraId="37B188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121" w:type="dxa"/>
                  <w:vMerge w:val="restart"/>
                  <w:noWrap w:val="0"/>
                  <w:vAlign w:val="center"/>
                </w:tcPr>
                <w:p w14:paraId="005FB707">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sz w:val="21"/>
                      <w:szCs w:val="21"/>
                      <w:highlight w:val="none"/>
                      <w:lang w:val="en-US" w:eastAsia="zh-CN"/>
                    </w:rPr>
                    <w:t>J</w:t>
                  </w:r>
                  <w:r>
                    <w:rPr>
                      <w:rFonts w:hint="default" w:ascii="Times New Roman" w:hAnsi="Times New Roman" w:eastAsia="宋体" w:cs="Times New Roman"/>
                      <w:b w:val="0"/>
                      <w:color w:val="auto"/>
                      <w:sz w:val="21"/>
                      <w:szCs w:val="21"/>
                      <w:highlight w:val="none"/>
                    </w:rPr>
                    <w:t>2排气筒</w:t>
                  </w:r>
                </w:p>
              </w:tc>
              <w:tc>
                <w:tcPr>
                  <w:tcW w:w="1170" w:type="dxa"/>
                  <w:noWrap w:val="0"/>
                  <w:vAlign w:val="center"/>
                </w:tcPr>
                <w:p w14:paraId="7CDB49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NMHC</w:t>
                  </w:r>
                </w:p>
              </w:tc>
              <w:tc>
                <w:tcPr>
                  <w:tcW w:w="2340" w:type="dxa"/>
                  <w:noWrap w:val="0"/>
                  <w:vAlign w:val="center"/>
                </w:tcPr>
                <w:p w14:paraId="0165B3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2000.0</w:t>
                  </w:r>
                </w:p>
              </w:tc>
              <w:tc>
                <w:tcPr>
                  <w:tcW w:w="1650" w:type="dxa"/>
                  <w:noWrap w:val="0"/>
                  <w:vAlign w:val="center"/>
                </w:tcPr>
                <w:p w14:paraId="7CCB7FF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15.99</w:t>
                  </w:r>
                </w:p>
              </w:tc>
              <w:tc>
                <w:tcPr>
                  <w:tcW w:w="1140" w:type="dxa"/>
                  <w:noWrap w:val="0"/>
                  <w:vAlign w:val="center"/>
                </w:tcPr>
                <w:p w14:paraId="367F7F7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0.80</w:t>
                  </w:r>
                </w:p>
              </w:tc>
              <w:tc>
                <w:tcPr>
                  <w:tcW w:w="1106" w:type="dxa"/>
                  <w:noWrap w:val="0"/>
                  <w:vAlign w:val="center"/>
                </w:tcPr>
                <w:p w14:paraId="417EE6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14:paraId="2C6FDF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121" w:type="dxa"/>
                  <w:vMerge w:val="continue"/>
                  <w:noWrap w:val="0"/>
                  <w:vAlign w:val="center"/>
                </w:tcPr>
                <w:p w14:paraId="706BF54F">
                  <w:pPr>
                    <w:jc w:val="center"/>
                    <w:rPr>
                      <w:rFonts w:hint="default" w:ascii="Times New Roman" w:hAnsi="Times New Roman" w:eastAsia="宋体" w:cs="Times New Roman"/>
                      <w:color w:val="auto"/>
                      <w:sz w:val="21"/>
                      <w:szCs w:val="21"/>
                      <w:highlight w:val="none"/>
                    </w:rPr>
                  </w:pPr>
                </w:p>
              </w:tc>
              <w:tc>
                <w:tcPr>
                  <w:tcW w:w="1170" w:type="dxa"/>
                  <w:noWrap w:val="0"/>
                  <w:vAlign w:val="center"/>
                </w:tcPr>
                <w:p w14:paraId="05806C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TSP</w:t>
                  </w:r>
                </w:p>
              </w:tc>
              <w:tc>
                <w:tcPr>
                  <w:tcW w:w="2340" w:type="dxa"/>
                  <w:noWrap w:val="0"/>
                  <w:vAlign w:val="center"/>
                </w:tcPr>
                <w:p w14:paraId="7F5792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900.0</w:t>
                  </w:r>
                </w:p>
              </w:tc>
              <w:tc>
                <w:tcPr>
                  <w:tcW w:w="1650" w:type="dxa"/>
                  <w:noWrap w:val="0"/>
                  <w:vAlign w:val="center"/>
                </w:tcPr>
                <w:p w14:paraId="3C9BFCD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2.59</w:t>
                  </w:r>
                </w:p>
              </w:tc>
              <w:tc>
                <w:tcPr>
                  <w:tcW w:w="1140" w:type="dxa"/>
                  <w:noWrap w:val="0"/>
                  <w:vAlign w:val="center"/>
                </w:tcPr>
                <w:p w14:paraId="3F9145E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0.29</w:t>
                  </w:r>
                </w:p>
              </w:tc>
              <w:tc>
                <w:tcPr>
                  <w:tcW w:w="1106" w:type="dxa"/>
                  <w:noWrap w:val="0"/>
                  <w:vAlign w:val="center"/>
                </w:tcPr>
                <w:p w14:paraId="5686D8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14:paraId="1250CF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1121" w:type="dxa"/>
                  <w:noWrap w:val="0"/>
                  <w:vAlign w:val="center"/>
                </w:tcPr>
                <w:p w14:paraId="0F200A6C">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P</w:t>
                  </w:r>
                  <w:r>
                    <w:rPr>
                      <w:rFonts w:hint="eastAsia" w:ascii="Times New Roman" w:hAnsi="Times New Roman" w:eastAsia="宋体" w:cs="Times New Roman"/>
                      <w:b w:val="0"/>
                      <w:color w:val="auto"/>
                      <w:sz w:val="21"/>
                      <w:szCs w:val="21"/>
                      <w:highlight w:val="none"/>
                      <w:lang w:val="en-US" w:eastAsia="zh-CN"/>
                    </w:rPr>
                    <w:t>8</w:t>
                  </w:r>
                  <w:r>
                    <w:rPr>
                      <w:rFonts w:hint="default" w:ascii="Times New Roman" w:hAnsi="Times New Roman" w:eastAsia="宋体" w:cs="Times New Roman"/>
                      <w:b w:val="0"/>
                      <w:color w:val="auto"/>
                      <w:sz w:val="21"/>
                      <w:szCs w:val="21"/>
                      <w:highlight w:val="none"/>
                    </w:rPr>
                    <w:t>排气筒</w:t>
                  </w:r>
                </w:p>
              </w:tc>
              <w:tc>
                <w:tcPr>
                  <w:tcW w:w="1170" w:type="dxa"/>
                  <w:noWrap w:val="0"/>
                  <w:vAlign w:val="center"/>
                </w:tcPr>
                <w:p w14:paraId="27C7942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TSP</w:t>
                  </w:r>
                </w:p>
              </w:tc>
              <w:tc>
                <w:tcPr>
                  <w:tcW w:w="2340" w:type="dxa"/>
                  <w:noWrap w:val="0"/>
                  <w:vAlign w:val="center"/>
                </w:tcPr>
                <w:p w14:paraId="3F05E7A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900.0</w:t>
                  </w:r>
                </w:p>
              </w:tc>
              <w:tc>
                <w:tcPr>
                  <w:tcW w:w="1650" w:type="dxa"/>
                  <w:noWrap w:val="0"/>
                  <w:vAlign w:val="center"/>
                </w:tcPr>
                <w:p w14:paraId="3728B5D8">
                  <w:pPr>
                    <w:jc w:val="center"/>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3.85</w:t>
                  </w:r>
                </w:p>
              </w:tc>
              <w:tc>
                <w:tcPr>
                  <w:tcW w:w="1140" w:type="dxa"/>
                  <w:noWrap w:val="0"/>
                  <w:vAlign w:val="center"/>
                </w:tcPr>
                <w:p w14:paraId="4518A933">
                  <w:pPr>
                    <w:jc w:val="center"/>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0.43</w:t>
                  </w:r>
                </w:p>
              </w:tc>
              <w:tc>
                <w:tcPr>
                  <w:tcW w:w="1106" w:type="dxa"/>
                  <w:noWrap w:val="0"/>
                  <w:vAlign w:val="center"/>
                </w:tcPr>
                <w:p w14:paraId="7A7AABE8">
                  <w:pPr>
                    <w:jc w:val="center"/>
                    <w:rPr>
                      <w:rFonts w:hint="default" w:ascii="Times New Roman" w:hAnsi="Times New Roman" w:eastAsia="宋体" w:cs="Times New Roman"/>
                      <w:b w:val="0"/>
                      <w:color w:val="auto"/>
                      <w:sz w:val="21"/>
                      <w:szCs w:val="21"/>
                      <w:highlight w:val="none"/>
                    </w:rPr>
                  </w:pPr>
                </w:p>
              </w:tc>
            </w:tr>
          </w:tbl>
          <w:p w14:paraId="467243BA">
            <w:pPr>
              <w:pStyle w:val="4"/>
              <w:keepNext w:val="0"/>
              <w:keepLines w:val="0"/>
              <w:pageBreakBefore w:val="0"/>
              <w:widowControl w:val="0"/>
              <w:kinsoku/>
              <w:wordWrap/>
              <w:overflowPunct/>
              <w:topLinePunct w:val="0"/>
              <w:autoSpaceDE/>
              <w:autoSpaceDN/>
              <w:bidi w:val="0"/>
              <w:adjustRightInd w:val="0"/>
              <w:snapToGrid w:val="0"/>
              <w:spacing w:line="300" w:lineRule="atLeast"/>
              <w:textAlignment w:val="auto"/>
              <w:rPr>
                <w:rFonts w:ascii="宋体" w:hAnsi="宋体" w:eastAsia="宋体" w:cs="宋体"/>
                <w:b w:val="0"/>
                <w:color w:val="auto"/>
                <w:sz w:val="24"/>
                <w:highlight w:val="none"/>
              </w:rPr>
            </w:pPr>
            <w:r>
              <w:rPr>
                <w:rFonts w:hint="default"/>
                <w:color w:val="auto"/>
                <w:spacing w:val="0"/>
                <w:position w:val="0"/>
                <w:sz w:val="21"/>
                <w:szCs w:val="21"/>
                <w:highlight w:val="none"/>
                <w:lang w:val="en-US" w:eastAsia="zh-CN"/>
              </w:rPr>
              <w:t>标注：小时值按日均值的3倍</w:t>
            </w:r>
          </w:p>
          <w:p w14:paraId="2835C519">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sz w:val="24"/>
                <w:highlight w:val="none"/>
              </w:rPr>
              <w:t>本项目Pmax最大值出现为</w:t>
            </w:r>
            <w:r>
              <w:rPr>
                <w:rFonts w:hint="eastAsia" w:ascii="Times New Roman" w:hAnsi="Times New Roman" w:eastAsia="宋体" w:cs="Times New Roman"/>
                <w:b w:val="0"/>
                <w:color w:val="auto"/>
                <w:sz w:val="24"/>
                <w:highlight w:val="none"/>
                <w:lang w:val="en-US" w:eastAsia="zh-CN"/>
              </w:rPr>
              <w:t>J1</w:t>
            </w:r>
            <w:r>
              <w:rPr>
                <w:rFonts w:hint="default" w:ascii="Times New Roman" w:hAnsi="Times New Roman" w:eastAsia="宋体" w:cs="Times New Roman"/>
                <w:b w:val="0"/>
                <w:color w:val="auto"/>
                <w:sz w:val="24"/>
                <w:highlight w:val="none"/>
              </w:rPr>
              <w:t>排气筒排放的NMHCPmax值为</w:t>
            </w:r>
            <w:r>
              <w:rPr>
                <w:rFonts w:hint="eastAsia" w:ascii="Times New Roman" w:hAnsi="Times New Roman" w:eastAsia="宋体" w:cs="Times New Roman"/>
                <w:b w:val="0"/>
                <w:color w:val="auto"/>
                <w:sz w:val="24"/>
                <w:highlight w:val="none"/>
                <w:lang w:val="en-US" w:eastAsia="zh-CN"/>
              </w:rPr>
              <w:t>0.80</w:t>
            </w:r>
            <w:r>
              <w:rPr>
                <w:rFonts w:hint="default" w:ascii="Times New Roman" w:hAnsi="Times New Roman" w:eastAsia="宋体" w:cs="Times New Roman"/>
                <w:b w:val="0"/>
                <w:color w:val="auto"/>
                <w:sz w:val="24"/>
                <w:highlight w:val="none"/>
              </w:rPr>
              <w:t>%，Cmax为</w:t>
            </w:r>
            <w:r>
              <w:rPr>
                <w:rFonts w:hint="eastAsia" w:ascii="Times New Roman" w:hAnsi="Times New Roman" w:eastAsia="宋体" w:cs="Times New Roman"/>
                <w:b w:val="0"/>
                <w:color w:val="auto"/>
                <w:sz w:val="24"/>
                <w:highlight w:val="none"/>
                <w:lang w:val="en-US" w:eastAsia="zh-CN"/>
              </w:rPr>
              <w:t>15.99</w:t>
            </w:r>
            <w:r>
              <w:rPr>
                <w:rFonts w:hint="default" w:ascii="Times New Roman" w:hAnsi="Times New Roman" w:eastAsia="宋体" w:cs="Times New Roman"/>
                <w:b w:val="0"/>
                <w:color w:val="auto"/>
                <w:sz w:val="24"/>
                <w:highlight w:val="none"/>
              </w:rPr>
              <w:t>μg/m³。根据《环境影响评价技术导则 大气环境》（HJ2.2-2018）分级判据，确定本项目大气环境影响评价工作等级为</w:t>
            </w:r>
            <w:r>
              <w:rPr>
                <w:rFonts w:hint="eastAsia" w:ascii="Times New Roman" w:hAnsi="Times New Roman" w:eastAsia="宋体" w:cs="Times New Roman"/>
                <w:b w:val="0"/>
                <w:color w:val="auto"/>
                <w:sz w:val="24"/>
                <w:highlight w:val="none"/>
                <w:lang w:eastAsia="zh-CN"/>
              </w:rPr>
              <w:t>三</w:t>
            </w:r>
            <w:r>
              <w:rPr>
                <w:rFonts w:hint="default" w:ascii="Times New Roman" w:hAnsi="Times New Roman" w:eastAsia="宋体" w:cs="Times New Roman"/>
                <w:b w:val="0"/>
                <w:color w:val="auto"/>
                <w:sz w:val="24"/>
                <w:highlight w:val="none"/>
              </w:rPr>
              <w:t>级</w:t>
            </w:r>
            <w:r>
              <w:rPr>
                <w:rFonts w:hint="default" w:ascii="Times New Roman" w:hAnsi="Times New Roman" w:eastAsia="宋体" w:cs="Times New Roman"/>
                <w:b w:val="0"/>
                <w:color w:val="auto"/>
                <w:sz w:val="24"/>
                <w:highlight w:val="none"/>
                <w:lang w:eastAsia="zh-CN"/>
              </w:rPr>
              <w:t>。</w:t>
            </w:r>
            <w:r>
              <w:rPr>
                <w:rFonts w:hint="default" w:ascii="Times New Roman" w:hAnsi="Times New Roman" w:eastAsia="宋体" w:cs="Times New Roman"/>
                <w:color w:val="auto"/>
                <w:sz w:val="24"/>
                <w:szCs w:val="24"/>
                <w:highlight w:val="none"/>
              </w:rPr>
              <w:t>污染物排放核实表见。</w:t>
            </w:r>
          </w:p>
          <w:p w14:paraId="3661AD35">
            <w:pPr>
              <w:pStyle w:val="4"/>
              <w:keepNext w:val="0"/>
              <w:keepLines w:val="0"/>
              <w:pageBreakBefore w:val="0"/>
              <w:widowControl w:val="0"/>
              <w:kinsoku/>
              <w:wordWrap/>
              <w:overflowPunct/>
              <w:topLinePunct w:val="0"/>
              <w:autoSpaceDE/>
              <w:autoSpaceDN/>
              <w:bidi w:val="0"/>
              <w:adjustRightInd w:val="0"/>
              <w:snapToGrid w:val="0"/>
              <w:spacing w:line="300" w:lineRule="atLeast"/>
              <w:jc w:val="center"/>
              <w:textAlignment w:val="auto"/>
              <w:rPr>
                <w:rFonts w:hint="eastAsia" w:eastAsia="宋体"/>
                <w:b w:val="0"/>
                <w:bCs w:val="0"/>
                <w:color w:val="auto"/>
                <w:spacing w:val="0"/>
                <w:position w:val="0"/>
                <w:sz w:val="21"/>
                <w:szCs w:val="21"/>
                <w:highlight w:val="none"/>
                <w:lang w:val="en-US" w:eastAsia="zh-CN"/>
              </w:rPr>
            </w:pPr>
            <w:r>
              <w:rPr>
                <w:rFonts w:hint="eastAsia"/>
                <w:b w:val="0"/>
                <w:bCs w:val="0"/>
                <w:color w:val="auto"/>
                <w:szCs w:val="22"/>
                <w:highlight w:val="none"/>
                <w:lang w:eastAsia="zh-CN"/>
              </w:rPr>
              <w:t>表</w:t>
            </w:r>
            <w:r>
              <w:rPr>
                <w:rFonts w:hint="eastAsia"/>
                <w:b w:val="0"/>
                <w:bCs w:val="0"/>
                <w:color w:val="auto"/>
                <w:szCs w:val="22"/>
                <w:highlight w:val="none"/>
                <w:lang w:val="en-US" w:eastAsia="zh-CN"/>
              </w:rPr>
              <w:t xml:space="preserve">4-9 </w:t>
            </w:r>
            <w:r>
              <w:rPr>
                <w:rFonts w:hint="eastAsia"/>
                <w:b w:val="0"/>
                <w:bCs w:val="0"/>
                <w:color w:val="auto"/>
                <w:szCs w:val="22"/>
                <w:highlight w:val="none"/>
              </w:rPr>
              <w:t>污染物排放量核实表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926"/>
              <w:gridCol w:w="1201"/>
              <w:gridCol w:w="2753"/>
              <w:gridCol w:w="1921"/>
              <w:gridCol w:w="1138"/>
            </w:tblGrid>
            <w:tr w14:paraId="238F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76" w:type="pct"/>
                  <w:gridSpan w:val="2"/>
                  <w:noWrap w:val="0"/>
                  <w:vAlign w:val="center"/>
                </w:tcPr>
                <w:p w14:paraId="06ABAED3">
                  <w:pPr>
                    <w:jc w:val="center"/>
                    <w:rPr>
                      <w:b/>
                      <w:bCs/>
                      <w:color w:val="auto"/>
                      <w:sz w:val="21"/>
                      <w:szCs w:val="21"/>
                      <w:highlight w:val="none"/>
                    </w:rPr>
                  </w:pPr>
                  <w:r>
                    <w:rPr>
                      <w:b/>
                      <w:bCs/>
                      <w:color w:val="auto"/>
                      <w:sz w:val="21"/>
                      <w:szCs w:val="21"/>
                      <w:highlight w:val="none"/>
                    </w:rPr>
                    <w:t>污染源</w:t>
                  </w:r>
                </w:p>
              </w:tc>
              <w:tc>
                <w:tcPr>
                  <w:tcW w:w="706" w:type="pct"/>
                  <w:noWrap w:val="0"/>
                  <w:vAlign w:val="center"/>
                </w:tcPr>
                <w:p w14:paraId="75CA5D28">
                  <w:pPr>
                    <w:jc w:val="center"/>
                    <w:rPr>
                      <w:b/>
                      <w:bCs/>
                      <w:color w:val="auto"/>
                      <w:sz w:val="21"/>
                      <w:szCs w:val="21"/>
                      <w:highlight w:val="none"/>
                    </w:rPr>
                  </w:pPr>
                  <w:r>
                    <w:rPr>
                      <w:b/>
                      <w:bCs/>
                      <w:color w:val="auto"/>
                      <w:sz w:val="21"/>
                      <w:szCs w:val="21"/>
                      <w:highlight w:val="none"/>
                    </w:rPr>
                    <w:t>污染因子</w:t>
                  </w:r>
                </w:p>
              </w:tc>
              <w:tc>
                <w:tcPr>
                  <w:tcW w:w="1618" w:type="pct"/>
                  <w:noWrap w:val="0"/>
                  <w:vAlign w:val="center"/>
                </w:tcPr>
                <w:p w14:paraId="350F36E4">
                  <w:pPr>
                    <w:jc w:val="center"/>
                    <w:rPr>
                      <w:b/>
                      <w:bCs/>
                      <w:color w:val="auto"/>
                      <w:sz w:val="21"/>
                      <w:szCs w:val="21"/>
                      <w:highlight w:val="none"/>
                    </w:rPr>
                  </w:pPr>
                  <w:r>
                    <w:rPr>
                      <w:b/>
                      <w:bCs/>
                      <w:color w:val="auto"/>
                      <w:sz w:val="21"/>
                      <w:szCs w:val="21"/>
                      <w:highlight w:val="none"/>
                    </w:rPr>
                    <w:t>治理措施</w:t>
                  </w:r>
                </w:p>
              </w:tc>
              <w:tc>
                <w:tcPr>
                  <w:tcW w:w="1129" w:type="pct"/>
                  <w:noWrap w:val="0"/>
                  <w:vAlign w:val="center"/>
                </w:tcPr>
                <w:p w14:paraId="0451B6A1">
                  <w:pPr>
                    <w:spacing w:line="360" w:lineRule="exact"/>
                    <w:jc w:val="center"/>
                    <w:rPr>
                      <w:b/>
                      <w:bCs/>
                      <w:color w:val="auto"/>
                      <w:sz w:val="21"/>
                      <w:szCs w:val="21"/>
                      <w:highlight w:val="none"/>
                    </w:rPr>
                  </w:pPr>
                  <w:r>
                    <w:rPr>
                      <w:b/>
                      <w:bCs/>
                      <w:color w:val="auto"/>
                      <w:sz w:val="21"/>
                      <w:szCs w:val="21"/>
                      <w:highlight w:val="none"/>
                    </w:rPr>
                    <w:t>排放浓度</w:t>
                  </w:r>
                  <w:r>
                    <w:rPr>
                      <w:rFonts w:hint="eastAsia"/>
                      <w:b/>
                      <w:bCs/>
                      <w:color w:val="auto"/>
                      <w:sz w:val="21"/>
                      <w:szCs w:val="21"/>
                      <w:highlight w:val="none"/>
                      <w:lang w:eastAsia="zh-CN"/>
                    </w:rPr>
                    <w:t>、</w:t>
                  </w:r>
                  <w:r>
                    <w:rPr>
                      <w:b/>
                      <w:bCs/>
                      <w:color w:val="auto"/>
                      <w:sz w:val="21"/>
                      <w:szCs w:val="21"/>
                      <w:highlight w:val="none"/>
                    </w:rPr>
                    <w:t>排放量</w:t>
                  </w:r>
                </w:p>
              </w:tc>
              <w:tc>
                <w:tcPr>
                  <w:tcW w:w="669" w:type="pct"/>
                  <w:noWrap w:val="0"/>
                  <w:vAlign w:val="center"/>
                </w:tcPr>
                <w:p w14:paraId="4A3DF5F7">
                  <w:pPr>
                    <w:jc w:val="center"/>
                    <w:rPr>
                      <w:b/>
                      <w:bCs/>
                      <w:color w:val="auto"/>
                      <w:sz w:val="21"/>
                      <w:szCs w:val="21"/>
                      <w:highlight w:val="none"/>
                    </w:rPr>
                  </w:pPr>
                  <w:r>
                    <w:rPr>
                      <w:b/>
                      <w:bCs/>
                      <w:color w:val="auto"/>
                      <w:sz w:val="21"/>
                      <w:szCs w:val="21"/>
                      <w:highlight w:val="none"/>
                    </w:rPr>
                    <w:t>排放限值</w:t>
                  </w:r>
                </w:p>
                <w:p w14:paraId="2A4E9EC7">
                  <w:pPr>
                    <w:jc w:val="center"/>
                    <w:rPr>
                      <w:b/>
                      <w:bCs/>
                      <w:color w:val="auto"/>
                      <w:sz w:val="21"/>
                      <w:szCs w:val="21"/>
                      <w:highlight w:val="none"/>
                    </w:rPr>
                  </w:pPr>
                  <w:r>
                    <w:rPr>
                      <w:color w:val="auto"/>
                      <w:sz w:val="21"/>
                      <w:szCs w:val="21"/>
                      <w:highlight w:val="none"/>
                    </w:rPr>
                    <w:t>mg/</w:t>
                  </w:r>
                  <w:r>
                    <w:rPr>
                      <w:rFonts w:hint="eastAsia"/>
                      <w:color w:val="auto"/>
                      <w:sz w:val="21"/>
                      <w:szCs w:val="21"/>
                      <w:highlight w:val="none"/>
                      <w:lang w:eastAsia="zh-CN"/>
                    </w:rPr>
                    <w:t>m³</w:t>
                  </w:r>
                </w:p>
              </w:tc>
            </w:tr>
            <w:tr w14:paraId="656C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332" w:type="pct"/>
                  <w:vMerge w:val="restart"/>
                  <w:noWrap w:val="0"/>
                  <w:vAlign w:val="center"/>
                </w:tcPr>
                <w:p w14:paraId="611B4C12">
                  <w:pPr>
                    <w:jc w:val="center"/>
                    <w:rPr>
                      <w:rFonts w:hint="eastAsia" w:eastAsia="宋体"/>
                      <w:color w:val="auto"/>
                      <w:sz w:val="21"/>
                      <w:szCs w:val="21"/>
                      <w:highlight w:val="none"/>
                      <w:lang w:eastAsia="zh-CN"/>
                    </w:rPr>
                  </w:pPr>
                  <w:r>
                    <w:rPr>
                      <w:rFonts w:hint="eastAsia"/>
                      <w:color w:val="auto"/>
                      <w:sz w:val="21"/>
                      <w:szCs w:val="21"/>
                      <w:highlight w:val="none"/>
                      <w:lang w:eastAsia="zh-CN"/>
                    </w:rPr>
                    <w:t>有组织</w:t>
                  </w:r>
                </w:p>
              </w:tc>
              <w:tc>
                <w:tcPr>
                  <w:tcW w:w="544" w:type="pct"/>
                  <w:noWrap w:val="0"/>
                  <w:vAlign w:val="center"/>
                </w:tcPr>
                <w:p w14:paraId="01748E2B">
                  <w:pPr>
                    <w:pStyle w:val="2"/>
                    <w:spacing w:line="0" w:lineRule="atLeas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J1</w:t>
                  </w:r>
                </w:p>
              </w:tc>
              <w:tc>
                <w:tcPr>
                  <w:tcW w:w="706" w:type="pct"/>
                  <w:noWrap w:val="0"/>
                  <w:vAlign w:val="center"/>
                </w:tcPr>
                <w:p w14:paraId="172F6E49">
                  <w:pPr>
                    <w:pStyle w:val="2"/>
                    <w:spacing w:line="0" w:lineRule="atLeast"/>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颗粒物</w:t>
                  </w:r>
                </w:p>
              </w:tc>
              <w:tc>
                <w:tcPr>
                  <w:tcW w:w="1618" w:type="pct"/>
                  <w:noWrap w:val="0"/>
                  <w:vAlign w:val="center"/>
                </w:tcPr>
                <w:p w14:paraId="6FCD898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脉冲布袋</w:t>
                  </w:r>
                  <w:r>
                    <w:rPr>
                      <w:rFonts w:hint="eastAsia"/>
                      <w:color w:val="auto"/>
                      <w:sz w:val="21"/>
                      <w:szCs w:val="21"/>
                      <w:highlight w:val="none"/>
                    </w:rPr>
                    <w:t>除尘器</w:t>
                  </w:r>
                </w:p>
              </w:tc>
              <w:tc>
                <w:tcPr>
                  <w:tcW w:w="1129" w:type="pct"/>
                  <w:noWrap w:val="0"/>
                  <w:vAlign w:val="center"/>
                </w:tcPr>
                <w:p w14:paraId="1588F37C">
                  <w:pPr>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1.152</w:t>
                  </w:r>
                  <w:r>
                    <w:rPr>
                      <w:color w:val="auto"/>
                      <w:sz w:val="21"/>
                      <w:szCs w:val="21"/>
                      <w:highlight w:val="none"/>
                    </w:rPr>
                    <w:t>mg/</w:t>
                  </w:r>
                  <w:r>
                    <w:rPr>
                      <w:rFonts w:hint="eastAsia"/>
                      <w:color w:val="auto"/>
                      <w:sz w:val="21"/>
                      <w:szCs w:val="21"/>
                      <w:highlight w:val="none"/>
                      <w:lang w:eastAsia="zh-CN"/>
                    </w:rPr>
                    <w:t>m³</w:t>
                  </w:r>
                  <w:r>
                    <w:rPr>
                      <w:rFonts w:hint="eastAsia" w:hAnsi="宋体"/>
                      <w:color w:val="auto"/>
                      <w:sz w:val="21"/>
                      <w:szCs w:val="21"/>
                      <w:highlight w:val="none"/>
                      <w:lang w:eastAsia="zh-CN"/>
                    </w:rPr>
                    <w:t>、</w:t>
                  </w:r>
                  <w:r>
                    <w:rPr>
                      <w:rFonts w:hint="eastAsia"/>
                      <w:color w:val="auto"/>
                      <w:sz w:val="21"/>
                      <w:szCs w:val="21"/>
                      <w:highlight w:val="none"/>
                      <w:lang w:val="en-US" w:eastAsia="zh-CN"/>
                    </w:rPr>
                    <w:t>0.1446</w:t>
                  </w:r>
                  <w:r>
                    <w:rPr>
                      <w:rFonts w:hint="eastAsia"/>
                      <w:color w:val="auto"/>
                      <w:sz w:val="21"/>
                      <w:szCs w:val="21"/>
                      <w:highlight w:val="none"/>
                    </w:rPr>
                    <w:t>t/a</w:t>
                  </w:r>
                </w:p>
              </w:tc>
              <w:tc>
                <w:tcPr>
                  <w:tcW w:w="669" w:type="pct"/>
                  <w:noWrap w:val="0"/>
                  <w:vAlign w:val="center"/>
                </w:tcPr>
                <w:p w14:paraId="263D292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r>
                    <w:rPr>
                      <w:color w:val="auto"/>
                      <w:sz w:val="21"/>
                      <w:szCs w:val="21"/>
                      <w:highlight w:val="none"/>
                    </w:rPr>
                    <w:t>0</w:t>
                  </w:r>
                </w:p>
              </w:tc>
            </w:tr>
            <w:tr w14:paraId="032E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332" w:type="pct"/>
                  <w:vMerge w:val="continue"/>
                  <w:noWrap w:val="0"/>
                  <w:vAlign w:val="center"/>
                </w:tcPr>
                <w:p w14:paraId="40B20962">
                  <w:pPr>
                    <w:jc w:val="center"/>
                    <w:rPr>
                      <w:color w:val="auto"/>
                      <w:sz w:val="21"/>
                      <w:szCs w:val="21"/>
                      <w:highlight w:val="none"/>
                    </w:rPr>
                  </w:pPr>
                </w:p>
              </w:tc>
              <w:tc>
                <w:tcPr>
                  <w:tcW w:w="544" w:type="pct"/>
                  <w:vMerge w:val="restart"/>
                  <w:noWrap w:val="0"/>
                  <w:vAlign w:val="center"/>
                </w:tcPr>
                <w:p w14:paraId="1BB9EFF6">
                  <w:pPr>
                    <w:pStyle w:val="2"/>
                    <w:spacing w:line="0" w:lineRule="atLeast"/>
                    <w:ind w:firstLine="0" w:firstLineChars="0"/>
                    <w:jc w:val="center"/>
                    <w:rPr>
                      <w:rFonts w:hint="default"/>
                      <w:color w:val="auto"/>
                      <w:highlight w:val="none"/>
                      <w:lang w:val="en-US" w:eastAsia="zh-CN"/>
                    </w:rPr>
                  </w:pPr>
                  <w:r>
                    <w:rPr>
                      <w:rFonts w:hint="eastAsia"/>
                      <w:color w:val="auto"/>
                      <w:sz w:val="21"/>
                      <w:szCs w:val="21"/>
                      <w:highlight w:val="none"/>
                      <w:lang w:val="en-US" w:eastAsia="zh-CN"/>
                    </w:rPr>
                    <w:t>J2</w:t>
                  </w:r>
                </w:p>
              </w:tc>
              <w:tc>
                <w:tcPr>
                  <w:tcW w:w="706" w:type="pct"/>
                  <w:noWrap w:val="0"/>
                  <w:vAlign w:val="center"/>
                </w:tcPr>
                <w:p w14:paraId="022F9AF8">
                  <w:pPr>
                    <w:spacing w:line="360" w:lineRule="exact"/>
                    <w:jc w:val="center"/>
                    <w:rPr>
                      <w:color w:val="auto"/>
                      <w:sz w:val="21"/>
                      <w:szCs w:val="21"/>
                      <w:highlight w:val="none"/>
                    </w:rPr>
                  </w:pPr>
                  <w:r>
                    <w:rPr>
                      <w:rFonts w:hint="eastAsia"/>
                      <w:bCs/>
                      <w:color w:val="auto"/>
                      <w:sz w:val="21"/>
                      <w:szCs w:val="21"/>
                      <w:highlight w:val="none"/>
                      <w:lang w:val="en-US" w:eastAsia="zh-CN"/>
                    </w:rPr>
                    <w:t>颗粒物</w:t>
                  </w:r>
                </w:p>
              </w:tc>
              <w:tc>
                <w:tcPr>
                  <w:tcW w:w="1618" w:type="pct"/>
                  <w:vMerge w:val="restart"/>
                  <w:noWrap w:val="0"/>
                  <w:vAlign w:val="center"/>
                </w:tcPr>
                <w:p w14:paraId="382C1A7E">
                  <w:pPr>
                    <w:jc w:val="center"/>
                    <w:rPr>
                      <w:rFonts w:hint="eastAsia"/>
                      <w:color w:val="auto"/>
                      <w:sz w:val="21"/>
                      <w:szCs w:val="21"/>
                      <w:highlight w:val="none"/>
                    </w:rPr>
                  </w:pPr>
                  <w:r>
                    <w:rPr>
                      <w:rFonts w:hint="eastAsia"/>
                      <w:color w:val="auto"/>
                      <w:sz w:val="21"/>
                      <w:szCs w:val="21"/>
                      <w:highlight w:val="none"/>
                      <w:lang w:eastAsia="zh-CN"/>
                    </w:rPr>
                    <w:t>脉冲布袋</w:t>
                  </w:r>
                  <w:r>
                    <w:rPr>
                      <w:rFonts w:hint="eastAsia"/>
                      <w:color w:val="auto"/>
                      <w:sz w:val="21"/>
                      <w:szCs w:val="21"/>
                      <w:highlight w:val="none"/>
                    </w:rPr>
                    <w:t>除尘器</w:t>
                  </w:r>
                  <w:r>
                    <w:rPr>
                      <w:rFonts w:hint="eastAsia"/>
                      <w:color w:val="auto"/>
                      <w:sz w:val="21"/>
                      <w:szCs w:val="21"/>
                      <w:highlight w:val="none"/>
                      <w:lang w:val="en-US" w:eastAsia="zh-CN"/>
                    </w:rPr>
                    <w:t>+光氧机装置</w:t>
                  </w:r>
                </w:p>
              </w:tc>
              <w:tc>
                <w:tcPr>
                  <w:tcW w:w="1129" w:type="pct"/>
                  <w:noWrap w:val="0"/>
                  <w:vAlign w:val="center"/>
                </w:tcPr>
                <w:p w14:paraId="49529E48">
                  <w:pPr>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1.77</w:t>
                  </w:r>
                  <w:r>
                    <w:rPr>
                      <w:rFonts w:hint="eastAsia"/>
                      <w:color w:val="auto"/>
                      <w:sz w:val="21"/>
                      <w:szCs w:val="21"/>
                      <w:highlight w:val="none"/>
                    </w:rPr>
                    <w:t>mg/</w:t>
                  </w:r>
                  <w:r>
                    <w:rPr>
                      <w:rFonts w:hint="eastAsia"/>
                      <w:color w:val="auto"/>
                      <w:sz w:val="21"/>
                      <w:szCs w:val="21"/>
                      <w:highlight w:val="none"/>
                      <w:lang w:eastAsia="zh-CN"/>
                    </w:rPr>
                    <w:t>m³</w:t>
                  </w:r>
                  <w:r>
                    <w:rPr>
                      <w:rFonts w:hint="eastAsia" w:hAnsi="宋体"/>
                      <w:color w:val="auto"/>
                      <w:sz w:val="21"/>
                      <w:szCs w:val="21"/>
                      <w:highlight w:val="none"/>
                      <w:lang w:eastAsia="zh-CN"/>
                    </w:rPr>
                    <w:t>、</w:t>
                  </w:r>
                  <w:r>
                    <w:rPr>
                      <w:rFonts w:hint="eastAsia"/>
                      <w:color w:val="auto"/>
                      <w:sz w:val="21"/>
                      <w:szCs w:val="21"/>
                      <w:highlight w:val="none"/>
                      <w:lang w:val="en-US" w:eastAsia="zh-CN"/>
                    </w:rPr>
                    <w:t>0.32</w:t>
                  </w:r>
                  <w:r>
                    <w:rPr>
                      <w:rFonts w:hint="eastAsia"/>
                      <w:color w:val="auto"/>
                      <w:sz w:val="21"/>
                      <w:szCs w:val="21"/>
                      <w:highlight w:val="none"/>
                    </w:rPr>
                    <w:t>t/a</w:t>
                  </w:r>
                </w:p>
              </w:tc>
              <w:tc>
                <w:tcPr>
                  <w:tcW w:w="669" w:type="pct"/>
                  <w:noWrap w:val="0"/>
                  <w:vAlign w:val="center"/>
                </w:tcPr>
                <w:p w14:paraId="5F14E248">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r>
            <w:tr w14:paraId="7669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332" w:type="pct"/>
                  <w:vMerge w:val="continue"/>
                  <w:noWrap w:val="0"/>
                  <w:vAlign w:val="center"/>
                </w:tcPr>
                <w:p w14:paraId="4B395987">
                  <w:pPr>
                    <w:jc w:val="center"/>
                    <w:rPr>
                      <w:color w:val="auto"/>
                      <w:sz w:val="21"/>
                      <w:szCs w:val="21"/>
                      <w:highlight w:val="none"/>
                    </w:rPr>
                  </w:pPr>
                </w:p>
              </w:tc>
              <w:tc>
                <w:tcPr>
                  <w:tcW w:w="544" w:type="pct"/>
                  <w:vMerge w:val="continue"/>
                  <w:noWrap w:val="0"/>
                  <w:vAlign w:val="center"/>
                </w:tcPr>
                <w:p w14:paraId="2BA04EDB">
                  <w:pPr>
                    <w:pStyle w:val="2"/>
                    <w:spacing w:line="0" w:lineRule="atLeast"/>
                    <w:ind w:firstLine="0" w:firstLineChars="0"/>
                    <w:jc w:val="center"/>
                    <w:rPr>
                      <w:rFonts w:hint="eastAsia"/>
                      <w:color w:val="auto"/>
                      <w:sz w:val="21"/>
                      <w:szCs w:val="21"/>
                      <w:highlight w:val="none"/>
                      <w:lang w:val="en-US" w:eastAsia="zh-CN"/>
                    </w:rPr>
                  </w:pPr>
                </w:p>
              </w:tc>
              <w:tc>
                <w:tcPr>
                  <w:tcW w:w="706" w:type="pct"/>
                  <w:noWrap w:val="0"/>
                  <w:vAlign w:val="center"/>
                </w:tcPr>
                <w:p w14:paraId="6919A556">
                  <w:pPr>
                    <w:spacing w:line="360" w:lineRule="exact"/>
                    <w:jc w:val="center"/>
                    <w:rPr>
                      <w:rFonts w:hint="eastAsia"/>
                      <w:bCs/>
                      <w:color w:val="auto"/>
                      <w:sz w:val="21"/>
                      <w:szCs w:val="21"/>
                      <w:highlight w:val="none"/>
                      <w:lang w:val="en-US" w:eastAsia="zh-CN"/>
                    </w:rPr>
                  </w:pPr>
                  <w:r>
                    <w:rPr>
                      <w:rFonts w:hint="eastAsia"/>
                      <w:bCs/>
                      <w:color w:val="auto"/>
                      <w:sz w:val="21"/>
                      <w:szCs w:val="21"/>
                      <w:highlight w:val="none"/>
                      <w:lang w:val="en-US" w:eastAsia="zh-CN"/>
                    </w:rPr>
                    <w:t>非甲烷总烃</w:t>
                  </w:r>
                </w:p>
              </w:tc>
              <w:tc>
                <w:tcPr>
                  <w:tcW w:w="1618" w:type="pct"/>
                  <w:vMerge w:val="continue"/>
                  <w:noWrap w:val="0"/>
                  <w:vAlign w:val="center"/>
                </w:tcPr>
                <w:p w14:paraId="479EB555">
                  <w:pPr>
                    <w:jc w:val="center"/>
                    <w:rPr>
                      <w:rFonts w:hint="eastAsia"/>
                      <w:color w:val="auto"/>
                      <w:sz w:val="21"/>
                      <w:szCs w:val="21"/>
                      <w:highlight w:val="none"/>
                      <w:lang w:eastAsia="zh-CN"/>
                    </w:rPr>
                  </w:pPr>
                </w:p>
              </w:tc>
              <w:tc>
                <w:tcPr>
                  <w:tcW w:w="1129" w:type="pct"/>
                  <w:shd w:val="clear" w:color="auto" w:fill="auto"/>
                  <w:noWrap w:val="0"/>
                  <w:vAlign w:val="center"/>
                </w:tcPr>
                <w:p w14:paraId="04C28768">
                  <w:pPr>
                    <w:spacing w:line="360" w:lineRule="exact"/>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0.421</w:t>
                  </w:r>
                  <w:r>
                    <w:rPr>
                      <w:color w:val="auto"/>
                      <w:sz w:val="21"/>
                      <w:szCs w:val="21"/>
                      <w:highlight w:val="none"/>
                    </w:rPr>
                    <w:t>mg/</w:t>
                  </w:r>
                  <w:r>
                    <w:rPr>
                      <w:rFonts w:hint="eastAsia"/>
                      <w:color w:val="auto"/>
                      <w:sz w:val="21"/>
                      <w:szCs w:val="21"/>
                      <w:highlight w:val="none"/>
                      <w:lang w:eastAsia="zh-CN"/>
                    </w:rPr>
                    <w:t>m³</w:t>
                  </w:r>
                  <w:r>
                    <w:rPr>
                      <w:rFonts w:hint="eastAsia" w:hAnsi="宋体"/>
                      <w:color w:val="auto"/>
                      <w:sz w:val="21"/>
                      <w:szCs w:val="21"/>
                      <w:highlight w:val="none"/>
                      <w:lang w:eastAsia="zh-CN"/>
                    </w:rPr>
                    <w:t>、</w:t>
                  </w:r>
                  <w:r>
                    <w:rPr>
                      <w:rFonts w:hint="eastAsia"/>
                      <w:color w:val="auto"/>
                      <w:sz w:val="21"/>
                      <w:szCs w:val="21"/>
                      <w:highlight w:val="none"/>
                      <w:lang w:val="en-US" w:eastAsia="zh-CN"/>
                    </w:rPr>
                    <w:t>0.0055</w:t>
                  </w:r>
                  <w:r>
                    <w:rPr>
                      <w:rFonts w:hint="eastAsia"/>
                      <w:color w:val="auto"/>
                      <w:sz w:val="21"/>
                      <w:szCs w:val="21"/>
                      <w:highlight w:val="none"/>
                    </w:rPr>
                    <w:t>t/a</w:t>
                  </w:r>
                </w:p>
              </w:tc>
              <w:tc>
                <w:tcPr>
                  <w:tcW w:w="669" w:type="pct"/>
                  <w:shd w:val="clear" w:color="auto" w:fill="auto"/>
                  <w:noWrap w:val="0"/>
                  <w:vAlign w:val="center"/>
                </w:tcPr>
                <w:p w14:paraId="5D6D0FB1">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80</w:t>
                  </w:r>
                </w:p>
              </w:tc>
            </w:tr>
            <w:tr w14:paraId="562B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332" w:type="pct"/>
                  <w:vMerge w:val="continue"/>
                  <w:noWrap w:val="0"/>
                  <w:vAlign w:val="center"/>
                </w:tcPr>
                <w:p w14:paraId="6193C011">
                  <w:pPr>
                    <w:jc w:val="center"/>
                    <w:rPr>
                      <w:color w:val="auto"/>
                      <w:sz w:val="21"/>
                      <w:szCs w:val="21"/>
                      <w:highlight w:val="none"/>
                    </w:rPr>
                  </w:pPr>
                </w:p>
              </w:tc>
              <w:tc>
                <w:tcPr>
                  <w:tcW w:w="544" w:type="pct"/>
                  <w:noWrap w:val="0"/>
                  <w:vAlign w:val="center"/>
                </w:tcPr>
                <w:p w14:paraId="1C137BA4">
                  <w:pPr>
                    <w:pStyle w:val="2"/>
                    <w:spacing w:line="0" w:lineRule="atLeast"/>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P8</w:t>
                  </w:r>
                </w:p>
              </w:tc>
              <w:tc>
                <w:tcPr>
                  <w:tcW w:w="706" w:type="pct"/>
                  <w:noWrap w:val="0"/>
                  <w:vAlign w:val="center"/>
                </w:tcPr>
                <w:p w14:paraId="3EF5DAEE">
                  <w:pPr>
                    <w:pStyle w:val="2"/>
                    <w:spacing w:line="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颗粒物</w:t>
                  </w:r>
                </w:p>
              </w:tc>
              <w:tc>
                <w:tcPr>
                  <w:tcW w:w="1618" w:type="pct"/>
                  <w:noWrap w:val="0"/>
                  <w:vAlign w:val="center"/>
                </w:tcPr>
                <w:p w14:paraId="6C5788CF">
                  <w:pPr>
                    <w:jc w:val="center"/>
                    <w:rPr>
                      <w:color w:val="auto"/>
                      <w:sz w:val="21"/>
                      <w:szCs w:val="21"/>
                      <w:highlight w:val="none"/>
                    </w:rPr>
                  </w:pPr>
                  <w:r>
                    <w:rPr>
                      <w:rFonts w:hint="eastAsia"/>
                      <w:color w:val="auto"/>
                      <w:sz w:val="21"/>
                      <w:szCs w:val="21"/>
                      <w:highlight w:val="none"/>
                    </w:rPr>
                    <w:t>布袋除尘器</w:t>
                  </w:r>
                </w:p>
              </w:tc>
              <w:tc>
                <w:tcPr>
                  <w:tcW w:w="1129" w:type="pct"/>
                  <w:noWrap w:val="0"/>
                  <w:vAlign w:val="center"/>
                </w:tcPr>
                <w:p w14:paraId="5021223D">
                  <w:pPr>
                    <w:spacing w:line="360" w:lineRule="exact"/>
                    <w:jc w:val="center"/>
                    <w:rPr>
                      <w:color w:val="auto"/>
                      <w:sz w:val="21"/>
                      <w:szCs w:val="21"/>
                      <w:highlight w:val="none"/>
                    </w:rPr>
                  </w:pPr>
                  <w:r>
                    <w:rPr>
                      <w:rFonts w:hint="eastAsia"/>
                      <w:color w:val="auto"/>
                      <w:sz w:val="21"/>
                      <w:szCs w:val="21"/>
                      <w:highlight w:val="none"/>
                      <w:lang w:val="en-US" w:eastAsia="zh-CN"/>
                    </w:rPr>
                    <w:t>1.52</w:t>
                  </w:r>
                  <w:r>
                    <w:rPr>
                      <w:color w:val="auto"/>
                      <w:sz w:val="21"/>
                      <w:szCs w:val="21"/>
                      <w:highlight w:val="none"/>
                    </w:rPr>
                    <w:t>mg/</w:t>
                  </w:r>
                  <w:r>
                    <w:rPr>
                      <w:rFonts w:hint="eastAsia"/>
                      <w:color w:val="auto"/>
                      <w:sz w:val="21"/>
                      <w:szCs w:val="21"/>
                      <w:highlight w:val="none"/>
                      <w:lang w:eastAsia="zh-CN"/>
                    </w:rPr>
                    <w:t>m³</w:t>
                  </w:r>
                  <w:r>
                    <w:rPr>
                      <w:rFonts w:hint="eastAsia" w:hAnsi="宋体"/>
                      <w:color w:val="auto"/>
                      <w:sz w:val="21"/>
                      <w:szCs w:val="21"/>
                      <w:highlight w:val="none"/>
                      <w:lang w:eastAsia="zh-CN"/>
                    </w:rPr>
                    <w:t>、</w:t>
                  </w:r>
                  <w:r>
                    <w:rPr>
                      <w:rFonts w:hint="eastAsia"/>
                      <w:color w:val="auto"/>
                      <w:sz w:val="21"/>
                      <w:szCs w:val="21"/>
                      <w:highlight w:val="none"/>
                      <w:lang w:val="en-US" w:eastAsia="zh-CN"/>
                    </w:rPr>
                    <w:t>0.044</w:t>
                  </w:r>
                  <w:r>
                    <w:rPr>
                      <w:rFonts w:hint="eastAsia"/>
                      <w:color w:val="auto"/>
                      <w:sz w:val="21"/>
                      <w:szCs w:val="21"/>
                      <w:highlight w:val="none"/>
                    </w:rPr>
                    <w:t>t</w:t>
                  </w:r>
                  <w:r>
                    <w:rPr>
                      <w:color w:val="auto"/>
                      <w:sz w:val="21"/>
                      <w:szCs w:val="21"/>
                      <w:highlight w:val="none"/>
                    </w:rPr>
                    <w:t>/a</w:t>
                  </w:r>
                </w:p>
              </w:tc>
              <w:tc>
                <w:tcPr>
                  <w:tcW w:w="669" w:type="pct"/>
                  <w:noWrap w:val="0"/>
                  <w:vAlign w:val="center"/>
                </w:tcPr>
                <w:p w14:paraId="248494E8">
                  <w:pPr>
                    <w:jc w:val="center"/>
                    <w:rPr>
                      <w:color w:val="auto"/>
                      <w:sz w:val="21"/>
                      <w:szCs w:val="21"/>
                      <w:highlight w:val="none"/>
                    </w:rPr>
                  </w:pPr>
                  <w:r>
                    <w:rPr>
                      <w:rFonts w:hint="eastAsia"/>
                      <w:color w:val="auto"/>
                      <w:sz w:val="21"/>
                      <w:szCs w:val="21"/>
                      <w:highlight w:val="none"/>
                      <w:lang w:val="en-US" w:eastAsia="zh-CN"/>
                    </w:rPr>
                    <w:t>2</w:t>
                  </w:r>
                </w:p>
              </w:tc>
            </w:tr>
          </w:tbl>
          <w:p w14:paraId="0A679717">
            <w:pPr>
              <w:keepNext w:val="0"/>
              <w:keepLines w:val="0"/>
              <w:pageBreakBefore w:val="0"/>
              <w:widowControl w:val="0"/>
              <w:kinsoku/>
              <w:wordWrap/>
              <w:overflowPunct/>
              <w:topLinePunct w:val="0"/>
              <w:autoSpaceDE/>
              <w:autoSpaceDN/>
              <w:bidi w:val="0"/>
              <w:snapToGrid/>
              <w:spacing w:line="480" w:lineRule="exact"/>
              <w:ind w:firstLine="480" w:firstLineChars="200"/>
              <w:rPr>
                <w:rFonts w:hint="eastAsia"/>
                <w:b w:val="0"/>
                <w:bCs w:val="0"/>
                <w:color w:val="auto"/>
                <w:highlight w:val="none"/>
                <w:lang w:val="en-US" w:eastAsia="zh-CN"/>
              </w:rPr>
            </w:pPr>
            <w:r>
              <w:rPr>
                <w:rFonts w:hint="default" w:ascii="Times New Roman" w:hAnsi="Times New Roman" w:cs="Times New Roman"/>
                <w:b w:val="0"/>
                <w:bCs w:val="0"/>
                <w:color w:val="auto"/>
                <w:sz w:val="24"/>
                <w:szCs w:val="24"/>
                <w:highlight w:val="none"/>
              </w:rPr>
              <w:t>综上分析，本项目营运期产生的废气经以上治理措施处理以后，均能够实现达标排放。因此，项目实施后对周围环境空气影响较小。</w:t>
            </w:r>
          </w:p>
          <w:p w14:paraId="166C40A2">
            <w:pPr>
              <w:pStyle w:val="38"/>
              <w:keepNext w:val="0"/>
              <w:keepLines w:val="0"/>
              <w:pageBreakBefore w:val="0"/>
              <w:widowControl w:val="0"/>
              <w:kinsoku/>
              <w:wordWrap/>
              <w:overflowPunct/>
              <w:topLinePunct w:val="0"/>
              <w:autoSpaceDE/>
              <w:autoSpaceDN/>
              <w:bidi w:val="0"/>
              <w:adjustRightInd w:val="0"/>
              <w:snapToGrid/>
              <w:spacing w:line="480" w:lineRule="exact"/>
              <w:ind w:firstLine="480" w:firstLineChars="200"/>
              <w:textAlignment w:val="baseline"/>
              <w:rPr>
                <w:b w:val="0"/>
                <w:bCs w:val="0"/>
                <w:color w:val="auto"/>
                <w:sz w:val="24"/>
                <w:szCs w:val="24"/>
                <w:highlight w:val="none"/>
              </w:rPr>
            </w:pPr>
            <w:r>
              <w:rPr>
                <w:rFonts w:hint="eastAsia"/>
                <w:b w:val="0"/>
                <w:bCs w:val="0"/>
                <w:color w:val="auto"/>
                <w:sz w:val="24"/>
                <w:szCs w:val="24"/>
                <w:highlight w:val="none"/>
                <w:lang w:val="en-US" w:eastAsia="zh-CN"/>
              </w:rPr>
              <w:t>2.</w:t>
            </w:r>
            <w:r>
              <w:rPr>
                <w:rFonts w:hint="eastAsia"/>
                <w:b w:val="0"/>
                <w:bCs w:val="0"/>
                <w:color w:val="auto"/>
                <w:sz w:val="24"/>
                <w:szCs w:val="24"/>
                <w:highlight w:val="none"/>
              </w:rPr>
              <w:t>废水</w:t>
            </w:r>
          </w:p>
          <w:p w14:paraId="750744FE">
            <w:pPr>
              <w:pStyle w:val="38"/>
              <w:keepNext w:val="0"/>
              <w:keepLines w:val="0"/>
              <w:pageBreakBefore w:val="0"/>
              <w:widowControl w:val="0"/>
              <w:kinsoku/>
              <w:wordWrap/>
              <w:overflowPunct/>
              <w:topLinePunct w:val="0"/>
              <w:autoSpaceDE/>
              <w:autoSpaceDN/>
              <w:bidi w:val="0"/>
              <w:snapToGrid/>
              <w:spacing w:line="480" w:lineRule="exact"/>
              <w:ind w:firstLine="480" w:firstLineChars="200"/>
              <w:rPr>
                <w:b w:val="0"/>
                <w:bCs w:val="0"/>
                <w:color w:val="auto"/>
                <w:sz w:val="24"/>
                <w:szCs w:val="24"/>
                <w:highlight w:val="none"/>
              </w:rPr>
            </w:pPr>
            <w:r>
              <w:rPr>
                <w:b w:val="0"/>
                <w:bCs w:val="0"/>
                <w:color w:val="auto"/>
                <w:sz w:val="24"/>
                <w:szCs w:val="24"/>
                <w:highlight w:val="none"/>
              </w:rPr>
              <w:t>（1）</w:t>
            </w:r>
            <w:r>
              <w:rPr>
                <w:rFonts w:hint="eastAsia"/>
                <w:b w:val="0"/>
                <w:bCs w:val="0"/>
                <w:color w:val="auto"/>
                <w:sz w:val="24"/>
                <w:szCs w:val="24"/>
                <w:highlight w:val="none"/>
                <w:lang w:eastAsia="zh-CN"/>
              </w:rPr>
              <w:t>生产</w:t>
            </w:r>
            <w:r>
              <w:rPr>
                <w:b w:val="0"/>
                <w:bCs w:val="0"/>
                <w:color w:val="auto"/>
                <w:sz w:val="24"/>
                <w:szCs w:val="24"/>
                <w:highlight w:val="none"/>
              </w:rPr>
              <w:t>废水</w:t>
            </w:r>
          </w:p>
          <w:p w14:paraId="778303B6">
            <w:pPr>
              <w:spacing w:line="480" w:lineRule="exact"/>
              <w:ind w:firstLine="480" w:firstLineChars="200"/>
              <w:rPr>
                <w:rFonts w:hint="default"/>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项目生产用水主要为</w:t>
            </w:r>
            <w:r>
              <w:rPr>
                <w:rFonts w:hint="default" w:ascii="Times New Roman" w:hAnsi="Times New Roman" w:eastAsia="宋体" w:cs="Times New Roman"/>
                <w:color w:val="auto"/>
                <w:sz w:val="24"/>
                <w:szCs w:val="24"/>
                <w:highlight w:val="none"/>
                <w:lang w:val="en-US" w:eastAsia="zh-CN"/>
              </w:rPr>
              <w:t>电炉</w:t>
            </w:r>
            <w:r>
              <w:rPr>
                <w:rFonts w:hint="default" w:ascii="Times New Roman" w:hAnsi="Times New Roman" w:eastAsia="宋体" w:cs="Times New Roman"/>
                <w:color w:val="auto"/>
                <w:sz w:val="24"/>
                <w:szCs w:val="24"/>
                <w:highlight w:val="none"/>
              </w:rPr>
              <w:t>设备间接冷却水总用水量为</w:t>
            </w:r>
            <w:r>
              <w:rPr>
                <w:rFonts w:hint="default" w:ascii="Times New Roman" w:hAnsi="Times New Roman" w:eastAsia="宋体" w:cs="Times New Roman"/>
                <w:color w:val="auto"/>
                <w:sz w:val="24"/>
                <w:szCs w:val="24"/>
                <w:highlight w:val="none"/>
                <w:lang w:val="en-US" w:eastAsia="zh-CN"/>
              </w:rPr>
              <w:t>700.70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/h，其中循环用水量为</w:t>
            </w:r>
            <w:r>
              <w:rPr>
                <w:rFonts w:hint="default" w:ascii="Times New Roman" w:hAnsi="Times New Roman" w:eastAsia="宋体" w:cs="Times New Roman"/>
                <w:color w:val="auto"/>
                <w:sz w:val="24"/>
                <w:szCs w:val="24"/>
                <w:highlight w:val="none"/>
                <w:lang w:val="en-US" w:eastAsia="zh-CN"/>
              </w:rPr>
              <w:t>700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eastAsia="zh-CN"/>
              </w:rPr>
              <w:t>则</w:t>
            </w:r>
            <w:r>
              <w:rPr>
                <w:rFonts w:hint="default" w:ascii="Times New Roman" w:hAnsi="Times New Roman" w:eastAsia="宋体" w:cs="Times New Roman"/>
                <w:color w:val="auto"/>
                <w:sz w:val="24"/>
                <w:szCs w:val="24"/>
                <w:highlight w:val="none"/>
              </w:rPr>
              <w:t>新水用量为</w:t>
            </w:r>
            <w:r>
              <w:rPr>
                <w:rFonts w:hint="default" w:ascii="Times New Roman" w:hAnsi="Times New Roman" w:eastAsia="宋体" w:cs="Times New Roman"/>
                <w:color w:val="auto"/>
                <w:sz w:val="24"/>
                <w:szCs w:val="24"/>
                <w:highlight w:val="none"/>
                <w:lang w:val="en-US" w:eastAsia="zh-CN"/>
              </w:rPr>
              <w:t>5040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16.80</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；淬火池日需淬火铸件为6.7t，每吨淬火铸件淬火蒸发量为0.14</w:t>
            </w:r>
            <w:r>
              <w:rPr>
                <w:rFonts w:hint="eastAsia" w:eastAsia="宋体"/>
                <w:color w:val="auto"/>
                <w:sz w:val="24"/>
                <w:szCs w:val="24"/>
                <w:highlight w:val="none"/>
                <w:lang w:eastAsia="zh-CN"/>
              </w:rPr>
              <w:t>m³</w:t>
            </w:r>
            <w:r>
              <w:rPr>
                <w:rFonts w:hint="eastAsia"/>
                <w:color w:val="auto"/>
                <w:sz w:val="24"/>
                <w:szCs w:val="24"/>
                <w:highlight w:val="none"/>
                <w:lang w:eastAsia="zh-CN"/>
              </w:rPr>
              <w:t>，淬火蒸发用水为</w:t>
            </w:r>
            <w:r>
              <w:rPr>
                <w:rFonts w:hint="eastAsia"/>
                <w:color w:val="auto"/>
                <w:sz w:val="24"/>
                <w:szCs w:val="24"/>
                <w:highlight w:val="none"/>
                <w:lang w:val="en-US" w:eastAsia="zh-CN"/>
              </w:rPr>
              <w:t>281.4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olor w:val="auto"/>
                <w:sz w:val="24"/>
                <w:szCs w:val="24"/>
                <w:highlight w:val="none"/>
                <w:lang w:val="en-US" w:eastAsia="zh-CN"/>
              </w:rPr>
              <w:t>（0.983</w:t>
            </w:r>
            <w:r>
              <w:rPr>
                <w:rFonts w:hint="eastAsia" w:eastAsia="宋体"/>
                <w:color w:val="auto"/>
                <w:sz w:val="24"/>
                <w:szCs w:val="24"/>
                <w:highlight w:val="none"/>
                <w:lang w:eastAsia="zh-CN"/>
              </w:rPr>
              <w:t>m³</w:t>
            </w:r>
            <w:r>
              <w:rPr>
                <w:rFonts w:hint="eastAsia"/>
                <w:color w:val="auto"/>
                <w:sz w:val="24"/>
                <w:szCs w:val="24"/>
                <w:highlight w:val="none"/>
                <w:lang w:val="en-US" w:eastAsia="zh-CN"/>
              </w:rPr>
              <w:t>/d）</w:t>
            </w:r>
            <w:r>
              <w:rPr>
                <w:rFonts w:hint="eastAsia"/>
                <w:color w:val="auto"/>
                <w:sz w:val="24"/>
                <w:szCs w:val="24"/>
                <w:highlight w:val="none"/>
                <w:lang w:eastAsia="zh-CN"/>
              </w:rPr>
              <w:t>。则本项目总用水量为</w:t>
            </w:r>
            <w:r>
              <w:rPr>
                <w:rFonts w:hint="eastAsia"/>
                <w:color w:val="auto"/>
                <w:sz w:val="24"/>
                <w:szCs w:val="24"/>
                <w:highlight w:val="none"/>
                <w:lang w:val="en-US" w:eastAsia="zh-CN"/>
              </w:rPr>
              <w:t>5321.4</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（17.783</w:t>
            </w:r>
            <w:r>
              <w:rPr>
                <w:rFonts w:hint="default" w:ascii="Times New Roman" w:hAnsi="Times New Roman" w:eastAsia="宋体" w:cs="Times New Roman"/>
                <w:color w:val="auto"/>
                <w:sz w:val="24"/>
                <w:szCs w:val="24"/>
                <w:highlight w:val="none"/>
                <w:lang w:eastAsia="zh-CN"/>
              </w:rPr>
              <w:t>m³</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w:t>
            </w:r>
          </w:p>
          <w:p w14:paraId="762E0278">
            <w:pPr>
              <w:pStyle w:val="38"/>
              <w:keepNext w:val="0"/>
              <w:keepLines w:val="0"/>
              <w:pageBreakBefore w:val="0"/>
              <w:widowControl w:val="0"/>
              <w:kinsoku/>
              <w:wordWrap/>
              <w:overflowPunct/>
              <w:topLinePunct w:val="0"/>
              <w:autoSpaceDE/>
              <w:autoSpaceDN/>
              <w:bidi w:val="0"/>
              <w:snapToGrid/>
              <w:spacing w:line="480" w:lineRule="exact"/>
              <w:ind w:firstLine="480" w:firstLineChars="200"/>
              <w:rPr>
                <w:b w:val="0"/>
                <w:bCs w:val="0"/>
                <w:color w:val="auto"/>
                <w:sz w:val="24"/>
                <w:szCs w:val="24"/>
                <w:highlight w:val="none"/>
              </w:rPr>
            </w:pPr>
            <w:r>
              <w:rPr>
                <w:b w:val="0"/>
                <w:bCs w:val="0"/>
                <w:color w:val="auto"/>
                <w:sz w:val="24"/>
                <w:szCs w:val="24"/>
                <w:highlight w:val="none"/>
              </w:rPr>
              <w:t>（2）生活污水</w:t>
            </w:r>
          </w:p>
          <w:p w14:paraId="69982816">
            <w:pPr>
              <w:pStyle w:val="38"/>
              <w:keepNext w:val="0"/>
              <w:keepLines w:val="0"/>
              <w:pageBreakBefore w:val="0"/>
              <w:widowControl w:val="0"/>
              <w:kinsoku/>
              <w:wordWrap/>
              <w:overflowPunct/>
              <w:topLinePunct w:val="0"/>
              <w:autoSpaceDE/>
              <w:autoSpaceDN/>
              <w:bidi w:val="0"/>
              <w:snapToGrid/>
              <w:spacing w:line="480" w:lineRule="exact"/>
              <w:ind w:firstLine="480" w:firstLineChars="200"/>
              <w:rPr>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rPr>
              <w:t>生活污水为职工盥洗废水及食堂污水。食堂污水与职工生活污水一起排入厂区化粪池，</w:t>
            </w:r>
            <w:r>
              <w:rPr>
                <w:rFonts w:hint="eastAsia" w:ascii="Times New Roman" w:hAnsi="Times New Roman" w:eastAsia="宋体" w:cs="Times New Roman"/>
                <w:color w:val="auto"/>
                <w:sz w:val="24"/>
                <w:szCs w:val="24"/>
                <w:highlight w:val="none"/>
                <w:lang w:eastAsia="zh-CN"/>
              </w:rPr>
              <w:t>经</w:t>
            </w:r>
            <w:r>
              <w:rPr>
                <w:rFonts w:hint="eastAsia" w:ascii="Times New Roman" w:hAnsi="Times New Roman" w:eastAsia="宋体" w:cs="Times New Roman"/>
                <w:color w:val="auto"/>
                <w:sz w:val="24"/>
                <w:szCs w:val="24"/>
                <w:highlight w:val="none"/>
                <w:lang w:val="en-US" w:eastAsia="zh-CN"/>
              </w:rPr>
              <w:t>厂区化粪池预处理后，定期由环卫部门抽取</w:t>
            </w:r>
            <w:r>
              <w:rPr>
                <w:rFonts w:hint="eastAsia" w:ascii="宋体" w:hAnsi="宋体" w:eastAsia="宋体" w:cs="宋体"/>
                <w:b w:val="0"/>
                <w:bCs w:val="0"/>
                <w:color w:val="auto"/>
                <w:kern w:val="2"/>
                <w:sz w:val="24"/>
                <w:szCs w:val="24"/>
                <w:highlight w:val="none"/>
                <w:lang w:val="en-US" w:eastAsia="zh-CN"/>
              </w:rPr>
              <w:t>。</w:t>
            </w:r>
          </w:p>
          <w:p w14:paraId="43BC288C">
            <w:pPr>
              <w:autoSpaceDE w:val="0"/>
              <w:autoSpaceDN w:val="0"/>
              <w:adjustRightInd w:val="0"/>
              <w:snapToGrid w:val="0"/>
              <w:spacing w:line="480" w:lineRule="exact"/>
              <w:ind w:firstLine="480" w:firstLineChars="200"/>
              <w:jc w:val="left"/>
              <w:rPr>
                <w:b w:val="0"/>
                <w:bCs w:val="0"/>
                <w:color w:val="auto"/>
                <w:sz w:val="24"/>
                <w:highlight w:val="none"/>
              </w:rPr>
            </w:pPr>
            <w:r>
              <w:rPr>
                <w:b w:val="0"/>
                <w:bCs w:val="0"/>
                <w:color w:val="auto"/>
                <w:sz w:val="24"/>
                <w:highlight w:val="none"/>
              </w:rPr>
              <w:t>3.噪声</w:t>
            </w:r>
          </w:p>
          <w:p w14:paraId="37B5E7CA">
            <w:pPr>
              <w:autoSpaceDE w:val="0"/>
              <w:autoSpaceDN w:val="0"/>
              <w:adjustRightInd w:val="0"/>
              <w:snapToGrid w:val="0"/>
              <w:spacing w:line="480" w:lineRule="exact"/>
              <w:ind w:firstLine="480" w:firstLineChars="200"/>
              <w:jc w:val="left"/>
              <w:rPr>
                <w:b w:val="0"/>
                <w:bCs w:val="0"/>
                <w:color w:val="auto"/>
                <w:sz w:val="24"/>
                <w:highlight w:val="none"/>
              </w:rPr>
            </w:pPr>
            <w:r>
              <w:rPr>
                <w:b w:val="0"/>
                <w:bCs w:val="0"/>
                <w:color w:val="auto"/>
                <w:sz w:val="24"/>
                <w:highlight w:val="none"/>
              </w:rPr>
              <w:t>（1）噪声源强</w:t>
            </w:r>
          </w:p>
          <w:p w14:paraId="504BA442">
            <w:pPr>
              <w:autoSpaceDE w:val="0"/>
              <w:autoSpaceDN w:val="0"/>
              <w:adjustRightInd w:val="0"/>
              <w:snapToGrid w:val="0"/>
              <w:spacing w:line="480" w:lineRule="exact"/>
              <w:ind w:firstLine="480" w:firstLineChars="200"/>
              <w:jc w:val="left"/>
              <w:rPr>
                <w:rFonts w:hint="eastAsia"/>
                <w:color w:val="auto"/>
                <w:sz w:val="24"/>
                <w:highlight w:val="none"/>
              </w:rPr>
            </w:pPr>
            <w:r>
              <w:rPr>
                <w:color w:val="auto"/>
                <w:sz w:val="24"/>
                <w:highlight w:val="none"/>
              </w:rPr>
              <w:t>本项目主要为生产设备运营时产生的噪声，根据对同类型企业生产设备正常时实测，本项目噪声源强及防治情况见下表</w:t>
            </w:r>
            <w:r>
              <w:rPr>
                <w:rFonts w:hint="eastAsia"/>
                <w:color w:val="auto"/>
                <w:sz w:val="24"/>
                <w:highlight w:val="none"/>
              </w:rPr>
              <w:t>：</w:t>
            </w:r>
          </w:p>
          <w:p w14:paraId="4292885F">
            <w:pPr>
              <w:pStyle w:val="23"/>
              <w:spacing w:line="480" w:lineRule="exact"/>
              <w:ind w:left="420"/>
              <w:rPr>
                <w:b w:val="0"/>
                <w:bCs w:val="0"/>
                <w:color w:val="auto"/>
                <w:w w:val="100"/>
                <w:sz w:val="24"/>
                <w:szCs w:val="24"/>
                <w:highlight w:val="none"/>
              </w:rPr>
            </w:pPr>
            <w:r>
              <w:rPr>
                <w:b w:val="0"/>
                <w:bCs w:val="0"/>
                <w:color w:val="auto"/>
                <w:w w:val="100"/>
                <w:sz w:val="24"/>
                <w:szCs w:val="24"/>
                <w:highlight w:val="none"/>
              </w:rPr>
              <w:t>表4-</w:t>
            </w:r>
            <w:r>
              <w:rPr>
                <w:rFonts w:hint="eastAsia"/>
                <w:b w:val="0"/>
                <w:bCs w:val="0"/>
                <w:color w:val="auto"/>
                <w:w w:val="100"/>
                <w:sz w:val="24"/>
                <w:szCs w:val="24"/>
                <w:highlight w:val="none"/>
                <w:lang w:val="en-US" w:eastAsia="zh-CN"/>
              </w:rPr>
              <w:t>10</w:t>
            </w:r>
            <w:r>
              <w:rPr>
                <w:b w:val="0"/>
                <w:bCs w:val="0"/>
                <w:color w:val="auto"/>
                <w:w w:val="100"/>
                <w:sz w:val="24"/>
                <w:szCs w:val="24"/>
                <w:highlight w:val="none"/>
              </w:rPr>
              <w:t xml:space="preserve"> </w:t>
            </w:r>
            <w:r>
              <w:rPr>
                <w:rFonts w:hint="eastAsia"/>
                <w:b w:val="0"/>
                <w:bCs w:val="0"/>
                <w:color w:val="auto"/>
                <w:w w:val="100"/>
                <w:sz w:val="24"/>
                <w:szCs w:val="24"/>
                <w:highlight w:val="none"/>
              </w:rPr>
              <w:t xml:space="preserve"> </w:t>
            </w:r>
            <w:r>
              <w:rPr>
                <w:b w:val="0"/>
                <w:bCs w:val="0"/>
                <w:color w:val="auto"/>
                <w:w w:val="100"/>
                <w:sz w:val="24"/>
                <w:szCs w:val="24"/>
                <w:highlight w:val="none"/>
              </w:rPr>
              <w:t>主要设备噪声源强</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432"/>
              <w:gridCol w:w="659"/>
              <w:gridCol w:w="1869"/>
              <w:gridCol w:w="1106"/>
              <w:gridCol w:w="2745"/>
            </w:tblGrid>
            <w:tr w14:paraId="1D29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08A0DEB2">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38" w:type="dxa"/>
                  <w:noWrap w:val="0"/>
                  <w:vAlign w:val="center"/>
                </w:tcPr>
                <w:p w14:paraId="0AC3819D">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660" w:type="dxa"/>
                  <w:noWrap w:val="0"/>
                  <w:vAlign w:val="center"/>
                </w:tcPr>
                <w:p w14:paraId="7A90F687">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1875" w:type="dxa"/>
                  <w:noWrap w:val="0"/>
                  <w:vAlign w:val="center"/>
                </w:tcPr>
                <w:p w14:paraId="1AF8A7CC">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距设备1m处噪声级dB（A）</w:t>
                  </w:r>
                </w:p>
              </w:tc>
              <w:tc>
                <w:tcPr>
                  <w:tcW w:w="1110" w:type="dxa"/>
                  <w:noWrap w:val="0"/>
                  <w:vAlign w:val="center"/>
                </w:tcPr>
                <w:p w14:paraId="3CE9B9D6">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排放方式</w:t>
                  </w:r>
                </w:p>
              </w:tc>
              <w:tc>
                <w:tcPr>
                  <w:tcW w:w="2756" w:type="dxa"/>
                  <w:noWrap w:val="0"/>
                  <w:vAlign w:val="center"/>
                </w:tcPr>
                <w:p w14:paraId="6EF6B6A9">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r>
            <w:tr w14:paraId="251D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7FDDBD39">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38" w:type="dxa"/>
                  <w:noWrap w:val="0"/>
                  <w:vAlign w:val="center"/>
                </w:tcPr>
                <w:p w14:paraId="6D9D777F">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冷却塔</w:t>
                  </w:r>
                </w:p>
              </w:tc>
              <w:tc>
                <w:tcPr>
                  <w:tcW w:w="660" w:type="dxa"/>
                  <w:noWrap w:val="0"/>
                  <w:vAlign w:val="center"/>
                </w:tcPr>
                <w:p w14:paraId="52C2CBD3">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75" w:type="dxa"/>
                  <w:noWrap w:val="0"/>
                  <w:vAlign w:val="center"/>
                </w:tcPr>
                <w:p w14:paraId="2156645E">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0</w:t>
                  </w:r>
                </w:p>
              </w:tc>
              <w:tc>
                <w:tcPr>
                  <w:tcW w:w="1110" w:type="dxa"/>
                  <w:noWrap w:val="0"/>
                  <w:vAlign w:val="center"/>
                </w:tcPr>
                <w:p w14:paraId="626A1C1D">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2756" w:type="dxa"/>
                  <w:noWrap w:val="0"/>
                  <w:vAlign w:val="center"/>
                </w:tcPr>
                <w:p w14:paraId="7891F709">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r w14:paraId="49E0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21C97314">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438" w:type="dxa"/>
                  <w:noWrap w:val="0"/>
                  <w:vAlign w:val="center"/>
                </w:tcPr>
                <w:p w14:paraId="23B8FE87">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中频感应电炉</w:t>
                  </w:r>
                </w:p>
              </w:tc>
              <w:tc>
                <w:tcPr>
                  <w:tcW w:w="660" w:type="dxa"/>
                  <w:noWrap w:val="0"/>
                  <w:vAlign w:val="center"/>
                </w:tcPr>
                <w:p w14:paraId="7742122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75" w:type="dxa"/>
                  <w:noWrap w:val="0"/>
                  <w:vAlign w:val="center"/>
                </w:tcPr>
                <w:p w14:paraId="64A4112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default" w:ascii="Times New Roman" w:hAnsi="Times New Roman" w:eastAsia="宋体" w:cs="Times New Roman"/>
                      <w:color w:val="auto"/>
                      <w:sz w:val="21"/>
                      <w:szCs w:val="21"/>
                      <w:highlight w:val="none"/>
                      <w:lang w:val="en-US" w:eastAsia="zh-CN"/>
                    </w:rPr>
                    <w:t>5</w:t>
                  </w:r>
                </w:p>
              </w:tc>
              <w:tc>
                <w:tcPr>
                  <w:tcW w:w="1110" w:type="dxa"/>
                  <w:noWrap w:val="0"/>
                  <w:vAlign w:val="center"/>
                </w:tcPr>
                <w:p w14:paraId="75CEFFA3">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2756" w:type="dxa"/>
                  <w:noWrap w:val="0"/>
                  <w:vAlign w:val="center"/>
                </w:tcPr>
                <w:p w14:paraId="64BDEE94">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r w14:paraId="2005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3E5DC13E">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438" w:type="dxa"/>
                  <w:noWrap w:val="0"/>
                  <w:vAlign w:val="center"/>
                </w:tcPr>
                <w:p w14:paraId="513FF2AF">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除尘器</w:t>
                  </w:r>
                </w:p>
              </w:tc>
              <w:tc>
                <w:tcPr>
                  <w:tcW w:w="660" w:type="dxa"/>
                  <w:noWrap w:val="0"/>
                  <w:vAlign w:val="center"/>
                </w:tcPr>
                <w:p w14:paraId="4923DC12">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875" w:type="dxa"/>
                  <w:noWrap w:val="0"/>
                  <w:vAlign w:val="center"/>
                </w:tcPr>
                <w:p w14:paraId="2934D54F">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1110" w:type="dxa"/>
                  <w:noWrap w:val="0"/>
                  <w:vAlign w:val="center"/>
                </w:tcPr>
                <w:p w14:paraId="0B2148E3">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连续</w:t>
                  </w:r>
                </w:p>
              </w:tc>
              <w:tc>
                <w:tcPr>
                  <w:tcW w:w="2756" w:type="dxa"/>
                  <w:noWrap w:val="0"/>
                  <w:vAlign w:val="center"/>
                </w:tcPr>
                <w:p w14:paraId="0649D3D2">
                  <w:pPr>
                    <w:spacing w:line="280" w:lineRule="exact"/>
                    <w:jc w:val="center"/>
                    <w:rPr>
                      <w:rFonts w:hint="default" w:ascii="Times New Roman" w:hAnsi="Times New Roman" w:eastAsia="宋体" w:cs="Times New Roman"/>
                      <w:color w:val="auto"/>
                      <w:spacing w:val="0"/>
                      <w:w w:val="100"/>
                      <w:kern w:val="2"/>
                      <w:position w:val="0"/>
                      <w:sz w:val="21"/>
                      <w:szCs w:val="21"/>
                      <w:highlight w:val="none"/>
                      <w:lang w:val="en-US" w:eastAsia="zh-CN" w:bidi="ar-SA"/>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r w14:paraId="06D0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74CEC75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438" w:type="dxa"/>
                  <w:noWrap w:val="0"/>
                  <w:vAlign w:val="center"/>
                </w:tcPr>
                <w:p w14:paraId="3CFF4B83">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空气压缩机</w:t>
                  </w:r>
                </w:p>
              </w:tc>
              <w:tc>
                <w:tcPr>
                  <w:tcW w:w="660" w:type="dxa"/>
                  <w:noWrap w:val="0"/>
                  <w:vAlign w:val="center"/>
                </w:tcPr>
                <w:p w14:paraId="5B39AF7F">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875" w:type="dxa"/>
                  <w:noWrap w:val="0"/>
                  <w:vAlign w:val="center"/>
                </w:tcPr>
                <w:p w14:paraId="1F46975A">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85</w:t>
                  </w:r>
                </w:p>
              </w:tc>
              <w:tc>
                <w:tcPr>
                  <w:tcW w:w="1110" w:type="dxa"/>
                  <w:noWrap w:val="0"/>
                  <w:vAlign w:val="center"/>
                </w:tcPr>
                <w:p w14:paraId="13DBB249">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连续</w:t>
                  </w:r>
                </w:p>
              </w:tc>
              <w:tc>
                <w:tcPr>
                  <w:tcW w:w="2756" w:type="dxa"/>
                  <w:noWrap w:val="0"/>
                  <w:vAlign w:val="center"/>
                </w:tcPr>
                <w:p w14:paraId="2675BC3D">
                  <w:pPr>
                    <w:spacing w:line="280" w:lineRule="exact"/>
                    <w:jc w:val="center"/>
                    <w:rPr>
                      <w:rFonts w:hint="default" w:ascii="Times New Roman" w:hAnsi="Times New Roman" w:eastAsia="宋体" w:cs="Times New Roman"/>
                      <w:color w:val="auto"/>
                      <w:spacing w:val="0"/>
                      <w:w w:val="100"/>
                      <w:kern w:val="2"/>
                      <w:position w:val="0"/>
                      <w:sz w:val="21"/>
                      <w:szCs w:val="21"/>
                      <w:highlight w:val="none"/>
                      <w:lang w:val="en-US" w:eastAsia="zh-CN" w:bidi="ar-SA"/>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r w14:paraId="0D5B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6D87486B">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438" w:type="dxa"/>
                  <w:noWrap w:val="0"/>
                  <w:vAlign w:val="center"/>
                </w:tcPr>
                <w:p w14:paraId="33906C10">
                  <w:pPr>
                    <w:spacing w:line="28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砂处理线</w:t>
                  </w:r>
                </w:p>
              </w:tc>
              <w:tc>
                <w:tcPr>
                  <w:tcW w:w="660" w:type="dxa"/>
                  <w:noWrap w:val="0"/>
                  <w:vAlign w:val="center"/>
                </w:tcPr>
                <w:p w14:paraId="4F28822C">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75" w:type="dxa"/>
                  <w:noWrap w:val="0"/>
                  <w:vAlign w:val="center"/>
                </w:tcPr>
                <w:p w14:paraId="6B5F5B85">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1110" w:type="dxa"/>
                  <w:noWrap w:val="0"/>
                  <w:vAlign w:val="center"/>
                </w:tcPr>
                <w:p w14:paraId="287C9629">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连续</w:t>
                  </w:r>
                </w:p>
              </w:tc>
              <w:tc>
                <w:tcPr>
                  <w:tcW w:w="2756" w:type="dxa"/>
                  <w:noWrap w:val="0"/>
                  <w:vAlign w:val="center"/>
                </w:tcPr>
                <w:p w14:paraId="31F46485">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r w14:paraId="6CD1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8" w:type="dxa"/>
                  <w:noWrap w:val="0"/>
                  <w:vAlign w:val="center"/>
                </w:tcPr>
                <w:p w14:paraId="4DD5CEB7">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438" w:type="dxa"/>
                  <w:noWrap w:val="0"/>
                  <w:vAlign w:val="center"/>
                </w:tcPr>
                <w:p w14:paraId="19871DFC">
                  <w:pPr>
                    <w:spacing w:line="28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天车</w:t>
                  </w:r>
                </w:p>
              </w:tc>
              <w:tc>
                <w:tcPr>
                  <w:tcW w:w="660" w:type="dxa"/>
                  <w:noWrap w:val="0"/>
                  <w:vAlign w:val="center"/>
                </w:tcPr>
                <w:p w14:paraId="378F6D93">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75" w:type="dxa"/>
                  <w:noWrap w:val="0"/>
                  <w:vAlign w:val="center"/>
                </w:tcPr>
                <w:p w14:paraId="200E77EA">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1110" w:type="dxa"/>
                  <w:noWrap w:val="0"/>
                  <w:vAlign w:val="center"/>
                </w:tcPr>
                <w:p w14:paraId="08D69215">
                  <w:pPr>
                    <w:spacing w:line="28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连续</w:t>
                  </w:r>
                </w:p>
              </w:tc>
              <w:tc>
                <w:tcPr>
                  <w:tcW w:w="2756" w:type="dxa"/>
                  <w:noWrap w:val="0"/>
                  <w:vAlign w:val="center"/>
                </w:tcPr>
                <w:p w14:paraId="12C6A5F5">
                  <w:pPr>
                    <w:spacing w:line="280" w:lineRule="exact"/>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低噪设备、基础减震</w:t>
                  </w:r>
                </w:p>
              </w:tc>
            </w:tr>
          </w:tbl>
          <w:p w14:paraId="0EF8C5D4">
            <w:pPr>
              <w:pStyle w:val="23"/>
              <w:spacing w:line="480" w:lineRule="exact"/>
              <w:ind w:left="0" w:leftChars="0" w:firstLine="0" w:firstLineChars="0"/>
              <w:jc w:val="both"/>
              <w:rPr>
                <w:b w:val="0"/>
                <w:bCs w:val="0"/>
                <w:color w:val="auto"/>
                <w:w w:val="100"/>
                <w:sz w:val="24"/>
                <w:szCs w:val="24"/>
                <w:highlight w:val="none"/>
              </w:rPr>
            </w:pPr>
            <w:r>
              <w:rPr>
                <w:b w:val="0"/>
                <w:bCs w:val="0"/>
                <w:color w:val="auto"/>
                <w:w w:val="100"/>
                <w:sz w:val="24"/>
                <w:szCs w:val="24"/>
                <w:highlight w:val="none"/>
              </w:rPr>
              <w:t>1）预测范围</w:t>
            </w:r>
          </w:p>
          <w:p w14:paraId="35EA046F">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本项目噪声影响预测范围确定为厂界。</w:t>
            </w:r>
          </w:p>
          <w:p w14:paraId="4BDBA1A6">
            <w:pPr>
              <w:pStyle w:val="23"/>
              <w:spacing w:line="480" w:lineRule="exact"/>
              <w:ind w:left="0" w:leftChars="0" w:firstLine="0" w:firstLineChars="0"/>
              <w:jc w:val="both"/>
              <w:rPr>
                <w:b w:val="0"/>
                <w:bCs w:val="0"/>
                <w:color w:val="auto"/>
                <w:w w:val="100"/>
                <w:sz w:val="24"/>
                <w:szCs w:val="24"/>
                <w:highlight w:val="none"/>
              </w:rPr>
            </w:pPr>
            <w:r>
              <w:rPr>
                <w:b w:val="0"/>
                <w:bCs w:val="0"/>
                <w:color w:val="auto"/>
                <w:w w:val="100"/>
                <w:sz w:val="24"/>
                <w:szCs w:val="24"/>
                <w:highlight w:val="none"/>
              </w:rPr>
              <w:t>2）预测点</w:t>
            </w:r>
          </w:p>
          <w:p w14:paraId="6BE5BEC1">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本项目预测点为厂界处，根据声源的特征和所在位置，应用相应的计算模式计算各声源对预测点产生的影响值。</w:t>
            </w:r>
          </w:p>
          <w:p w14:paraId="3203F307">
            <w:pPr>
              <w:pStyle w:val="23"/>
              <w:spacing w:line="480" w:lineRule="exact"/>
              <w:ind w:left="0" w:leftChars="0" w:firstLine="480" w:firstLineChars="200"/>
              <w:jc w:val="both"/>
              <w:rPr>
                <w:b/>
                <w:bCs/>
                <w:color w:val="auto"/>
                <w:w w:val="100"/>
                <w:sz w:val="24"/>
                <w:szCs w:val="24"/>
                <w:highlight w:val="none"/>
              </w:rPr>
            </w:pPr>
            <w:r>
              <w:rPr>
                <w:b w:val="0"/>
                <w:bCs w:val="0"/>
                <w:color w:val="auto"/>
                <w:w w:val="100"/>
                <w:sz w:val="24"/>
                <w:szCs w:val="24"/>
                <w:highlight w:val="none"/>
              </w:rPr>
              <w:t>（2）噪声预测模式</w:t>
            </w:r>
          </w:p>
          <w:p w14:paraId="0700054E">
            <w:pPr>
              <w:pStyle w:val="23"/>
              <w:spacing w:line="480" w:lineRule="exact"/>
              <w:ind w:left="0" w:leftChars="0" w:firstLine="480" w:firstLineChars="200"/>
              <w:jc w:val="both"/>
              <w:rPr>
                <w:color w:val="auto"/>
                <w:w w:val="100"/>
                <w:sz w:val="24"/>
                <w:szCs w:val="24"/>
                <w:highlight w:val="none"/>
              </w:rPr>
            </w:pPr>
            <w:r>
              <w:rPr>
                <w:rFonts w:hint="eastAsia" w:ascii="宋体" w:hAnsi="宋体" w:cs="宋体"/>
                <w:color w:val="auto"/>
                <w:w w:val="100"/>
                <w:sz w:val="24"/>
                <w:szCs w:val="24"/>
                <w:highlight w:val="none"/>
              </w:rPr>
              <w:t>本次环境噪声影响预测采用</w:t>
            </w:r>
            <w:r>
              <w:rPr>
                <w:color w:val="auto"/>
                <w:w w:val="100"/>
                <w:sz w:val="24"/>
                <w:szCs w:val="24"/>
                <w:highlight w:val="none"/>
              </w:rPr>
              <w:t>《环境影响评价技术导则 声环境》（HJ2.4-2021）中推荐的噪声预测模式。根据项目各个噪声源的特征，选用相应的预测模式，并根据情况作必要的简化。</w:t>
            </w:r>
          </w:p>
          <w:p w14:paraId="0691E93B">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声源如下图所示，声源位于室内，室内声源可采用等效室外声源声功率级法进行计算。设靠近开口处（或窗户）室内、室外某倍频带的声压级分别为LP1和LP2。若声源所在室内声场为近似扩散声场，则室外的倍频带的声压级可按照下列红石近似求出：</w:t>
            </w:r>
          </w:p>
          <w:p w14:paraId="471CA782">
            <w:pPr>
              <w:pStyle w:val="23"/>
              <w:spacing w:line="480" w:lineRule="exact"/>
              <w:ind w:left="420" w:firstLine="2880" w:firstLineChars="1200"/>
              <w:jc w:val="both"/>
              <w:rPr>
                <w:color w:val="auto"/>
                <w:w w:val="100"/>
                <w:sz w:val="24"/>
                <w:szCs w:val="24"/>
                <w:highlight w:val="none"/>
              </w:rPr>
            </w:pPr>
            <w:r>
              <w:rPr>
                <w:color w:val="auto"/>
                <w:w w:val="100"/>
                <w:sz w:val="24"/>
                <w:szCs w:val="24"/>
                <w:highlight w:val="none"/>
              </w:rPr>
              <w:t>LP</w:t>
            </w:r>
            <w:r>
              <w:rPr>
                <w:rFonts w:hint="eastAsia"/>
                <w:color w:val="auto"/>
                <w:w w:val="100"/>
                <w:sz w:val="24"/>
                <w:szCs w:val="24"/>
                <w:highlight w:val="none"/>
                <w:vertAlign w:val="subscript"/>
              </w:rPr>
              <w:t>2</w:t>
            </w:r>
            <w:r>
              <w:rPr>
                <w:color w:val="auto"/>
                <w:w w:val="100"/>
                <w:sz w:val="24"/>
                <w:szCs w:val="24"/>
                <w:highlight w:val="none"/>
              </w:rPr>
              <w:t>=LP</w:t>
            </w:r>
            <w:r>
              <w:rPr>
                <w:rFonts w:hint="eastAsia"/>
                <w:color w:val="auto"/>
                <w:w w:val="100"/>
                <w:sz w:val="24"/>
                <w:szCs w:val="24"/>
                <w:highlight w:val="none"/>
                <w:vertAlign w:val="subscript"/>
              </w:rPr>
              <w:t>1</w:t>
            </w:r>
            <w:r>
              <w:rPr>
                <w:color w:val="auto"/>
                <w:w w:val="100"/>
                <w:sz w:val="24"/>
                <w:szCs w:val="24"/>
                <w:highlight w:val="none"/>
              </w:rPr>
              <w:t>-（TL+6）</w:t>
            </w:r>
          </w:p>
          <w:p w14:paraId="70579501">
            <w:pPr>
              <w:pStyle w:val="23"/>
              <w:spacing w:line="480" w:lineRule="exact"/>
              <w:ind w:left="420"/>
              <w:jc w:val="both"/>
              <w:rPr>
                <w:color w:val="auto"/>
                <w:w w:val="100"/>
                <w:sz w:val="24"/>
                <w:szCs w:val="24"/>
                <w:highlight w:val="none"/>
              </w:rPr>
            </w:pPr>
            <w:r>
              <w:rPr>
                <w:color w:val="auto"/>
                <w:w w:val="100"/>
                <w:sz w:val="24"/>
                <w:szCs w:val="24"/>
                <w:highlight w:val="none"/>
              </w:rPr>
              <w:t>式中：TL——隔墙（或窗户）倍频带的隔声量，dB。</w:t>
            </w:r>
          </w:p>
          <w:p w14:paraId="57C1A599">
            <w:pPr>
              <w:pStyle w:val="23"/>
              <w:spacing w:line="480" w:lineRule="exact"/>
              <w:ind w:left="420"/>
              <w:jc w:val="both"/>
              <w:rPr>
                <w:color w:val="auto"/>
                <w:w w:val="100"/>
                <w:sz w:val="24"/>
                <w:szCs w:val="24"/>
                <w:highlight w:val="none"/>
              </w:rPr>
            </w:pPr>
          </w:p>
          <w:p w14:paraId="7708B292">
            <w:pPr>
              <w:pStyle w:val="23"/>
              <w:spacing w:line="480" w:lineRule="exact"/>
              <w:ind w:left="420"/>
              <w:jc w:val="both"/>
              <w:rPr>
                <w:color w:val="auto"/>
                <w:w w:val="100"/>
                <w:sz w:val="24"/>
                <w:szCs w:val="24"/>
                <w:highlight w:val="none"/>
              </w:rPr>
            </w:pPr>
          </w:p>
          <w:p w14:paraId="7CB229AC">
            <w:pPr>
              <w:pStyle w:val="23"/>
              <w:spacing w:line="480" w:lineRule="exact"/>
              <w:ind w:left="420"/>
              <w:jc w:val="both"/>
              <w:rPr>
                <w:color w:val="auto"/>
                <w:w w:val="100"/>
                <w:sz w:val="24"/>
                <w:szCs w:val="24"/>
                <w:highlight w:val="none"/>
              </w:rPr>
            </w:pPr>
            <w:r>
              <w:rPr>
                <w:rFonts w:ascii="Times New Roman" w:hAnsi="Times New Roman"/>
                <w:b/>
                <w:bCs/>
                <w:color w:val="auto"/>
                <w:sz w:val="24"/>
                <w:szCs w:val="24"/>
                <w:highlight w:val="none"/>
              </w:rPr>
              <w:drawing>
                <wp:anchor distT="0" distB="0" distL="114300" distR="114300" simplePos="0" relativeHeight="251661312" behindDoc="1" locked="0" layoutInCell="1" allowOverlap="1">
                  <wp:simplePos x="0" y="0"/>
                  <wp:positionH relativeFrom="column">
                    <wp:posOffset>1151890</wp:posOffset>
                  </wp:positionH>
                  <wp:positionV relativeFrom="paragraph">
                    <wp:posOffset>-52705</wp:posOffset>
                  </wp:positionV>
                  <wp:extent cx="3057525" cy="1609725"/>
                  <wp:effectExtent l="0" t="0" r="9525" b="9525"/>
                  <wp:wrapNone/>
                  <wp:docPr id="32" name="图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24"/>
                          <pic:cNvPicPr>
                            <a:picLocks noChangeAspect="1"/>
                          </pic:cNvPicPr>
                        </pic:nvPicPr>
                        <pic:blipFill>
                          <a:blip r:embed="rId18"/>
                          <a:stretch>
                            <a:fillRect/>
                          </a:stretch>
                        </pic:blipFill>
                        <pic:spPr>
                          <a:xfrm>
                            <a:off x="0" y="0"/>
                            <a:ext cx="3057525" cy="1609725"/>
                          </a:xfrm>
                          <a:prstGeom prst="rect">
                            <a:avLst/>
                          </a:prstGeom>
                          <a:noFill/>
                          <a:ln>
                            <a:noFill/>
                          </a:ln>
                        </pic:spPr>
                      </pic:pic>
                    </a:graphicData>
                  </a:graphic>
                </wp:anchor>
              </w:drawing>
            </w:r>
          </w:p>
          <w:p w14:paraId="491FEEA4">
            <w:pPr>
              <w:pStyle w:val="23"/>
              <w:spacing w:line="480" w:lineRule="exact"/>
              <w:ind w:left="420"/>
              <w:jc w:val="both"/>
              <w:rPr>
                <w:color w:val="auto"/>
                <w:w w:val="100"/>
                <w:sz w:val="24"/>
                <w:szCs w:val="24"/>
                <w:highlight w:val="none"/>
              </w:rPr>
            </w:pPr>
          </w:p>
          <w:p w14:paraId="5CE77F24">
            <w:pPr>
              <w:pStyle w:val="23"/>
              <w:spacing w:line="480" w:lineRule="exact"/>
              <w:ind w:left="420"/>
              <w:jc w:val="both"/>
              <w:rPr>
                <w:color w:val="auto"/>
                <w:w w:val="100"/>
                <w:sz w:val="24"/>
                <w:szCs w:val="24"/>
                <w:highlight w:val="none"/>
              </w:rPr>
            </w:pPr>
          </w:p>
          <w:p w14:paraId="709D50E1">
            <w:pPr>
              <w:pStyle w:val="35"/>
              <w:spacing w:line="440" w:lineRule="exact"/>
              <w:rPr>
                <w:rFonts w:eastAsia="宋体"/>
                <w:b w:val="0"/>
                <w:bCs w:val="0"/>
                <w:color w:val="auto"/>
                <w:highlight w:val="none"/>
              </w:rPr>
            </w:pPr>
          </w:p>
          <w:p w14:paraId="0B3FC735">
            <w:pPr>
              <w:pStyle w:val="35"/>
              <w:spacing w:line="440" w:lineRule="exact"/>
              <w:rPr>
                <w:rFonts w:eastAsia="宋体"/>
                <w:b w:val="0"/>
                <w:bCs w:val="0"/>
                <w:color w:val="auto"/>
                <w:highlight w:val="none"/>
              </w:rPr>
            </w:pPr>
          </w:p>
          <w:p w14:paraId="7E12D1AE">
            <w:pPr>
              <w:pStyle w:val="35"/>
              <w:spacing w:line="440" w:lineRule="exact"/>
              <w:rPr>
                <w:rFonts w:eastAsia="宋体"/>
                <w:b w:val="0"/>
                <w:bCs w:val="0"/>
                <w:color w:val="auto"/>
                <w:sz w:val="21"/>
                <w:szCs w:val="21"/>
                <w:highlight w:val="none"/>
              </w:rPr>
            </w:pPr>
            <w:r>
              <w:rPr>
                <w:rFonts w:eastAsia="宋体"/>
                <w:b w:val="0"/>
                <w:bCs w:val="0"/>
                <w:color w:val="auto"/>
                <w:highlight w:val="none"/>
              </w:rPr>
              <w:t>图4-</w:t>
            </w:r>
            <w:r>
              <w:rPr>
                <w:rFonts w:hint="eastAsia" w:eastAsia="宋体"/>
                <w:b w:val="0"/>
                <w:bCs w:val="0"/>
                <w:color w:val="auto"/>
                <w:highlight w:val="none"/>
                <w:lang w:val="en-US" w:eastAsia="zh-CN"/>
              </w:rPr>
              <w:t>1</w:t>
            </w:r>
            <w:r>
              <w:rPr>
                <w:rFonts w:eastAsia="宋体"/>
                <w:b w:val="0"/>
                <w:bCs w:val="0"/>
                <w:color w:val="auto"/>
                <w:highlight w:val="none"/>
              </w:rPr>
              <w:t xml:space="preserve">  室内声源等效为室外声源</w:t>
            </w:r>
          </w:p>
          <w:p w14:paraId="55AD97BF">
            <w:pPr>
              <w:autoSpaceDE w:val="0"/>
              <w:autoSpaceDN w:val="0"/>
              <w:adjustRightInd w:val="0"/>
              <w:snapToGrid w:val="0"/>
              <w:spacing w:line="480" w:lineRule="exact"/>
              <w:ind w:firstLine="480" w:firstLineChars="200"/>
              <w:jc w:val="left"/>
              <w:rPr>
                <w:color w:val="auto"/>
                <w:sz w:val="24"/>
                <w:highlight w:val="none"/>
              </w:rPr>
            </w:pPr>
            <w:r>
              <w:rPr>
                <w:color w:val="auto"/>
                <w:sz w:val="24"/>
                <w:highlight w:val="none"/>
              </w:rPr>
              <w:t>点声源</w:t>
            </w:r>
          </w:p>
          <w:p w14:paraId="6F5DAC69">
            <w:pPr>
              <w:autoSpaceDE w:val="0"/>
              <w:autoSpaceDN w:val="0"/>
              <w:adjustRightInd w:val="0"/>
              <w:snapToGrid w:val="0"/>
              <w:spacing w:line="480" w:lineRule="exact"/>
              <w:ind w:firstLine="480" w:firstLineChars="200"/>
              <w:jc w:val="left"/>
              <w:rPr>
                <w:color w:val="auto"/>
                <w:sz w:val="24"/>
                <w:highlight w:val="none"/>
              </w:rPr>
            </w:pPr>
            <w:r>
              <w:rPr>
                <w:color w:val="auto"/>
                <w:sz w:val="24"/>
                <w:highlight w:val="none"/>
              </w:rPr>
              <w:t>无指向性点声源几何发散衰减基本公式：</w:t>
            </w:r>
          </w:p>
          <w:p w14:paraId="2CE67F2A">
            <w:pPr>
              <w:autoSpaceDE w:val="0"/>
              <w:autoSpaceDN w:val="0"/>
              <w:adjustRightInd w:val="0"/>
              <w:snapToGrid w:val="0"/>
              <w:spacing w:line="480" w:lineRule="exact"/>
              <w:ind w:firstLine="480" w:firstLineChars="200"/>
              <w:jc w:val="center"/>
              <w:rPr>
                <w:color w:val="auto"/>
                <w:sz w:val="24"/>
                <w:highlight w:val="none"/>
              </w:rPr>
            </w:pPr>
            <w:r>
              <w:rPr>
                <w:color w:val="auto"/>
                <w:sz w:val="24"/>
                <w:highlight w:val="none"/>
              </w:rPr>
              <w:t>Lp（r）=Lp（r</w:t>
            </w:r>
            <w:r>
              <w:rPr>
                <w:rFonts w:hint="eastAsia"/>
                <w:color w:val="auto"/>
                <w:sz w:val="24"/>
                <w:highlight w:val="none"/>
                <w:vertAlign w:val="subscript"/>
              </w:rPr>
              <w:t>0</w:t>
            </w:r>
            <w:r>
              <w:rPr>
                <w:color w:val="auto"/>
                <w:sz w:val="24"/>
                <w:highlight w:val="none"/>
              </w:rPr>
              <w:t>）-20lg（r/r</w:t>
            </w:r>
            <w:r>
              <w:rPr>
                <w:rFonts w:hint="eastAsia"/>
                <w:color w:val="auto"/>
                <w:sz w:val="24"/>
                <w:highlight w:val="none"/>
                <w:vertAlign w:val="subscript"/>
              </w:rPr>
              <w:t>0</w:t>
            </w:r>
            <w:r>
              <w:rPr>
                <w:color w:val="auto"/>
                <w:sz w:val="24"/>
                <w:highlight w:val="none"/>
              </w:rPr>
              <w:t>）</w:t>
            </w:r>
          </w:p>
          <w:p w14:paraId="0E44AF0D">
            <w:pPr>
              <w:autoSpaceDE w:val="0"/>
              <w:autoSpaceDN w:val="0"/>
              <w:adjustRightInd w:val="0"/>
              <w:snapToGrid w:val="0"/>
              <w:spacing w:line="480" w:lineRule="exact"/>
              <w:ind w:firstLine="480" w:firstLineChars="200"/>
              <w:jc w:val="left"/>
              <w:rPr>
                <w:color w:val="auto"/>
                <w:sz w:val="24"/>
                <w:highlight w:val="none"/>
              </w:rPr>
            </w:pPr>
            <w:r>
              <w:rPr>
                <w:color w:val="auto"/>
                <w:sz w:val="24"/>
                <w:highlight w:val="none"/>
              </w:rPr>
              <w:t>式中:Lp（r）——预测点处声压级，dB;</w:t>
            </w:r>
          </w:p>
          <w:p w14:paraId="7F5F8D2D">
            <w:pPr>
              <w:autoSpaceDE w:val="0"/>
              <w:autoSpaceDN w:val="0"/>
              <w:adjustRightInd w:val="0"/>
              <w:snapToGrid w:val="0"/>
              <w:spacing w:line="480" w:lineRule="exact"/>
              <w:ind w:firstLine="960" w:firstLineChars="400"/>
              <w:jc w:val="left"/>
              <w:rPr>
                <w:color w:val="auto"/>
                <w:sz w:val="24"/>
                <w:highlight w:val="none"/>
              </w:rPr>
            </w:pPr>
            <w:r>
              <w:rPr>
                <w:color w:val="auto"/>
                <w:sz w:val="24"/>
                <w:highlight w:val="none"/>
              </w:rPr>
              <w:t>Lp（r0）——参考位置r0处的声压级，dB；</w:t>
            </w:r>
          </w:p>
          <w:p w14:paraId="74367059">
            <w:pPr>
              <w:autoSpaceDE w:val="0"/>
              <w:autoSpaceDN w:val="0"/>
              <w:adjustRightInd w:val="0"/>
              <w:snapToGrid w:val="0"/>
              <w:spacing w:line="480" w:lineRule="exact"/>
              <w:ind w:firstLine="960" w:firstLineChars="400"/>
              <w:jc w:val="left"/>
              <w:rPr>
                <w:color w:val="auto"/>
                <w:sz w:val="24"/>
                <w:highlight w:val="none"/>
              </w:rPr>
            </w:pPr>
            <w:r>
              <w:rPr>
                <w:color w:val="auto"/>
                <w:sz w:val="24"/>
                <w:highlight w:val="none"/>
              </w:rPr>
              <w:t>r——预测点距声源的距离；</w:t>
            </w:r>
          </w:p>
          <w:p w14:paraId="60732E14">
            <w:pPr>
              <w:pStyle w:val="23"/>
              <w:spacing w:line="480" w:lineRule="exact"/>
              <w:ind w:left="420" w:firstLine="432" w:firstLineChars="200"/>
              <w:jc w:val="both"/>
              <w:rPr>
                <w:color w:val="auto"/>
                <w:w w:val="100"/>
                <w:sz w:val="24"/>
                <w:szCs w:val="24"/>
                <w:highlight w:val="none"/>
              </w:rPr>
            </w:pPr>
            <w:r>
              <w:rPr>
                <w:color w:val="auto"/>
                <w:sz w:val="24"/>
                <w:szCs w:val="24"/>
                <w:highlight w:val="none"/>
              </w:rPr>
              <w:t>r</w:t>
            </w:r>
            <w:r>
              <w:rPr>
                <w:rFonts w:hint="eastAsia"/>
                <w:color w:val="auto"/>
                <w:sz w:val="24"/>
                <w:szCs w:val="24"/>
                <w:highlight w:val="none"/>
                <w:vertAlign w:val="subscript"/>
              </w:rPr>
              <w:t>0</w:t>
            </w:r>
            <w:r>
              <w:rPr>
                <w:color w:val="auto"/>
                <w:w w:val="100"/>
                <w:sz w:val="24"/>
                <w:szCs w:val="24"/>
                <w:highlight w:val="none"/>
              </w:rPr>
              <w:t>——参考位置距声源的距离。</w:t>
            </w:r>
          </w:p>
          <w:p w14:paraId="5878C357">
            <w:pPr>
              <w:spacing w:line="480" w:lineRule="exact"/>
              <w:ind w:firstLine="480" w:firstLineChars="200"/>
              <w:rPr>
                <w:color w:val="auto"/>
                <w:sz w:val="24"/>
                <w:highlight w:val="none"/>
              </w:rPr>
            </w:pPr>
            <w:r>
              <w:rPr>
                <w:color w:val="auto"/>
                <w:sz w:val="24"/>
                <w:highlight w:val="none"/>
              </w:rPr>
              <w:t>式中第二项表示了点声源的几何发散衰减：</w:t>
            </w:r>
          </w:p>
          <w:p w14:paraId="003B1524">
            <w:pPr>
              <w:pStyle w:val="23"/>
              <w:spacing w:line="480" w:lineRule="exact"/>
              <w:ind w:left="420"/>
              <w:rPr>
                <w:color w:val="auto"/>
                <w:w w:val="100"/>
                <w:sz w:val="24"/>
                <w:szCs w:val="24"/>
                <w:highlight w:val="none"/>
              </w:rPr>
            </w:pPr>
            <w:r>
              <w:rPr>
                <w:color w:val="auto"/>
                <w:w w:val="100"/>
                <w:sz w:val="24"/>
                <w:szCs w:val="24"/>
                <w:highlight w:val="none"/>
              </w:rPr>
              <w:t>Adiv=20lg（r/</w:t>
            </w:r>
            <w:r>
              <w:rPr>
                <w:color w:val="auto"/>
                <w:sz w:val="24"/>
                <w:szCs w:val="24"/>
                <w:highlight w:val="none"/>
              </w:rPr>
              <w:t>r</w:t>
            </w:r>
            <w:r>
              <w:rPr>
                <w:rFonts w:hint="eastAsia"/>
                <w:color w:val="auto"/>
                <w:sz w:val="24"/>
                <w:szCs w:val="24"/>
                <w:highlight w:val="none"/>
                <w:vertAlign w:val="subscript"/>
              </w:rPr>
              <w:t>0</w:t>
            </w:r>
            <w:r>
              <w:rPr>
                <w:color w:val="auto"/>
                <w:w w:val="100"/>
                <w:sz w:val="24"/>
                <w:szCs w:val="24"/>
                <w:highlight w:val="none"/>
              </w:rPr>
              <w:t>）</w:t>
            </w:r>
          </w:p>
          <w:p w14:paraId="2DA0FE69">
            <w:pPr>
              <w:pStyle w:val="23"/>
              <w:spacing w:line="480" w:lineRule="exact"/>
              <w:ind w:left="420"/>
              <w:jc w:val="both"/>
              <w:rPr>
                <w:color w:val="auto"/>
                <w:w w:val="100"/>
                <w:sz w:val="24"/>
                <w:szCs w:val="24"/>
                <w:highlight w:val="none"/>
              </w:rPr>
            </w:pPr>
            <w:r>
              <w:rPr>
                <w:color w:val="auto"/>
                <w:w w:val="100"/>
                <w:sz w:val="24"/>
                <w:szCs w:val="24"/>
                <w:highlight w:val="none"/>
              </w:rPr>
              <w:t>式中：Adiv——几何发散引起的衰减，dB；</w:t>
            </w:r>
          </w:p>
          <w:p w14:paraId="1E1CE817">
            <w:pPr>
              <w:pStyle w:val="23"/>
              <w:spacing w:line="480" w:lineRule="exact"/>
              <w:ind w:left="420"/>
              <w:jc w:val="both"/>
              <w:rPr>
                <w:color w:val="auto"/>
                <w:w w:val="100"/>
                <w:sz w:val="24"/>
                <w:szCs w:val="24"/>
                <w:highlight w:val="none"/>
              </w:rPr>
            </w:pPr>
            <w:r>
              <w:rPr>
                <w:color w:val="auto"/>
                <w:w w:val="100"/>
                <w:sz w:val="24"/>
                <w:szCs w:val="24"/>
                <w:highlight w:val="none"/>
              </w:rPr>
              <w:t xml:space="preserve">      r——预测点距离声源的距离；</w:t>
            </w:r>
          </w:p>
          <w:p w14:paraId="20C5A6F5">
            <w:pPr>
              <w:pStyle w:val="23"/>
              <w:spacing w:line="480" w:lineRule="exact"/>
              <w:ind w:left="420"/>
              <w:jc w:val="both"/>
              <w:rPr>
                <w:color w:val="auto"/>
                <w:w w:val="100"/>
                <w:sz w:val="24"/>
                <w:szCs w:val="24"/>
                <w:highlight w:val="none"/>
              </w:rPr>
            </w:pPr>
            <w:r>
              <w:rPr>
                <w:color w:val="auto"/>
                <w:w w:val="100"/>
                <w:sz w:val="24"/>
                <w:szCs w:val="24"/>
                <w:highlight w:val="none"/>
              </w:rPr>
              <w:t xml:space="preserve">     </w:t>
            </w:r>
            <w:r>
              <w:rPr>
                <w:color w:val="auto"/>
                <w:sz w:val="24"/>
                <w:szCs w:val="24"/>
                <w:highlight w:val="none"/>
              </w:rPr>
              <w:t>r</w:t>
            </w:r>
            <w:r>
              <w:rPr>
                <w:rFonts w:hint="eastAsia"/>
                <w:color w:val="auto"/>
                <w:sz w:val="24"/>
                <w:szCs w:val="24"/>
                <w:highlight w:val="none"/>
                <w:vertAlign w:val="subscript"/>
              </w:rPr>
              <w:t>0</w:t>
            </w:r>
            <w:r>
              <w:rPr>
                <w:color w:val="auto"/>
                <w:w w:val="100"/>
                <w:sz w:val="24"/>
                <w:szCs w:val="24"/>
                <w:highlight w:val="none"/>
              </w:rPr>
              <w:t>——参考位置距离声源的距离。</w:t>
            </w:r>
          </w:p>
          <w:p w14:paraId="43B1546E">
            <w:pPr>
              <w:numPr>
                <w:ilvl w:val="0"/>
                <w:numId w:val="7"/>
              </w:numPr>
              <w:spacing w:line="360" w:lineRule="auto"/>
              <w:ind w:left="420" w:leftChars="200"/>
              <w:rPr>
                <w:b w:val="0"/>
                <w:bCs w:val="0"/>
                <w:color w:val="auto"/>
                <w:sz w:val="24"/>
                <w:highlight w:val="none"/>
              </w:rPr>
            </w:pPr>
            <w:r>
              <w:rPr>
                <w:b w:val="0"/>
                <w:bCs w:val="0"/>
                <w:color w:val="auto"/>
                <w:sz w:val="24"/>
                <w:highlight w:val="none"/>
              </w:rPr>
              <w:t>点声源</w:t>
            </w:r>
          </w:p>
          <w:p w14:paraId="291B768A">
            <w:pPr>
              <w:pStyle w:val="23"/>
              <w:spacing w:line="480" w:lineRule="exact"/>
              <w:ind w:left="0" w:leftChars="0" w:firstLine="480" w:firstLineChars="200"/>
              <w:jc w:val="both"/>
              <w:rPr>
                <w:rFonts w:hint="eastAsia" w:eastAsia="宋体"/>
                <w:bCs/>
                <w:color w:val="auto"/>
                <w:w w:val="100"/>
                <w:sz w:val="21"/>
                <w:szCs w:val="21"/>
                <w:highlight w:val="none"/>
                <w:lang w:eastAsia="zh-CN"/>
              </w:rPr>
            </w:pPr>
            <w:r>
              <w:rPr>
                <w:color w:val="auto"/>
                <w:w w:val="100"/>
                <w:sz w:val="24"/>
                <w:szCs w:val="24"/>
                <w:highlight w:val="none"/>
              </w:rPr>
              <w:t>已知点声源的A声功率级LAW，点声源处于半自由空间，则离声源任一距离处的A声级可有下式计算</w:t>
            </w:r>
            <w:r>
              <w:rPr>
                <w:rFonts w:hint="eastAsia"/>
                <w:color w:val="auto"/>
                <w:w w:val="100"/>
                <w:sz w:val="24"/>
                <w:szCs w:val="24"/>
                <w:highlight w:val="none"/>
                <w:lang w:eastAsia="zh-CN"/>
              </w:rPr>
              <w:t>：</w:t>
            </w:r>
          </w:p>
          <w:p w14:paraId="6B31705A">
            <w:pPr>
              <w:pStyle w:val="23"/>
              <w:ind w:left="420"/>
              <w:rPr>
                <w:bCs/>
                <w:color w:val="auto"/>
                <w:w w:val="100"/>
                <w:sz w:val="21"/>
                <w:szCs w:val="21"/>
                <w:highlight w:val="none"/>
              </w:rPr>
            </w:pPr>
            <w:r>
              <w:rPr>
                <w:color w:val="auto"/>
                <w:highlight w:val="none"/>
              </w:rPr>
              <w:drawing>
                <wp:inline distT="0" distB="0" distL="114300" distR="114300">
                  <wp:extent cx="1381125" cy="45720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9"/>
                          <a:stretch>
                            <a:fillRect/>
                          </a:stretch>
                        </pic:blipFill>
                        <pic:spPr>
                          <a:xfrm>
                            <a:off x="0" y="0"/>
                            <a:ext cx="1381125" cy="457200"/>
                          </a:xfrm>
                          <a:prstGeom prst="rect">
                            <a:avLst/>
                          </a:prstGeom>
                          <a:noFill/>
                          <a:ln>
                            <a:noFill/>
                          </a:ln>
                        </pic:spPr>
                      </pic:pic>
                    </a:graphicData>
                  </a:graphic>
                </wp:inline>
              </w:drawing>
            </w:r>
          </w:p>
          <w:p w14:paraId="7431362F">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式中：距声源r处的总A声级；n:n个声源；Li：第i个生源的声级。</w:t>
            </w:r>
          </w:p>
          <w:p w14:paraId="13DC4402">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项目声源在预测点产生的等效声级贡献计算</w:t>
            </w:r>
          </w:p>
          <w:p w14:paraId="408D784F">
            <w:pPr>
              <w:pStyle w:val="23"/>
              <w:ind w:left="420"/>
              <w:rPr>
                <w:bCs/>
                <w:color w:val="auto"/>
                <w:w w:val="100"/>
                <w:sz w:val="21"/>
                <w:szCs w:val="21"/>
                <w:highlight w:val="none"/>
              </w:rPr>
            </w:pPr>
            <w:r>
              <w:rPr>
                <w:color w:val="auto"/>
                <w:highlight w:val="none"/>
              </w:rPr>
              <w:drawing>
                <wp:inline distT="0" distB="0" distL="114300" distR="114300">
                  <wp:extent cx="1647825" cy="457200"/>
                  <wp:effectExtent l="0" t="0" r="952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0"/>
                          <a:stretch>
                            <a:fillRect/>
                          </a:stretch>
                        </pic:blipFill>
                        <pic:spPr>
                          <a:xfrm>
                            <a:off x="0" y="0"/>
                            <a:ext cx="1647825" cy="457200"/>
                          </a:xfrm>
                          <a:prstGeom prst="rect">
                            <a:avLst/>
                          </a:prstGeom>
                          <a:noFill/>
                          <a:ln>
                            <a:noFill/>
                          </a:ln>
                        </pic:spPr>
                      </pic:pic>
                    </a:graphicData>
                  </a:graphic>
                </wp:inline>
              </w:drawing>
            </w:r>
          </w:p>
          <w:p w14:paraId="318284E8">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式中：Leqg—建设项目声源在预测点的等效声级贡献值，dB（A）；</w:t>
            </w:r>
          </w:p>
          <w:p w14:paraId="387F8C9A">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 xml:space="preserve">      LAi—i声源在预测点产生的A声级，dB（A）；</w:t>
            </w:r>
          </w:p>
          <w:p w14:paraId="3F9EDEB3">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 xml:space="preserve">      T—预测计算的时间段，S；</w:t>
            </w:r>
          </w:p>
          <w:p w14:paraId="1053D95A">
            <w:pPr>
              <w:pStyle w:val="23"/>
              <w:spacing w:line="480" w:lineRule="exact"/>
              <w:ind w:left="0" w:leftChars="0" w:firstLine="480" w:firstLineChars="200"/>
              <w:jc w:val="both"/>
              <w:rPr>
                <w:color w:val="auto"/>
                <w:w w:val="100"/>
                <w:sz w:val="24"/>
                <w:szCs w:val="24"/>
                <w:highlight w:val="none"/>
              </w:rPr>
            </w:pPr>
            <w:r>
              <w:rPr>
                <w:color w:val="auto"/>
                <w:w w:val="100"/>
                <w:sz w:val="24"/>
                <w:szCs w:val="24"/>
                <w:highlight w:val="none"/>
              </w:rPr>
              <w:t xml:space="preserve">       Ti—i声源在T时段内的运行时间，S。</w:t>
            </w:r>
          </w:p>
          <w:p w14:paraId="77D93BBA">
            <w:pPr>
              <w:pStyle w:val="23"/>
              <w:spacing w:line="480" w:lineRule="exact"/>
              <w:ind w:left="0" w:leftChars="0" w:firstLine="480" w:firstLineChars="200"/>
              <w:jc w:val="both"/>
              <w:rPr>
                <w:rFonts w:hint="eastAsia"/>
                <w:b w:val="0"/>
                <w:bCs w:val="0"/>
                <w:color w:val="auto"/>
                <w:w w:val="100"/>
                <w:sz w:val="24"/>
                <w:szCs w:val="24"/>
                <w:highlight w:val="none"/>
              </w:rPr>
            </w:pPr>
            <w:r>
              <w:rPr>
                <w:color w:val="auto"/>
                <w:w w:val="100"/>
                <w:sz w:val="24"/>
                <w:szCs w:val="24"/>
                <w:highlight w:val="none"/>
              </w:rPr>
              <w:t>噪声预测结果</w:t>
            </w:r>
            <w:r>
              <w:rPr>
                <w:rFonts w:hint="eastAsia"/>
                <w:color w:val="auto"/>
                <w:w w:val="100"/>
                <w:sz w:val="24"/>
                <w:szCs w:val="24"/>
                <w:highlight w:val="none"/>
                <w:lang w:eastAsia="zh-CN"/>
              </w:rPr>
              <w:t>见下表</w:t>
            </w:r>
            <w:r>
              <w:rPr>
                <w:rFonts w:hint="eastAsia"/>
                <w:color w:val="auto"/>
                <w:w w:val="100"/>
                <w:sz w:val="24"/>
                <w:szCs w:val="24"/>
                <w:highlight w:val="none"/>
                <w:lang w:val="en-US" w:eastAsia="zh-CN"/>
              </w:rPr>
              <w:t>4-11。</w:t>
            </w:r>
          </w:p>
          <w:p w14:paraId="0BE34564">
            <w:pPr>
              <w:pStyle w:val="23"/>
              <w:keepNext w:val="0"/>
              <w:keepLines w:val="0"/>
              <w:pageBreakBefore w:val="0"/>
              <w:widowControl w:val="0"/>
              <w:kinsoku/>
              <w:wordWrap/>
              <w:overflowPunct/>
              <w:topLinePunct w:val="0"/>
              <w:autoSpaceDE/>
              <w:autoSpaceDN/>
              <w:bidi w:val="0"/>
              <w:adjustRightInd/>
              <w:snapToGrid/>
              <w:spacing w:line="480" w:lineRule="exact"/>
              <w:ind w:left="420"/>
              <w:textAlignment w:val="auto"/>
              <w:rPr>
                <w:b w:val="0"/>
                <w:bCs w:val="0"/>
                <w:color w:val="auto"/>
                <w:w w:val="100"/>
                <w:sz w:val="24"/>
                <w:szCs w:val="24"/>
                <w:highlight w:val="none"/>
              </w:rPr>
            </w:pPr>
            <w:r>
              <w:rPr>
                <w:rFonts w:hint="eastAsia"/>
                <w:b w:val="0"/>
                <w:bCs w:val="0"/>
                <w:color w:val="auto"/>
                <w:w w:val="100"/>
                <w:sz w:val="24"/>
                <w:szCs w:val="24"/>
                <w:highlight w:val="none"/>
              </w:rPr>
              <w:t>表</w:t>
            </w:r>
            <w:r>
              <w:rPr>
                <w:b w:val="0"/>
                <w:bCs w:val="0"/>
                <w:color w:val="auto"/>
                <w:w w:val="100"/>
                <w:sz w:val="24"/>
                <w:szCs w:val="24"/>
                <w:highlight w:val="none"/>
              </w:rPr>
              <w:t>4-</w:t>
            </w:r>
            <w:r>
              <w:rPr>
                <w:rFonts w:hint="eastAsia"/>
                <w:b w:val="0"/>
                <w:bCs w:val="0"/>
                <w:color w:val="auto"/>
                <w:w w:val="100"/>
                <w:sz w:val="24"/>
                <w:szCs w:val="24"/>
                <w:highlight w:val="none"/>
                <w:lang w:val="en-US" w:eastAsia="zh-CN"/>
              </w:rPr>
              <w:t>11</w:t>
            </w:r>
            <w:r>
              <w:rPr>
                <w:b w:val="0"/>
                <w:bCs w:val="0"/>
                <w:color w:val="auto"/>
                <w:w w:val="100"/>
                <w:sz w:val="24"/>
                <w:szCs w:val="24"/>
                <w:highlight w:val="none"/>
              </w:rPr>
              <w:t xml:space="preserve"> </w:t>
            </w:r>
            <w:r>
              <w:rPr>
                <w:rFonts w:hint="eastAsia"/>
                <w:b w:val="0"/>
                <w:bCs w:val="0"/>
                <w:color w:val="auto"/>
                <w:w w:val="100"/>
                <w:sz w:val="24"/>
                <w:szCs w:val="24"/>
                <w:highlight w:val="none"/>
              </w:rPr>
              <w:t xml:space="preserve"> </w:t>
            </w:r>
            <w:r>
              <w:rPr>
                <w:b w:val="0"/>
                <w:bCs w:val="0"/>
                <w:color w:val="auto"/>
                <w:w w:val="100"/>
                <w:sz w:val="24"/>
                <w:szCs w:val="24"/>
                <w:highlight w:val="none"/>
              </w:rPr>
              <w:t>工业企业噪声源强调查清单（室内声源）</w:t>
            </w:r>
          </w:p>
          <w:tbl>
            <w:tblPr>
              <w:tblStyle w:val="17"/>
              <w:tblpPr w:leftFromText="180" w:rightFromText="180" w:vertAnchor="text" w:horzAnchor="page" w:tblpX="336" w:tblpY="32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
              <w:gridCol w:w="375"/>
              <w:gridCol w:w="375"/>
              <w:gridCol w:w="375"/>
              <w:gridCol w:w="483"/>
              <w:gridCol w:w="375"/>
              <w:gridCol w:w="375"/>
              <w:gridCol w:w="348"/>
              <w:gridCol w:w="212"/>
              <w:gridCol w:w="292"/>
              <w:gridCol w:w="292"/>
              <w:gridCol w:w="292"/>
              <w:gridCol w:w="292"/>
              <w:gridCol w:w="292"/>
              <w:gridCol w:w="292"/>
              <w:gridCol w:w="292"/>
              <w:gridCol w:w="292"/>
              <w:gridCol w:w="375"/>
              <w:gridCol w:w="292"/>
              <w:gridCol w:w="292"/>
              <w:gridCol w:w="292"/>
              <w:gridCol w:w="292"/>
              <w:gridCol w:w="291"/>
              <w:gridCol w:w="291"/>
              <w:gridCol w:w="291"/>
              <w:gridCol w:w="291"/>
              <w:gridCol w:w="171"/>
            </w:tblGrid>
            <w:tr w14:paraId="2BF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220" w:type="pct"/>
                  <w:vMerge w:val="restart"/>
                  <w:noWrap w:val="0"/>
                  <w:vAlign w:val="center"/>
                </w:tcPr>
                <w:p w14:paraId="4A3CFA9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bookmarkStart w:id="3" w:name="PT_6"/>
                  <w:r>
                    <w:rPr>
                      <w:rFonts w:hint="default" w:ascii="Times New Roman" w:hAnsi="Times New Roman" w:eastAsia="宋体" w:cs="Times New Roman"/>
                      <w:b/>
                      <w:color w:val="auto"/>
                      <w:sz w:val="18"/>
                      <w:szCs w:val="18"/>
                      <w:highlight w:val="none"/>
                    </w:rPr>
                    <w:t>序号</w:t>
                  </w:r>
                </w:p>
              </w:tc>
              <w:tc>
                <w:tcPr>
                  <w:tcW w:w="220" w:type="pct"/>
                  <w:vMerge w:val="restart"/>
                  <w:noWrap w:val="0"/>
                  <w:vAlign w:val="center"/>
                </w:tcPr>
                <w:p w14:paraId="7A5366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建筑物名称</w:t>
                  </w:r>
                </w:p>
              </w:tc>
              <w:tc>
                <w:tcPr>
                  <w:tcW w:w="220" w:type="pct"/>
                  <w:vMerge w:val="restart"/>
                  <w:noWrap w:val="0"/>
                  <w:vAlign w:val="center"/>
                </w:tcPr>
                <w:p w14:paraId="12F82EF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声源名称</w:t>
                  </w:r>
                </w:p>
              </w:tc>
              <w:tc>
                <w:tcPr>
                  <w:tcW w:w="220" w:type="pct"/>
                  <w:vMerge w:val="restart"/>
                  <w:noWrap w:val="0"/>
                  <w:vAlign w:val="center"/>
                </w:tcPr>
                <w:p w14:paraId="4C24B58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型号</w:t>
                  </w:r>
                </w:p>
              </w:tc>
              <w:tc>
                <w:tcPr>
                  <w:tcW w:w="283" w:type="pct"/>
                  <w:noWrap w:val="0"/>
                  <w:vAlign w:val="center"/>
                </w:tcPr>
                <w:p w14:paraId="03F256F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声源源强</w:t>
                  </w:r>
                </w:p>
              </w:tc>
              <w:tc>
                <w:tcPr>
                  <w:tcW w:w="220" w:type="pct"/>
                  <w:vMerge w:val="restart"/>
                  <w:noWrap w:val="0"/>
                  <w:vAlign w:val="center"/>
                </w:tcPr>
                <w:p w14:paraId="0FC447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声源控制措施</w:t>
                  </w:r>
                </w:p>
              </w:tc>
              <w:tc>
                <w:tcPr>
                  <w:tcW w:w="549" w:type="pct"/>
                  <w:gridSpan w:val="3"/>
                  <w:noWrap w:val="0"/>
                  <w:vAlign w:val="center"/>
                </w:tcPr>
                <w:p w14:paraId="380889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空间相对位置/m</w:t>
                  </w:r>
                </w:p>
              </w:tc>
              <w:tc>
                <w:tcPr>
                  <w:tcW w:w="686" w:type="pct"/>
                  <w:gridSpan w:val="4"/>
                  <w:noWrap w:val="0"/>
                  <w:vAlign w:val="center"/>
                </w:tcPr>
                <w:p w14:paraId="030744A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距室内边界距离/m</w:t>
                  </w:r>
                </w:p>
              </w:tc>
              <w:tc>
                <w:tcPr>
                  <w:tcW w:w="686" w:type="pct"/>
                  <w:gridSpan w:val="4"/>
                  <w:noWrap w:val="0"/>
                  <w:vAlign w:val="center"/>
                </w:tcPr>
                <w:p w14:paraId="3ABFEA6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室内边界声级/dB(A)</w:t>
                  </w:r>
                </w:p>
              </w:tc>
              <w:tc>
                <w:tcPr>
                  <w:tcW w:w="220" w:type="pct"/>
                  <w:vMerge w:val="restart"/>
                  <w:noWrap w:val="0"/>
                  <w:vAlign w:val="center"/>
                </w:tcPr>
                <w:p w14:paraId="7681E1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运行时段</w:t>
                  </w:r>
                </w:p>
              </w:tc>
              <w:tc>
                <w:tcPr>
                  <w:tcW w:w="686" w:type="pct"/>
                  <w:gridSpan w:val="4"/>
                  <w:noWrap w:val="0"/>
                  <w:vAlign w:val="center"/>
                </w:tcPr>
                <w:p w14:paraId="7F1B80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建筑物插入损失 / dB(A)</w:t>
                  </w:r>
                  <w:bookmarkStart w:id="4" w:name="PT_10"/>
                  <w:bookmarkEnd w:id="4"/>
                </w:p>
              </w:tc>
              <w:tc>
                <w:tcPr>
                  <w:tcW w:w="784" w:type="pct"/>
                  <w:gridSpan w:val="5"/>
                  <w:noWrap w:val="0"/>
                  <w:vAlign w:val="center"/>
                </w:tcPr>
                <w:p w14:paraId="1EB14C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建筑物外噪声声压级/dB(A)</w:t>
                  </w:r>
                </w:p>
              </w:tc>
            </w:tr>
            <w:tr w14:paraId="4D3A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vMerge w:val="continue"/>
                  <w:shd w:val="clear" w:color="auto" w:fill="FFFFFF"/>
                  <w:noWrap w:val="0"/>
                  <w:tcMar>
                    <w:top w:w="0" w:type="dxa"/>
                    <w:left w:w="0" w:type="dxa"/>
                    <w:bottom w:w="0" w:type="dxa"/>
                    <w:right w:w="0" w:type="dxa"/>
                  </w:tcMar>
                  <w:vAlign w:val="center"/>
                </w:tcPr>
                <w:p w14:paraId="555279D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220" w:type="pct"/>
                  <w:vMerge w:val="continue"/>
                  <w:shd w:val="clear" w:color="auto" w:fill="FFFFFF"/>
                  <w:noWrap w:val="0"/>
                  <w:tcMar>
                    <w:top w:w="0" w:type="dxa"/>
                    <w:left w:w="0" w:type="dxa"/>
                    <w:bottom w:w="0" w:type="dxa"/>
                    <w:right w:w="0" w:type="dxa"/>
                  </w:tcMar>
                  <w:vAlign w:val="center"/>
                </w:tcPr>
                <w:p w14:paraId="1578D19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vMerge w:val="continue"/>
                  <w:shd w:val="clear" w:color="auto" w:fill="FFFFFF"/>
                  <w:noWrap w:val="0"/>
                  <w:tcMar>
                    <w:top w:w="0" w:type="dxa"/>
                    <w:left w:w="0" w:type="dxa"/>
                    <w:bottom w:w="0" w:type="dxa"/>
                    <w:right w:w="0" w:type="dxa"/>
                  </w:tcMar>
                  <w:vAlign w:val="center"/>
                </w:tcPr>
                <w:p w14:paraId="0FEAE6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vMerge w:val="continue"/>
                  <w:shd w:val="clear" w:color="auto" w:fill="FFFFFF"/>
                  <w:noWrap w:val="0"/>
                  <w:tcMar>
                    <w:top w:w="0" w:type="dxa"/>
                    <w:left w:w="0" w:type="dxa"/>
                    <w:bottom w:w="0" w:type="dxa"/>
                    <w:right w:w="0" w:type="dxa"/>
                  </w:tcMar>
                  <w:vAlign w:val="center"/>
                </w:tcPr>
                <w:p w14:paraId="2AD38F5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05DC72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声功率级/dB(A)</w:t>
                  </w:r>
                </w:p>
              </w:tc>
              <w:tc>
                <w:tcPr>
                  <w:tcW w:w="220" w:type="pct"/>
                  <w:vMerge w:val="continue"/>
                  <w:shd w:val="clear" w:color="auto" w:fill="FFFFFF"/>
                  <w:noWrap w:val="0"/>
                  <w:tcMar>
                    <w:top w:w="0" w:type="dxa"/>
                    <w:left w:w="0" w:type="dxa"/>
                    <w:bottom w:w="0" w:type="dxa"/>
                    <w:right w:w="0" w:type="dxa"/>
                  </w:tcMar>
                  <w:vAlign w:val="center"/>
                </w:tcPr>
                <w:p w14:paraId="19A83D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0F5AA5B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w:t>
                  </w:r>
                </w:p>
              </w:tc>
              <w:tc>
                <w:tcPr>
                  <w:tcW w:w="204" w:type="pct"/>
                  <w:shd w:val="clear" w:color="auto" w:fill="FFFFFF"/>
                  <w:noWrap w:val="0"/>
                  <w:tcMar>
                    <w:top w:w="0" w:type="dxa"/>
                    <w:left w:w="0" w:type="dxa"/>
                    <w:bottom w:w="0" w:type="dxa"/>
                    <w:right w:w="0" w:type="dxa"/>
                  </w:tcMar>
                  <w:vAlign w:val="center"/>
                </w:tcPr>
                <w:p w14:paraId="1A252BF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Y</w:t>
                  </w:r>
                </w:p>
              </w:tc>
              <w:tc>
                <w:tcPr>
                  <w:tcW w:w="124" w:type="pct"/>
                  <w:shd w:val="clear" w:color="auto" w:fill="FFFFFF"/>
                  <w:noWrap w:val="0"/>
                  <w:tcMar>
                    <w:top w:w="0" w:type="dxa"/>
                    <w:left w:w="0" w:type="dxa"/>
                    <w:bottom w:w="0" w:type="dxa"/>
                    <w:right w:w="0" w:type="dxa"/>
                  </w:tcMar>
                  <w:vAlign w:val="center"/>
                </w:tcPr>
                <w:p w14:paraId="6DBB26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Z</w:t>
                  </w:r>
                </w:p>
              </w:tc>
              <w:tc>
                <w:tcPr>
                  <w:tcW w:w="171" w:type="pct"/>
                  <w:shd w:val="clear" w:color="auto" w:fill="FFFFFF"/>
                  <w:noWrap w:val="0"/>
                  <w:tcMar>
                    <w:top w:w="0" w:type="dxa"/>
                    <w:left w:w="0" w:type="dxa"/>
                    <w:bottom w:w="0" w:type="dxa"/>
                    <w:right w:w="0" w:type="dxa"/>
                  </w:tcMar>
                  <w:vAlign w:val="center"/>
                </w:tcPr>
                <w:p w14:paraId="29FF55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171" w:type="pct"/>
                  <w:shd w:val="clear" w:color="auto" w:fill="FFFFFF"/>
                  <w:noWrap w:val="0"/>
                  <w:tcMar>
                    <w:top w:w="0" w:type="dxa"/>
                    <w:left w:w="0" w:type="dxa"/>
                    <w:bottom w:w="0" w:type="dxa"/>
                    <w:right w:w="0" w:type="dxa"/>
                  </w:tcMar>
                  <w:vAlign w:val="center"/>
                </w:tcPr>
                <w:p w14:paraId="6B3BF27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171" w:type="pct"/>
                  <w:shd w:val="clear" w:color="auto" w:fill="FFFFFF"/>
                  <w:noWrap w:val="0"/>
                  <w:tcMar>
                    <w:top w:w="0" w:type="dxa"/>
                    <w:left w:w="0" w:type="dxa"/>
                    <w:bottom w:w="0" w:type="dxa"/>
                    <w:right w:w="0" w:type="dxa"/>
                  </w:tcMar>
                  <w:vAlign w:val="center"/>
                </w:tcPr>
                <w:p w14:paraId="7246DED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171" w:type="pct"/>
                  <w:shd w:val="clear" w:color="auto" w:fill="FFFFFF"/>
                  <w:noWrap w:val="0"/>
                  <w:tcMar>
                    <w:top w:w="0" w:type="dxa"/>
                    <w:left w:w="0" w:type="dxa"/>
                    <w:bottom w:w="0" w:type="dxa"/>
                    <w:right w:w="0" w:type="dxa"/>
                  </w:tcMar>
                  <w:vAlign w:val="center"/>
                </w:tcPr>
                <w:p w14:paraId="0642990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171" w:type="pct"/>
                  <w:shd w:val="clear" w:color="auto" w:fill="FFFFFF"/>
                  <w:noWrap w:val="0"/>
                  <w:tcMar>
                    <w:top w:w="0" w:type="dxa"/>
                    <w:left w:w="0" w:type="dxa"/>
                    <w:bottom w:w="0" w:type="dxa"/>
                    <w:right w:w="0" w:type="dxa"/>
                  </w:tcMar>
                  <w:vAlign w:val="center"/>
                </w:tcPr>
                <w:p w14:paraId="7FA48C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171" w:type="pct"/>
                  <w:shd w:val="clear" w:color="auto" w:fill="FFFFFF"/>
                  <w:noWrap w:val="0"/>
                  <w:tcMar>
                    <w:top w:w="0" w:type="dxa"/>
                    <w:left w:w="0" w:type="dxa"/>
                    <w:bottom w:w="0" w:type="dxa"/>
                    <w:right w:w="0" w:type="dxa"/>
                  </w:tcMar>
                  <w:vAlign w:val="center"/>
                </w:tcPr>
                <w:p w14:paraId="5AE63CD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171" w:type="pct"/>
                  <w:shd w:val="clear" w:color="auto" w:fill="FFFFFF"/>
                  <w:noWrap w:val="0"/>
                  <w:tcMar>
                    <w:top w:w="0" w:type="dxa"/>
                    <w:left w:w="0" w:type="dxa"/>
                    <w:bottom w:w="0" w:type="dxa"/>
                    <w:right w:w="0" w:type="dxa"/>
                  </w:tcMar>
                  <w:vAlign w:val="center"/>
                </w:tcPr>
                <w:p w14:paraId="00EA30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171" w:type="pct"/>
                  <w:shd w:val="clear" w:color="auto" w:fill="FFFFFF"/>
                  <w:noWrap w:val="0"/>
                  <w:tcMar>
                    <w:top w:w="0" w:type="dxa"/>
                    <w:left w:w="0" w:type="dxa"/>
                    <w:bottom w:w="0" w:type="dxa"/>
                    <w:right w:w="0" w:type="dxa"/>
                  </w:tcMar>
                  <w:vAlign w:val="center"/>
                </w:tcPr>
                <w:p w14:paraId="707FB8C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220" w:type="pct"/>
                  <w:vMerge w:val="continue"/>
                  <w:shd w:val="clear" w:color="auto" w:fill="FFFFFF"/>
                  <w:noWrap w:val="0"/>
                  <w:tcMar>
                    <w:top w:w="0" w:type="dxa"/>
                    <w:left w:w="0" w:type="dxa"/>
                    <w:bottom w:w="0" w:type="dxa"/>
                    <w:right w:w="0" w:type="dxa"/>
                  </w:tcMar>
                  <w:vAlign w:val="center"/>
                </w:tcPr>
                <w:p w14:paraId="59A8CA7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2DAEC85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171" w:type="pct"/>
                  <w:shd w:val="clear" w:color="auto" w:fill="FFFFFF"/>
                  <w:noWrap w:val="0"/>
                  <w:tcMar>
                    <w:top w:w="0" w:type="dxa"/>
                    <w:left w:w="0" w:type="dxa"/>
                    <w:bottom w:w="0" w:type="dxa"/>
                    <w:right w:w="0" w:type="dxa"/>
                  </w:tcMar>
                  <w:vAlign w:val="center"/>
                </w:tcPr>
                <w:p w14:paraId="2F1E9B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171" w:type="pct"/>
                  <w:shd w:val="clear" w:color="auto" w:fill="FFFFFF"/>
                  <w:noWrap w:val="0"/>
                  <w:tcMar>
                    <w:top w:w="0" w:type="dxa"/>
                    <w:left w:w="0" w:type="dxa"/>
                    <w:bottom w:w="0" w:type="dxa"/>
                    <w:right w:w="0" w:type="dxa"/>
                  </w:tcMar>
                  <w:vAlign w:val="center"/>
                </w:tcPr>
                <w:p w14:paraId="247D670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171" w:type="pct"/>
                  <w:shd w:val="clear" w:color="auto" w:fill="FFFFFF"/>
                  <w:noWrap w:val="0"/>
                  <w:tcMar>
                    <w:top w:w="0" w:type="dxa"/>
                    <w:left w:w="0" w:type="dxa"/>
                    <w:bottom w:w="0" w:type="dxa"/>
                    <w:right w:w="0" w:type="dxa"/>
                  </w:tcMar>
                  <w:vAlign w:val="center"/>
                </w:tcPr>
                <w:p w14:paraId="04C882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171" w:type="pct"/>
                  <w:shd w:val="clear" w:color="auto" w:fill="FFFFFF"/>
                  <w:noWrap w:val="0"/>
                  <w:tcMar>
                    <w:top w:w="0" w:type="dxa"/>
                    <w:left w:w="0" w:type="dxa"/>
                    <w:bottom w:w="0" w:type="dxa"/>
                    <w:right w:w="0" w:type="dxa"/>
                  </w:tcMar>
                  <w:vAlign w:val="center"/>
                </w:tcPr>
                <w:p w14:paraId="66099B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171" w:type="pct"/>
                  <w:shd w:val="clear" w:color="auto" w:fill="FFFFFF"/>
                  <w:noWrap w:val="0"/>
                  <w:tcMar>
                    <w:top w:w="0" w:type="dxa"/>
                    <w:left w:w="0" w:type="dxa"/>
                    <w:bottom w:w="0" w:type="dxa"/>
                    <w:right w:w="0" w:type="dxa"/>
                  </w:tcMar>
                  <w:vAlign w:val="center"/>
                </w:tcPr>
                <w:p w14:paraId="1B3234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171" w:type="pct"/>
                  <w:shd w:val="clear" w:color="auto" w:fill="FFFFFF"/>
                  <w:noWrap w:val="0"/>
                  <w:tcMar>
                    <w:top w:w="0" w:type="dxa"/>
                    <w:left w:w="0" w:type="dxa"/>
                    <w:bottom w:w="0" w:type="dxa"/>
                    <w:right w:w="0" w:type="dxa"/>
                  </w:tcMar>
                  <w:vAlign w:val="center"/>
                </w:tcPr>
                <w:p w14:paraId="243EF0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171" w:type="pct"/>
                  <w:shd w:val="clear" w:color="auto" w:fill="FFFFFF"/>
                  <w:noWrap w:val="0"/>
                  <w:tcMar>
                    <w:top w:w="0" w:type="dxa"/>
                    <w:left w:w="0" w:type="dxa"/>
                    <w:bottom w:w="0" w:type="dxa"/>
                    <w:right w:w="0" w:type="dxa"/>
                  </w:tcMar>
                  <w:vAlign w:val="center"/>
                </w:tcPr>
                <w:p w14:paraId="1098EE8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100" w:type="pct"/>
                  <w:shd w:val="clear" w:color="auto" w:fill="FFFFFF"/>
                  <w:noWrap w:val="0"/>
                  <w:tcMar>
                    <w:top w:w="0" w:type="dxa"/>
                    <w:left w:w="0" w:type="dxa"/>
                    <w:bottom w:w="0" w:type="dxa"/>
                    <w:right w:w="0" w:type="dxa"/>
                  </w:tcMar>
                  <w:vAlign w:val="center"/>
                </w:tcPr>
                <w:p w14:paraId="023459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建筑物外距离</w:t>
                  </w:r>
                </w:p>
              </w:tc>
            </w:tr>
            <w:tr w14:paraId="3655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67C6AFE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20" w:type="pct"/>
                  <w:vMerge w:val="restart"/>
                  <w:shd w:val="clear" w:color="auto" w:fill="FFFFFF"/>
                  <w:noWrap w:val="0"/>
                  <w:tcMar>
                    <w:top w:w="0" w:type="dxa"/>
                    <w:left w:w="0" w:type="dxa"/>
                    <w:bottom w:w="0" w:type="dxa"/>
                    <w:right w:w="0" w:type="dxa"/>
                  </w:tcMar>
                  <w:vAlign w:val="center"/>
                </w:tcPr>
                <w:p w14:paraId="53CEC6E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铸造车间</w:t>
                  </w:r>
                </w:p>
              </w:tc>
              <w:tc>
                <w:tcPr>
                  <w:tcW w:w="220" w:type="pct"/>
                  <w:shd w:val="clear" w:color="auto" w:fill="FFFFFF"/>
                  <w:noWrap w:val="0"/>
                  <w:tcMar>
                    <w:top w:w="0" w:type="dxa"/>
                    <w:left w:w="0" w:type="dxa"/>
                    <w:bottom w:w="0" w:type="dxa"/>
                    <w:right w:w="0" w:type="dxa"/>
                  </w:tcMar>
                  <w:vAlign w:val="center"/>
                </w:tcPr>
                <w:p w14:paraId="590280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空气压缩机</w:t>
                  </w:r>
                </w:p>
              </w:tc>
              <w:tc>
                <w:tcPr>
                  <w:tcW w:w="220" w:type="pct"/>
                  <w:shd w:val="clear" w:color="auto" w:fill="FFFFFF"/>
                  <w:noWrap w:val="0"/>
                  <w:tcMar>
                    <w:top w:w="0" w:type="dxa"/>
                    <w:left w:w="0" w:type="dxa"/>
                    <w:bottom w:w="0" w:type="dxa"/>
                    <w:right w:w="0" w:type="dxa"/>
                  </w:tcMar>
                  <w:vAlign w:val="center"/>
                </w:tcPr>
                <w:p w14:paraId="50DB77F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2A26C4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restart"/>
                  <w:shd w:val="clear" w:color="auto" w:fill="FFFFFF"/>
                  <w:noWrap w:val="0"/>
                  <w:tcMar>
                    <w:top w:w="0" w:type="dxa"/>
                    <w:left w:w="0" w:type="dxa"/>
                    <w:bottom w:w="0" w:type="dxa"/>
                    <w:right w:w="0" w:type="dxa"/>
                  </w:tcMar>
                  <w:vAlign w:val="center"/>
                </w:tcPr>
                <w:p w14:paraId="0A6C84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18"/>
                      <w:szCs w:val="18"/>
                      <w:highlight w:val="none"/>
                    </w:rPr>
                  </w:pPr>
                  <w:r>
                    <w:rPr>
                      <w:rFonts w:hint="eastAsia"/>
                      <w:color w:val="auto"/>
                      <w:sz w:val="18"/>
                      <w:szCs w:val="18"/>
                      <w:highlight w:val="none"/>
                    </w:rPr>
                    <w:t>低</w:t>
                  </w:r>
                </w:p>
                <w:p w14:paraId="031A0B1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18"/>
                      <w:szCs w:val="18"/>
                      <w:highlight w:val="none"/>
                    </w:rPr>
                  </w:pPr>
                  <w:r>
                    <w:rPr>
                      <w:rFonts w:hint="eastAsia"/>
                      <w:color w:val="auto"/>
                      <w:sz w:val="18"/>
                      <w:szCs w:val="18"/>
                      <w:highlight w:val="none"/>
                    </w:rPr>
                    <w:t>噪</w:t>
                  </w:r>
                </w:p>
                <w:p w14:paraId="765875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18"/>
                      <w:szCs w:val="18"/>
                      <w:highlight w:val="none"/>
                    </w:rPr>
                  </w:pPr>
                  <w:r>
                    <w:rPr>
                      <w:rFonts w:hint="eastAsia"/>
                      <w:color w:val="auto"/>
                      <w:sz w:val="18"/>
                      <w:szCs w:val="18"/>
                      <w:highlight w:val="none"/>
                    </w:rPr>
                    <w:t>设</w:t>
                  </w:r>
                </w:p>
                <w:p w14:paraId="1928B5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18"/>
                      <w:szCs w:val="18"/>
                      <w:highlight w:val="none"/>
                    </w:rPr>
                  </w:pPr>
                  <w:r>
                    <w:rPr>
                      <w:rFonts w:hint="eastAsia"/>
                      <w:color w:val="auto"/>
                      <w:sz w:val="18"/>
                      <w:szCs w:val="18"/>
                      <w:highlight w:val="none"/>
                    </w:rPr>
                    <w:t>备</w:t>
                  </w:r>
                </w:p>
                <w:p w14:paraId="46F679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厂</w:t>
                  </w:r>
                </w:p>
                <w:p w14:paraId="5D53344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房</w:t>
                  </w:r>
                </w:p>
                <w:p w14:paraId="7E708C4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隔</w:t>
                  </w:r>
                </w:p>
                <w:p w14:paraId="75D68C3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声</w:t>
                  </w:r>
                </w:p>
                <w:p w14:paraId="33425F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基</w:t>
                  </w:r>
                </w:p>
                <w:p w14:paraId="2EC897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础</w:t>
                  </w:r>
                </w:p>
                <w:p w14:paraId="7A66F70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减</w:t>
                  </w:r>
                </w:p>
                <w:p w14:paraId="2D6A11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震</w:t>
                  </w:r>
                </w:p>
              </w:tc>
              <w:tc>
                <w:tcPr>
                  <w:tcW w:w="220" w:type="pct"/>
                  <w:shd w:val="clear" w:color="auto" w:fill="FFFFFF"/>
                  <w:noWrap w:val="0"/>
                  <w:tcMar>
                    <w:top w:w="0" w:type="dxa"/>
                    <w:left w:w="0" w:type="dxa"/>
                    <w:bottom w:w="0" w:type="dxa"/>
                    <w:right w:w="0" w:type="dxa"/>
                  </w:tcMar>
                  <w:vAlign w:val="center"/>
                </w:tcPr>
                <w:p w14:paraId="1B264BA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71.1</w:t>
                  </w:r>
                </w:p>
              </w:tc>
              <w:tc>
                <w:tcPr>
                  <w:tcW w:w="204" w:type="pct"/>
                  <w:shd w:val="clear" w:color="auto" w:fill="FFFFFF"/>
                  <w:noWrap w:val="0"/>
                  <w:tcMar>
                    <w:top w:w="0" w:type="dxa"/>
                    <w:left w:w="0" w:type="dxa"/>
                    <w:bottom w:w="0" w:type="dxa"/>
                    <w:right w:w="0" w:type="dxa"/>
                  </w:tcMar>
                  <w:vAlign w:val="center"/>
                </w:tcPr>
                <w:p w14:paraId="53C65D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-15.1</w:t>
                  </w:r>
                </w:p>
              </w:tc>
              <w:tc>
                <w:tcPr>
                  <w:tcW w:w="124" w:type="pct"/>
                  <w:shd w:val="clear" w:color="auto" w:fill="FFFFFF"/>
                  <w:noWrap w:val="0"/>
                  <w:tcMar>
                    <w:top w:w="0" w:type="dxa"/>
                    <w:left w:w="0" w:type="dxa"/>
                    <w:bottom w:w="0" w:type="dxa"/>
                    <w:right w:w="0" w:type="dxa"/>
                  </w:tcMar>
                  <w:vAlign w:val="center"/>
                </w:tcPr>
                <w:p w14:paraId="47FAF0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7C41426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65.6</w:t>
                  </w:r>
                </w:p>
              </w:tc>
              <w:tc>
                <w:tcPr>
                  <w:tcW w:w="171" w:type="pct"/>
                  <w:shd w:val="clear" w:color="auto" w:fill="FFFFFF"/>
                  <w:noWrap w:val="0"/>
                  <w:tcMar>
                    <w:top w:w="0" w:type="dxa"/>
                    <w:left w:w="0" w:type="dxa"/>
                    <w:bottom w:w="0" w:type="dxa"/>
                    <w:right w:w="0" w:type="dxa"/>
                  </w:tcMar>
                  <w:vAlign w:val="center"/>
                </w:tcPr>
                <w:p w14:paraId="3E8A40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5.5</w:t>
                  </w:r>
                </w:p>
              </w:tc>
              <w:tc>
                <w:tcPr>
                  <w:tcW w:w="171" w:type="pct"/>
                  <w:shd w:val="clear" w:color="auto" w:fill="FFFFFF"/>
                  <w:noWrap w:val="0"/>
                  <w:tcMar>
                    <w:top w:w="0" w:type="dxa"/>
                    <w:left w:w="0" w:type="dxa"/>
                    <w:bottom w:w="0" w:type="dxa"/>
                    <w:right w:w="0" w:type="dxa"/>
                  </w:tcMar>
                  <w:vAlign w:val="center"/>
                </w:tcPr>
                <w:p w14:paraId="02B0F5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14.4</w:t>
                  </w:r>
                </w:p>
              </w:tc>
              <w:tc>
                <w:tcPr>
                  <w:tcW w:w="171" w:type="pct"/>
                  <w:shd w:val="clear" w:color="auto" w:fill="FFFFFF"/>
                  <w:noWrap w:val="0"/>
                  <w:tcMar>
                    <w:top w:w="0" w:type="dxa"/>
                    <w:left w:w="0" w:type="dxa"/>
                    <w:bottom w:w="0" w:type="dxa"/>
                    <w:right w:w="0" w:type="dxa"/>
                  </w:tcMar>
                  <w:vAlign w:val="center"/>
                </w:tcPr>
                <w:p w14:paraId="38CF8A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12.5</w:t>
                  </w:r>
                </w:p>
              </w:tc>
              <w:tc>
                <w:tcPr>
                  <w:tcW w:w="171" w:type="pct"/>
                  <w:shd w:val="clear" w:color="auto" w:fill="FFFFFF"/>
                  <w:noWrap w:val="0"/>
                  <w:tcMar>
                    <w:top w:w="0" w:type="dxa"/>
                    <w:left w:w="0" w:type="dxa"/>
                    <w:bottom w:w="0" w:type="dxa"/>
                    <w:right w:w="0" w:type="dxa"/>
                  </w:tcMar>
                  <w:vAlign w:val="center"/>
                </w:tcPr>
                <w:p w14:paraId="686F78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6CD0E5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63.8</w:t>
                  </w:r>
                </w:p>
              </w:tc>
              <w:tc>
                <w:tcPr>
                  <w:tcW w:w="171" w:type="pct"/>
                  <w:shd w:val="clear" w:color="auto" w:fill="FFFFFF"/>
                  <w:noWrap w:val="0"/>
                  <w:tcMar>
                    <w:top w:w="0" w:type="dxa"/>
                    <w:left w:w="0" w:type="dxa"/>
                    <w:bottom w:w="0" w:type="dxa"/>
                    <w:right w:w="0" w:type="dxa"/>
                  </w:tcMar>
                  <w:vAlign w:val="center"/>
                </w:tcPr>
                <w:p w14:paraId="2F6CA9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171" w:type="pct"/>
                  <w:shd w:val="clear" w:color="auto" w:fill="FFFFFF"/>
                  <w:noWrap w:val="0"/>
                  <w:tcMar>
                    <w:top w:w="0" w:type="dxa"/>
                    <w:left w:w="0" w:type="dxa"/>
                    <w:bottom w:w="0" w:type="dxa"/>
                    <w:right w:w="0" w:type="dxa"/>
                  </w:tcMar>
                  <w:vAlign w:val="center"/>
                </w:tcPr>
                <w:p w14:paraId="422F3F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220" w:type="pct"/>
                  <w:vMerge w:val="restart"/>
                  <w:shd w:val="clear" w:color="auto" w:fill="FFFFFF"/>
                  <w:noWrap w:val="0"/>
                  <w:tcMar>
                    <w:top w:w="0" w:type="dxa"/>
                    <w:left w:w="0" w:type="dxa"/>
                    <w:bottom w:w="0" w:type="dxa"/>
                    <w:right w:w="0" w:type="dxa"/>
                  </w:tcMar>
                  <w:vAlign w:val="center"/>
                </w:tcPr>
                <w:p w14:paraId="204BCA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全天</w:t>
                  </w:r>
                </w:p>
              </w:tc>
              <w:tc>
                <w:tcPr>
                  <w:tcW w:w="171" w:type="pct"/>
                  <w:shd w:val="clear" w:color="auto" w:fill="FFFFFF"/>
                  <w:noWrap w:val="0"/>
                  <w:tcMar>
                    <w:top w:w="0" w:type="dxa"/>
                    <w:left w:w="0" w:type="dxa"/>
                    <w:bottom w:w="0" w:type="dxa"/>
                    <w:right w:w="0" w:type="dxa"/>
                  </w:tcMar>
                  <w:vAlign w:val="center"/>
                </w:tcPr>
                <w:p w14:paraId="0663DA4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7FC0C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342A8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4B842C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B5672D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12F4A86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37.8</w:t>
                  </w:r>
                </w:p>
              </w:tc>
              <w:tc>
                <w:tcPr>
                  <w:tcW w:w="171" w:type="pct"/>
                  <w:shd w:val="clear" w:color="auto" w:fill="FFFFFF"/>
                  <w:noWrap w:val="0"/>
                  <w:tcMar>
                    <w:top w:w="0" w:type="dxa"/>
                    <w:left w:w="0" w:type="dxa"/>
                    <w:bottom w:w="0" w:type="dxa"/>
                    <w:right w:w="0" w:type="dxa"/>
                  </w:tcMar>
                  <w:vAlign w:val="center"/>
                </w:tcPr>
                <w:p w14:paraId="3D8DA12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71" w:type="pct"/>
                  <w:shd w:val="clear" w:color="auto" w:fill="FFFFFF"/>
                  <w:noWrap w:val="0"/>
                  <w:tcMar>
                    <w:top w:w="0" w:type="dxa"/>
                    <w:left w:w="0" w:type="dxa"/>
                    <w:bottom w:w="0" w:type="dxa"/>
                    <w:right w:w="0" w:type="dxa"/>
                  </w:tcMar>
                  <w:vAlign w:val="center"/>
                </w:tcPr>
                <w:p w14:paraId="29BEC1C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00" w:type="pct"/>
                  <w:shd w:val="clear" w:color="auto" w:fill="FFFFFF"/>
                  <w:noWrap w:val="0"/>
                  <w:tcMar>
                    <w:top w:w="0" w:type="dxa"/>
                    <w:left w:w="0" w:type="dxa"/>
                    <w:bottom w:w="0" w:type="dxa"/>
                    <w:right w:w="0" w:type="dxa"/>
                  </w:tcMar>
                  <w:vAlign w:val="center"/>
                </w:tcPr>
                <w:p w14:paraId="74B8830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253E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430742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20" w:type="pct"/>
                  <w:vMerge w:val="continue"/>
                  <w:shd w:val="clear" w:color="auto" w:fill="FFFFFF"/>
                  <w:noWrap w:val="0"/>
                  <w:tcMar>
                    <w:top w:w="0" w:type="dxa"/>
                    <w:left w:w="0" w:type="dxa"/>
                    <w:bottom w:w="0" w:type="dxa"/>
                    <w:right w:w="0" w:type="dxa"/>
                  </w:tcMar>
                  <w:vAlign w:val="center"/>
                </w:tcPr>
                <w:p w14:paraId="756ADCF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71EDE8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除尘器2</w:t>
                  </w:r>
                </w:p>
              </w:tc>
              <w:tc>
                <w:tcPr>
                  <w:tcW w:w="220" w:type="pct"/>
                  <w:shd w:val="clear" w:color="auto" w:fill="FFFFFF"/>
                  <w:noWrap w:val="0"/>
                  <w:tcMar>
                    <w:top w:w="0" w:type="dxa"/>
                    <w:left w:w="0" w:type="dxa"/>
                    <w:bottom w:w="0" w:type="dxa"/>
                    <w:right w:w="0" w:type="dxa"/>
                  </w:tcMar>
                  <w:vAlign w:val="center"/>
                </w:tcPr>
                <w:p w14:paraId="2AD4845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6469D7F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4F1CF9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6982D0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84.2</w:t>
                  </w:r>
                </w:p>
              </w:tc>
              <w:tc>
                <w:tcPr>
                  <w:tcW w:w="204" w:type="pct"/>
                  <w:shd w:val="clear" w:color="auto" w:fill="FFFFFF"/>
                  <w:noWrap w:val="0"/>
                  <w:tcMar>
                    <w:top w:w="0" w:type="dxa"/>
                    <w:left w:w="0" w:type="dxa"/>
                    <w:bottom w:w="0" w:type="dxa"/>
                    <w:right w:w="0" w:type="dxa"/>
                  </w:tcMar>
                  <w:vAlign w:val="center"/>
                </w:tcPr>
                <w:p w14:paraId="3B803E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-19.9</w:t>
                  </w:r>
                </w:p>
              </w:tc>
              <w:tc>
                <w:tcPr>
                  <w:tcW w:w="124" w:type="pct"/>
                  <w:shd w:val="clear" w:color="auto" w:fill="FFFFFF"/>
                  <w:noWrap w:val="0"/>
                  <w:tcMar>
                    <w:top w:w="0" w:type="dxa"/>
                    <w:left w:w="0" w:type="dxa"/>
                    <w:bottom w:w="0" w:type="dxa"/>
                    <w:right w:w="0" w:type="dxa"/>
                  </w:tcMar>
                  <w:vAlign w:val="center"/>
                </w:tcPr>
                <w:p w14:paraId="3FE395E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1E0D0EC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51.7</w:t>
                  </w:r>
                </w:p>
              </w:tc>
              <w:tc>
                <w:tcPr>
                  <w:tcW w:w="171" w:type="pct"/>
                  <w:shd w:val="clear" w:color="auto" w:fill="FFFFFF"/>
                  <w:noWrap w:val="0"/>
                  <w:tcMar>
                    <w:top w:w="0" w:type="dxa"/>
                    <w:left w:w="0" w:type="dxa"/>
                    <w:bottom w:w="0" w:type="dxa"/>
                    <w:right w:w="0" w:type="dxa"/>
                  </w:tcMar>
                  <w:vAlign w:val="center"/>
                </w:tcPr>
                <w:p w14:paraId="199179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4.1</w:t>
                  </w:r>
                </w:p>
              </w:tc>
              <w:tc>
                <w:tcPr>
                  <w:tcW w:w="171" w:type="pct"/>
                  <w:shd w:val="clear" w:color="auto" w:fill="FFFFFF"/>
                  <w:noWrap w:val="0"/>
                  <w:tcMar>
                    <w:top w:w="0" w:type="dxa"/>
                    <w:left w:w="0" w:type="dxa"/>
                    <w:bottom w:w="0" w:type="dxa"/>
                    <w:right w:w="0" w:type="dxa"/>
                  </w:tcMar>
                  <w:vAlign w:val="center"/>
                </w:tcPr>
                <w:p w14:paraId="51ED51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28.4</w:t>
                  </w:r>
                </w:p>
              </w:tc>
              <w:tc>
                <w:tcPr>
                  <w:tcW w:w="171" w:type="pct"/>
                  <w:shd w:val="clear" w:color="auto" w:fill="FFFFFF"/>
                  <w:noWrap w:val="0"/>
                  <w:tcMar>
                    <w:top w:w="0" w:type="dxa"/>
                    <w:left w:w="0" w:type="dxa"/>
                    <w:bottom w:w="0" w:type="dxa"/>
                    <w:right w:w="0" w:type="dxa"/>
                  </w:tcMar>
                  <w:vAlign w:val="center"/>
                </w:tcPr>
                <w:p w14:paraId="51F573D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14.0</w:t>
                  </w:r>
                </w:p>
              </w:tc>
              <w:tc>
                <w:tcPr>
                  <w:tcW w:w="171" w:type="pct"/>
                  <w:shd w:val="clear" w:color="auto" w:fill="FFFFFF"/>
                  <w:noWrap w:val="0"/>
                  <w:tcMar>
                    <w:top w:w="0" w:type="dxa"/>
                    <w:left w:w="0" w:type="dxa"/>
                    <w:bottom w:w="0" w:type="dxa"/>
                    <w:right w:w="0" w:type="dxa"/>
                  </w:tcMar>
                  <w:vAlign w:val="center"/>
                </w:tcPr>
                <w:p w14:paraId="4B6EE5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28423B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64.2</w:t>
                  </w:r>
                </w:p>
              </w:tc>
              <w:tc>
                <w:tcPr>
                  <w:tcW w:w="171" w:type="pct"/>
                  <w:shd w:val="clear" w:color="auto" w:fill="FFFFFF"/>
                  <w:noWrap w:val="0"/>
                  <w:tcMar>
                    <w:top w:w="0" w:type="dxa"/>
                    <w:left w:w="0" w:type="dxa"/>
                    <w:bottom w:w="0" w:type="dxa"/>
                    <w:right w:w="0" w:type="dxa"/>
                  </w:tcMar>
                  <w:vAlign w:val="center"/>
                </w:tcPr>
                <w:p w14:paraId="2B5AC88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169251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220" w:type="pct"/>
                  <w:vMerge w:val="continue"/>
                  <w:shd w:val="clear" w:color="auto" w:fill="FFFFFF"/>
                  <w:noWrap w:val="0"/>
                  <w:tcMar>
                    <w:top w:w="0" w:type="dxa"/>
                    <w:left w:w="0" w:type="dxa"/>
                    <w:bottom w:w="0" w:type="dxa"/>
                    <w:right w:w="0" w:type="dxa"/>
                  </w:tcMar>
                  <w:vAlign w:val="center"/>
                </w:tcPr>
                <w:p w14:paraId="6EF680C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3B4ECE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CF29C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60CA1F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399C38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4C3B58E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7EA9264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38.2</w:t>
                  </w:r>
                </w:p>
              </w:tc>
              <w:tc>
                <w:tcPr>
                  <w:tcW w:w="171" w:type="pct"/>
                  <w:shd w:val="clear" w:color="auto" w:fill="FFFFFF"/>
                  <w:noWrap w:val="0"/>
                  <w:tcMar>
                    <w:top w:w="0" w:type="dxa"/>
                    <w:left w:w="0" w:type="dxa"/>
                    <w:bottom w:w="0" w:type="dxa"/>
                    <w:right w:w="0" w:type="dxa"/>
                  </w:tcMar>
                  <w:vAlign w:val="center"/>
                </w:tcPr>
                <w:p w14:paraId="477095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5CC0CB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00" w:type="pct"/>
                  <w:shd w:val="clear" w:color="auto" w:fill="FFFFFF"/>
                  <w:noWrap w:val="0"/>
                  <w:tcMar>
                    <w:top w:w="0" w:type="dxa"/>
                    <w:left w:w="0" w:type="dxa"/>
                    <w:bottom w:w="0" w:type="dxa"/>
                    <w:right w:w="0" w:type="dxa"/>
                  </w:tcMar>
                  <w:vAlign w:val="center"/>
                </w:tcPr>
                <w:p w14:paraId="44E1FFD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154C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2C4EFD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20" w:type="pct"/>
                  <w:vMerge w:val="continue"/>
                  <w:shd w:val="clear" w:color="auto" w:fill="FFFFFF"/>
                  <w:noWrap w:val="0"/>
                  <w:tcMar>
                    <w:top w:w="0" w:type="dxa"/>
                    <w:left w:w="0" w:type="dxa"/>
                    <w:bottom w:w="0" w:type="dxa"/>
                    <w:right w:w="0" w:type="dxa"/>
                  </w:tcMar>
                  <w:vAlign w:val="center"/>
                </w:tcPr>
                <w:p w14:paraId="04C217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0B972E9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除尘器1</w:t>
                  </w:r>
                </w:p>
              </w:tc>
              <w:tc>
                <w:tcPr>
                  <w:tcW w:w="220" w:type="pct"/>
                  <w:shd w:val="clear" w:color="auto" w:fill="FFFFFF"/>
                  <w:noWrap w:val="0"/>
                  <w:tcMar>
                    <w:top w:w="0" w:type="dxa"/>
                    <w:left w:w="0" w:type="dxa"/>
                    <w:bottom w:w="0" w:type="dxa"/>
                    <w:right w:w="0" w:type="dxa"/>
                  </w:tcMar>
                  <w:vAlign w:val="center"/>
                </w:tcPr>
                <w:p w14:paraId="6FED4B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457DB1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3C1BA1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18A981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73.7</w:t>
                  </w:r>
                </w:p>
              </w:tc>
              <w:tc>
                <w:tcPr>
                  <w:tcW w:w="204" w:type="pct"/>
                  <w:shd w:val="clear" w:color="auto" w:fill="FFFFFF"/>
                  <w:noWrap w:val="0"/>
                  <w:tcMar>
                    <w:top w:w="0" w:type="dxa"/>
                    <w:left w:w="0" w:type="dxa"/>
                    <w:bottom w:w="0" w:type="dxa"/>
                    <w:right w:w="0" w:type="dxa"/>
                  </w:tcMar>
                  <w:vAlign w:val="center"/>
                </w:tcPr>
                <w:p w14:paraId="66E949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-5.8</w:t>
                  </w:r>
                </w:p>
              </w:tc>
              <w:tc>
                <w:tcPr>
                  <w:tcW w:w="124" w:type="pct"/>
                  <w:shd w:val="clear" w:color="auto" w:fill="FFFFFF"/>
                  <w:noWrap w:val="0"/>
                  <w:tcMar>
                    <w:top w:w="0" w:type="dxa"/>
                    <w:left w:w="0" w:type="dxa"/>
                    <w:bottom w:w="0" w:type="dxa"/>
                    <w:right w:w="0" w:type="dxa"/>
                  </w:tcMar>
                  <w:vAlign w:val="center"/>
                </w:tcPr>
                <w:p w14:paraId="471C9F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370340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65.5</w:t>
                  </w:r>
                </w:p>
              </w:tc>
              <w:tc>
                <w:tcPr>
                  <w:tcW w:w="171" w:type="pct"/>
                  <w:shd w:val="clear" w:color="auto" w:fill="FFFFFF"/>
                  <w:noWrap w:val="0"/>
                  <w:tcMar>
                    <w:top w:w="0" w:type="dxa"/>
                    <w:left w:w="0" w:type="dxa"/>
                    <w:bottom w:w="0" w:type="dxa"/>
                    <w:right w:w="0" w:type="dxa"/>
                  </w:tcMar>
                  <w:vAlign w:val="center"/>
                </w:tcPr>
                <w:p w14:paraId="1E83422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15.1</w:t>
                  </w:r>
                </w:p>
              </w:tc>
              <w:tc>
                <w:tcPr>
                  <w:tcW w:w="171" w:type="pct"/>
                  <w:shd w:val="clear" w:color="auto" w:fill="FFFFFF"/>
                  <w:noWrap w:val="0"/>
                  <w:tcMar>
                    <w:top w:w="0" w:type="dxa"/>
                    <w:left w:w="0" w:type="dxa"/>
                    <w:bottom w:w="0" w:type="dxa"/>
                    <w:right w:w="0" w:type="dxa"/>
                  </w:tcMar>
                  <w:vAlign w:val="center"/>
                </w:tcPr>
                <w:p w14:paraId="449773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14.5</w:t>
                  </w:r>
                </w:p>
              </w:tc>
              <w:tc>
                <w:tcPr>
                  <w:tcW w:w="171" w:type="pct"/>
                  <w:shd w:val="clear" w:color="auto" w:fill="FFFFFF"/>
                  <w:noWrap w:val="0"/>
                  <w:tcMar>
                    <w:top w:w="0" w:type="dxa"/>
                    <w:left w:w="0" w:type="dxa"/>
                    <w:bottom w:w="0" w:type="dxa"/>
                    <w:right w:w="0" w:type="dxa"/>
                  </w:tcMar>
                  <w:vAlign w:val="center"/>
                </w:tcPr>
                <w:p w14:paraId="514BB14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2.9</w:t>
                  </w:r>
                </w:p>
              </w:tc>
              <w:tc>
                <w:tcPr>
                  <w:tcW w:w="171" w:type="pct"/>
                  <w:shd w:val="clear" w:color="auto" w:fill="FFFFFF"/>
                  <w:noWrap w:val="0"/>
                  <w:tcMar>
                    <w:top w:w="0" w:type="dxa"/>
                    <w:left w:w="0" w:type="dxa"/>
                    <w:bottom w:w="0" w:type="dxa"/>
                    <w:right w:w="0" w:type="dxa"/>
                  </w:tcMar>
                  <w:vAlign w:val="center"/>
                </w:tcPr>
                <w:p w14:paraId="16B5F9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26480C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171" w:type="pct"/>
                  <w:shd w:val="clear" w:color="auto" w:fill="FFFFFF"/>
                  <w:noWrap w:val="0"/>
                  <w:tcMar>
                    <w:top w:w="0" w:type="dxa"/>
                    <w:left w:w="0" w:type="dxa"/>
                    <w:bottom w:w="0" w:type="dxa"/>
                    <w:right w:w="0" w:type="dxa"/>
                  </w:tcMar>
                  <w:vAlign w:val="center"/>
                </w:tcPr>
                <w:p w14:paraId="04520EA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171" w:type="pct"/>
                  <w:shd w:val="clear" w:color="auto" w:fill="FFFFFF"/>
                  <w:noWrap w:val="0"/>
                  <w:tcMar>
                    <w:top w:w="0" w:type="dxa"/>
                    <w:left w:w="0" w:type="dxa"/>
                    <w:bottom w:w="0" w:type="dxa"/>
                    <w:right w:w="0" w:type="dxa"/>
                  </w:tcMar>
                  <w:vAlign w:val="center"/>
                </w:tcPr>
                <w:p w14:paraId="1411342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64.9</w:t>
                  </w:r>
                </w:p>
              </w:tc>
              <w:tc>
                <w:tcPr>
                  <w:tcW w:w="220" w:type="pct"/>
                  <w:vMerge w:val="continue"/>
                  <w:shd w:val="clear" w:color="auto" w:fill="FFFFFF"/>
                  <w:noWrap w:val="0"/>
                  <w:tcMar>
                    <w:top w:w="0" w:type="dxa"/>
                    <w:left w:w="0" w:type="dxa"/>
                    <w:bottom w:w="0" w:type="dxa"/>
                    <w:right w:w="0" w:type="dxa"/>
                  </w:tcMar>
                  <w:vAlign w:val="center"/>
                </w:tcPr>
                <w:p w14:paraId="144AE1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0D8ADD5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2E3D898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24CFE6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2F1CB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8985B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521D15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71" w:type="pct"/>
                  <w:shd w:val="clear" w:color="auto" w:fill="FFFFFF"/>
                  <w:noWrap w:val="0"/>
                  <w:tcMar>
                    <w:top w:w="0" w:type="dxa"/>
                    <w:left w:w="0" w:type="dxa"/>
                    <w:bottom w:w="0" w:type="dxa"/>
                    <w:right w:w="0" w:type="dxa"/>
                  </w:tcMar>
                  <w:vAlign w:val="center"/>
                </w:tcPr>
                <w:p w14:paraId="4EF3D6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71" w:type="pct"/>
                  <w:shd w:val="clear" w:color="auto" w:fill="FFFFFF"/>
                  <w:noWrap w:val="0"/>
                  <w:tcMar>
                    <w:top w:w="0" w:type="dxa"/>
                    <w:left w:w="0" w:type="dxa"/>
                    <w:bottom w:w="0" w:type="dxa"/>
                    <w:right w:w="0" w:type="dxa"/>
                  </w:tcMar>
                  <w:vAlign w:val="center"/>
                </w:tcPr>
                <w:p w14:paraId="33EFBD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38.9</w:t>
                  </w:r>
                </w:p>
              </w:tc>
              <w:tc>
                <w:tcPr>
                  <w:tcW w:w="100" w:type="pct"/>
                  <w:shd w:val="clear" w:color="auto" w:fill="FFFFFF"/>
                  <w:noWrap w:val="0"/>
                  <w:tcMar>
                    <w:top w:w="0" w:type="dxa"/>
                    <w:left w:w="0" w:type="dxa"/>
                    <w:bottom w:w="0" w:type="dxa"/>
                    <w:right w:w="0" w:type="dxa"/>
                  </w:tcMar>
                  <w:vAlign w:val="center"/>
                </w:tcPr>
                <w:p w14:paraId="22AB23C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4554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46B60A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20" w:type="pct"/>
                  <w:vMerge w:val="continue"/>
                  <w:shd w:val="clear" w:color="auto" w:fill="FFFFFF"/>
                  <w:noWrap w:val="0"/>
                  <w:tcMar>
                    <w:top w:w="0" w:type="dxa"/>
                    <w:left w:w="0" w:type="dxa"/>
                    <w:bottom w:w="0" w:type="dxa"/>
                    <w:right w:w="0" w:type="dxa"/>
                  </w:tcMar>
                  <w:vAlign w:val="center"/>
                </w:tcPr>
                <w:p w14:paraId="64DD4F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397114D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砂处理再生线</w:t>
                  </w:r>
                </w:p>
              </w:tc>
              <w:tc>
                <w:tcPr>
                  <w:tcW w:w="220" w:type="pct"/>
                  <w:shd w:val="clear" w:color="auto" w:fill="FFFFFF"/>
                  <w:noWrap w:val="0"/>
                  <w:tcMar>
                    <w:top w:w="0" w:type="dxa"/>
                    <w:left w:w="0" w:type="dxa"/>
                    <w:bottom w:w="0" w:type="dxa"/>
                    <w:right w:w="0" w:type="dxa"/>
                  </w:tcMar>
                  <w:vAlign w:val="center"/>
                </w:tcPr>
                <w:p w14:paraId="4735F0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6264F8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14D786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09251F6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95.1</w:t>
                  </w:r>
                </w:p>
              </w:tc>
              <w:tc>
                <w:tcPr>
                  <w:tcW w:w="204" w:type="pct"/>
                  <w:shd w:val="clear" w:color="auto" w:fill="FFFFFF"/>
                  <w:noWrap w:val="0"/>
                  <w:tcMar>
                    <w:top w:w="0" w:type="dxa"/>
                    <w:left w:w="0" w:type="dxa"/>
                    <w:bottom w:w="0" w:type="dxa"/>
                    <w:right w:w="0" w:type="dxa"/>
                  </w:tcMar>
                  <w:vAlign w:val="center"/>
                </w:tcPr>
                <w:p w14:paraId="032B93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24" w:type="pct"/>
                  <w:shd w:val="clear" w:color="auto" w:fill="FFFFFF"/>
                  <w:noWrap w:val="0"/>
                  <w:tcMar>
                    <w:top w:w="0" w:type="dxa"/>
                    <w:left w:w="0" w:type="dxa"/>
                    <w:bottom w:w="0" w:type="dxa"/>
                    <w:right w:w="0" w:type="dxa"/>
                  </w:tcMar>
                  <w:vAlign w:val="center"/>
                </w:tcPr>
                <w:p w14:paraId="34BBD1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3F0D66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43.2</w:t>
                  </w:r>
                </w:p>
              </w:tc>
              <w:tc>
                <w:tcPr>
                  <w:tcW w:w="171" w:type="pct"/>
                  <w:shd w:val="clear" w:color="auto" w:fill="FFFFFF"/>
                  <w:noWrap w:val="0"/>
                  <w:tcMar>
                    <w:top w:w="0" w:type="dxa"/>
                    <w:left w:w="0" w:type="dxa"/>
                    <w:bottom w:w="0" w:type="dxa"/>
                    <w:right w:w="0" w:type="dxa"/>
                  </w:tcMar>
                  <w:vAlign w:val="center"/>
                </w:tcPr>
                <w:p w14:paraId="2CD7293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14.4</w:t>
                  </w:r>
                </w:p>
              </w:tc>
              <w:tc>
                <w:tcPr>
                  <w:tcW w:w="171" w:type="pct"/>
                  <w:shd w:val="clear" w:color="auto" w:fill="FFFFFF"/>
                  <w:noWrap w:val="0"/>
                  <w:tcMar>
                    <w:top w:w="0" w:type="dxa"/>
                    <w:left w:w="0" w:type="dxa"/>
                    <w:bottom w:w="0" w:type="dxa"/>
                    <w:right w:w="0" w:type="dxa"/>
                  </w:tcMar>
                  <w:vAlign w:val="center"/>
                </w:tcPr>
                <w:p w14:paraId="2035DC3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36.8</w:t>
                  </w:r>
                </w:p>
              </w:tc>
              <w:tc>
                <w:tcPr>
                  <w:tcW w:w="171" w:type="pct"/>
                  <w:shd w:val="clear" w:color="auto" w:fill="FFFFFF"/>
                  <w:noWrap w:val="0"/>
                  <w:tcMar>
                    <w:top w:w="0" w:type="dxa"/>
                    <w:left w:w="0" w:type="dxa"/>
                    <w:bottom w:w="0" w:type="dxa"/>
                    <w:right w:w="0" w:type="dxa"/>
                  </w:tcMar>
                  <w:vAlign w:val="center"/>
                </w:tcPr>
                <w:p w14:paraId="6FA094D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w:t>
                  </w:r>
                </w:p>
              </w:tc>
              <w:tc>
                <w:tcPr>
                  <w:tcW w:w="171" w:type="pct"/>
                  <w:shd w:val="clear" w:color="auto" w:fill="FFFFFF"/>
                  <w:noWrap w:val="0"/>
                  <w:tcMar>
                    <w:top w:w="0" w:type="dxa"/>
                    <w:left w:w="0" w:type="dxa"/>
                    <w:bottom w:w="0" w:type="dxa"/>
                    <w:right w:w="0" w:type="dxa"/>
                  </w:tcMar>
                  <w:vAlign w:val="center"/>
                </w:tcPr>
                <w:p w14:paraId="627F78B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79D647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171" w:type="pct"/>
                  <w:shd w:val="clear" w:color="auto" w:fill="FFFFFF"/>
                  <w:noWrap w:val="0"/>
                  <w:tcMar>
                    <w:top w:w="0" w:type="dxa"/>
                    <w:left w:w="0" w:type="dxa"/>
                    <w:bottom w:w="0" w:type="dxa"/>
                    <w:right w:w="0" w:type="dxa"/>
                  </w:tcMar>
                  <w:vAlign w:val="center"/>
                </w:tcPr>
                <w:p w14:paraId="3E86557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16A7A65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64.3</w:t>
                  </w:r>
                </w:p>
              </w:tc>
              <w:tc>
                <w:tcPr>
                  <w:tcW w:w="220" w:type="pct"/>
                  <w:vMerge w:val="continue"/>
                  <w:shd w:val="clear" w:color="auto" w:fill="FFFFFF"/>
                  <w:noWrap w:val="0"/>
                  <w:tcMar>
                    <w:top w:w="0" w:type="dxa"/>
                    <w:left w:w="0" w:type="dxa"/>
                    <w:bottom w:w="0" w:type="dxa"/>
                    <w:right w:w="0" w:type="dxa"/>
                  </w:tcMar>
                  <w:vAlign w:val="center"/>
                </w:tcPr>
                <w:p w14:paraId="0FC853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3FBDF2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17E2C4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46A7CF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0311C2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52D3A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507304F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71" w:type="pct"/>
                  <w:shd w:val="clear" w:color="auto" w:fill="FFFFFF"/>
                  <w:noWrap w:val="0"/>
                  <w:tcMar>
                    <w:top w:w="0" w:type="dxa"/>
                    <w:left w:w="0" w:type="dxa"/>
                    <w:bottom w:w="0" w:type="dxa"/>
                    <w:right w:w="0" w:type="dxa"/>
                  </w:tcMar>
                  <w:vAlign w:val="center"/>
                </w:tcPr>
                <w:p w14:paraId="4DB045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67663A4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38.3</w:t>
                  </w:r>
                </w:p>
              </w:tc>
              <w:tc>
                <w:tcPr>
                  <w:tcW w:w="100" w:type="pct"/>
                  <w:shd w:val="clear" w:color="auto" w:fill="FFFFFF"/>
                  <w:noWrap w:val="0"/>
                  <w:tcMar>
                    <w:top w:w="0" w:type="dxa"/>
                    <w:left w:w="0" w:type="dxa"/>
                    <w:bottom w:w="0" w:type="dxa"/>
                    <w:right w:w="0" w:type="dxa"/>
                  </w:tcMar>
                  <w:vAlign w:val="center"/>
                </w:tcPr>
                <w:p w14:paraId="455DDC0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6955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02E5B1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220" w:type="pct"/>
                  <w:vMerge w:val="continue"/>
                  <w:shd w:val="clear" w:color="auto" w:fill="FFFFFF"/>
                  <w:noWrap w:val="0"/>
                  <w:tcMar>
                    <w:top w:w="0" w:type="dxa"/>
                    <w:left w:w="0" w:type="dxa"/>
                    <w:bottom w:w="0" w:type="dxa"/>
                    <w:right w:w="0" w:type="dxa"/>
                  </w:tcMar>
                  <w:vAlign w:val="center"/>
                </w:tcPr>
                <w:p w14:paraId="18E622D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1A24ABF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除尘器</w:t>
                  </w:r>
                </w:p>
              </w:tc>
              <w:tc>
                <w:tcPr>
                  <w:tcW w:w="220" w:type="pct"/>
                  <w:shd w:val="clear" w:color="auto" w:fill="FFFFFF"/>
                  <w:noWrap w:val="0"/>
                  <w:tcMar>
                    <w:top w:w="0" w:type="dxa"/>
                    <w:left w:w="0" w:type="dxa"/>
                    <w:bottom w:w="0" w:type="dxa"/>
                    <w:right w:w="0" w:type="dxa"/>
                  </w:tcMar>
                  <w:vAlign w:val="center"/>
                </w:tcPr>
                <w:p w14:paraId="4B10452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6B2720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4BCF364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4C7E2F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116</w:t>
                  </w:r>
                </w:p>
              </w:tc>
              <w:tc>
                <w:tcPr>
                  <w:tcW w:w="204" w:type="pct"/>
                  <w:shd w:val="clear" w:color="auto" w:fill="FFFFFF"/>
                  <w:noWrap w:val="0"/>
                  <w:tcMar>
                    <w:top w:w="0" w:type="dxa"/>
                    <w:left w:w="0" w:type="dxa"/>
                    <w:bottom w:w="0" w:type="dxa"/>
                    <w:right w:w="0" w:type="dxa"/>
                  </w:tcMar>
                  <w:vAlign w:val="center"/>
                </w:tcPr>
                <w:p w14:paraId="0725897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-27.2</w:t>
                  </w:r>
                </w:p>
              </w:tc>
              <w:tc>
                <w:tcPr>
                  <w:tcW w:w="124" w:type="pct"/>
                  <w:shd w:val="clear" w:color="auto" w:fill="FFFFFF"/>
                  <w:noWrap w:val="0"/>
                  <w:tcMar>
                    <w:top w:w="0" w:type="dxa"/>
                    <w:left w:w="0" w:type="dxa"/>
                    <w:bottom w:w="0" w:type="dxa"/>
                    <w:right w:w="0" w:type="dxa"/>
                  </w:tcMar>
                  <w:vAlign w:val="center"/>
                </w:tcPr>
                <w:p w14:paraId="284D18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5ED949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19.0</w:t>
                  </w:r>
                </w:p>
              </w:tc>
              <w:tc>
                <w:tcPr>
                  <w:tcW w:w="171" w:type="pct"/>
                  <w:shd w:val="clear" w:color="auto" w:fill="FFFFFF"/>
                  <w:noWrap w:val="0"/>
                  <w:tcMar>
                    <w:top w:w="0" w:type="dxa"/>
                    <w:left w:w="0" w:type="dxa"/>
                    <w:bottom w:w="0" w:type="dxa"/>
                    <w:right w:w="0" w:type="dxa"/>
                  </w:tcMar>
                  <w:vAlign w:val="center"/>
                </w:tcPr>
                <w:p w14:paraId="2A195F1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4.9</w:t>
                  </w:r>
                </w:p>
              </w:tc>
              <w:tc>
                <w:tcPr>
                  <w:tcW w:w="171" w:type="pct"/>
                  <w:shd w:val="clear" w:color="auto" w:fill="FFFFFF"/>
                  <w:noWrap w:val="0"/>
                  <w:tcMar>
                    <w:top w:w="0" w:type="dxa"/>
                    <w:left w:w="0" w:type="dxa"/>
                    <w:bottom w:w="0" w:type="dxa"/>
                    <w:right w:w="0" w:type="dxa"/>
                  </w:tcMar>
                  <w:vAlign w:val="center"/>
                </w:tcPr>
                <w:p w14:paraId="765CE5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61.0</w:t>
                  </w:r>
                </w:p>
              </w:tc>
              <w:tc>
                <w:tcPr>
                  <w:tcW w:w="171" w:type="pct"/>
                  <w:shd w:val="clear" w:color="auto" w:fill="FFFFFF"/>
                  <w:noWrap w:val="0"/>
                  <w:tcMar>
                    <w:top w:w="0" w:type="dxa"/>
                    <w:left w:w="0" w:type="dxa"/>
                    <w:bottom w:w="0" w:type="dxa"/>
                    <w:right w:w="0" w:type="dxa"/>
                  </w:tcMar>
                  <w:vAlign w:val="center"/>
                </w:tcPr>
                <w:p w14:paraId="6CC023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13.4</w:t>
                  </w:r>
                </w:p>
              </w:tc>
              <w:tc>
                <w:tcPr>
                  <w:tcW w:w="171" w:type="pct"/>
                  <w:shd w:val="clear" w:color="auto" w:fill="FFFFFF"/>
                  <w:noWrap w:val="0"/>
                  <w:tcMar>
                    <w:top w:w="0" w:type="dxa"/>
                    <w:left w:w="0" w:type="dxa"/>
                    <w:bottom w:w="0" w:type="dxa"/>
                    <w:right w:w="0" w:type="dxa"/>
                  </w:tcMar>
                  <w:vAlign w:val="center"/>
                </w:tcPr>
                <w:p w14:paraId="2A4A22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2C72043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63.9</w:t>
                  </w:r>
                </w:p>
              </w:tc>
              <w:tc>
                <w:tcPr>
                  <w:tcW w:w="171" w:type="pct"/>
                  <w:shd w:val="clear" w:color="auto" w:fill="FFFFFF"/>
                  <w:noWrap w:val="0"/>
                  <w:tcMar>
                    <w:top w:w="0" w:type="dxa"/>
                    <w:left w:w="0" w:type="dxa"/>
                    <w:bottom w:w="0" w:type="dxa"/>
                    <w:right w:w="0" w:type="dxa"/>
                  </w:tcMar>
                  <w:vAlign w:val="center"/>
                </w:tcPr>
                <w:p w14:paraId="01E19A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3B3A92A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220" w:type="pct"/>
                  <w:vMerge w:val="continue"/>
                  <w:shd w:val="clear" w:color="auto" w:fill="FFFFFF"/>
                  <w:noWrap w:val="0"/>
                  <w:tcMar>
                    <w:top w:w="0" w:type="dxa"/>
                    <w:left w:w="0" w:type="dxa"/>
                    <w:bottom w:w="0" w:type="dxa"/>
                    <w:right w:w="0" w:type="dxa"/>
                  </w:tcMar>
                  <w:vAlign w:val="center"/>
                </w:tcPr>
                <w:p w14:paraId="25ED8A2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24B4ACF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3A2D0A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78C544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4216E7F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602592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41AFDF7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37.9</w:t>
                  </w:r>
                </w:p>
              </w:tc>
              <w:tc>
                <w:tcPr>
                  <w:tcW w:w="171" w:type="pct"/>
                  <w:shd w:val="clear" w:color="auto" w:fill="FFFFFF"/>
                  <w:noWrap w:val="0"/>
                  <w:tcMar>
                    <w:top w:w="0" w:type="dxa"/>
                    <w:left w:w="0" w:type="dxa"/>
                    <w:bottom w:w="0" w:type="dxa"/>
                    <w:right w:w="0" w:type="dxa"/>
                  </w:tcMar>
                  <w:vAlign w:val="center"/>
                </w:tcPr>
                <w:p w14:paraId="1ECD78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17F3982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00" w:type="pct"/>
                  <w:shd w:val="clear" w:color="auto" w:fill="FFFFFF"/>
                  <w:noWrap w:val="0"/>
                  <w:tcMar>
                    <w:top w:w="0" w:type="dxa"/>
                    <w:left w:w="0" w:type="dxa"/>
                    <w:bottom w:w="0" w:type="dxa"/>
                    <w:right w:w="0" w:type="dxa"/>
                  </w:tcMar>
                  <w:vAlign w:val="center"/>
                </w:tcPr>
                <w:p w14:paraId="53390B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56E7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24C261A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220" w:type="pct"/>
                  <w:vMerge w:val="continue"/>
                  <w:shd w:val="clear" w:color="auto" w:fill="FFFFFF"/>
                  <w:noWrap w:val="0"/>
                  <w:tcMar>
                    <w:top w:w="0" w:type="dxa"/>
                    <w:left w:w="0" w:type="dxa"/>
                    <w:bottom w:w="0" w:type="dxa"/>
                    <w:right w:w="0" w:type="dxa"/>
                  </w:tcMar>
                  <w:vAlign w:val="center"/>
                </w:tcPr>
                <w:p w14:paraId="33C6522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473F9E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中频电路</w:t>
                  </w:r>
                </w:p>
              </w:tc>
              <w:tc>
                <w:tcPr>
                  <w:tcW w:w="220" w:type="pct"/>
                  <w:shd w:val="clear" w:color="auto" w:fill="FFFFFF"/>
                  <w:noWrap w:val="0"/>
                  <w:tcMar>
                    <w:top w:w="0" w:type="dxa"/>
                    <w:left w:w="0" w:type="dxa"/>
                    <w:bottom w:w="0" w:type="dxa"/>
                    <w:right w:w="0" w:type="dxa"/>
                  </w:tcMar>
                  <w:vAlign w:val="center"/>
                </w:tcPr>
                <w:p w14:paraId="37B9E3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64452D3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3FBD9F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42F282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132.6</w:t>
                  </w:r>
                </w:p>
              </w:tc>
              <w:tc>
                <w:tcPr>
                  <w:tcW w:w="204" w:type="pct"/>
                  <w:shd w:val="clear" w:color="auto" w:fill="FFFFFF"/>
                  <w:noWrap w:val="0"/>
                  <w:tcMar>
                    <w:top w:w="0" w:type="dxa"/>
                    <w:left w:w="0" w:type="dxa"/>
                    <w:bottom w:w="0" w:type="dxa"/>
                    <w:right w:w="0" w:type="dxa"/>
                  </w:tcMar>
                  <w:vAlign w:val="center"/>
                </w:tcPr>
                <w:p w14:paraId="15969D9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-26.8</w:t>
                  </w:r>
                </w:p>
              </w:tc>
              <w:tc>
                <w:tcPr>
                  <w:tcW w:w="124" w:type="pct"/>
                  <w:shd w:val="clear" w:color="auto" w:fill="FFFFFF"/>
                  <w:noWrap w:val="0"/>
                  <w:tcMar>
                    <w:top w:w="0" w:type="dxa"/>
                    <w:left w:w="0" w:type="dxa"/>
                    <w:bottom w:w="0" w:type="dxa"/>
                    <w:right w:w="0" w:type="dxa"/>
                  </w:tcMar>
                  <w:vAlign w:val="center"/>
                </w:tcPr>
                <w:p w14:paraId="2A36FDB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1ACC9AA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w:t>
                  </w:r>
                </w:p>
              </w:tc>
              <w:tc>
                <w:tcPr>
                  <w:tcW w:w="171" w:type="pct"/>
                  <w:shd w:val="clear" w:color="auto" w:fill="FFFFFF"/>
                  <w:noWrap w:val="0"/>
                  <w:tcMar>
                    <w:top w:w="0" w:type="dxa"/>
                    <w:left w:w="0" w:type="dxa"/>
                    <w:bottom w:w="0" w:type="dxa"/>
                    <w:right w:w="0" w:type="dxa"/>
                  </w:tcMar>
                  <w:vAlign w:val="center"/>
                </w:tcPr>
                <w:p w14:paraId="2E9DE4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9.4</w:t>
                  </w:r>
                </w:p>
              </w:tc>
              <w:tc>
                <w:tcPr>
                  <w:tcW w:w="171" w:type="pct"/>
                  <w:shd w:val="clear" w:color="auto" w:fill="FFFFFF"/>
                  <w:noWrap w:val="0"/>
                  <w:tcMar>
                    <w:top w:w="0" w:type="dxa"/>
                    <w:left w:w="0" w:type="dxa"/>
                    <w:bottom w:w="0" w:type="dxa"/>
                    <w:right w:w="0" w:type="dxa"/>
                  </w:tcMar>
                  <w:vAlign w:val="center"/>
                </w:tcPr>
                <w:p w14:paraId="43DF24A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76.9</w:t>
                  </w:r>
                </w:p>
              </w:tc>
              <w:tc>
                <w:tcPr>
                  <w:tcW w:w="171" w:type="pct"/>
                  <w:shd w:val="clear" w:color="auto" w:fill="FFFFFF"/>
                  <w:noWrap w:val="0"/>
                  <w:tcMar>
                    <w:top w:w="0" w:type="dxa"/>
                    <w:left w:w="0" w:type="dxa"/>
                    <w:bottom w:w="0" w:type="dxa"/>
                    <w:right w:w="0" w:type="dxa"/>
                  </w:tcMar>
                  <w:vAlign w:val="center"/>
                </w:tcPr>
                <w:p w14:paraId="6BB1C9C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w:t>
                  </w:r>
                </w:p>
              </w:tc>
              <w:tc>
                <w:tcPr>
                  <w:tcW w:w="171" w:type="pct"/>
                  <w:shd w:val="clear" w:color="auto" w:fill="FFFFFF"/>
                  <w:noWrap w:val="0"/>
                  <w:tcMar>
                    <w:top w:w="0" w:type="dxa"/>
                    <w:left w:w="0" w:type="dxa"/>
                    <w:bottom w:w="0" w:type="dxa"/>
                    <w:right w:w="0" w:type="dxa"/>
                  </w:tcMar>
                  <w:vAlign w:val="center"/>
                </w:tcPr>
                <w:p w14:paraId="5276C36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64.8</w:t>
                  </w:r>
                </w:p>
              </w:tc>
              <w:tc>
                <w:tcPr>
                  <w:tcW w:w="171" w:type="pct"/>
                  <w:shd w:val="clear" w:color="auto" w:fill="FFFFFF"/>
                  <w:noWrap w:val="0"/>
                  <w:tcMar>
                    <w:top w:w="0" w:type="dxa"/>
                    <w:left w:w="0" w:type="dxa"/>
                    <w:bottom w:w="0" w:type="dxa"/>
                    <w:right w:w="0" w:type="dxa"/>
                  </w:tcMar>
                  <w:vAlign w:val="center"/>
                </w:tcPr>
                <w:p w14:paraId="5CC67B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63.5</w:t>
                  </w:r>
                </w:p>
              </w:tc>
              <w:tc>
                <w:tcPr>
                  <w:tcW w:w="171" w:type="pct"/>
                  <w:shd w:val="clear" w:color="auto" w:fill="FFFFFF"/>
                  <w:noWrap w:val="0"/>
                  <w:tcMar>
                    <w:top w:w="0" w:type="dxa"/>
                    <w:left w:w="0" w:type="dxa"/>
                    <w:bottom w:w="0" w:type="dxa"/>
                    <w:right w:w="0" w:type="dxa"/>
                  </w:tcMar>
                  <w:vAlign w:val="center"/>
                </w:tcPr>
                <w:p w14:paraId="15824A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4A00E2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63.5</w:t>
                  </w:r>
                </w:p>
              </w:tc>
              <w:tc>
                <w:tcPr>
                  <w:tcW w:w="220" w:type="pct"/>
                  <w:vMerge w:val="continue"/>
                  <w:shd w:val="clear" w:color="auto" w:fill="FFFFFF"/>
                  <w:noWrap w:val="0"/>
                  <w:tcMar>
                    <w:top w:w="0" w:type="dxa"/>
                    <w:left w:w="0" w:type="dxa"/>
                    <w:bottom w:w="0" w:type="dxa"/>
                    <w:right w:w="0" w:type="dxa"/>
                  </w:tcMar>
                  <w:vAlign w:val="center"/>
                </w:tcPr>
                <w:p w14:paraId="4D46CE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5FDF16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637007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F57DF4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5D6E90E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2A9556B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38.8</w:t>
                  </w:r>
                </w:p>
              </w:tc>
              <w:tc>
                <w:tcPr>
                  <w:tcW w:w="171" w:type="pct"/>
                  <w:shd w:val="clear" w:color="auto" w:fill="FFFFFF"/>
                  <w:noWrap w:val="0"/>
                  <w:tcMar>
                    <w:top w:w="0" w:type="dxa"/>
                    <w:left w:w="0" w:type="dxa"/>
                    <w:bottom w:w="0" w:type="dxa"/>
                    <w:right w:w="0" w:type="dxa"/>
                  </w:tcMar>
                  <w:vAlign w:val="center"/>
                </w:tcPr>
                <w:p w14:paraId="7B1F80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37.5</w:t>
                  </w:r>
                </w:p>
              </w:tc>
              <w:tc>
                <w:tcPr>
                  <w:tcW w:w="171" w:type="pct"/>
                  <w:shd w:val="clear" w:color="auto" w:fill="FFFFFF"/>
                  <w:noWrap w:val="0"/>
                  <w:tcMar>
                    <w:top w:w="0" w:type="dxa"/>
                    <w:left w:w="0" w:type="dxa"/>
                    <w:bottom w:w="0" w:type="dxa"/>
                    <w:right w:w="0" w:type="dxa"/>
                  </w:tcMar>
                  <w:vAlign w:val="center"/>
                </w:tcPr>
                <w:p w14:paraId="7AF7ADB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2BD248D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37.5</w:t>
                  </w:r>
                </w:p>
              </w:tc>
              <w:tc>
                <w:tcPr>
                  <w:tcW w:w="100" w:type="pct"/>
                  <w:shd w:val="clear" w:color="auto" w:fill="FFFFFF"/>
                  <w:noWrap w:val="0"/>
                  <w:tcMar>
                    <w:top w:w="0" w:type="dxa"/>
                    <w:left w:w="0" w:type="dxa"/>
                    <w:bottom w:w="0" w:type="dxa"/>
                    <w:right w:w="0" w:type="dxa"/>
                  </w:tcMar>
                  <w:vAlign w:val="center"/>
                </w:tcPr>
                <w:p w14:paraId="0638E5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tr w14:paraId="1948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trPr>
              <w:tc>
                <w:tcPr>
                  <w:tcW w:w="220" w:type="pct"/>
                  <w:shd w:val="clear" w:color="auto" w:fill="FFFFFF"/>
                  <w:noWrap w:val="0"/>
                  <w:tcMar>
                    <w:top w:w="0" w:type="dxa"/>
                    <w:left w:w="0" w:type="dxa"/>
                    <w:bottom w:w="0" w:type="dxa"/>
                    <w:right w:w="0" w:type="dxa"/>
                  </w:tcMar>
                  <w:vAlign w:val="center"/>
                </w:tcPr>
                <w:p w14:paraId="732D2C6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220" w:type="pct"/>
                  <w:vMerge w:val="continue"/>
                  <w:shd w:val="clear" w:color="auto" w:fill="FFFFFF"/>
                  <w:noWrap w:val="0"/>
                  <w:tcMar>
                    <w:top w:w="0" w:type="dxa"/>
                    <w:left w:w="0" w:type="dxa"/>
                    <w:bottom w:w="0" w:type="dxa"/>
                    <w:right w:w="0" w:type="dxa"/>
                  </w:tcMar>
                  <w:vAlign w:val="center"/>
                </w:tcPr>
                <w:p w14:paraId="0CFA254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187A466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单梁冶金天车</w:t>
                  </w:r>
                </w:p>
              </w:tc>
              <w:tc>
                <w:tcPr>
                  <w:tcW w:w="220" w:type="pct"/>
                  <w:shd w:val="clear" w:color="auto" w:fill="FFFFFF"/>
                  <w:noWrap w:val="0"/>
                  <w:tcMar>
                    <w:top w:w="0" w:type="dxa"/>
                    <w:left w:w="0" w:type="dxa"/>
                    <w:bottom w:w="0" w:type="dxa"/>
                    <w:right w:w="0" w:type="dxa"/>
                  </w:tcMar>
                  <w:vAlign w:val="center"/>
                </w:tcPr>
                <w:p w14:paraId="62A6AC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83" w:type="pct"/>
                  <w:shd w:val="clear" w:color="auto" w:fill="FFFFFF"/>
                  <w:noWrap w:val="0"/>
                  <w:tcMar>
                    <w:top w:w="0" w:type="dxa"/>
                    <w:left w:w="0" w:type="dxa"/>
                    <w:bottom w:w="0" w:type="dxa"/>
                    <w:right w:w="0" w:type="dxa"/>
                  </w:tcMar>
                  <w:vAlign w:val="center"/>
                </w:tcPr>
                <w:p w14:paraId="366A6CC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220" w:type="pct"/>
                  <w:vMerge w:val="continue"/>
                  <w:shd w:val="clear" w:color="auto" w:fill="FFFFFF"/>
                  <w:noWrap w:val="0"/>
                  <w:tcMar>
                    <w:top w:w="0" w:type="dxa"/>
                    <w:left w:w="0" w:type="dxa"/>
                    <w:bottom w:w="0" w:type="dxa"/>
                    <w:right w:w="0" w:type="dxa"/>
                  </w:tcMar>
                  <w:vAlign w:val="center"/>
                </w:tcPr>
                <w:p w14:paraId="68F3573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220" w:type="pct"/>
                  <w:shd w:val="clear" w:color="auto" w:fill="FFFFFF"/>
                  <w:noWrap w:val="0"/>
                  <w:tcMar>
                    <w:top w:w="0" w:type="dxa"/>
                    <w:left w:w="0" w:type="dxa"/>
                    <w:bottom w:w="0" w:type="dxa"/>
                    <w:right w:w="0" w:type="dxa"/>
                  </w:tcMar>
                  <w:vAlign w:val="center"/>
                </w:tcPr>
                <w:p w14:paraId="1DE9F4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130.8</w:t>
                  </w:r>
                </w:p>
              </w:tc>
              <w:tc>
                <w:tcPr>
                  <w:tcW w:w="204" w:type="pct"/>
                  <w:shd w:val="clear" w:color="auto" w:fill="FFFFFF"/>
                  <w:noWrap w:val="0"/>
                  <w:tcMar>
                    <w:top w:w="0" w:type="dxa"/>
                    <w:left w:w="0" w:type="dxa"/>
                    <w:bottom w:w="0" w:type="dxa"/>
                    <w:right w:w="0" w:type="dxa"/>
                  </w:tcMar>
                  <w:vAlign w:val="center"/>
                </w:tcPr>
                <w:p w14:paraId="2B9886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-20.9</w:t>
                  </w:r>
                </w:p>
              </w:tc>
              <w:tc>
                <w:tcPr>
                  <w:tcW w:w="124" w:type="pct"/>
                  <w:shd w:val="clear" w:color="auto" w:fill="FFFFFF"/>
                  <w:noWrap w:val="0"/>
                  <w:tcMar>
                    <w:top w:w="0" w:type="dxa"/>
                    <w:left w:w="0" w:type="dxa"/>
                    <w:bottom w:w="0" w:type="dxa"/>
                    <w:right w:w="0" w:type="dxa"/>
                  </w:tcMar>
                  <w:vAlign w:val="center"/>
                </w:tcPr>
                <w:p w14:paraId="353A3E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w:t>
                  </w:r>
                </w:p>
              </w:tc>
              <w:tc>
                <w:tcPr>
                  <w:tcW w:w="171" w:type="pct"/>
                  <w:shd w:val="clear" w:color="auto" w:fill="FFFFFF"/>
                  <w:noWrap w:val="0"/>
                  <w:tcMar>
                    <w:top w:w="0" w:type="dxa"/>
                    <w:left w:w="0" w:type="dxa"/>
                    <w:bottom w:w="0" w:type="dxa"/>
                    <w:right w:w="0" w:type="dxa"/>
                  </w:tcMar>
                  <w:vAlign w:val="center"/>
                </w:tcPr>
                <w:p w14:paraId="4524CEF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w:t>
                  </w:r>
                </w:p>
              </w:tc>
              <w:tc>
                <w:tcPr>
                  <w:tcW w:w="171" w:type="pct"/>
                  <w:shd w:val="clear" w:color="auto" w:fill="FFFFFF"/>
                  <w:noWrap w:val="0"/>
                  <w:tcMar>
                    <w:top w:w="0" w:type="dxa"/>
                    <w:left w:w="0" w:type="dxa"/>
                    <w:bottom w:w="0" w:type="dxa"/>
                    <w:right w:w="0" w:type="dxa"/>
                  </w:tcMar>
                  <w:vAlign w:val="center"/>
                </w:tcPr>
                <w:p w14:paraId="254AEAB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14.6</w:t>
                  </w:r>
                </w:p>
              </w:tc>
              <w:tc>
                <w:tcPr>
                  <w:tcW w:w="171" w:type="pct"/>
                  <w:shd w:val="clear" w:color="auto" w:fill="FFFFFF"/>
                  <w:noWrap w:val="0"/>
                  <w:tcMar>
                    <w:top w:w="0" w:type="dxa"/>
                    <w:left w:w="0" w:type="dxa"/>
                    <w:bottom w:w="0" w:type="dxa"/>
                    <w:right w:w="0" w:type="dxa"/>
                  </w:tcMar>
                  <w:vAlign w:val="center"/>
                </w:tcPr>
                <w:p w14:paraId="11AE8F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73.7</w:t>
                  </w:r>
                </w:p>
              </w:tc>
              <w:tc>
                <w:tcPr>
                  <w:tcW w:w="171" w:type="pct"/>
                  <w:shd w:val="clear" w:color="auto" w:fill="FFFFFF"/>
                  <w:noWrap w:val="0"/>
                  <w:tcMar>
                    <w:top w:w="0" w:type="dxa"/>
                    <w:left w:w="0" w:type="dxa"/>
                    <w:bottom w:w="0" w:type="dxa"/>
                    <w:right w:w="0" w:type="dxa"/>
                  </w:tcMar>
                  <w:vAlign w:val="center"/>
                </w:tcPr>
                <w:p w14:paraId="7E8591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w:t>
                  </w:r>
                </w:p>
              </w:tc>
              <w:tc>
                <w:tcPr>
                  <w:tcW w:w="171" w:type="pct"/>
                  <w:shd w:val="clear" w:color="auto" w:fill="FFFFFF"/>
                  <w:noWrap w:val="0"/>
                  <w:tcMar>
                    <w:top w:w="0" w:type="dxa"/>
                    <w:left w:w="0" w:type="dxa"/>
                    <w:bottom w:w="0" w:type="dxa"/>
                    <w:right w:w="0" w:type="dxa"/>
                  </w:tcMar>
                  <w:vAlign w:val="center"/>
                </w:tcPr>
                <w:p w14:paraId="71BA2E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63.7</w:t>
                  </w:r>
                </w:p>
              </w:tc>
              <w:tc>
                <w:tcPr>
                  <w:tcW w:w="171" w:type="pct"/>
                  <w:shd w:val="clear" w:color="auto" w:fill="FFFFFF"/>
                  <w:noWrap w:val="0"/>
                  <w:tcMar>
                    <w:top w:w="0" w:type="dxa"/>
                    <w:left w:w="0" w:type="dxa"/>
                    <w:bottom w:w="0" w:type="dxa"/>
                    <w:right w:w="0" w:type="dxa"/>
                  </w:tcMar>
                  <w:vAlign w:val="center"/>
                </w:tcPr>
                <w:p w14:paraId="161EC5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63.4</w:t>
                  </w:r>
                </w:p>
              </w:tc>
              <w:tc>
                <w:tcPr>
                  <w:tcW w:w="171" w:type="pct"/>
                  <w:shd w:val="clear" w:color="auto" w:fill="FFFFFF"/>
                  <w:noWrap w:val="0"/>
                  <w:tcMar>
                    <w:top w:w="0" w:type="dxa"/>
                    <w:left w:w="0" w:type="dxa"/>
                    <w:bottom w:w="0" w:type="dxa"/>
                    <w:right w:w="0" w:type="dxa"/>
                  </w:tcMar>
                  <w:vAlign w:val="center"/>
                </w:tcPr>
                <w:p w14:paraId="2F8A68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63.3</w:t>
                  </w:r>
                </w:p>
              </w:tc>
              <w:tc>
                <w:tcPr>
                  <w:tcW w:w="171" w:type="pct"/>
                  <w:shd w:val="clear" w:color="auto" w:fill="FFFFFF"/>
                  <w:noWrap w:val="0"/>
                  <w:tcMar>
                    <w:top w:w="0" w:type="dxa"/>
                    <w:left w:w="0" w:type="dxa"/>
                    <w:bottom w:w="0" w:type="dxa"/>
                    <w:right w:w="0" w:type="dxa"/>
                  </w:tcMar>
                  <w:vAlign w:val="center"/>
                </w:tcPr>
                <w:p w14:paraId="487E591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64.3</w:t>
                  </w:r>
                </w:p>
              </w:tc>
              <w:tc>
                <w:tcPr>
                  <w:tcW w:w="220" w:type="pct"/>
                  <w:vMerge w:val="continue"/>
                  <w:shd w:val="clear" w:color="auto" w:fill="FFFFFF"/>
                  <w:noWrap w:val="0"/>
                  <w:tcMar>
                    <w:top w:w="0" w:type="dxa"/>
                    <w:left w:w="0" w:type="dxa"/>
                    <w:bottom w:w="0" w:type="dxa"/>
                    <w:right w:w="0" w:type="dxa"/>
                  </w:tcMar>
                  <w:vAlign w:val="center"/>
                </w:tcPr>
                <w:p w14:paraId="09055D2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p>
              </w:tc>
              <w:tc>
                <w:tcPr>
                  <w:tcW w:w="171" w:type="pct"/>
                  <w:shd w:val="clear" w:color="auto" w:fill="FFFFFF"/>
                  <w:noWrap w:val="0"/>
                  <w:tcMar>
                    <w:top w:w="0" w:type="dxa"/>
                    <w:left w:w="0" w:type="dxa"/>
                    <w:bottom w:w="0" w:type="dxa"/>
                    <w:right w:w="0" w:type="dxa"/>
                  </w:tcMar>
                  <w:vAlign w:val="center"/>
                </w:tcPr>
                <w:p w14:paraId="5C5851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356FE1A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DBFAB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142440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26.0</w:t>
                  </w:r>
                </w:p>
              </w:tc>
              <w:tc>
                <w:tcPr>
                  <w:tcW w:w="171" w:type="pct"/>
                  <w:shd w:val="clear" w:color="auto" w:fill="FFFFFF"/>
                  <w:noWrap w:val="0"/>
                  <w:tcMar>
                    <w:top w:w="0" w:type="dxa"/>
                    <w:left w:w="0" w:type="dxa"/>
                    <w:bottom w:w="0" w:type="dxa"/>
                    <w:right w:w="0" w:type="dxa"/>
                  </w:tcMar>
                  <w:vAlign w:val="center"/>
                </w:tcPr>
                <w:p w14:paraId="0ACAC25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37.7</w:t>
                  </w:r>
                </w:p>
              </w:tc>
              <w:tc>
                <w:tcPr>
                  <w:tcW w:w="171" w:type="pct"/>
                  <w:shd w:val="clear" w:color="auto" w:fill="FFFFFF"/>
                  <w:noWrap w:val="0"/>
                  <w:tcMar>
                    <w:top w:w="0" w:type="dxa"/>
                    <w:left w:w="0" w:type="dxa"/>
                    <w:bottom w:w="0" w:type="dxa"/>
                    <w:right w:w="0" w:type="dxa"/>
                  </w:tcMar>
                  <w:vAlign w:val="center"/>
                </w:tcPr>
                <w:p w14:paraId="030869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37.4</w:t>
                  </w:r>
                </w:p>
              </w:tc>
              <w:tc>
                <w:tcPr>
                  <w:tcW w:w="171" w:type="pct"/>
                  <w:shd w:val="clear" w:color="auto" w:fill="FFFFFF"/>
                  <w:noWrap w:val="0"/>
                  <w:tcMar>
                    <w:top w:w="0" w:type="dxa"/>
                    <w:left w:w="0" w:type="dxa"/>
                    <w:bottom w:w="0" w:type="dxa"/>
                    <w:right w:w="0" w:type="dxa"/>
                  </w:tcMar>
                  <w:vAlign w:val="center"/>
                </w:tcPr>
                <w:p w14:paraId="3BEBF0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37.3</w:t>
                  </w:r>
                </w:p>
              </w:tc>
              <w:tc>
                <w:tcPr>
                  <w:tcW w:w="171" w:type="pct"/>
                  <w:shd w:val="clear" w:color="auto" w:fill="FFFFFF"/>
                  <w:noWrap w:val="0"/>
                  <w:tcMar>
                    <w:top w:w="0" w:type="dxa"/>
                    <w:left w:w="0" w:type="dxa"/>
                    <w:bottom w:w="0" w:type="dxa"/>
                    <w:right w:w="0" w:type="dxa"/>
                  </w:tcMar>
                  <w:vAlign w:val="center"/>
                </w:tcPr>
                <w:p w14:paraId="168F035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38.3</w:t>
                  </w:r>
                </w:p>
              </w:tc>
              <w:tc>
                <w:tcPr>
                  <w:tcW w:w="100" w:type="pct"/>
                  <w:shd w:val="clear" w:color="auto" w:fill="FFFFFF"/>
                  <w:noWrap w:val="0"/>
                  <w:tcMar>
                    <w:top w:w="0" w:type="dxa"/>
                    <w:left w:w="0" w:type="dxa"/>
                    <w:bottom w:w="0" w:type="dxa"/>
                    <w:right w:w="0" w:type="dxa"/>
                  </w:tcMar>
                  <w:vAlign w:val="center"/>
                </w:tcPr>
                <w:p w14:paraId="4FA7C3D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r>
            <w:bookmarkEnd w:id="3"/>
          </w:tbl>
          <w:p w14:paraId="6E4D1F50">
            <w:pPr>
              <w:pStyle w:val="23"/>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b w:val="0"/>
                <w:bCs w:val="0"/>
                <w:color w:val="auto"/>
                <w:w w:val="100"/>
                <w:sz w:val="24"/>
                <w:szCs w:val="24"/>
                <w:highlight w:val="none"/>
              </w:rPr>
            </w:pPr>
            <w:r>
              <w:rPr>
                <w:rFonts w:hint="eastAsia"/>
                <w:b w:val="0"/>
                <w:bCs w:val="0"/>
                <w:color w:val="auto"/>
                <w:w w:val="100"/>
                <w:sz w:val="24"/>
                <w:szCs w:val="24"/>
                <w:highlight w:val="none"/>
                <w:lang w:eastAsia="zh-CN"/>
              </w:rPr>
              <w:t>表</w:t>
            </w:r>
            <w:r>
              <w:rPr>
                <w:rFonts w:hint="eastAsia"/>
                <w:b w:val="0"/>
                <w:bCs w:val="0"/>
                <w:color w:val="auto"/>
                <w:w w:val="100"/>
                <w:sz w:val="24"/>
                <w:szCs w:val="24"/>
                <w:highlight w:val="none"/>
                <w:lang w:val="en-US" w:eastAsia="zh-CN"/>
              </w:rPr>
              <w:t xml:space="preserve">4-12 </w:t>
            </w:r>
            <w:r>
              <w:rPr>
                <w:b w:val="0"/>
                <w:bCs w:val="0"/>
                <w:color w:val="auto"/>
                <w:w w:val="100"/>
                <w:sz w:val="24"/>
                <w:szCs w:val="24"/>
                <w:highlight w:val="none"/>
              </w:rPr>
              <w:t>工业企业噪声源强调查清单（室</w:t>
            </w:r>
            <w:r>
              <w:rPr>
                <w:rFonts w:hint="eastAsia"/>
                <w:b w:val="0"/>
                <w:bCs w:val="0"/>
                <w:color w:val="auto"/>
                <w:w w:val="100"/>
                <w:sz w:val="24"/>
                <w:szCs w:val="24"/>
                <w:highlight w:val="none"/>
                <w:lang w:eastAsia="zh-CN"/>
              </w:rPr>
              <w:t>外</w:t>
            </w:r>
            <w:r>
              <w:rPr>
                <w:b w:val="0"/>
                <w:bCs w:val="0"/>
                <w:color w:val="auto"/>
                <w:w w:val="100"/>
                <w:sz w:val="24"/>
                <w:szCs w:val="24"/>
                <w:highlight w:val="none"/>
              </w:rPr>
              <w:t>声源）</w:t>
            </w:r>
          </w:p>
          <w:tbl>
            <w:tblPr>
              <w:tblStyle w:val="17"/>
              <w:tblW w:w="47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23"/>
              <w:gridCol w:w="689"/>
              <w:gridCol w:w="654"/>
              <w:gridCol w:w="480"/>
              <w:gridCol w:w="2708"/>
              <w:gridCol w:w="1825"/>
              <w:gridCol w:w="671"/>
            </w:tblGrid>
            <w:tr w14:paraId="38BA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264" w:type="pct"/>
                  <w:vMerge w:val="restart"/>
                  <w:noWrap w:val="0"/>
                  <w:vAlign w:val="center"/>
                </w:tcPr>
                <w:p w14:paraId="7184B377">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序号</w:t>
                  </w:r>
                </w:p>
              </w:tc>
              <w:tc>
                <w:tcPr>
                  <w:tcW w:w="386" w:type="pct"/>
                  <w:vMerge w:val="restart"/>
                  <w:noWrap w:val="0"/>
                  <w:vAlign w:val="center"/>
                </w:tcPr>
                <w:p w14:paraId="2EBCB625">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声源名称</w:t>
                  </w:r>
                </w:p>
              </w:tc>
              <w:tc>
                <w:tcPr>
                  <w:tcW w:w="1127" w:type="pct"/>
                  <w:gridSpan w:val="3"/>
                  <w:noWrap w:val="0"/>
                  <w:vAlign w:val="center"/>
                </w:tcPr>
                <w:p w14:paraId="378BA76F">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空间相对位置/m</w:t>
                  </w:r>
                </w:p>
              </w:tc>
              <w:tc>
                <w:tcPr>
                  <w:tcW w:w="1675" w:type="pct"/>
                  <w:noWrap w:val="0"/>
                  <w:vAlign w:val="center"/>
                </w:tcPr>
                <w:p w14:paraId="2B5D24B6">
                  <w:pPr>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b/>
                      <w:color w:val="auto"/>
                      <w:sz w:val="21"/>
                      <w:szCs w:val="21"/>
                      <w:highlight w:val="none"/>
                      <w:lang w:eastAsia="zh-CN"/>
                    </w:rPr>
                    <w:t>声源源强（任选一种）</w:t>
                  </w:r>
                </w:p>
              </w:tc>
              <w:tc>
                <w:tcPr>
                  <w:tcW w:w="1129" w:type="pct"/>
                  <w:vMerge w:val="restart"/>
                  <w:noWrap w:val="0"/>
                  <w:vAlign w:val="center"/>
                </w:tcPr>
                <w:p w14:paraId="1EFB8CFC">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声源控制措施</w:t>
                  </w:r>
                </w:p>
              </w:tc>
              <w:tc>
                <w:tcPr>
                  <w:tcW w:w="415" w:type="pct"/>
                  <w:vMerge w:val="restart"/>
                  <w:noWrap w:val="0"/>
                  <w:vAlign w:val="center"/>
                </w:tcPr>
                <w:p w14:paraId="2ACD3D02">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运行时段</w:t>
                  </w:r>
                </w:p>
              </w:tc>
            </w:tr>
            <w:tr w14:paraId="3B3A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64" w:type="pct"/>
                  <w:vMerge w:val="continue"/>
                  <w:shd w:val="clear" w:color="auto" w:fill="FFFFFF"/>
                  <w:noWrap w:val="0"/>
                  <w:vAlign w:val="center"/>
                </w:tcPr>
                <w:p w14:paraId="573EB8FA">
                  <w:pPr>
                    <w:jc w:val="center"/>
                    <w:rPr>
                      <w:rFonts w:ascii="Times New Roman" w:hAnsi="Times New Roman" w:eastAsia="宋体" w:cs="Times New Roman"/>
                      <w:color w:val="auto"/>
                      <w:sz w:val="21"/>
                      <w:szCs w:val="21"/>
                      <w:highlight w:val="none"/>
                    </w:rPr>
                  </w:pPr>
                </w:p>
              </w:tc>
              <w:tc>
                <w:tcPr>
                  <w:tcW w:w="386" w:type="pct"/>
                  <w:vMerge w:val="continue"/>
                  <w:shd w:val="clear" w:color="auto" w:fill="FFFFFF"/>
                  <w:noWrap w:val="0"/>
                  <w:vAlign w:val="center"/>
                </w:tcPr>
                <w:p w14:paraId="38C68EBB">
                  <w:pPr>
                    <w:jc w:val="center"/>
                    <w:rPr>
                      <w:rFonts w:ascii="Times New Roman" w:hAnsi="Times New Roman" w:eastAsia="宋体" w:cs="Times New Roman"/>
                      <w:color w:val="auto"/>
                      <w:sz w:val="21"/>
                      <w:szCs w:val="21"/>
                      <w:highlight w:val="none"/>
                    </w:rPr>
                  </w:pPr>
                </w:p>
              </w:tc>
              <w:tc>
                <w:tcPr>
                  <w:tcW w:w="426" w:type="pct"/>
                  <w:shd w:val="clear" w:color="auto" w:fill="FFFFFF"/>
                  <w:noWrap w:val="0"/>
                  <w:vAlign w:val="center"/>
                </w:tcPr>
                <w:p w14:paraId="451ACC00">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X</w:t>
                  </w:r>
                </w:p>
              </w:tc>
              <w:tc>
                <w:tcPr>
                  <w:tcW w:w="404" w:type="pct"/>
                  <w:shd w:val="clear" w:color="auto" w:fill="FFFFFF"/>
                  <w:noWrap w:val="0"/>
                  <w:vAlign w:val="center"/>
                </w:tcPr>
                <w:p w14:paraId="09636828">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Y</w:t>
                  </w:r>
                </w:p>
              </w:tc>
              <w:tc>
                <w:tcPr>
                  <w:tcW w:w="296" w:type="pct"/>
                  <w:shd w:val="clear" w:color="auto" w:fill="FFFFFF"/>
                  <w:noWrap w:val="0"/>
                  <w:vAlign w:val="center"/>
                </w:tcPr>
                <w:p w14:paraId="1386B6F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Z</w:t>
                  </w:r>
                </w:p>
              </w:tc>
              <w:tc>
                <w:tcPr>
                  <w:tcW w:w="1675" w:type="pct"/>
                  <w:shd w:val="clear" w:color="auto" w:fill="FFFFFF"/>
                  <w:noWrap w:val="0"/>
                  <w:vAlign w:val="center"/>
                </w:tcPr>
                <w:p w14:paraId="6BCFF2F4">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声功率级/dB(A)</w:t>
                  </w:r>
                </w:p>
              </w:tc>
              <w:tc>
                <w:tcPr>
                  <w:tcW w:w="1129" w:type="pct"/>
                  <w:vMerge w:val="continue"/>
                  <w:shd w:val="clear" w:color="auto" w:fill="FFFFFF"/>
                  <w:noWrap w:val="0"/>
                  <w:vAlign w:val="center"/>
                </w:tcPr>
                <w:p w14:paraId="50E91882">
                  <w:pPr>
                    <w:jc w:val="center"/>
                    <w:rPr>
                      <w:rFonts w:ascii="Times New Roman" w:hAnsi="Times New Roman" w:eastAsia="宋体" w:cs="Times New Roman"/>
                      <w:color w:val="auto"/>
                      <w:sz w:val="21"/>
                      <w:szCs w:val="21"/>
                      <w:highlight w:val="none"/>
                    </w:rPr>
                  </w:pPr>
                </w:p>
              </w:tc>
              <w:tc>
                <w:tcPr>
                  <w:tcW w:w="415" w:type="pct"/>
                  <w:vMerge w:val="continue"/>
                  <w:shd w:val="clear" w:color="auto" w:fill="FFFFFF"/>
                  <w:noWrap w:val="0"/>
                  <w:vAlign w:val="center"/>
                </w:tcPr>
                <w:p w14:paraId="4A9B8B2F">
                  <w:pPr>
                    <w:jc w:val="center"/>
                    <w:rPr>
                      <w:rFonts w:ascii="Times New Roman" w:hAnsi="Times New Roman" w:eastAsia="宋体" w:cs="Times New Roman"/>
                      <w:color w:val="auto"/>
                      <w:sz w:val="21"/>
                      <w:szCs w:val="21"/>
                      <w:highlight w:val="none"/>
                    </w:rPr>
                  </w:pPr>
                </w:p>
              </w:tc>
            </w:tr>
            <w:tr w14:paraId="40F6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842" w:hRule="exact"/>
                <w:jc w:val="center"/>
              </w:trPr>
              <w:tc>
                <w:tcPr>
                  <w:tcW w:w="264" w:type="pct"/>
                  <w:shd w:val="clear" w:color="auto" w:fill="FFFFFF"/>
                  <w:noWrap w:val="0"/>
                  <w:vAlign w:val="center"/>
                </w:tcPr>
                <w:p w14:paraId="45C2A002">
                  <w:pPr>
                    <w:rPr>
                      <w:color w:val="auto"/>
                      <w:highlight w:val="none"/>
                    </w:rPr>
                  </w:pPr>
                  <w:r>
                    <w:rPr>
                      <w:rFonts w:ascii="Arial" w:hAnsi="Arial" w:eastAsia="Arial" w:cs="Arial"/>
                      <w:color w:val="auto"/>
                      <w:sz w:val="20"/>
                      <w:highlight w:val="none"/>
                    </w:rPr>
                    <w:t>1</w:t>
                  </w:r>
                </w:p>
              </w:tc>
              <w:tc>
                <w:tcPr>
                  <w:tcW w:w="386" w:type="pct"/>
                  <w:shd w:val="clear" w:color="auto" w:fill="FFFFFF"/>
                  <w:noWrap w:val="0"/>
                  <w:vAlign w:val="center"/>
                </w:tcPr>
                <w:p w14:paraId="58B1F818">
                  <w:pPr>
                    <w:rPr>
                      <w:color w:val="auto"/>
                      <w:highlight w:val="none"/>
                    </w:rPr>
                  </w:pPr>
                  <w:r>
                    <w:rPr>
                      <w:rFonts w:ascii="Arial" w:hAnsi="Arial" w:eastAsia="Arial" w:cs="Arial"/>
                      <w:color w:val="auto"/>
                      <w:sz w:val="20"/>
                      <w:highlight w:val="none"/>
                    </w:rPr>
                    <w:t>冷却塔</w:t>
                  </w:r>
                </w:p>
              </w:tc>
              <w:tc>
                <w:tcPr>
                  <w:tcW w:w="426" w:type="pct"/>
                  <w:shd w:val="clear" w:color="auto" w:fill="FFFFFF"/>
                  <w:noWrap w:val="0"/>
                  <w:vAlign w:val="center"/>
                </w:tcPr>
                <w:p w14:paraId="5FB639C8">
                  <w:pPr>
                    <w:rPr>
                      <w:rFonts w:hint="default" w:eastAsia="宋体"/>
                      <w:color w:val="auto"/>
                      <w:highlight w:val="none"/>
                      <w:lang w:val="en-US" w:eastAsia="zh-CN"/>
                    </w:rPr>
                  </w:pPr>
                  <w:r>
                    <w:rPr>
                      <w:rFonts w:hint="eastAsia"/>
                      <w:color w:val="auto"/>
                      <w:highlight w:val="none"/>
                      <w:lang w:val="en-US" w:eastAsia="zh-CN"/>
                    </w:rPr>
                    <w:t>105.3</w:t>
                  </w:r>
                </w:p>
              </w:tc>
              <w:tc>
                <w:tcPr>
                  <w:tcW w:w="404" w:type="pct"/>
                  <w:shd w:val="clear" w:color="auto" w:fill="FFFFFF"/>
                  <w:noWrap w:val="0"/>
                  <w:vAlign w:val="center"/>
                </w:tcPr>
                <w:p w14:paraId="57687A60">
                  <w:pPr>
                    <w:rPr>
                      <w:rFonts w:hint="default" w:eastAsia="宋体"/>
                      <w:color w:val="auto"/>
                      <w:highlight w:val="none"/>
                      <w:lang w:val="en-US" w:eastAsia="zh-CN"/>
                    </w:rPr>
                  </w:pPr>
                  <w:r>
                    <w:rPr>
                      <w:rFonts w:hint="eastAsia"/>
                      <w:color w:val="auto"/>
                      <w:highlight w:val="none"/>
                      <w:lang w:val="en-US" w:eastAsia="zh-CN"/>
                    </w:rPr>
                    <w:t>-42.4</w:t>
                  </w:r>
                </w:p>
              </w:tc>
              <w:tc>
                <w:tcPr>
                  <w:tcW w:w="296" w:type="pct"/>
                  <w:shd w:val="clear" w:color="auto" w:fill="FFFFFF"/>
                  <w:noWrap w:val="0"/>
                  <w:vAlign w:val="center"/>
                </w:tcPr>
                <w:p w14:paraId="5EF9EAED">
                  <w:pPr>
                    <w:rPr>
                      <w:rFonts w:hint="default" w:eastAsia="宋体"/>
                      <w:color w:val="auto"/>
                      <w:highlight w:val="none"/>
                      <w:lang w:val="en-US" w:eastAsia="zh-CN"/>
                    </w:rPr>
                  </w:pPr>
                  <w:r>
                    <w:rPr>
                      <w:rFonts w:hint="eastAsia"/>
                      <w:color w:val="auto"/>
                      <w:highlight w:val="none"/>
                      <w:lang w:val="en-US" w:eastAsia="zh-CN"/>
                    </w:rPr>
                    <w:t>1.2</w:t>
                  </w:r>
                </w:p>
              </w:tc>
              <w:tc>
                <w:tcPr>
                  <w:tcW w:w="1675" w:type="pct"/>
                  <w:shd w:val="clear" w:color="auto" w:fill="FFFFFF"/>
                  <w:noWrap w:val="0"/>
                  <w:vAlign w:val="center"/>
                </w:tcPr>
                <w:p w14:paraId="109208E0">
                  <w:pPr>
                    <w:jc w:val="center"/>
                    <w:rPr>
                      <w:color w:val="auto"/>
                      <w:highlight w:val="none"/>
                    </w:rPr>
                  </w:pPr>
                  <w:r>
                    <w:rPr>
                      <w:rFonts w:ascii="Arial" w:hAnsi="Arial" w:eastAsia="Arial" w:cs="Arial"/>
                      <w:color w:val="auto"/>
                      <w:sz w:val="20"/>
                      <w:highlight w:val="none"/>
                    </w:rPr>
                    <w:t>80</w:t>
                  </w:r>
                </w:p>
              </w:tc>
              <w:tc>
                <w:tcPr>
                  <w:tcW w:w="1129" w:type="pct"/>
                  <w:shd w:val="clear" w:color="auto" w:fill="FFFFFF"/>
                  <w:noWrap w:val="0"/>
                  <w:vAlign w:val="center"/>
                </w:tcPr>
                <w:p w14:paraId="1CE3046F">
                  <w:pPr>
                    <w:rPr>
                      <w:color w:val="auto"/>
                      <w:highlight w:val="none"/>
                    </w:rPr>
                  </w:pPr>
                  <w:r>
                    <w:rPr>
                      <w:rFonts w:hint="eastAsia"/>
                      <w:color w:val="auto"/>
                      <w:highlight w:val="none"/>
                    </w:rPr>
                    <w:t>低噪设备、基础减震、厂房隔音</w:t>
                  </w:r>
                </w:p>
              </w:tc>
              <w:tc>
                <w:tcPr>
                  <w:tcW w:w="415" w:type="pct"/>
                  <w:shd w:val="clear" w:color="auto" w:fill="FFFFFF"/>
                  <w:noWrap w:val="0"/>
                  <w:vAlign w:val="center"/>
                </w:tcPr>
                <w:p w14:paraId="4E1F333F">
                  <w:pPr>
                    <w:rPr>
                      <w:rFonts w:hint="eastAsia" w:eastAsia="宋体"/>
                      <w:color w:val="auto"/>
                      <w:highlight w:val="none"/>
                      <w:lang w:eastAsia="zh-CN"/>
                    </w:rPr>
                  </w:pPr>
                  <w:r>
                    <w:rPr>
                      <w:rFonts w:hint="eastAsia"/>
                      <w:color w:val="auto"/>
                      <w:highlight w:val="none"/>
                      <w:lang w:eastAsia="zh-CN"/>
                    </w:rPr>
                    <w:t>无</w:t>
                  </w:r>
                </w:p>
              </w:tc>
            </w:tr>
          </w:tbl>
          <w:p w14:paraId="59A99B91">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color w:val="auto"/>
                <w:sz w:val="24"/>
                <w:highlight w:val="none"/>
              </w:rPr>
            </w:pPr>
            <w:r>
              <w:rPr>
                <w:color w:val="auto"/>
                <w:sz w:val="24"/>
                <w:highlight w:val="none"/>
              </w:rPr>
              <w:t>声环境保护目标噪声预测结果与达标分析见表</w:t>
            </w:r>
            <w:r>
              <w:rPr>
                <w:rFonts w:hint="eastAsia"/>
                <w:color w:val="auto"/>
                <w:sz w:val="24"/>
                <w:highlight w:val="none"/>
              </w:rPr>
              <w:t>4</w:t>
            </w:r>
            <w:r>
              <w:rPr>
                <w:rFonts w:hint="eastAsia"/>
                <w:color w:val="auto"/>
                <w:sz w:val="24"/>
                <w:highlight w:val="none"/>
                <w:lang w:val="en-US" w:eastAsia="zh-CN"/>
              </w:rPr>
              <w:t>-13</w:t>
            </w:r>
            <w:r>
              <w:rPr>
                <w:color w:val="auto"/>
                <w:sz w:val="24"/>
                <w:highlight w:val="none"/>
              </w:rPr>
              <w:t>。</w:t>
            </w:r>
          </w:p>
          <w:p w14:paraId="40051EE2">
            <w:pPr>
              <w:pStyle w:val="2"/>
              <w:keepNext w:val="0"/>
              <w:keepLines w:val="0"/>
              <w:pageBreakBefore w:val="0"/>
              <w:widowControl w:val="0"/>
              <w:kinsoku/>
              <w:wordWrap/>
              <w:overflowPunct/>
              <w:topLinePunct w:val="0"/>
              <w:bidi w:val="0"/>
              <w:spacing w:line="480" w:lineRule="exact"/>
              <w:jc w:val="center"/>
              <w:textAlignment w:val="auto"/>
              <w:rPr>
                <w:rFonts w:hint="eastAsia" w:eastAsia="宋体"/>
                <w:color w:val="auto"/>
                <w:highlight w:val="none"/>
                <w:lang w:val="en-US" w:eastAsia="zh-CN"/>
              </w:rPr>
            </w:pPr>
            <w:r>
              <w:rPr>
                <w:rFonts w:hint="eastAsia"/>
                <w:color w:val="auto"/>
                <w:sz w:val="24"/>
                <w:highlight w:val="none"/>
                <w:lang w:eastAsia="zh-CN"/>
              </w:rPr>
              <w:t>表</w:t>
            </w:r>
            <w:r>
              <w:rPr>
                <w:rFonts w:hint="eastAsia"/>
                <w:color w:val="auto"/>
                <w:sz w:val="24"/>
                <w:highlight w:val="none"/>
                <w:lang w:val="en-US" w:eastAsia="zh-CN"/>
              </w:rPr>
              <w:t xml:space="preserve">4-13 </w:t>
            </w:r>
            <w:r>
              <w:rPr>
                <w:color w:val="auto"/>
                <w:sz w:val="24"/>
                <w:highlight w:val="none"/>
              </w:rPr>
              <w:t>噪声预测结果与达标</w:t>
            </w:r>
            <w:r>
              <w:rPr>
                <w:rFonts w:hint="eastAsia"/>
                <w:color w:val="auto"/>
                <w:sz w:val="24"/>
                <w:highlight w:val="none"/>
                <w:lang w:eastAsia="zh-CN"/>
              </w:rPr>
              <w:t>分析表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672"/>
              <w:gridCol w:w="672"/>
              <w:gridCol w:w="495"/>
              <w:gridCol w:w="513"/>
              <w:gridCol w:w="1187"/>
              <w:gridCol w:w="1187"/>
              <w:gridCol w:w="1187"/>
              <w:gridCol w:w="1187"/>
              <w:gridCol w:w="720"/>
            </w:tblGrid>
            <w:tr w14:paraId="4850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422" w:type="pct"/>
                  <w:vMerge w:val="restart"/>
                  <w:noWrap w:val="0"/>
                  <w:vAlign w:val="center"/>
                </w:tcPr>
                <w:p w14:paraId="057FA65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预测方位</w:t>
                  </w:r>
                </w:p>
              </w:tc>
              <w:tc>
                <w:tcPr>
                  <w:tcW w:w="1084" w:type="pct"/>
                  <w:gridSpan w:val="3"/>
                  <w:noWrap w:val="0"/>
                  <w:vAlign w:val="center"/>
                </w:tcPr>
                <w:p w14:paraId="5E111139">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b/>
                      <w:color w:val="auto"/>
                      <w:sz w:val="21"/>
                      <w:szCs w:val="21"/>
                      <w:highlight w:val="none"/>
                      <w:lang w:val="en-US" w:eastAsia="zh-CN"/>
                    </w:rPr>
                    <w:t>最大值点</w:t>
                  </w:r>
                  <w:r>
                    <w:rPr>
                      <w:rFonts w:ascii="Times New Roman" w:hAnsi="Times New Roman" w:eastAsia="宋体" w:cs="Times New Roman"/>
                      <w:b/>
                      <w:color w:val="auto"/>
                      <w:sz w:val="21"/>
                      <w:szCs w:val="21"/>
                      <w:highlight w:val="none"/>
                    </w:rPr>
                    <w:t>空间相对位置/m</w:t>
                  </w:r>
                </w:p>
              </w:tc>
              <w:tc>
                <w:tcPr>
                  <w:tcW w:w="374" w:type="pct"/>
                  <w:vMerge w:val="restart"/>
                  <w:noWrap w:val="0"/>
                  <w:vAlign w:val="center"/>
                </w:tcPr>
                <w:p w14:paraId="5ED461DC">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时段</w:t>
                  </w:r>
                </w:p>
              </w:tc>
              <w:tc>
                <w:tcPr>
                  <w:tcW w:w="562" w:type="pct"/>
                  <w:vMerge w:val="restart"/>
                  <w:noWrap w:val="0"/>
                  <w:vAlign w:val="center"/>
                </w:tcPr>
                <w:p w14:paraId="40F2102F">
                  <w:pPr>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现有工程贡献值</w:t>
                  </w:r>
                  <w:r>
                    <w:rPr>
                      <w:rFonts w:ascii="Times New Roman" w:hAnsi="Times New Roman" w:eastAsia="宋体" w:cs="Times New Roman"/>
                      <w:b/>
                      <w:color w:val="auto"/>
                      <w:sz w:val="21"/>
                      <w:szCs w:val="21"/>
                      <w:highlight w:val="none"/>
                    </w:rPr>
                    <w:t>（dB(A)）</w:t>
                  </w:r>
                </w:p>
              </w:tc>
              <w:tc>
                <w:tcPr>
                  <w:tcW w:w="697" w:type="pct"/>
                  <w:vMerge w:val="restart"/>
                  <w:noWrap w:val="0"/>
                  <w:vAlign w:val="center"/>
                </w:tcPr>
                <w:p w14:paraId="4665969E">
                  <w:pPr>
                    <w:jc w:val="center"/>
                    <w:rPr>
                      <w:rFonts w:ascii="Times New Roman" w:hAnsi="Times New Roman" w:eastAsia="宋体" w:cs="Times New Roman"/>
                      <w:color w:val="auto"/>
                      <w:sz w:val="21"/>
                      <w:szCs w:val="21"/>
                      <w:highlight w:val="none"/>
                    </w:rPr>
                  </w:pPr>
                  <w:r>
                    <w:rPr>
                      <w:rFonts w:hint="eastAsia" w:cs="Times New Roman"/>
                      <w:b/>
                      <w:color w:val="auto"/>
                      <w:sz w:val="21"/>
                      <w:szCs w:val="21"/>
                      <w:highlight w:val="none"/>
                      <w:lang w:eastAsia="zh-CN"/>
                    </w:rPr>
                    <w:t>拟建项目最大</w:t>
                  </w:r>
                  <w:r>
                    <w:rPr>
                      <w:rFonts w:hint="eastAsia" w:ascii="Times New Roman" w:hAnsi="Times New Roman" w:eastAsia="宋体" w:cs="Times New Roman"/>
                      <w:b/>
                      <w:color w:val="auto"/>
                      <w:sz w:val="21"/>
                      <w:szCs w:val="21"/>
                      <w:highlight w:val="none"/>
                    </w:rPr>
                    <w:t>贡献值</w:t>
                  </w:r>
                  <w:r>
                    <w:rPr>
                      <w:rFonts w:ascii="Times New Roman" w:hAnsi="Times New Roman" w:eastAsia="宋体" w:cs="Times New Roman"/>
                      <w:b/>
                      <w:color w:val="auto"/>
                      <w:sz w:val="21"/>
                      <w:szCs w:val="21"/>
                      <w:highlight w:val="none"/>
                    </w:rPr>
                    <w:t>（dB(A)）</w:t>
                  </w:r>
                </w:p>
              </w:tc>
              <w:tc>
                <w:tcPr>
                  <w:tcW w:w="697" w:type="pct"/>
                  <w:vMerge w:val="restart"/>
                  <w:noWrap w:val="0"/>
                  <w:vAlign w:val="center"/>
                </w:tcPr>
                <w:p w14:paraId="1F2CFEB8">
                  <w:pPr>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预测值（</w:t>
                  </w:r>
                  <w:r>
                    <w:rPr>
                      <w:rFonts w:ascii="Times New Roman" w:hAnsi="Times New Roman" w:eastAsia="宋体" w:cs="Times New Roman"/>
                      <w:b/>
                      <w:color w:val="auto"/>
                      <w:sz w:val="21"/>
                      <w:szCs w:val="21"/>
                      <w:highlight w:val="none"/>
                    </w:rPr>
                    <w:t>dB(A)</w:t>
                  </w:r>
                  <w:r>
                    <w:rPr>
                      <w:rFonts w:hint="eastAsia" w:ascii="Times New Roman" w:hAnsi="Times New Roman" w:eastAsia="宋体" w:cs="Times New Roman"/>
                      <w:b/>
                      <w:color w:val="auto"/>
                      <w:sz w:val="21"/>
                      <w:szCs w:val="21"/>
                      <w:highlight w:val="none"/>
                      <w:lang w:val="en-US" w:eastAsia="zh-CN"/>
                    </w:rPr>
                    <w:t>）</w:t>
                  </w:r>
                </w:p>
              </w:tc>
              <w:tc>
                <w:tcPr>
                  <w:tcW w:w="698" w:type="pct"/>
                  <w:vMerge w:val="restart"/>
                  <w:noWrap w:val="0"/>
                  <w:vAlign w:val="center"/>
                </w:tcPr>
                <w:p w14:paraId="6D9251E7">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标准限值（dB(A)）</w:t>
                  </w:r>
                </w:p>
              </w:tc>
              <w:tc>
                <w:tcPr>
                  <w:tcW w:w="461" w:type="pct"/>
                  <w:vMerge w:val="restart"/>
                  <w:noWrap w:val="0"/>
                  <w:vAlign w:val="center"/>
                </w:tcPr>
                <w:p w14:paraId="5C4F6405">
                  <w:pPr>
                    <w:jc w:val="center"/>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达标情况</w:t>
                  </w:r>
                </w:p>
              </w:tc>
            </w:tr>
            <w:tr w14:paraId="169B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2" w:type="pct"/>
                  <w:vMerge w:val="continue"/>
                  <w:shd w:val="clear" w:color="auto" w:fill="FFFFFF"/>
                  <w:noWrap w:val="0"/>
                  <w:vAlign w:val="center"/>
                </w:tcPr>
                <w:p w14:paraId="68210500">
                  <w:pPr>
                    <w:jc w:val="center"/>
                    <w:rPr>
                      <w:rFonts w:ascii="Times New Roman" w:hAnsi="Times New Roman" w:eastAsia="宋体" w:cs="Times New Roman"/>
                      <w:color w:val="auto"/>
                      <w:sz w:val="21"/>
                      <w:szCs w:val="21"/>
                      <w:highlight w:val="none"/>
                    </w:rPr>
                  </w:pPr>
                </w:p>
              </w:tc>
              <w:tc>
                <w:tcPr>
                  <w:tcW w:w="395" w:type="pct"/>
                  <w:shd w:val="clear" w:color="auto" w:fill="FFFFFF"/>
                  <w:noWrap w:val="0"/>
                  <w:vAlign w:val="center"/>
                </w:tcPr>
                <w:p w14:paraId="0949993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X</w:t>
                  </w:r>
                </w:p>
              </w:tc>
              <w:tc>
                <w:tcPr>
                  <w:tcW w:w="395" w:type="pct"/>
                  <w:shd w:val="clear" w:color="auto" w:fill="FFFFFF"/>
                  <w:noWrap w:val="0"/>
                  <w:vAlign w:val="center"/>
                </w:tcPr>
                <w:p w14:paraId="47077FE3">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Y</w:t>
                  </w:r>
                </w:p>
              </w:tc>
              <w:tc>
                <w:tcPr>
                  <w:tcW w:w="294" w:type="pct"/>
                  <w:shd w:val="clear" w:color="auto" w:fill="FFFFFF"/>
                  <w:noWrap w:val="0"/>
                  <w:vAlign w:val="center"/>
                </w:tcPr>
                <w:p w14:paraId="36FF7D31">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Z</w:t>
                  </w:r>
                </w:p>
              </w:tc>
              <w:tc>
                <w:tcPr>
                  <w:tcW w:w="374" w:type="pct"/>
                  <w:vMerge w:val="continue"/>
                  <w:shd w:val="clear" w:color="auto" w:fill="FFFFFF"/>
                  <w:noWrap w:val="0"/>
                  <w:vAlign w:val="center"/>
                </w:tcPr>
                <w:p w14:paraId="3218A422">
                  <w:pPr>
                    <w:jc w:val="center"/>
                    <w:rPr>
                      <w:rFonts w:ascii="Times New Roman" w:hAnsi="Times New Roman" w:eastAsia="宋体" w:cs="Times New Roman"/>
                      <w:color w:val="auto"/>
                      <w:sz w:val="21"/>
                      <w:szCs w:val="21"/>
                      <w:highlight w:val="none"/>
                    </w:rPr>
                  </w:pPr>
                </w:p>
              </w:tc>
              <w:tc>
                <w:tcPr>
                  <w:tcW w:w="562" w:type="pct"/>
                  <w:vMerge w:val="continue"/>
                  <w:shd w:val="clear" w:color="auto" w:fill="FFFFFF"/>
                  <w:noWrap w:val="0"/>
                  <w:vAlign w:val="center"/>
                </w:tcPr>
                <w:p w14:paraId="53C3058C">
                  <w:pPr>
                    <w:jc w:val="center"/>
                    <w:rPr>
                      <w:rFonts w:ascii="Times New Roman" w:hAnsi="Times New Roman" w:eastAsia="宋体" w:cs="Times New Roman"/>
                      <w:color w:val="auto"/>
                      <w:sz w:val="21"/>
                      <w:szCs w:val="21"/>
                      <w:highlight w:val="none"/>
                    </w:rPr>
                  </w:pPr>
                </w:p>
              </w:tc>
              <w:tc>
                <w:tcPr>
                  <w:tcW w:w="697" w:type="pct"/>
                  <w:vMerge w:val="continue"/>
                  <w:shd w:val="clear" w:color="auto" w:fill="FFFFFF"/>
                  <w:noWrap w:val="0"/>
                  <w:vAlign w:val="center"/>
                </w:tcPr>
                <w:p w14:paraId="4208997C">
                  <w:pPr>
                    <w:jc w:val="center"/>
                    <w:rPr>
                      <w:rFonts w:ascii="Times New Roman" w:hAnsi="Times New Roman" w:eastAsia="宋体" w:cs="Times New Roman"/>
                      <w:color w:val="auto"/>
                      <w:sz w:val="21"/>
                      <w:szCs w:val="21"/>
                      <w:highlight w:val="none"/>
                    </w:rPr>
                  </w:pPr>
                </w:p>
              </w:tc>
              <w:tc>
                <w:tcPr>
                  <w:tcW w:w="697" w:type="pct"/>
                  <w:vMerge w:val="continue"/>
                  <w:shd w:val="clear" w:color="auto" w:fill="FFFFFF"/>
                  <w:noWrap w:val="0"/>
                  <w:vAlign w:val="center"/>
                </w:tcPr>
                <w:p w14:paraId="19B7C5C9">
                  <w:pPr>
                    <w:jc w:val="center"/>
                    <w:rPr>
                      <w:rFonts w:ascii="Times New Roman" w:hAnsi="Times New Roman" w:eastAsia="宋体" w:cs="Times New Roman"/>
                      <w:color w:val="auto"/>
                      <w:sz w:val="21"/>
                      <w:szCs w:val="21"/>
                      <w:highlight w:val="none"/>
                    </w:rPr>
                  </w:pPr>
                </w:p>
              </w:tc>
              <w:tc>
                <w:tcPr>
                  <w:tcW w:w="698" w:type="pct"/>
                  <w:vMerge w:val="continue"/>
                  <w:shd w:val="clear" w:color="auto" w:fill="FFFFFF"/>
                  <w:noWrap w:val="0"/>
                  <w:vAlign w:val="center"/>
                </w:tcPr>
                <w:p w14:paraId="78C59870">
                  <w:pPr>
                    <w:jc w:val="center"/>
                    <w:rPr>
                      <w:rFonts w:ascii="Times New Roman" w:hAnsi="Times New Roman" w:eastAsia="宋体" w:cs="Times New Roman"/>
                      <w:color w:val="auto"/>
                      <w:sz w:val="21"/>
                      <w:szCs w:val="21"/>
                      <w:highlight w:val="none"/>
                    </w:rPr>
                  </w:pPr>
                </w:p>
              </w:tc>
              <w:tc>
                <w:tcPr>
                  <w:tcW w:w="461" w:type="pct"/>
                  <w:vMerge w:val="continue"/>
                  <w:shd w:val="clear" w:color="auto" w:fill="FFFFFF"/>
                  <w:noWrap w:val="0"/>
                  <w:vAlign w:val="center"/>
                </w:tcPr>
                <w:p w14:paraId="2835961B">
                  <w:pPr>
                    <w:jc w:val="center"/>
                    <w:rPr>
                      <w:rFonts w:ascii="Times New Roman" w:hAnsi="Times New Roman" w:eastAsia="宋体" w:cs="Times New Roman"/>
                      <w:color w:val="auto"/>
                      <w:sz w:val="21"/>
                      <w:szCs w:val="21"/>
                      <w:highlight w:val="none"/>
                    </w:rPr>
                  </w:pPr>
                </w:p>
              </w:tc>
            </w:tr>
            <w:tr w14:paraId="7DF3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8" w:hRule="exact"/>
                <w:jc w:val="center"/>
              </w:trPr>
              <w:tc>
                <w:tcPr>
                  <w:tcW w:w="422" w:type="pct"/>
                  <w:vMerge w:val="restart"/>
                  <w:shd w:val="clear" w:color="auto" w:fill="FFFFFF"/>
                  <w:noWrap w:val="0"/>
                  <w:vAlign w:val="center"/>
                </w:tcPr>
                <w:p w14:paraId="1336A1CC">
                  <w:pPr>
                    <w:rPr>
                      <w:color w:val="auto"/>
                      <w:highlight w:val="none"/>
                    </w:rPr>
                  </w:pPr>
                  <w:r>
                    <w:rPr>
                      <w:rFonts w:ascii="Arial" w:hAnsi="Arial" w:eastAsia="Arial" w:cs="Arial"/>
                      <w:color w:val="auto"/>
                      <w:sz w:val="20"/>
                      <w:highlight w:val="none"/>
                    </w:rPr>
                    <w:t>东侧</w:t>
                  </w:r>
                </w:p>
              </w:tc>
              <w:tc>
                <w:tcPr>
                  <w:tcW w:w="395" w:type="pct"/>
                  <w:shd w:val="clear" w:color="auto" w:fill="FFFFFF"/>
                  <w:noWrap w:val="0"/>
                  <w:vAlign w:val="center"/>
                </w:tcPr>
                <w:p w14:paraId="7E160587">
                  <w:pPr>
                    <w:rPr>
                      <w:color w:val="auto"/>
                      <w:highlight w:val="none"/>
                    </w:rPr>
                  </w:pPr>
                  <w:r>
                    <w:rPr>
                      <w:rFonts w:ascii="Arial" w:hAnsi="Arial" w:eastAsia="Arial" w:cs="Arial"/>
                      <w:color w:val="auto"/>
                      <w:sz w:val="20"/>
                      <w:highlight w:val="none"/>
                    </w:rPr>
                    <w:t>80.1</w:t>
                  </w:r>
                </w:p>
              </w:tc>
              <w:tc>
                <w:tcPr>
                  <w:tcW w:w="395" w:type="pct"/>
                  <w:shd w:val="clear" w:color="auto" w:fill="FFFFFF"/>
                  <w:noWrap w:val="0"/>
                  <w:vAlign w:val="center"/>
                </w:tcPr>
                <w:p w14:paraId="526CE09B">
                  <w:pPr>
                    <w:rPr>
                      <w:color w:val="auto"/>
                      <w:highlight w:val="none"/>
                    </w:rPr>
                  </w:pPr>
                  <w:r>
                    <w:rPr>
                      <w:rFonts w:ascii="Arial" w:hAnsi="Arial" w:eastAsia="Arial" w:cs="Arial"/>
                      <w:color w:val="auto"/>
                      <w:sz w:val="20"/>
                      <w:highlight w:val="none"/>
                    </w:rPr>
                    <w:t>63.9</w:t>
                  </w:r>
                </w:p>
              </w:tc>
              <w:tc>
                <w:tcPr>
                  <w:tcW w:w="294" w:type="pct"/>
                  <w:shd w:val="clear" w:color="auto" w:fill="FFFFFF"/>
                  <w:noWrap w:val="0"/>
                  <w:vAlign w:val="center"/>
                </w:tcPr>
                <w:p w14:paraId="46B9D0DE">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4A150942">
                  <w:pPr>
                    <w:rPr>
                      <w:color w:val="auto"/>
                      <w:highlight w:val="none"/>
                    </w:rPr>
                  </w:pPr>
                  <w:r>
                    <w:rPr>
                      <w:rFonts w:ascii="Arial" w:hAnsi="Arial" w:eastAsia="Arial" w:cs="Arial"/>
                      <w:color w:val="auto"/>
                      <w:sz w:val="20"/>
                      <w:highlight w:val="none"/>
                    </w:rPr>
                    <w:t>昼间</w:t>
                  </w:r>
                </w:p>
              </w:tc>
              <w:tc>
                <w:tcPr>
                  <w:tcW w:w="562" w:type="pct"/>
                  <w:shd w:val="clear" w:color="auto" w:fill="FFFFFF"/>
                  <w:noWrap w:val="0"/>
                  <w:vAlign w:val="center"/>
                </w:tcPr>
                <w:p w14:paraId="6DF30833">
                  <w:pPr>
                    <w:jc w:val="center"/>
                    <w:rPr>
                      <w:rFonts w:hint="default"/>
                      <w:color w:val="auto"/>
                      <w:highlight w:val="none"/>
                      <w:lang w:val="en-US" w:eastAsia="zh-CN"/>
                    </w:rPr>
                  </w:pPr>
                  <w:r>
                    <w:rPr>
                      <w:rFonts w:hint="eastAsia"/>
                      <w:color w:val="auto"/>
                      <w:highlight w:val="none"/>
                      <w:lang w:val="en-US" w:eastAsia="zh-CN"/>
                    </w:rPr>
                    <w:t>56.4</w:t>
                  </w:r>
                </w:p>
              </w:tc>
              <w:tc>
                <w:tcPr>
                  <w:tcW w:w="697" w:type="pct"/>
                  <w:shd w:val="clear" w:color="auto" w:fill="FFFFFF"/>
                  <w:noWrap w:val="0"/>
                  <w:vAlign w:val="center"/>
                </w:tcPr>
                <w:p w14:paraId="66316DC1">
                  <w:pPr>
                    <w:jc w:val="center"/>
                    <w:rPr>
                      <w:rFonts w:hint="default" w:eastAsia="宋体"/>
                      <w:color w:val="auto"/>
                      <w:highlight w:val="none"/>
                      <w:lang w:val="en-US" w:eastAsia="zh-CN"/>
                    </w:rPr>
                  </w:pPr>
                  <w:r>
                    <w:rPr>
                      <w:rFonts w:hint="eastAsia"/>
                      <w:color w:val="auto"/>
                      <w:highlight w:val="none"/>
                      <w:lang w:val="en-US" w:eastAsia="zh-CN"/>
                    </w:rPr>
                    <w:t>34.0</w:t>
                  </w:r>
                </w:p>
              </w:tc>
              <w:tc>
                <w:tcPr>
                  <w:tcW w:w="697" w:type="pct"/>
                  <w:shd w:val="clear" w:color="auto" w:fill="FFFFFF"/>
                  <w:noWrap w:val="0"/>
                  <w:vAlign w:val="center"/>
                </w:tcPr>
                <w:p w14:paraId="759C9617">
                  <w:pPr>
                    <w:jc w:val="center"/>
                    <w:rPr>
                      <w:rFonts w:hint="default" w:eastAsia="宋体"/>
                      <w:color w:val="auto"/>
                      <w:highlight w:val="none"/>
                      <w:lang w:val="en-US" w:eastAsia="zh-CN"/>
                    </w:rPr>
                  </w:pPr>
                  <w:r>
                    <w:rPr>
                      <w:rFonts w:hint="eastAsia"/>
                      <w:color w:val="auto"/>
                      <w:highlight w:val="none"/>
                      <w:lang w:val="en-US" w:eastAsia="zh-CN"/>
                    </w:rPr>
                    <w:t>58.8</w:t>
                  </w:r>
                </w:p>
              </w:tc>
              <w:tc>
                <w:tcPr>
                  <w:tcW w:w="698" w:type="pct"/>
                  <w:shd w:val="clear" w:color="auto" w:fill="FFFFFF"/>
                  <w:noWrap w:val="0"/>
                  <w:vAlign w:val="center"/>
                </w:tcPr>
                <w:p w14:paraId="1C314DC4">
                  <w:pPr>
                    <w:jc w:val="center"/>
                    <w:rPr>
                      <w:color w:val="auto"/>
                      <w:highlight w:val="none"/>
                    </w:rPr>
                  </w:pPr>
                  <w:r>
                    <w:rPr>
                      <w:rFonts w:ascii="Arial" w:hAnsi="Arial" w:eastAsia="Arial" w:cs="Arial"/>
                      <w:color w:val="auto"/>
                      <w:sz w:val="20"/>
                      <w:highlight w:val="none"/>
                    </w:rPr>
                    <w:t>60</w:t>
                  </w:r>
                </w:p>
              </w:tc>
              <w:tc>
                <w:tcPr>
                  <w:tcW w:w="461" w:type="pct"/>
                  <w:shd w:val="clear" w:color="auto" w:fill="FFFFFF"/>
                  <w:noWrap w:val="0"/>
                  <w:vAlign w:val="center"/>
                </w:tcPr>
                <w:p w14:paraId="0EC85549">
                  <w:pPr>
                    <w:rPr>
                      <w:color w:val="auto"/>
                      <w:highlight w:val="none"/>
                    </w:rPr>
                  </w:pPr>
                  <w:r>
                    <w:rPr>
                      <w:rFonts w:ascii="Arial" w:hAnsi="Arial" w:eastAsia="Arial" w:cs="Arial"/>
                      <w:color w:val="auto"/>
                      <w:sz w:val="20"/>
                      <w:highlight w:val="none"/>
                    </w:rPr>
                    <w:t>达标</w:t>
                  </w:r>
                </w:p>
              </w:tc>
            </w:tr>
            <w:tr w14:paraId="5DA5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23" w:hRule="exact"/>
                <w:jc w:val="center"/>
              </w:trPr>
              <w:tc>
                <w:tcPr>
                  <w:tcW w:w="422" w:type="pct"/>
                  <w:vMerge w:val="continue"/>
                  <w:shd w:val="clear" w:color="auto" w:fill="FFFFFF"/>
                  <w:noWrap w:val="0"/>
                  <w:vAlign w:val="center"/>
                </w:tcPr>
                <w:p w14:paraId="41217C39">
                  <w:pPr>
                    <w:rPr>
                      <w:color w:val="auto"/>
                      <w:highlight w:val="none"/>
                    </w:rPr>
                  </w:pPr>
                  <w:r>
                    <w:rPr>
                      <w:rFonts w:ascii="Arial" w:hAnsi="Arial" w:eastAsia="Arial" w:cs="Arial"/>
                      <w:color w:val="auto"/>
                      <w:sz w:val="20"/>
                      <w:highlight w:val="none"/>
                    </w:rPr>
                    <w:t>东侧</w:t>
                  </w:r>
                </w:p>
              </w:tc>
              <w:tc>
                <w:tcPr>
                  <w:tcW w:w="395" w:type="pct"/>
                  <w:shd w:val="clear" w:color="auto" w:fill="FFFFFF"/>
                  <w:noWrap w:val="0"/>
                  <w:vAlign w:val="center"/>
                </w:tcPr>
                <w:p w14:paraId="03F25F24">
                  <w:pPr>
                    <w:rPr>
                      <w:color w:val="auto"/>
                      <w:highlight w:val="none"/>
                    </w:rPr>
                  </w:pPr>
                  <w:r>
                    <w:rPr>
                      <w:rFonts w:ascii="Arial" w:hAnsi="Arial" w:eastAsia="Arial" w:cs="Arial"/>
                      <w:color w:val="auto"/>
                      <w:sz w:val="20"/>
                      <w:highlight w:val="none"/>
                    </w:rPr>
                    <w:t>80.1</w:t>
                  </w:r>
                </w:p>
              </w:tc>
              <w:tc>
                <w:tcPr>
                  <w:tcW w:w="395" w:type="pct"/>
                  <w:shd w:val="clear" w:color="auto" w:fill="FFFFFF"/>
                  <w:noWrap w:val="0"/>
                  <w:vAlign w:val="center"/>
                </w:tcPr>
                <w:p w14:paraId="33D5D937">
                  <w:pPr>
                    <w:rPr>
                      <w:color w:val="auto"/>
                      <w:highlight w:val="none"/>
                    </w:rPr>
                  </w:pPr>
                  <w:r>
                    <w:rPr>
                      <w:rFonts w:ascii="Arial" w:hAnsi="Arial" w:eastAsia="Arial" w:cs="Arial"/>
                      <w:color w:val="auto"/>
                      <w:sz w:val="20"/>
                      <w:highlight w:val="none"/>
                    </w:rPr>
                    <w:t>63.9</w:t>
                  </w:r>
                </w:p>
              </w:tc>
              <w:tc>
                <w:tcPr>
                  <w:tcW w:w="294" w:type="pct"/>
                  <w:shd w:val="clear" w:color="auto" w:fill="FFFFFF"/>
                  <w:noWrap w:val="0"/>
                  <w:vAlign w:val="center"/>
                </w:tcPr>
                <w:p w14:paraId="5644A37F">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270FB21A">
                  <w:pPr>
                    <w:rPr>
                      <w:color w:val="auto"/>
                      <w:highlight w:val="none"/>
                    </w:rPr>
                  </w:pPr>
                  <w:r>
                    <w:rPr>
                      <w:rFonts w:ascii="Arial" w:hAnsi="Arial" w:eastAsia="Arial" w:cs="Arial"/>
                      <w:color w:val="auto"/>
                      <w:sz w:val="20"/>
                      <w:highlight w:val="none"/>
                    </w:rPr>
                    <w:t>夜间</w:t>
                  </w:r>
                </w:p>
              </w:tc>
              <w:tc>
                <w:tcPr>
                  <w:tcW w:w="562" w:type="pct"/>
                  <w:shd w:val="clear" w:color="auto" w:fill="FFFFFF"/>
                  <w:noWrap w:val="0"/>
                  <w:vAlign w:val="center"/>
                </w:tcPr>
                <w:p w14:paraId="78EF3F1C">
                  <w:pPr>
                    <w:jc w:val="center"/>
                    <w:rPr>
                      <w:rFonts w:hint="default"/>
                      <w:color w:val="auto"/>
                      <w:highlight w:val="none"/>
                      <w:lang w:val="en-US" w:eastAsia="zh-CN"/>
                    </w:rPr>
                  </w:pPr>
                  <w:r>
                    <w:rPr>
                      <w:rFonts w:hint="eastAsia"/>
                      <w:color w:val="auto"/>
                      <w:highlight w:val="none"/>
                      <w:lang w:val="en-US" w:eastAsia="zh-CN"/>
                    </w:rPr>
                    <w:t>45.5</w:t>
                  </w:r>
                </w:p>
              </w:tc>
              <w:tc>
                <w:tcPr>
                  <w:tcW w:w="697" w:type="pct"/>
                  <w:shd w:val="clear" w:color="auto" w:fill="FFFFFF"/>
                  <w:noWrap w:val="0"/>
                  <w:vAlign w:val="center"/>
                </w:tcPr>
                <w:p w14:paraId="4909CA99">
                  <w:pPr>
                    <w:jc w:val="center"/>
                    <w:rPr>
                      <w:rFonts w:hint="default" w:eastAsia="宋体"/>
                      <w:color w:val="auto"/>
                      <w:highlight w:val="none"/>
                      <w:lang w:val="en-US" w:eastAsia="zh-CN"/>
                    </w:rPr>
                  </w:pPr>
                  <w:r>
                    <w:rPr>
                      <w:rFonts w:hint="eastAsia"/>
                      <w:color w:val="auto"/>
                      <w:highlight w:val="none"/>
                      <w:lang w:val="en-US" w:eastAsia="zh-CN"/>
                    </w:rPr>
                    <w:t>34.0</w:t>
                  </w:r>
                </w:p>
              </w:tc>
              <w:tc>
                <w:tcPr>
                  <w:tcW w:w="697" w:type="pct"/>
                  <w:shd w:val="clear" w:color="auto" w:fill="FFFFFF"/>
                  <w:noWrap w:val="0"/>
                  <w:vAlign w:val="center"/>
                </w:tcPr>
                <w:p w14:paraId="0FF231D7">
                  <w:pPr>
                    <w:jc w:val="center"/>
                    <w:rPr>
                      <w:rFonts w:hint="default" w:eastAsia="宋体"/>
                      <w:color w:val="auto"/>
                      <w:highlight w:val="none"/>
                      <w:lang w:val="en-US" w:eastAsia="zh-CN"/>
                    </w:rPr>
                  </w:pPr>
                  <w:r>
                    <w:rPr>
                      <w:rFonts w:hint="eastAsia"/>
                      <w:color w:val="auto"/>
                      <w:highlight w:val="none"/>
                      <w:lang w:val="en-US" w:eastAsia="zh-CN"/>
                    </w:rPr>
                    <w:t>47.2</w:t>
                  </w:r>
                </w:p>
              </w:tc>
              <w:tc>
                <w:tcPr>
                  <w:tcW w:w="698" w:type="pct"/>
                  <w:shd w:val="clear" w:color="auto" w:fill="FFFFFF"/>
                  <w:noWrap w:val="0"/>
                  <w:vAlign w:val="center"/>
                </w:tcPr>
                <w:p w14:paraId="6B0F8001">
                  <w:pPr>
                    <w:jc w:val="center"/>
                    <w:rPr>
                      <w:color w:val="auto"/>
                      <w:highlight w:val="none"/>
                    </w:rPr>
                  </w:pPr>
                  <w:r>
                    <w:rPr>
                      <w:rFonts w:ascii="Arial" w:hAnsi="Arial" w:eastAsia="Arial" w:cs="Arial"/>
                      <w:color w:val="auto"/>
                      <w:sz w:val="20"/>
                      <w:highlight w:val="none"/>
                    </w:rPr>
                    <w:t>50</w:t>
                  </w:r>
                </w:p>
              </w:tc>
              <w:tc>
                <w:tcPr>
                  <w:tcW w:w="461" w:type="pct"/>
                  <w:shd w:val="clear" w:color="auto" w:fill="FFFFFF"/>
                  <w:noWrap w:val="0"/>
                  <w:vAlign w:val="center"/>
                </w:tcPr>
                <w:p w14:paraId="73114CB6">
                  <w:pPr>
                    <w:rPr>
                      <w:color w:val="auto"/>
                      <w:highlight w:val="none"/>
                    </w:rPr>
                  </w:pPr>
                  <w:r>
                    <w:rPr>
                      <w:rFonts w:ascii="Arial" w:hAnsi="Arial" w:eastAsia="Arial" w:cs="Arial"/>
                      <w:color w:val="auto"/>
                      <w:sz w:val="20"/>
                      <w:highlight w:val="none"/>
                    </w:rPr>
                    <w:t>达标</w:t>
                  </w:r>
                </w:p>
              </w:tc>
            </w:tr>
            <w:tr w14:paraId="73EE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8" w:hRule="exact"/>
                <w:jc w:val="center"/>
              </w:trPr>
              <w:tc>
                <w:tcPr>
                  <w:tcW w:w="422" w:type="pct"/>
                  <w:vMerge w:val="restart"/>
                  <w:shd w:val="clear" w:color="auto" w:fill="FFFFFF"/>
                  <w:noWrap w:val="0"/>
                  <w:vAlign w:val="center"/>
                </w:tcPr>
                <w:p w14:paraId="3F5C5A65">
                  <w:pPr>
                    <w:rPr>
                      <w:color w:val="auto"/>
                      <w:highlight w:val="none"/>
                    </w:rPr>
                  </w:pPr>
                  <w:r>
                    <w:rPr>
                      <w:rFonts w:ascii="Arial" w:hAnsi="Arial" w:eastAsia="Arial" w:cs="Arial"/>
                      <w:color w:val="auto"/>
                      <w:sz w:val="20"/>
                      <w:highlight w:val="none"/>
                    </w:rPr>
                    <w:t>南侧</w:t>
                  </w:r>
                </w:p>
              </w:tc>
              <w:tc>
                <w:tcPr>
                  <w:tcW w:w="395" w:type="pct"/>
                  <w:shd w:val="clear" w:color="auto" w:fill="FFFFFF"/>
                  <w:noWrap w:val="0"/>
                  <w:vAlign w:val="center"/>
                </w:tcPr>
                <w:p w14:paraId="46C3E877">
                  <w:pPr>
                    <w:rPr>
                      <w:color w:val="auto"/>
                      <w:highlight w:val="none"/>
                    </w:rPr>
                  </w:pPr>
                  <w:r>
                    <w:rPr>
                      <w:rFonts w:ascii="Arial" w:hAnsi="Arial" w:eastAsia="Arial" w:cs="Arial"/>
                      <w:color w:val="auto"/>
                      <w:sz w:val="20"/>
                      <w:highlight w:val="none"/>
                    </w:rPr>
                    <w:t>93.7</w:t>
                  </w:r>
                </w:p>
              </w:tc>
              <w:tc>
                <w:tcPr>
                  <w:tcW w:w="395" w:type="pct"/>
                  <w:shd w:val="clear" w:color="auto" w:fill="FFFFFF"/>
                  <w:noWrap w:val="0"/>
                  <w:vAlign w:val="center"/>
                </w:tcPr>
                <w:p w14:paraId="1CC3B1BD">
                  <w:pPr>
                    <w:rPr>
                      <w:color w:val="auto"/>
                      <w:highlight w:val="none"/>
                    </w:rPr>
                  </w:pPr>
                  <w:r>
                    <w:rPr>
                      <w:rFonts w:ascii="Arial" w:hAnsi="Arial" w:eastAsia="Arial" w:cs="Arial"/>
                      <w:color w:val="auto"/>
                      <w:sz w:val="20"/>
                      <w:highlight w:val="none"/>
                    </w:rPr>
                    <w:t>-95.3</w:t>
                  </w:r>
                </w:p>
              </w:tc>
              <w:tc>
                <w:tcPr>
                  <w:tcW w:w="294" w:type="pct"/>
                  <w:shd w:val="clear" w:color="auto" w:fill="FFFFFF"/>
                  <w:noWrap w:val="0"/>
                  <w:vAlign w:val="center"/>
                </w:tcPr>
                <w:p w14:paraId="40A09B1E">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0068C97D">
                  <w:pPr>
                    <w:rPr>
                      <w:color w:val="auto"/>
                      <w:highlight w:val="none"/>
                    </w:rPr>
                  </w:pPr>
                  <w:r>
                    <w:rPr>
                      <w:rFonts w:ascii="Arial" w:hAnsi="Arial" w:eastAsia="Arial" w:cs="Arial"/>
                      <w:color w:val="auto"/>
                      <w:sz w:val="20"/>
                      <w:highlight w:val="none"/>
                    </w:rPr>
                    <w:t>昼间</w:t>
                  </w:r>
                </w:p>
              </w:tc>
              <w:tc>
                <w:tcPr>
                  <w:tcW w:w="562" w:type="pct"/>
                  <w:shd w:val="clear" w:color="auto" w:fill="FFFFFF"/>
                  <w:noWrap w:val="0"/>
                  <w:vAlign w:val="center"/>
                </w:tcPr>
                <w:p w14:paraId="4E5C42C1">
                  <w:pPr>
                    <w:jc w:val="center"/>
                    <w:rPr>
                      <w:rFonts w:hint="default"/>
                      <w:color w:val="auto"/>
                      <w:highlight w:val="none"/>
                      <w:lang w:val="en-US" w:eastAsia="zh-CN"/>
                    </w:rPr>
                  </w:pPr>
                  <w:r>
                    <w:rPr>
                      <w:rFonts w:hint="eastAsia"/>
                      <w:color w:val="auto"/>
                      <w:highlight w:val="none"/>
                      <w:lang w:val="en-US" w:eastAsia="zh-CN"/>
                    </w:rPr>
                    <w:t>62.9</w:t>
                  </w:r>
                </w:p>
              </w:tc>
              <w:tc>
                <w:tcPr>
                  <w:tcW w:w="697" w:type="pct"/>
                  <w:shd w:val="clear" w:color="auto" w:fill="FFFFFF"/>
                  <w:noWrap w:val="0"/>
                  <w:vAlign w:val="center"/>
                </w:tcPr>
                <w:p w14:paraId="36273B9E">
                  <w:pPr>
                    <w:jc w:val="center"/>
                    <w:rPr>
                      <w:rFonts w:hint="default" w:eastAsia="宋体"/>
                      <w:color w:val="auto"/>
                      <w:highlight w:val="none"/>
                      <w:lang w:val="en-US" w:eastAsia="zh-CN"/>
                    </w:rPr>
                  </w:pPr>
                  <w:r>
                    <w:rPr>
                      <w:rFonts w:hint="eastAsia"/>
                      <w:color w:val="auto"/>
                      <w:highlight w:val="none"/>
                      <w:lang w:val="en-US" w:eastAsia="zh-CN"/>
                    </w:rPr>
                    <w:t>28.1</w:t>
                  </w:r>
                </w:p>
              </w:tc>
              <w:tc>
                <w:tcPr>
                  <w:tcW w:w="697" w:type="pct"/>
                  <w:shd w:val="clear" w:color="auto" w:fill="FFFFFF"/>
                  <w:noWrap w:val="0"/>
                  <w:vAlign w:val="center"/>
                </w:tcPr>
                <w:p w14:paraId="446CF8FD">
                  <w:pPr>
                    <w:jc w:val="center"/>
                    <w:rPr>
                      <w:rFonts w:hint="default" w:eastAsia="宋体"/>
                      <w:color w:val="auto"/>
                      <w:highlight w:val="none"/>
                      <w:lang w:val="en-US" w:eastAsia="zh-CN"/>
                    </w:rPr>
                  </w:pPr>
                  <w:r>
                    <w:rPr>
                      <w:rFonts w:hint="eastAsia"/>
                      <w:color w:val="auto"/>
                      <w:highlight w:val="none"/>
                      <w:lang w:val="en-US" w:eastAsia="zh-CN"/>
                    </w:rPr>
                    <w:t>64.1</w:t>
                  </w:r>
                </w:p>
              </w:tc>
              <w:tc>
                <w:tcPr>
                  <w:tcW w:w="698" w:type="pct"/>
                  <w:shd w:val="clear" w:color="auto" w:fill="FFFFFF"/>
                  <w:noWrap w:val="0"/>
                  <w:vAlign w:val="center"/>
                </w:tcPr>
                <w:p w14:paraId="099EB166">
                  <w:pPr>
                    <w:jc w:val="center"/>
                    <w:rPr>
                      <w:rFonts w:hint="default" w:eastAsia="宋体"/>
                      <w:color w:val="auto"/>
                      <w:highlight w:val="none"/>
                      <w:lang w:val="en-US" w:eastAsia="zh-CN"/>
                    </w:rPr>
                  </w:pPr>
                  <w:r>
                    <w:rPr>
                      <w:rFonts w:hint="eastAsia"/>
                      <w:color w:val="auto"/>
                      <w:highlight w:val="none"/>
                      <w:lang w:val="en-US" w:eastAsia="zh-CN"/>
                    </w:rPr>
                    <w:t>70</w:t>
                  </w:r>
                </w:p>
              </w:tc>
              <w:tc>
                <w:tcPr>
                  <w:tcW w:w="461" w:type="pct"/>
                  <w:shd w:val="clear" w:color="auto" w:fill="FFFFFF"/>
                  <w:noWrap w:val="0"/>
                  <w:vAlign w:val="center"/>
                </w:tcPr>
                <w:p w14:paraId="05CD981D">
                  <w:pPr>
                    <w:rPr>
                      <w:color w:val="auto"/>
                      <w:highlight w:val="none"/>
                    </w:rPr>
                  </w:pPr>
                  <w:r>
                    <w:rPr>
                      <w:rFonts w:ascii="Arial" w:hAnsi="Arial" w:eastAsia="Arial" w:cs="Arial"/>
                      <w:color w:val="auto"/>
                      <w:sz w:val="20"/>
                      <w:highlight w:val="none"/>
                    </w:rPr>
                    <w:t>达标</w:t>
                  </w:r>
                </w:p>
              </w:tc>
            </w:tr>
            <w:tr w14:paraId="1100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8" w:hRule="exact"/>
                <w:jc w:val="center"/>
              </w:trPr>
              <w:tc>
                <w:tcPr>
                  <w:tcW w:w="422" w:type="pct"/>
                  <w:vMerge w:val="continue"/>
                  <w:shd w:val="clear" w:color="auto" w:fill="FFFFFF"/>
                  <w:noWrap w:val="0"/>
                  <w:vAlign w:val="center"/>
                </w:tcPr>
                <w:p w14:paraId="30F21060">
                  <w:pPr>
                    <w:rPr>
                      <w:color w:val="auto"/>
                      <w:highlight w:val="none"/>
                    </w:rPr>
                  </w:pPr>
                  <w:r>
                    <w:rPr>
                      <w:rFonts w:ascii="Arial" w:hAnsi="Arial" w:eastAsia="Arial" w:cs="Arial"/>
                      <w:color w:val="auto"/>
                      <w:sz w:val="20"/>
                      <w:highlight w:val="none"/>
                    </w:rPr>
                    <w:t>南侧</w:t>
                  </w:r>
                </w:p>
              </w:tc>
              <w:tc>
                <w:tcPr>
                  <w:tcW w:w="395" w:type="pct"/>
                  <w:shd w:val="clear" w:color="auto" w:fill="FFFFFF"/>
                  <w:noWrap w:val="0"/>
                  <w:vAlign w:val="center"/>
                </w:tcPr>
                <w:p w14:paraId="48FEF65F">
                  <w:pPr>
                    <w:rPr>
                      <w:color w:val="auto"/>
                      <w:highlight w:val="none"/>
                    </w:rPr>
                  </w:pPr>
                  <w:r>
                    <w:rPr>
                      <w:rFonts w:ascii="Arial" w:hAnsi="Arial" w:eastAsia="Arial" w:cs="Arial"/>
                      <w:color w:val="auto"/>
                      <w:sz w:val="20"/>
                      <w:highlight w:val="none"/>
                    </w:rPr>
                    <w:t>93.7</w:t>
                  </w:r>
                </w:p>
              </w:tc>
              <w:tc>
                <w:tcPr>
                  <w:tcW w:w="395" w:type="pct"/>
                  <w:shd w:val="clear" w:color="auto" w:fill="FFFFFF"/>
                  <w:noWrap w:val="0"/>
                  <w:vAlign w:val="center"/>
                </w:tcPr>
                <w:p w14:paraId="70A7272E">
                  <w:pPr>
                    <w:rPr>
                      <w:color w:val="auto"/>
                      <w:highlight w:val="none"/>
                    </w:rPr>
                  </w:pPr>
                  <w:r>
                    <w:rPr>
                      <w:rFonts w:ascii="Arial" w:hAnsi="Arial" w:eastAsia="Arial" w:cs="Arial"/>
                      <w:color w:val="auto"/>
                      <w:sz w:val="20"/>
                      <w:highlight w:val="none"/>
                    </w:rPr>
                    <w:t>-95.3</w:t>
                  </w:r>
                </w:p>
              </w:tc>
              <w:tc>
                <w:tcPr>
                  <w:tcW w:w="294" w:type="pct"/>
                  <w:shd w:val="clear" w:color="auto" w:fill="FFFFFF"/>
                  <w:noWrap w:val="0"/>
                  <w:vAlign w:val="center"/>
                </w:tcPr>
                <w:p w14:paraId="50830060">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1C19A5AA">
                  <w:pPr>
                    <w:rPr>
                      <w:color w:val="auto"/>
                      <w:highlight w:val="none"/>
                    </w:rPr>
                  </w:pPr>
                  <w:r>
                    <w:rPr>
                      <w:rFonts w:ascii="Arial" w:hAnsi="Arial" w:eastAsia="Arial" w:cs="Arial"/>
                      <w:color w:val="auto"/>
                      <w:sz w:val="20"/>
                      <w:highlight w:val="none"/>
                    </w:rPr>
                    <w:t>夜间</w:t>
                  </w:r>
                </w:p>
              </w:tc>
              <w:tc>
                <w:tcPr>
                  <w:tcW w:w="562" w:type="pct"/>
                  <w:shd w:val="clear" w:color="auto" w:fill="FFFFFF"/>
                  <w:noWrap w:val="0"/>
                  <w:vAlign w:val="center"/>
                </w:tcPr>
                <w:p w14:paraId="58F92368">
                  <w:pPr>
                    <w:jc w:val="center"/>
                    <w:rPr>
                      <w:rFonts w:hint="default"/>
                      <w:color w:val="auto"/>
                      <w:highlight w:val="none"/>
                      <w:lang w:val="en-US" w:eastAsia="zh-CN"/>
                    </w:rPr>
                  </w:pPr>
                  <w:r>
                    <w:rPr>
                      <w:rFonts w:hint="eastAsia"/>
                      <w:color w:val="auto"/>
                      <w:highlight w:val="none"/>
                      <w:lang w:val="en-US" w:eastAsia="zh-CN"/>
                    </w:rPr>
                    <w:t>51.0</w:t>
                  </w:r>
                </w:p>
              </w:tc>
              <w:tc>
                <w:tcPr>
                  <w:tcW w:w="697" w:type="pct"/>
                  <w:shd w:val="clear" w:color="auto" w:fill="FFFFFF"/>
                  <w:noWrap w:val="0"/>
                  <w:vAlign w:val="center"/>
                </w:tcPr>
                <w:p w14:paraId="447319DF">
                  <w:pPr>
                    <w:jc w:val="center"/>
                    <w:rPr>
                      <w:rFonts w:hint="default" w:eastAsia="宋体"/>
                      <w:color w:val="auto"/>
                      <w:highlight w:val="none"/>
                      <w:lang w:val="en-US" w:eastAsia="zh-CN"/>
                    </w:rPr>
                  </w:pPr>
                  <w:r>
                    <w:rPr>
                      <w:rFonts w:hint="eastAsia"/>
                      <w:color w:val="auto"/>
                      <w:highlight w:val="none"/>
                      <w:lang w:val="en-US" w:eastAsia="zh-CN"/>
                    </w:rPr>
                    <w:t>28.1</w:t>
                  </w:r>
                </w:p>
              </w:tc>
              <w:tc>
                <w:tcPr>
                  <w:tcW w:w="697" w:type="pct"/>
                  <w:shd w:val="clear" w:color="auto" w:fill="FFFFFF"/>
                  <w:noWrap w:val="0"/>
                  <w:vAlign w:val="center"/>
                </w:tcPr>
                <w:p w14:paraId="731A820B">
                  <w:pPr>
                    <w:jc w:val="center"/>
                    <w:rPr>
                      <w:rFonts w:hint="default" w:eastAsia="宋体"/>
                      <w:color w:val="auto"/>
                      <w:highlight w:val="none"/>
                      <w:lang w:val="en-US" w:eastAsia="zh-CN"/>
                    </w:rPr>
                  </w:pPr>
                  <w:r>
                    <w:rPr>
                      <w:rFonts w:hint="eastAsia"/>
                      <w:color w:val="auto"/>
                      <w:highlight w:val="none"/>
                      <w:lang w:val="en-US" w:eastAsia="zh-CN"/>
                    </w:rPr>
                    <w:t>52.4</w:t>
                  </w:r>
                </w:p>
              </w:tc>
              <w:tc>
                <w:tcPr>
                  <w:tcW w:w="698" w:type="pct"/>
                  <w:shd w:val="clear" w:color="auto" w:fill="FFFFFF"/>
                  <w:noWrap w:val="0"/>
                  <w:vAlign w:val="center"/>
                </w:tcPr>
                <w:p w14:paraId="583D5E22">
                  <w:pPr>
                    <w:jc w:val="center"/>
                    <w:rPr>
                      <w:rFonts w:hint="default" w:eastAsia="宋体"/>
                      <w:color w:val="auto"/>
                      <w:highlight w:val="none"/>
                      <w:lang w:val="en-US" w:eastAsia="zh-CN"/>
                    </w:rPr>
                  </w:pPr>
                  <w:r>
                    <w:rPr>
                      <w:rFonts w:hint="eastAsia"/>
                      <w:color w:val="auto"/>
                      <w:highlight w:val="none"/>
                      <w:lang w:val="en-US" w:eastAsia="zh-CN"/>
                    </w:rPr>
                    <w:t>55</w:t>
                  </w:r>
                </w:p>
              </w:tc>
              <w:tc>
                <w:tcPr>
                  <w:tcW w:w="461" w:type="pct"/>
                  <w:shd w:val="clear" w:color="auto" w:fill="FFFFFF"/>
                  <w:noWrap w:val="0"/>
                  <w:vAlign w:val="center"/>
                </w:tcPr>
                <w:p w14:paraId="4678F1D5">
                  <w:pPr>
                    <w:rPr>
                      <w:color w:val="auto"/>
                      <w:highlight w:val="none"/>
                    </w:rPr>
                  </w:pPr>
                  <w:r>
                    <w:rPr>
                      <w:rFonts w:ascii="Arial" w:hAnsi="Arial" w:eastAsia="Arial" w:cs="Arial"/>
                      <w:color w:val="auto"/>
                      <w:sz w:val="20"/>
                      <w:highlight w:val="none"/>
                    </w:rPr>
                    <w:t>达标</w:t>
                  </w:r>
                </w:p>
              </w:tc>
            </w:tr>
            <w:tr w14:paraId="2272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8" w:hRule="exact"/>
                <w:jc w:val="center"/>
              </w:trPr>
              <w:tc>
                <w:tcPr>
                  <w:tcW w:w="422" w:type="pct"/>
                  <w:vMerge w:val="restart"/>
                  <w:shd w:val="clear" w:color="auto" w:fill="FFFFFF"/>
                  <w:noWrap w:val="0"/>
                  <w:vAlign w:val="center"/>
                </w:tcPr>
                <w:p w14:paraId="428115C8">
                  <w:pPr>
                    <w:rPr>
                      <w:color w:val="auto"/>
                      <w:highlight w:val="none"/>
                    </w:rPr>
                  </w:pPr>
                  <w:r>
                    <w:rPr>
                      <w:rFonts w:ascii="Arial" w:hAnsi="Arial" w:eastAsia="Arial" w:cs="Arial"/>
                      <w:color w:val="auto"/>
                      <w:sz w:val="20"/>
                      <w:highlight w:val="none"/>
                    </w:rPr>
                    <w:t>西侧</w:t>
                  </w:r>
                </w:p>
              </w:tc>
              <w:tc>
                <w:tcPr>
                  <w:tcW w:w="395" w:type="pct"/>
                  <w:shd w:val="clear" w:color="auto" w:fill="FFFFFF"/>
                  <w:noWrap w:val="0"/>
                  <w:vAlign w:val="center"/>
                </w:tcPr>
                <w:p w14:paraId="36375570">
                  <w:pPr>
                    <w:rPr>
                      <w:color w:val="auto"/>
                      <w:highlight w:val="none"/>
                    </w:rPr>
                  </w:pPr>
                  <w:r>
                    <w:rPr>
                      <w:rFonts w:ascii="Arial" w:hAnsi="Arial" w:eastAsia="Arial" w:cs="Arial"/>
                      <w:color w:val="auto"/>
                      <w:sz w:val="20"/>
                      <w:highlight w:val="none"/>
                    </w:rPr>
                    <w:t>-30.7</w:t>
                  </w:r>
                </w:p>
              </w:tc>
              <w:tc>
                <w:tcPr>
                  <w:tcW w:w="395" w:type="pct"/>
                  <w:shd w:val="clear" w:color="auto" w:fill="FFFFFF"/>
                  <w:noWrap w:val="0"/>
                  <w:vAlign w:val="center"/>
                </w:tcPr>
                <w:p w14:paraId="5D59CB4C">
                  <w:pPr>
                    <w:rPr>
                      <w:color w:val="auto"/>
                      <w:highlight w:val="none"/>
                    </w:rPr>
                  </w:pPr>
                  <w:r>
                    <w:rPr>
                      <w:rFonts w:ascii="Arial" w:hAnsi="Arial" w:eastAsia="Arial" w:cs="Arial"/>
                      <w:color w:val="auto"/>
                      <w:sz w:val="20"/>
                      <w:highlight w:val="none"/>
                    </w:rPr>
                    <w:t>-74.3</w:t>
                  </w:r>
                </w:p>
              </w:tc>
              <w:tc>
                <w:tcPr>
                  <w:tcW w:w="294" w:type="pct"/>
                  <w:shd w:val="clear" w:color="auto" w:fill="FFFFFF"/>
                  <w:noWrap w:val="0"/>
                  <w:vAlign w:val="center"/>
                </w:tcPr>
                <w:p w14:paraId="75B3F729">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6FA6DCA8">
                  <w:pPr>
                    <w:rPr>
                      <w:color w:val="auto"/>
                      <w:highlight w:val="none"/>
                    </w:rPr>
                  </w:pPr>
                  <w:r>
                    <w:rPr>
                      <w:rFonts w:ascii="Arial" w:hAnsi="Arial" w:eastAsia="Arial" w:cs="Arial"/>
                      <w:color w:val="auto"/>
                      <w:sz w:val="20"/>
                      <w:highlight w:val="none"/>
                    </w:rPr>
                    <w:t>昼间</w:t>
                  </w:r>
                </w:p>
              </w:tc>
              <w:tc>
                <w:tcPr>
                  <w:tcW w:w="562" w:type="pct"/>
                  <w:shd w:val="clear" w:color="auto" w:fill="FFFFFF"/>
                  <w:noWrap w:val="0"/>
                  <w:vAlign w:val="center"/>
                </w:tcPr>
                <w:p w14:paraId="590B5B3A">
                  <w:pPr>
                    <w:jc w:val="center"/>
                    <w:rPr>
                      <w:rFonts w:hint="default"/>
                      <w:color w:val="auto"/>
                      <w:highlight w:val="none"/>
                      <w:lang w:val="en-US" w:eastAsia="zh-CN"/>
                    </w:rPr>
                  </w:pPr>
                  <w:r>
                    <w:rPr>
                      <w:rFonts w:hint="eastAsia"/>
                      <w:color w:val="auto"/>
                      <w:highlight w:val="none"/>
                      <w:lang w:val="en-US" w:eastAsia="zh-CN"/>
                    </w:rPr>
                    <w:t>55.7</w:t>
                  </w:r>
                </w:p>
              </w:tc>
              <w:tc>
                <w:tcPr>
                  <w:tcW w:w="697" w:type="pct"/>
                  <w:shd w:val="clear" w:color="auto" w:fill="FFFFFF"/>
                  <w:noWrap w:val="0"/>
                  <w:vAlign w:val="center"/>
                </w:tcPr>
                <w:p w14:paraId="2DA7391E">
                  <w:pPr>
                    <w:jc w:val="center"/>
                    <w:rPr>
                      <w:rFonts w:hint="default" w:eastAsia="宋体"/>
                      <w:color w:val="auto"/>
                      <w:highlight w:val="none"/>
                      <w:lang w:val="en-US" w:eastAsia="zh-CN"/>
                    </w:rPr>
                  </w:pPr>
                  <w:r>
                    <w:rPr>
                      <w:rFonts w:hint="eastAsia"/>
                      <w:color w:val="auto"/>
                      <w:highlight w:val="none"/>
                      <w:lang w:val="en-US" w:eastAsia="zh-CN"/>
                    </w:rPr>
                    <w:t>2.2</w:t>
                  </w:r>
                </w:p>
              </w:tc>
              <w:tc>
                <w:tcPr>
                  <w:tcW w:w="697" w:type="pct"/>
                  <w:shd w:val="clear" w:color="auto" w:fill="FFFFFF"/>
                  <w:noWrap w:val="0"/>
                  <w:vAlign w:val="center"/>
                </w:tcPr>
                <w:p w14:paraId="1A6CC756">
                  <w:pPr>
                    <w:jc w:val="center"/>
                    <w:rPr>
                      <w:rFonts w:hint="default" w:eastAsia="宋体"/>
                      <w:color w:val="auto"/>
                      <w:highlight w:val="none"/>
                      <w:lang w:val="en-US" w:eastAsia="zh-CN"/>
                    </w:rPr>
                  </w:pPr>
                  <w:r>
                    <w:rPr>
                      <w:rFonts w:hint="eastAsia"/>
                      <w:color w:val="auto"/>
                      <w:highlight w:val="none"/>
                      <w:lang w:val="en-US" w:eastAsia="zh-CN"/>
                    </w:rPr>
                    <w:t>55.7</w:t>
                  </w:r>
                </w:p>
              </w:tc>
              <w:tc>
                <w:tcPr>
                  <w:tcW w:w="698" w:type="pct"/>
                  <w:shd w:val="clear" w:color="auto" w:fill="FFFFFF"/>
                  <w:noWrap w:val="0"/>
                  <w:vAlign w:val="center"/>
                </w:tcPr>
                <w:p w14:paraId="292C5D32">
                  <w:pPr>
                    <w:jc w:val="center"/>
                    <w:rPr>
                      <w:color w:val="auto"/>
                      <w:highlight w:val="none"/>
                    </w:rPr>
                  </w:pPr>
                  <w:r>
                    <w:rPr>
                      <w:rFonts w:ascii="Arial" w:hAnsi="Arial" w:eastAsia="Arial" w:cs="Arial"/>
                      <w:color w:val="auto"/>
                      <w:sz w:val="20"/>
                      <w:highlight w:val="none"/>
                    </w:rPr>
                    <w:t>60</w:t>
                  </w:r>
                </w:p>
              </w:tc>
              <w:tc>
                <w:tcPr>
                  <w:tcW w:w="461" w:type="pct"/>
                  <w:shd w:val="clear" w:color="auto" w:fill="FFFFFF"/>
                  <w:noWrap w:val="0"/>
                  <w:vAlign w:val="center"/>
                </w:tcPr>
                <w:p w14:paraId="4C5E586C">
                  <w:pPr>
                    <w:rPr>
                      <w:color w:val="auto"/>
                      <w:highlight w:val="none"/>
                    </w:rPr>
                  </w:pPr>
                  <w:r>
                    <w:rPr>
                      <w:rFonts w:ascii="Arial" w:hAnsi="Arial" w:eastAsia="Arial" w:cs="Arial"/>
                      <w:color w:val="auto"/>
                      <w:sz w:val="20"/>
                      <w:highlight w:val="none"/>
                    </w:rPr>
                    <w:t>达标</w:t>
                  </w:r>
                </w:p>
              </w:tc>
            </w:tr>
            <w:tr w14:paraId="2F60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8" w:hRule="exact"/>
                <w:jc w:val="center"/>
              </w:trPr>
              <w:tc>
                <w:tcPr>
                  <w:tcW w:w="422" w:type="pct"/>
                  <w:vMerge w:val="continue"/>
                  <w:shd w:val="clear" w:color="auto" w:fill="FFFFFF"/>
                  <w:noWrap w:val="0"/>
                  <w:vAlign w:val="center"/>
                </w:tcPr>
                <w:p w14:paraId="2C7019CA">
                  <w:pPr>
                    <w:rPr>
                      <w:color w:val="auto"/>
                      <w:highlight w:val="none"/>
                    </w:rPr>
                  </w:pPr>
                  <w:r>
                    <w:rPr>
                      <w:rFonts w:ascii="Arial" w:hAnsi="Arial" w:eastAsia="Arial" w:cs="Arial"/>
                      <w:color w:val="auto"/>
                      <w:sz w:val="20"/>
                      <w:highlight w:val="none"/>
                    </w:rPr>
                    <w:t>西侧</w:t>
                  </w:r>
                </w:p>
              </w:tc>
              <w:tc>
                <w:tcPr>
                  <w:tcW w:w="395" w:type="pct"/>
                  <w:shd w:val="clear" w:color="auto" w:fill="FFFFFF"/>
                  <w:noWrap w:val="0"/>
                  <w:vAlign w:val="center"/>
                </w:tcPr>
                <w:p w14:paraId="3F6D8DB5">
                  <w:pPr>
                    <w:rPr>
                      <w:color w:val="auto"/>
                      <w:highlight w:val="none"/>
                    </w:rPr>
                  </w:pPr>
                  <w:r>
                    <w:rPr>
                      <w:rFonts w:ascii="Arial" w:hAnsi="Arial" w:eastAsia="Arial" w:cs="Arial"/>
                      <w:color w:val="auto"/>
                      <w:sz w:val="20"/>
                      <w:highlight w:val="none"/>
                    </w:rPr>
                    <w:t>-30.7</w:t>
                  </w:r>
                </w:p>
              </w:tc>
              <w:tc>
                <w:tcPr>
                  <w:tcW w:w="395" w:type="pct"/>
                  <w:shd w:val="clear" w:color="auto" w:fill="FFFFFF"/>
                  <w:noWrap w:val="0"/>
                  <w:vAlign w:val="center"/>
                </w:tcPr>
                <w:p w14:paraId="5C6AA70C">
                  <w:pPr>
                    <w:rPr>
                      <w:color w:val="auto"/>
                      <w:highlight w:val="none"/>
                    </w:rPr>
                  </w:pPr>
                  <w:r>
                    <w:rPr>
                      <w:rFonts w:ascii="Arial" w:hAnsi="Arial" w:eastAsia="Arial" w:cs="Arial"/>
                      <w:color w:val="auto"/>
                      <w:sz w:val="20"/>
                      <w:highlight w:val="none"/>
                    </w:rPr>
                    <w:t>-74.3</w:t>
                  </w:r>
                </w:p>
              </w:tc>
              <w:tc>
                <w:tcPr>
                  <w:tcW w:w="294" w:type="pct"/>
                  <w:shd w:val="clear" w:color="auto" w:fill="FFFFFF"/>
                  <w:noWrap w:val="0"/>
                  <w:vAlign w:val="center"/>
                </w:tcPr>
                <w:p w14:paraId="44CD1DA6">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5B583127">
                  <w:pPr>
                    <w:rPr>
                      <w:color w:val="auto"/>
                      <w:highlight w:val="none"/>
                    </w:rPr>
                  </w:pPr>
                  <w:r>
                    <w:rPr>
                      <w:rFonts w:ascii="Arial" w:hAnsi="Arial" w:eastAsia="Arial" w:cs="Arial"/>
                      <w:color w:val="auto"/>
                      <w:sz w:val="20"/>
                      <w:highlight w:val="none"/>
                    </w:rPr>
                    <w:t>夜间</w:t>
                  </w:r>
                </w:p>
              </w:tc>
              <w:tc>
                <w:tcPr>
                  <w:tcW w:w="562" w:type="pct"/>
                  <w:shd w:val="clear" w:color="auto" w:fill="FFFFFF"/>
                  <w:noWrap w:val="0"/>
                  <w:vAlign w:val="center"/>
                </w:tcPr>
                <w:p w14:paraId="31DD03DC">
                  <w:pPr>
                    <w:jc w:val="center"/>
                    <w:rPr>
                      <w:rFonts w:hint="default"/>
                      <w:color w:val="auto"/>
                      <w:highlight w:val="none"/>
                      <w:lang w:val="en-US" w:eastAsia="zh-CN"/>
                    </w:rPr>
                  </w:pPr>
                  <w:r>
                    <w:rPr>
                      <w:rFonts w:hint="eastAsia"/>
                      <w:color w:val="auto"/>
                      <w:highlight w:val="none"/>
                      <w:lang w:val="en-US" w:eastAsia="zh-CN"/>
                    </w:rPr>
                    <w:t>45.3</w:t>
                  </w:r>
                </w:p>
              </w:tc>
              <w:tc>
                <w:tcPr>
                  <w:tcW w:w="697" w:type="pct"/>
                  <w:shd w:val="clear" w:color="auto" w:fill="FFFFFF"/>
                  <w:noWrap w:val="0"/>
                  <w:vAlign w:val="center"/>
                </w:tcPr>
                <w:p w14:paraId="091DFCBB">
                  <w:pPr>
                    <w:jc w:val="center"/>
                    <w:rPr>
                      <w:rFonts w:hint="default" w:eastAsia="宋体"/>
                      <w:color w:val="auto"/>
                      <w:highlight w:val="none"/>
                      <w:lang w:val="en-US" w:eastAsia="zh-CN"/>
                    </w:rPr>
                  </w:pPr>
                  <w:r>
                    <w:rPr>
                      <w:rFonts w:hint="eastAsia"/>
                      <w:color w:val="auto"/>
                      <w:highlight w:val="none"/>
                      <w:lang w:val="en-US" w:eastAsia="zh-CN"/>
                    </w:rPr>
                    <w:t>2.2</w:t>
                  </w:r>
                </w:p>
              </w:tc>
              <w:tc>
                <w:tcPr>
                  <w:tcW w:w="697" w:type="pct"/>
                  <w:shd w:val="clear" w:color="auto" w:fill="FFFFFF"/>
                  <w:noWrap w:val="0"/>
                  <w:vAlign w:val="center"/>
                </w:tcPr>
                <w:p w14:paraId="5B444D56">
                  <w:pPr>
                    <w:jc w:val="center"/>
                    <w:rPr>
                      <w:rFonts w:hint="default" w:eastAsia="宋体"/>
                      <w:color w:val="auto"/>
                      <w:highlight w:val="none"/>
                      <w:lang w:val="en-US" w:eastAsia="zh-CN"/>
                    </w:rPr>
                  </w:pPr>
                  <w:r>
                    <w:rPr>
                      <w:rFonts w:hint="eastAsia"/>
                      <w:color w:val="auto"/>
                      <w:highlight w:val="none"/>
                      <w:lang w:val="en-US" w:eastAsia="zh-CN"/>
                    </w:rPr>
                    <w:t>45.3</w:t>
                  </w:r>
                </w:p>
              </w:tc>
              <w:tc>
                <w:tcPr>
                  <w:tcW w:w="698" w:type="pct"/>
                  <w:shd w:val="clear" w:color="auto" w:fill="FFFFFF"/>
                  <w:noWrap w:val="0"/>
                  <w:vAlign w:val="center"/>
                </w:tcPr>
                <w:p w14:paraId="010B5882">
                  <w:pPr>
                    <w:jc w:val="center"/>
                    <w:rPr>
                      <w:color w:val="auto"/>
                      <w:highlight w:val="none"/>
                    </w:rPr>
                  </w:pPr>
                  <w:r>
                    <w:rPr>
                      <w:rFonts w:ascii="Arial" w:hAnsi="Arial" w:eastAsia="Arial" w:cs="Arial"/>
                      <w:color w:val="auto"/>
                      <w:sz w:val="20"/>
                      <w:highlight w:val="none"/>
                    </w:rPr>
                    <w:t>50</w:t>
                  </w:r>
                </w:p>
              </w:tc>
              <w:tc>
                <w:tcPr>
                  <w:tcW w:w="461" w:type="pct"/>
                  <w:shd w:val="clear" w:color="auto" w:fill="FFFFFF"/>
                  <w:noWrap w:val="0"/>
                  <w:vAlign w:val="center"/>
                </w:tcPr>
                <w:p w14:paraId="3A6C8475">
                  <w:pPr>
                    <w:rPr>
                      <w:color w:val="auto"/>
                      <w:highlight w:val="none"/>
                    </w:rPr>
                  </w:pPr>
                  <w:r>
                    <w:rPr>
                      <w:rFonts w:ascii="Arial" w:hAnsi="Arial" w:eastAsia="Arial" w:cs="Arial"/>
                      <w:color w:val="auto"/>
                      <w:sz w:val="20"/>
                      <w:highlight w:val="none"/>
                    </w:rPr>
                    <w:t>达标</w:t>
                  </w:r>
                </w:p>
              </w:tc>
            </w:tr>
            <w:tr w14:paraId="35AF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3" w:hRule="exact"/>
                <w:jc w:val="center"/>
              </w:trPr>
              <w:tc>
                <w:tcPr>
                  <w:tcW w:w="422" w:type="pct"/>
                  <w:vMerge w:val="restart"/>
                  <w:shd w:val="clear" w:color="auto" w:fill="FFFFFF"/>
                  <w:noWrap w:val="0"/>
                  <w:vAlign w:val="center"/>
                </w:tcPr>
                <w:p w14:paraId="7A032278">
                  <w:pPr>
                    <w:rPr>
                      <w:color w:val="auto"/>
                      <w:highlight w:val="none"/>
                    </w:rPr>
                  </w:pPr>
                  <w:r>
                    <w:rPr>
                      <w:rFonts w:ascii="Arial" w:hAnsi="Arial" w:eastAsia="Arial" w:cs="Arial"/>
                      <w:color w:val="auto"/>
                      <w:sz w:val="20"/>
                      <w:highlight w:val="none"/>
                    </w:rPr>
                    <w:t>北侧</w:t>
                  </w:r>
                </w:p>
              </w:tc>
              <w:tc>
                <w:tcPr>
                  <w:tcW w:w="395" w:type="pct"/>
                  <w:shd w:val="clear" w:color="auto" w:fill="FFFFFF"/>
                  <w:noWrap w:val="0"/>
                  <w:vAlign w:val="center"/>
                </w:tcPr>
                <w:p w14:paraId="799911A6">
                  <w:pPr>
                    <w:rPr>
                      <w:color w:val="auto"/>
                      <w:highlight w:val="none"/>
                    </w:rPr>
                  </w:pPr>
                  <w:r>
                    <w:rPr>
                      <w:rFonts w:ascii="Arial" w:hAnsi="Arial" w:eastAsia="Arial" w:cs="Arial"/>
                      <w:color w:val="auto"/>
                      <w:sz w:val="20"/>
                      <w:highlight w:val="none"/>
                    </w:rPr>
                    <w:t>-7.2</w:t>
                  </w:r>
                </w:p>
              </w:tc>
              <w:tc>
                <w:tcPr>
                  <w:tcW w:w="395" w:type="pct"/>
                  <w:shd w:val="clear" w:color="auto" w:fill="FFFFFF"/>
                  <w:noWrap w:val="0"/>
                  <w:vAlign w:val="center"/>
                </w:tcPr>
                <w:p w14:paraId="53BBD1D6">
                  <w:pPr>
                    <w:rPr>
                      <w:color w:val="auto"/>
                      <w:highlight w:val="none"/>
                    </w:rPr>
                  </w:pPr>
                  <w:r>
                    <w:rPr>
                      <w:rFonts w:ascii="Arial" w:hAnsi="Arial" w:eastAsia="Arial" w:cs="Arial"/>
                      <w:color w:val="auto"/>
                      <w:sz w:val="20"/>
                      <w:highlight w:val="none"/>
                    </w:rPr>
                    <w:t>43.7</w:t>
                  </w:r>
                </w:p>
              </w:tc>
              <w:tc>
                <w:tcPr>
                  <w:tcW w:w="294" w:type="pct"/>
                  <w:shd w:val="clear" w:color="auto" w:fill="FFFFFF"/>
                  <w:noWrap w:val="0"/>
                  <w:vAlign w:val="center"/>
                </w:tcPr>
                <w:p w14:paraId="1D336F55">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20F3BD5E">
                  <w:pPr>
                    <w:rPr>
                      <w:color w:val="auto"/>
                      <w:highlight w:val="none"/>
                    </w:rPr>
                  </w:pPr>
                  <w:r>
                    <w:rPr>
                      <w:rFonts w:ascii="Arial" w:hAnsi="Arial" w:eastAsia="Arial" w:cs="Arial"/>
                      <w:color w:val="auto"/>
                      <w:sz w:val="20"/>
                      <w:highlight w:val="none"/>
                    </w:rPr>
                    <w:t>昼间</w:t>
                  </w:r>
                </w:p>
              </w:tc>
              <w:tc>
                <w:tcPr>
                  <w:tcW w:w="562" w:type="pct"/>
                  <w:shd w:val="clear" w:color="auto" w:fill="FFFFFF"/>
                  <w:noWrap w:val="0"/>
                  <w:vAlign w:val="center"/>
                </w:tcPr>
                <w:p w14:paraId="65E29CFD">
                  <w:pPr>
                    <w:jc w:val="center"/>
                    <w:rPr>
                      <w:rFonts w:hint="default"/>
                      <w:color w:val="auto"/>
                      <w:highlight w:val="none"/>
                      <w:lang w:val="en-US" w:eastAsia="zh-CN"/>
                    </w:rPr>
                  </w:pPr>
                  <w:r>
                    <w:rPr>
                      <w:rFonts w:hint="eastAsia"/>
                      <w:color w:val="auto"/>
                      <w:highlight w:val="none"/>
                      <w:lang w:val="en-US" w:eastAsia="zh-CN"/>
                    </w:rPr>
                    <w:t>54.3</w:t>
                  </w:r>
                </w:p>
              </w:tc>
              <w:tc>
                <w:tcPr>
                  <w:tcW w:w="697" w:type="pct"/>
                  <w:shd w:val="clear" w:color="auto" w:fill="FFFFFF"/>
                  <w:noWrap w:val="0"/>
                  <w:vAlign w:val="center"/>
                </w:tcPr>
                <w:p w14:paraId="5C19438B">
                  <w:pPr>
                    <w:jc w:val="center"/>
                    <w:rPr>
                      <w:rFonts w:hint="default" w:eastAsia="宋体"/>
                      <w:color w:val="auto"/>
                      <w:highlight w:val="none"/>
                      <w:lang w:val="en-US" w:eastAsia="zh-CN"/>
                    </w:rPr>
                  </w:pPr>
                  <w:r>
                    <w:rPr>
                      <w:rFonts w:hint="eastAsia"/>
                      <w:color w:val="auto"/>
                      <w:highlight w:val="none"/>
                      <w:lang w:val="en-US" w:eastAsia="zh-CN"/>
                    </w:rPr>
                    <w:t>27.4</w:t>
                  </w:r>
                </w:p>
              </w:tc>
              <w:tc>
                <w:tcPr>
                  <w:tcW w:w="697" w:type="pct"/>
                  <w:shd w:val="clear" w:color="auto" w:fill="FFFFFF"/>
                  <w:noWrap w:val="0"/>
                  <w:vAlign w:val="center"/>
                </w:tcPr>
                <w:p w14:paraId="2C418415">
                  <w:pPr>
                    <w:jc w:val="center"/>
                    <w:rPr>
                      <w:rFonts w:hint="default" w:eastAsia="宋体"/>
                      <w:color w:val="auto"/>
                      <w:highlight w:val="none"/>
                      <w:lang w:val="en-US" w:eastAsia="zh-CN"/>
                    </w:rPr>
                  </w:pPr>
                  <w:r>
                    <w:rPr>
                      <w:rFonts w:hint="eastAsia"/>
                      <w:color w:val="auto"/>
                      <w:highlight w:val="none"/>
                      <w:lang w:val="en-US" w:eastAsia="zh-CN"/>
                    </w:rPr>
                    <w:t>55.9</w:t>
                  </w:r>
                </w:p>
              </w:tc>
              <w:tc>
                <w:tcPr>
                  <w:tcW w:w="698" w:type="pct"/>
                  <w:shd w:val="clear" w:color="auto" w:fill="FFFFFF"/>
                  <w:noWrap w:val="0"/>
                  <w:vAlign w:val="center"/>
                </w:tcPr>
                <w:p w14:paraId="5F0AE901">
                  <w:pPr>
                    <w:jc w:val="center"/>
                    <w:rPr>
                      <w:color w:val="auto"/>
                      <w:highlight w:val="none"/>
                    </w:rPr>
                  </w:pPr>
                  <w:r>
                    <w:rPr>
                      <w:rFonts w:ascii="Arial" w:hAnsi="Arial" w:eastAsia="Arial" w:cs="Arial"/>
                      <w:color w:val="auto"/>
                      <w:sz w:val="20"/>
                      <w:highlight w:val="none"/>
                    </w:rPr>
                    <w:t>60</w:t>
                  </w:r>
                </w:p>
              </w:tc>
              <w:tc>
                <w:tcPr>
                  <w:tcW w:w="461" w:type="pct"/>
                  <w:shd w:val="clear" w:color="auto" w:fill="FFFFFF"/>
                  <w:noWrap w:val="0"/>
                  <w:vAlign w:val="center"/>
                </w:tcPr>
                <w:p w14:paraId="24F8376D">
                  <w:pPr>
                    <w:rPr>
                      <w:color w:val="auto"/>
                      <w:highlight w:val="none"/>
                    </w:rPr>
                  </w:pPr>
                  <w:r>
                    <w:rPr>
                      <w:rFonts w:ascii="Arial" w:hAnsi="Arial" w:eastAsia="Arial" w:cs="Arial"/>
                      <w:color w:val="auto"/>
                      <w:sz w:val="20"/>
                      <w:highlight w:val="none"/>
                    </w:rPr>
                    <w:t>达标</w:t>
                  </w:r>
                </w:p>
              </w:tc>
            </w:tr>
            <w:tr w14:paraId="5A22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8" w:hRule="exact"/>
                <w:jc w:val="center"/>
              </w:trPr>
              <w:tc>
                <w:tcPr>
                  <w:tcW w:w="422" w:type="pct"/>
                  <w:vMerge w:val="continue"/>
                  <w:shd w:val="clear" w:color="auto" w:fill="FFFFFF"/>
                  <w:noWrap w:val="0"/>
                  <w:vAlign w:val="center"/>
                </w:tcPr>
                <w:p w14:paraId="2C3912A4">
                  <w:pPr>
                    <w:rPr>
                      <w:color w:val="auto"/>
                      <w:highlight w:val="none"/>
                    </w:rPr>
                  </w:pPr>
                  <w:r>
                    <w:rPr>
                      <w:rFonts w:ascii="Arial" w:hAnsi="Arial" w:eastAsia="Arial" w:cs="Arial"/>
                      <w:color w:val="auto"/>
                      <w:sz w:val="20"/>
                      <w:highlight w:val="none"/>
                    </w:rPr>
                    <w:t>北侧</w:t>
                  </w:r>
                </w:p>
              </w:tc>
              <w:tc>
                <w:tcPr>
                  <w:tcW w:w="395" w:type="pct"/>
                  <w:shd w:val="clear" w:color="auto" w:fill="FFFFFF"/>
                  <w:noWrap w:val="0"/>
                  <w:vAlign w:val="center"/>
                </w:tcPr>
                <w:p w14:paraId="5365BF7A">
                  <w:pPr>
                    <w:rPr>
                      <w:color w:val="auto"/>
                      <w:highlight w:val="none"/>
                    </w:rPr>
                  </w:pPr>
                  <w:r>
                    <w:rPr>
                      <w:rFonts w:ascii="Arial" w:hAnsi="Arial" w:eastAsia="Arial" w:cs="Arial"/>
                      <w:color w:val="auto"/>
                      <w:sz w:val="20"/>
                      <w:highlight w:val="none"/>
                    </w:rPr>
                    <w:t>-7.2</w:t>
                  </w:r>
                </w:p>
              </w:tc>
              <w:tc>
                <w:tcPr>
                  <w:tcW w:w="395" w:type="pct"/>
                  <w:shd w:val="clear" w:color="auto" w:fill="FFFFFF"/>
                  <w:noWrap w:val="0"/>
                  <w:vAlign w:val="center"/>
                </w:tcPr>
                <w:p w14:paraId="38033E7D">
                  <w:pPr>
                    <w:rPr>
                      <w:color w:val="auto"/>
                      <w:highlight w:val="none"/>
                    </w:rPr>
                  </w:pPr>
                  <w:r>
                    <w:rPr>
                      <w:rFonts w:ascii="Arial" w:hAnsi="Arial" w:eastAsia="Arial" w:cs="Arial"/>
                      <w:color w:val="auto"/>
                      <w:sz w:val="20"/>
                      <w:highlight w:val="none"/>
                    </w:rPr>
                    <w:t>43.7</w:t>
                  </w:r>
                </w:p>
              </w:tc>
              <w:tc>
                <w:tcPr>
                  <w:tcW w:w="294" w:type="pct"/>
                  <w:shd w:val="clear" w:color="auto" w:fill="FFFFFF"/>
                  <w:noWrap w:val="0"/>
                  <w:vAlign w:val="center"/>
                </w:tcPr>
                <w:p w14:paraId="0EB9B386">
                  <w:pPr>
                    <w:rPr>
                      <w:color w:val="auto"/>
                      <w:highlight w:val="none"/>
                    </w:rPr>
                  </w:pPr>
                  <w:r>
                    <w:rPr>
                      <w:rFonts w:ascii="Arial" w:hAnsi="Arial" w:eastAsia="Arial" w:cs="Arial"/>
                      <w:color w:val="auto"/>
                      <w:sz w:val="20"/>
                      <w:highlight w:val="none"/>
                    </w:rPr>
                    <w:t>1.2</w:t>
                  </w:r>
                </w:p>
              </w:tc>
              <w:tc>
                <w:tcPr>
                  <w:tcW w:w="374" w:type="pct"/>
                  <w:shd w:val="clear" w:color="auto" w:fill="FFFFFF"/>
                  <w:noWrap w:val="0"/>
                  <w:vAlign w:val="center"/>
                </w:tcPr>
                <w:p w14:paraId="76ED78A8">
                  <w:pPr>
                    <w:rPr>
                      <w:color w:val="auto"/>
                      <w:highlight w:val="none"/>
                    </w:rPr>
                  </w:pPr>
                  <w:r>
                    <w:rPr>
                      <w:rFonts w:ascii="Arial" w:hAnsi="Arial" w:eastAsia="Arial" w:cs="Arial"/>
                      <w:color w:val="auto"/>
                      <w:sz w:val="20"/>
                      <w:highlight w:val="none"/>
                    </w:rPr>
                    <w:t>夜间</w:t>
                  </w:r>
                </w:p>
              </w:tc>
              <w:tc>
                <w:tcPr>
                  <w:tcW w:w="562" w:type="pct"/>
                  <w:shd w:val="clear" w:color="auto" w:fill="FFFFFF"/>
                  <w:noWrap w:val="0"/>
                  <w:vAlign w:val="center"/>
                </w:tcPr>
                <w:p w14:paraId="2C99C7A3">
                  <w:pPr>
                    <w:jc w:val="center"/>
                    <w:rPr>
                      <w:rFonts w:hint="default"/>
                      <w:color w:val="auto"/>
                      <w:highlight w:val="none"/>
                      <w:lang w:val="en-US" w:eastAsia="zh-CN"/>
                    </w:rPr>
                  </w:pPr>
                  <w:r>
                    <w:rPr>
                      <w:rFonts w:hint="eastAsia"/>
                      <w:color w:val="auto"/>
                      <w:highlight w:val="none"/>
                      <w:lang w:val="en-US" w:eastAsia="zh-CN"/>
                    </w:rPr>
                    <w:t>44.9</w:t>
                  </w:r>
                </w:p>
              </w:tc>
              <w:tc>
                <w:tcPr>
                  <w:tcW w:w="697" w:type="pct"/>
                  <w:shd w:val="clear" w:color="auto" w:fill="FFFFFF"/>
                  <w:noWrap w:val="0"/>
                  <w:vAlign w:val="center"/>
                </w:tcPr>
                <w:p w14:paraId="61FE3ED5">
                  <w:pPr>
                    <w:jc w:val="center"/>
                    <w:rPr>
                      <w:rFonts w:hint="default" w:eastAsia="宋体"/>
                      <w:color w:val="auto"/>
                      <w:highlight w:val="none"/>
                      <w:lang w:val="en-US" w:eastAsia="zh-CN"/>
                    </w:rPr>
                  </w:pPr>
                  <w:r>
                    <w:rPr>
                      <w:rFonts w:hint="eastAsia"/>
                      <w:color w:val="auto"/>
                      <w:highlight w:val="none"/>
                      <w:lang w:val="en-US" w:eastAsia="zh-CN"/>
                    </w:rPr>
                    <w:t>27.4</w:t>
                  </w:r>
                </w:p>
              </w:tc>
              <w:tc>
                <w:tcPr>
                  <w:tcW w:w="697" w:type="pct"/>
                  <w:shd w:val="clear" w:color="auto" w:fill="FFFFFF"/>
                  <w:noWrap w:val="0"/>
                  <w:vAlign w:val="center"/>
                </w:tcPr>
                <w:p w14:paraId="3EA6E638">
                  <w:pPr>
                    <w:jc w:val="center"/>
                    <w:rPr>
                      <w:rFonts w:hint="default" w:eastAsia="宋体"/>
                      <w:color w:val="auto"/>
                      <w:highlight w:val="none"/>
                      <w:lang w:val="en-US" w:eastAsia="zh-CN"/>
                    </w:rPr>
                  </w:pPr>
                  <w:r>
                    <w:rPr>
                      <w:rFonts w:hint="eastAsia"/>
                      <w:color w:val="auto"/>
                      <w:highlight w:val="none"/>
                      <w:lang w:val="en-US" w:eastAsia="zh-CN"/>
                    </w:rPr>
                    <w:t>46.5</w:t>
                  </w:r>
                </w:p>
              </w:tc>
              <w:tc>
                <w:tcPr>
                  <w:tcW w:w="698" w:type="pct"/>
                  <w:shd w:val="clear" w:color="auto" w:fill="FFFFFF"/>
                  <w:noWrap w:val="0"/>
                  <w:vAlign w:val="center"/>
                </w:tcPr>
                <w:p w14:paraId="09CC1BF0">
                  <w:pPr>
                    <w:jc w:val="center"/>
                    <w:rPr>
                      <w:color w:val="auto"/>
                      <w:highlight w:val="none"/>
                    </w:rPr>
                  </w:pPr>
                  <w:r>
                    <w:rPr>
                      <w:rFonts w:ascii="Arial" w:hAnsi="Arial" w:eastAsia="Arial" w:cs="Arial"/>
                      <w:color w:val="auto"/>
                      <w:sz w:val="20"/>
                      <w:highlight w:val="none"/>
                    </w:rPr>
                    <w:t>50</w:t>
                  </w:r>
                </w:p>
              </w:tc>
              <w:tc>
                <w:tcPr>
                  <w:tcW w:w="461" w:type="pct"/>
                  <w:shd w:val="clear" w:color="auto" w:fill="FFFFFF"/>
                  <w:noWrap w:val="0"/>
                  <w:vAlign w:val="center"/>
                </w:tcPr>
                <w:p w14:paraId="48576E86">
                  <w:pPr>
                    <w:rPr>
                      <w:color w:val="auto"/>
                      <w:highlight w:val="none"/>
                    </w:rPr>
                  </w:pPr>
                  <w:r>
                    <w:rPr>
                      <w:rFonts w:ascii="Arial" w:hAnsi="Arial" w:eastAsia="Arial" w:cs="Arial"/>
                      <w:color w:val="auto"/>
                      <w:sz w:val="20"/>
                      <w:highlight w:val="none"/>
                    </w:rPr>
                    <w:t>达标</w:t>
                  </w:r>
                </w:p>
              </w:tc>
            </w:tr>
          </w:tbl>
          <w:p w14:paraId="23331988">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hint="eastAsia" w:ascii="Times New Roman" w:hAnsi="Times New Roman" w:cs="Times New Roman"/>
                <w:b w:val="0"/>
                <w:bCs w:val="0"/>
                <w:color w:val="auto"/>
                <w:spacing w:val="0"/>
                <w:position w:val="0"/>
                <w:sz w:val="24"/>
                <w:szCs w:val="24"/>
                <w:highlight w:val="none"/>
                <w:lang w:val="en-US" w:eastAsia="zh-CN"/>
              </w:rPr>
            </w:pPr>
            <w:r>
              <w:rPr>
                <w:color w:val="auto"/>
                <w:sz w:val="24"/>
                <w:highlight w:val="none"/>
              </w:rPr>
              <w:t>由上表可知，正常工况下，</w:t>
            </w:r>
            <w:r>
              <w:rPr>
                <w:rFonts w:hint="eastAsia"/>
                <w:color w:val="auto"/>
                <w:sz w:val="24"/>
                <w:highlight w:val="none"/>
                <w:lang w:eastAsia="zh-CN"/>
              </w:rPr>
              <w:t>本项目对厂界的昼间噪声贡献值范围为昼间</w:t>
            </w:r>
            <w:r>
              <w:rPr>
                <w:rFonts w:hint="eastAsia"/>
                <w:color w:val="auto"/>
                <w:sz w:val="24"/>
                <w:highlight w:val="none"/>
                <w:lang w:val="en-US" w:eastAsia="zh-CN"/>
              </w:rPr>
              <w:t>55.9dB~64.1dB，夜间</w:t>
            </w:r>
            <w:r>
              <w:rPr>
                <w:rFonts w:hint="eastAsia"/>
                <w:color w:val="auto"/>
                <w:sz w:val="24"/>
                <w:highlight w:val="none"/>
                <w:lang w:eastAsia="zh-CN"/>
              </w:rPr>
              <w:t>噪声贡献值范围为</w:t>
            </w:r>
            <w:r>
              <w:rPr>
                <w:rFonts w:hint="eastAsia"/>
                <w:color w:val="auto"/>
                <w:sz w:val="24"/>
                <w:highlight w:val="none"/>
                <w:lang w:val="en-US" w:eastAsia="zh-CN"/>
              </w:rPr>
              <w:t>45.3dB~52.4dB，对</w:t>
            </w:r>
            <w:r>
              <w:rPr>
                <w:color w:val="auto"/>
                <w:sz w:val="24"/>
                <w:highlight w:val="none"/>
              </w:rPr>
              <w:t>厂界</w:t>
            </w:r>
            <w:r>
              <w:rPr>
                <w:rFonts w:hint="eastAsia"/>
                <w:color w:val="auto"/>
                <w:sz w:val="24"/>
                <w:highlight w:val="none"/>
                <w:lang w:eastAsia="zh-CN"/>
              </w:rPr>
              <w:t>东、西、北侧的</w:t>
            </w:r>
            <w:r>
              <w:rPr>
                <w:color w:val="auto"/>
                <w:sz w:val="24"/>
                <w:highlight w:val="none"/>
              </w:rPr>
              <w:t>噪声</w:t>
            </w:r>
            <w:r>
              <w:rPr>
                <w:rFonts w:hint="eastAsia"/>
                <w:color w:val="auto"/>
                <w:sz w:val="24"/>
                <w:highlight w:val="none"/>
                <w:lang w:eastAsia="zh-CN"/>
              </w:rPr>
              <w:t>贡献值</w:t>
            </w:r>
            <w:r>
              <w:rPr>
                <w:color w:val="auto"/>
                <w:sz w:val="24"/>
                <w:highlight w:val="none"/>
              </w:rPr>
              <w:t>满足《工业企业厂界环境噪声排放标准》(GB12348.2008)</w:t>
            </w:r>
            <w:r>
              <w:rPr>
                <w:rFonts w:hint="eastAsia" w:ascii="宋体" w:hAnsi="宋体" w:cs="宋体"/>
                <w:color w:val="auto"/>
                <w:sz w:val="24"/>
                <w:highlight w:val="none"/>
              </w:rPr>
              <w:t>Ⅱ</w:t>
            </w:r>
            <w:r>
              <w:rPr>
                <w:color w:val="auto"/>
                <w:sz w:val="24"/>
                <w:highlight w:val="none"/>
              </w:rPr>
              <w:t>类标准</w:t>
            </w:r>
            <w:r>
              <w:rPr>
                <w:rFonts w:hint="eastAsia"/>
                <w:color w:val="auto"/>
                <w:sz w:val="24"/>
                <w:highlight w:val="none"/>
                <w:lang w:eastAsia="zh-CN"/>
              </w:rPr>
              <w:t>；对厂界南侧</w:t>
            </w:r>
            <w:r>
              <w:rPr>
                <w:color w:val="auto"/>
                <w:sz w:val="24"/>
                <w:highlight w:val="none"/>
              </w:rPr>
              <w:t>噪声</w:t>
            </w:r>
            <w:r>
              <w:rPr>
                <w:rFonts w:hint="eastAsia"/>
                <w:color w:val="auto"/>
                <w:sz w:val="24"/>
                <w:highlight w:val="none"/>
                <w:lang w:eastAsia="zh-CN"/>
              </w:rPr>
              <w:t>贡献值</w:t>
            </w:r>
            <w:r>
              <w:rPr>
                <w:color w:val="auto"/>
                <w:sz w:val="24"/>
                <w:highlight w:val="none"/>
              </w:rPr>
              <w:t>满足《工业企业厂界环境噪声排放标准》(GB12348.2008</w:t>
            </w:r>
            <w:r>
              <w:rPr>
                <w:rFonts w:hint="eastAsia"/>
                <w:color w:val="auto"/>
                <w:sz w:val="24"/>
                <w:highlight w:val="none"/>
                <w:lang w:val="en-US" w:eastAsia="zh-CN"/>
              </w:rPr>
              <w:t xml:space="preserve"> 4a</w:t>
            </w:r>
            <w:r>
              <w:rPr>
                <w:color w:val="auto"/>
                <w:sz w:val="24"/>
                <w:highlight w:val="none"/>
              </w:rPr>
              <w:t>类标准。</w:t>
            </w:r>
            <w:r>
              <w:rPr>
                <w:rFonts w:hint="eastAsia"/>
                <w:color w:val="auto"/>
                <w:sz w:val="24"/>
                <w:highlight w:val="none"/>
                <w:lang w:eastAsia="zh-CN"/>
              </w:rPr>
              <w:t>因此，</w:t>
            </w:r>
            <w:r>
              <w:rPr>
                <w:color w:val="auto"/>
                <w:sz w:val="24"/>
                <w:highlight w:val="none"/>
              </w:rPr>
              <w:t>项目噪声采取相应的治理措施后对周围声环境影响较小</w:t>
            </w:r>
            <w:r>
              <w:rPr>
                <w:rFonts w:hint="eastAsia"/>
                <w:color w:val="auto"/>
                <w:sz w:val="24"/>
                <w:highlight w:val="none"/>
                <w:lang w:eastAsia="zh-CN"/>
              </w:rPr>
              <w:t>。</w:t>
            </w:r>
            <w:r>
              <w:rPr>
                <w:rFonts w:hint="eastAsia" w:ascii="Times New Roman" w:hAnsi="Times New Roman" w:eastAsia="宋体" w:cs="Times New Roman"/>
                <w:color w:val="auto"/>
                <w:sz w:val="24"/>
                <w:highlight w:val="none"/>
                <w:lang w:val="en-US" w:eastAsia="zh-CN"/>
              </w:rPr>
              <w:t>噪声监测方案见表4-14。</w:t>
            </w:r>
          </w:p>
          <w:p w14:paraId="71A155D7">
            <w:pPr>
              <w:keepNext w:val="0"/>
              <w:keepLines w:val="0"/>
              <w:pageBreakBefore w:val="0"/>
              <w:widowControl w:val="0"/>
              <w:kinsoku/>
              <w:wordWrap/>
              <w:overflowPunct/>
              <w:topLinePunct w:val="0"/>
              <w:bidi w:val="0"/>
              <w:snapToGrid/>
              <w:spacing w:line="480" w:lineRule="exact"/>
              <w:jc w:val="center"/>
              <w:textAlignment w:val="auto"/>
              <w:rPr>
                <w:rFonts w:hint="eastAsia"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 xml:space="preserve">表4-14 </w:t>
            </w:r>
            <w:r>
              <w:rPr>
                <w:rFonts w:hint="eastAsia" w:ascii="Times New Roman" w:hAnsi="Times New Roman" w:eastAsia="宋体" w:cs="Times New Roman"/>
                <w:b w:val="0"/>
                <w:bCs w:val="0"/>
                <w:color w:val="auto"/>
                <w:sz w:val="24"/>
                <w:szCs w:val="24"/>
                <w:highlight w:val="none"/>
                <w:lang w:val="en-US" w:eastAsia="zh-CN"/>
              </w:rPr>
              <w:t>噪声监测方案</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573"/>
              <w:gridCol w:w="1287"/>
              <w:gridCol w:w="3980"/>
            </w:tblGrid>
            <w:tr w14:paraId="0D81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6" w:type="dxa"/>
                  <w:noWrap w:val="0"/>
                  <w:vAlign w:val="center"/>
                </w:tcPr>
                <w:p w14:paraId="56F5D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cs="Times New Roman"/>
                      <w:b/>
                      <w:bCs/>
                      <w:color w:val="auto"/>
                      <w:spacing w:val="0"/>
                      <w:sz w:val="21"/>
                      <w:szCs w:val="21"/>
                      <w:highlight w:val="none"/>
                      <w:lang w:val="en-US" w:eastAsia="zh-CN"/>
                    </w:rPr>
                    <w:t>监测点位</w:t>
                  </w:r>
                </w:p>
              </w:tc>
              <w:tc>
                <w:tcPr>
                  <w:tcW w:w="1573" w:type="dxa"/>
                  <w:noWrap w:val="0"/>
                  <w:vAlign w:val="center"/>
                </w:tcPr>
                <w:p w14:paraId="4F469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cs="Times New Roman"/>
                      <w:b/>
                      <w:bCs/>
                      <w:color w:val="auto"/>
                      <w:spacing w:val="0"/>
                      <w:sz w:val="21"/>
                      <w:szCs w:val="21"/>
                      <w:highlight w:val="none"/>
                      <w:lang w:val="en-US" w:eastAsia="zh-CN"/>
                    </w:rPr>
                    <w:t>监测指标</w:t>
                  </w:r>
                </w:p>
              </w:tc>
              <w:tc>
                <w:tcPr>
                  <w:tcW w:w="1287" w:type="dxa"/>
                  <w:noWrap w:val="0"/>
                  <w:vAlign w:val="center"/>
                </w:tcPr>
                <w:p w14:paraId="27B08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cs="Times New Roman"/>
                      <w:b/>
                      <w:bCs/>
                      <w:color w:val="auto"/>
                      <w:spacing w:val="0"/>
                      <w:sz w:val="21"/>
                      <w:szCs w:val="21"/>
                      <w:highlight w:val="none"/>
                      <w:lang w:val="en-US" w:eastAsia="zh-CN"/>
                    </w:rPr>
                    <w:t>监测频次</w:t>
                  </w:r>
                </w:p>
              </w:tc>
              <w:tc>
                <w:tcPr>
                  <w:tcW w:w="3980" w:type="dxa"/>
                  <w:noWrap w:val="0"/>
                  <w:vAlign w:val="center"/>
                </w:tcPr>
                <w:p w14:paraId="0121F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b/>
                      <w:bCs/>
                      <w:color w:val="auto"/>
                      <w:spacing w:val="0"/>
                      <w:sz w:val="21"/>
                      <w:szCs w:val="21"/>
                      <w:highlight w:val="none"/>
                      <w:lang w:val="en-US" w:eastAsia="zh-CN"/>
                    </w:rPr>
                  </w:pPr>
                  <w:r>
                    <w:rPr>
                      <w:rFonts w:hint="eastAsia" w:ascii="Times New Roman" w:hAnsi="Times New Roman" w:cs="Times New Roman"/>
                      <w:b/>
                      <w:bCs/>
                      <w:color w:val="auto"/>
                      <w:spacing w:val="0"/>
                      <w:sz w:val="21"/>
                      <w:szCs w:val="21"/>
                      <w:highlight w:val="none"/>
                      <w:lang w:val="en-US" w:eastAsia="zh-CN"/>
                    </w:rPr>
                    <w:t>执行</w:t>
                  </w:r>
                  <w:r>
                    <w:rPr>
                      <w:rFonts w:hint="default" w:ascii="Times New Roman" w:hAnsi="Times New Roman" w:cs="Times New Roman"/>
                      <w:b/>
                      <w:bCs/>
                      <w:color w:val="auto"/>
                      <w:spacing w:val="0"/>
                      <w:sz w:val="21"/>
                      <w:szCs w:val="21"/>
                      <w:highlight w:val="none"/>
                      <w:lang w:val="en-US" w:eastAsia="zh-CN"/>
                    </w:rPr>
                    <w:t>标准</w:t>
                  </w:r>
                </w:p>
              </w:tc>
            </w:tr>
            <w:tr w14:paraId="3F16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6" w:type="dxa"/>
                  <w:noWrap w:val="0"/>
                  <w:vAlign w:val="center"/>
                </w:tcPr>
                <w:p w14:paraId="5897D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东、西、北</w:t>
                  </w:r>
                  <w:r>
                    <w:rPr>
                      <w:rFonts w:hint="default" w:ascii="Times New Roman" w:hAnsi="Times New Roman" w:cs="Times New Roman"/>
                      <w:color w:val="auto"/>
                      <w:spacing w:val="0"/>
                      <w:sz w:val="21"/>
                      <w:szCs w:val="21"/>
                      <w:highlight w:val="none"/>
                      <w:lang w:val="en-US" w:eastAsia="zh-CN"/>
                    </w:rPr>
                    <w:t>厂界</w:t>
                  </w:r>
                </w:p>
              </w:tc>
              <w:tc>
                <w:tcPr>
                  <w:tcW w:w="1573" w:type="dxa"/>
                  <w:noWrap w:val="0"/>
                  <w:vAlign w:val="center"/>
                </w:tcPr>
                <w:p w14:paraId="70C81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噪声Leq（A）</w:t>
                  </w:r>
                </w:p>
              </w:tc>
              <w:tc>
                <w:tcPr>
                  <w:tcW w:w="1287" w:type="dxa"/>
                  <w:noWrap w:val="0"/>
                  <w:vAlign w:val="center"/>
                </w:tcPr>
                <w:p w14:paraId="558FD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每</w:t>
                  </w:r>
                  <w:r>
                    <w:rPr>
                      <w:rFonts w:hint="default" w:ascii="Times New Roman" w:hAnsi="Times New Roman" w:cs="Times New Roman"/>
                      <w:color w:val="auto"/>
                      <w:spacing w:val="0"/>
                      <w:sz w:val="21"/>
                      <w:szCs w:val="21"/>
                      <w:highlight w:val="none"/>
                      <w:lang w:val="en-US" w:eastAsia="zh-CN"/>
                    </w:rPr>
                    <w:t>季度</w:t>
                  </w:r>
                  <w:r>
                    <w:rPr>
                      <w:rFonts w:hint="default" w:ascii="Times New Roman" w:hAnsi="Times New Roman" w:cs="Times New Roman"/>
                      <w:color w:val="auto"/>
                      <w:spacing w:val="0"/>
                      <w:sz w:val="21"/>
                      <w:szCs w:val="21"/>
                      <w:highlight w:val="none"/>
                    </w:rPr>
                    <w:t>1次</w:t>
                  </w:r>
                </w:p>
              </w:tc>
              <w:tc>
                <w:tcPr>
                  <w:tcW w:w="3980" w:type="dxa"/>
                  <w:noWrap w:val="0"/>
                  <w:vAlign w:val="center"/>
                </w:tcPr>
                <w:p w14:paraId="77D16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《工业企业厂界环境噪声排放标准》（GB12348－2008）中的2类标准</w:t>
                  </w:r>
                </w:p>
              </w:tc>
            </w:tr>
            <w:tr w14:paraId="2910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6" w:type="dxa"/>
                  <w:noWrap w:val="0"/>
                  <w:vAlign w:val="center"/>
                </w:tcPr>
                <w:p w14:paraId="4CC1A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南</w:t>
                  </w:r>
                </w:p>
              </w:tc>
              <w:tc>
                <w:tcPr>
                  <w:tcW w:w="1573" w:type="dxa"/>
                  <w:noWrap w:val="0"/>
                  <w:vAlign w:val="center"/>
                </w:tcPr>
                <w:p w14:paraId="10802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噪声Leq（A）</w:t>
                  </w:r>
                </w:p>
              </w:tc>
              <w:tc>
                <w:tcPr>
                  <w:tcW w:w="1287" w:type="dxa"/>
                  <w:noWrap w:val="0"/>
                  <w:vAlign w:val="center"/>
                </w:tcPr>
                <w:p w14:paraId="646CE3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每</w:t>
                  </w:r>
                  <w:r>
                    <w:rPr>
                      <w:rFonts w:hint="default" w:ascii="Times New Roman" w:hAnsi="Times New Roman" w:cs="Times New Roman"/>
                      <w:color w:val="auto"/>
                      <w:spacing w:val="0"/>
                      <w:sz w:val="21"/>
                      <w:szCs w:val="21"/>
                      <w:highlight w:val="none"/>
                      <w:lang w:val="en-US" w:eastAsia="zh-CN"/>
                    </w:rPr>
                    <w:t>季度</w:t>
                  </w:r>
                  <w:r>
                    <w:rPr>
                      <w:rFonts w:hint="default" w:ascii="Times New Roman" w:hAnsi="Times New Roman" w:cs="Times New Roman"/>
                      <w:color w:val="auto"/>
                      <w:spacing w:val="0"/>
                      <w:sz w:val="21"/>
                      <w:szCs w:val="21"/>
                      <w:highlight w:val="none"/>
                    </w:rPr>
                    <w:t>1次</w:t>
                  </w:r>
                </w:p>
              </w:tc>
              <w:tc>
                <w:tcPr>
                  <w:tcW w:w="3980" w:type="dxa"/>
                  <w:noWrap w:val="0"/>
                  <w:vAlign w:val="center"/>
                </w:tcPr>
                <w:p w14:paraId="782B2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《工业企业厂界环境噪声排放标准》（GB12348－2008）中的</w:t>
                  </w:r>
                  <w:r>
                    <w:rPr>
                      <w:rFonts w:hint="eastAsia" w:ascii="Times New Roman" w:hAnsi="Times New Roman" w:cs="Times New Roman"/>
                      <w:color w:val="auto"/>
                      <w:spacing w:val="0"/>
                      <w:sz w:val="21"/>
                      <w:szCs w:val="21"/>
                      <w:highlight w:val="none"/>
                      <w:lang w:val="en-US" w:eastAsia="zh-CN"/>
                    </w:rPr>
                    <w:t>4a</w:t>
                  </w:r>
                  <w:r>
                    <w:rPr>
                      <w:rFonts w:hint="default" w:ascii="Times New Roman" w:hAnsi="Times New Roman" w:cs="Times New Roman"/>
                      <w:color w:val="auto"/>
                      <w:spacing w:val="0"/>
                      <w:sz w:val="21"/>
                      <w:szCs w:val="21"/>
                      <w:highlight w:val="none"/>
                    </w:rPr>
                    <w:t>类标准</w:t>
                  </w:r>
                </w:p>
              </w:tc>
            </w:tr>
          </w:tbl>
          <w:p w14:paraId="43F649AC">
            <w:pPr>
              <w:spacing w:line="500" w:lineRule="exact"/>
              <w:rPr>
                <w:b/>
                <w:bCs/>
                <w:color w:val="auto"/>
                <w:sz w:val="24"/>
                <w:szCs w:val="24"/>
                <w:highlight w:val="none"/>
              </w:rPr>
            </w:pPr>
            <w:r>
              <w:rPr>
                <w:rFonts w:hint="eastAsia"/>
                <w:b/>
                <w:bCs/>
                <w:color w:val="auto"/>
                <w:sz w:val="24"/>
                <w:szCs w:val="24"/>
                <w:highlight w:val="none"/>
                <w:lang w:val="en-US" w:eastAsia="zh-CN"/>
              </w:rPr>
              <w:t>4、</w:t>
            </w:r>
            <w:r>
              <w:rPr>
                <w:b/>
                <w:bCs/>
                <w:color w:val="auto"/>
                <w:sz w:val="24"/>
                <w:szCs w:val="24"/>
                <w:highlight w:val="none"/>
              </w:rPr>
              <w:t>固体废物环境影响分析</w:t>
            </w:r>
          </w:p>
          <w:p w14:paraId="473E9E62">
            <w:pPr>
              <w:spacing w:line="500" w:lineRule="exact"/>
              <w:ind w:firstLine="482" w:firstLineChars="200"/>
              <w:rPr>
                <w:b/>
                <w:bCs/>
                <w:color w:val="auto"/>
                <w:sz w:val="24"/>
                <w:szCs w:val="24"/>
                <w:highlight w:val="none"/>
              </w:rPr>
            </w:pPr>
            <w:r>
              <w:rPr>
                <w:b/>
                <w:bCs/>
                <w:color w:val="auto"/>
                <w:sz w:val="24"/>
                <w:szCs w:val="24"/>
                <w:highlight w:val="none"/>
              </w:rPr>
              <w:t>（1）一般</w:t>
            </w:r>
            <w:r>
              <w:rPr>
                <w:rFonts w:hint="eastAsia"/>
                <w:b/>
                <w:bCs/>
                <w:color w:val="auto"/>
                <w:sz w:val="24"/>
                <w:szCs w:val="24"/>
                <w:highlight w:val="none"/>
              </w:rPr>
              <w:t>固体废物</w:t>
            </w:r>
          </w:p>
          <w:p w14:paraId="2452AABC">
            <w:pPr>
              <w:spacing w:line="500" w:lineRule="exact"/>
              <w:ind w:firstLine="480" w:firstLineChars="200"/>
              <w:rPr>
                <w:color w:val="auto"/>
                <w:sz w:val="24"/>
                <w:szCs w:val="24"/>
                <w:highlight w:val="none"/>
              </w:rPr>
            </w:pPr>
            <w:r>
              <w:rPr>
                <w:color w:val="auto"/>
                <w:sz w:val="24"/>
                <w:szCs w:val="24"/>
                <w:highlight w:val="none"/>
              </w:rPr>
              <w:t>固体废物主要为</w:t>
            </w:r>
            <w:r>
              <w:rPr>
                <w:rFonts w:hint="eastAsia"/>
                <w:color w:val="auto"/>
                <w:sz w:val="24"/>
                <w:szCs w:val="24"/>
                <w:highlight w:val="none"/>
                <w:lang w:val="en-US" w:eastAsia="zh-CN"/>
              </w:rPr>
              <w:t>炉渣、废炉衬、除尘器尘灰、废砂、铸件下脚料、铁屑、不合格产品、</w:t>
            </w:r>
            <w:r>
              <w:rPr>
                <w:color w:val="auto"/>
                <w:sz w:val="24"/>
                <w:szCs w:val="24"/>
                <w:highlight w:val="none"/>
              </w:rPr>
              <w:t>生活垃圾</w:t>
            </w:r>
            <w:r>
              <w:rPr>
                <w:rFonts w:hint="eastAsia"/>
                <w:color w:val="auto"/>
                <w:sz w:val="24"/>
                <w:szCs w:val="24"/>
                <w:highlight w:val="none"/>
                <w:lang w:eastAsia="zh-CN"/>
              </w:rPr>
              <w:t>、</w:t>
            </w:r>
            <w:r>
              <w:rPr>
                <w:rFonts w:hint="default" w:ascii="Times New Roman" w:hAnsi="Times New Roman" w:eastAsia="宋体" w:cs="Times New Roman"/>
                <w:snapToGrid w:val="0"/>
                <w:color w:val="auto"/>
                <w:kern w:val="21"/>
                <w:sz w:val="24"/>
                <w:szCs w:val="24"/>
                <w:highlight w:val="none"/>
                <w:lang w:eastAsia="zh-CN"/>
              </w:rPr>
              <w:t>白膜切割边角料</w:t>
            </w:r>
            <w:r>
              <w:rPr>
                <w:rFonts w:hint="eastAsia" w:ascii="Times New Roman" w:hAnsi="Times New Roman" w:eastAsia="宋体" w:cs="Times New Roman"/>
                <w:snapToGrid w:val="0"/>
                <w:color w:val="auto"/>
                <w:kern w:val="21"/>
                <w:sz w:val="24"/>
                <w:szCs w:val="24"/>
                <w:highlight w:val="none"/>
                <w:lang w:eastAsia="zh-CN"/>
              </w:rPr>
              <w:t>、</w:t>
            </w:r>
            <w:r>
              <w:rPr>
                <w:rFonts w:hint="eastAsia"/>
                <w:color w:val="auto"/>
                <w:sz w:val="24"/>
                <w:szCs w:val="24"/>
                <w:highlight w:val="none"/>
                <w:lang w:val="en-US" w:eastAsia="zh-CN"/>
              </w:rPr>
              <w:t>化粪池底泥</w:t>
            </w:r>
            <w:r>
              <w:rPr>
                <w:color w:val="auto"/>
                <w:sz w:val="24"/>
                <w:szCs w:val="24"/>
                <w:highlight w:val="none"/>
              </w:rPr>
              <w:t>。</w:t>
            </w:r>
          </w:p>
          <w:p w14:paraId="72C52F3E">
            <w:pPr>
              <w:spacing w:line="500" w:lineRule="exact"/>
              <w:ind w:firstLine="480" w:firstLineChars="200"/>
              <w:rPr>
                <w:color w:val="auto"/>
                <w:sz w:val="24"/>
                <w:szCs w:val="24"/>
                <w:highlight w:val="none"/>
              </w:rPr>
            </w:pPr>
            <w:r>
              <w:rPr>
                <w:color w:val="auto"/>
                <w:sz w:val="24"/>
                <w:szCs w:val="24"/>
                <w:highlight w:val="none"/>
              </w:rPr>
              <w:t>①炉渣</w:t>
            </w:r>
          </w:p>
          <w:p w14:paraId="0D6042CF">
            <w:pPr>
              <w:spacing w:line="500" w:lineRule="exact"/>
              <w:ind w:firstLine="480" w:firstLineChars="200"/>
              <w:rPr>
                <w:color w:val="auto"/>
                <w:sz w:val="24"/>
                <w:szCs w:val="24"/>
                <w:highlight w:val="none"/>
              </w:rPr>
            </w:pPr>
            <w:r>
              <w:rPr>
                <w:color w:val="auto"/>
                <w:sz w:val="24"/>
                <w:szCs w:val="24"/>
                <w:highlight w:val="none"/>
              </w:rPr>
              <w:t>产生于中频炉</w:t>
            </w:r>
            <w:r>
              <w:rPr>
                <w:rFonts w:hint="eastAsia"/>
                <w:color w:val="auto"/>
                <w:sz w:val="24"/>
                <w:szCs w:val="24"/>
                <w:highlight w:val="none"/>
                <w:lang w:eastAsia="zh-CN"/>
              </w:rPr>
              <w:t>熔化</w:t>
            </w:r>
            <w:r>
              <w:rPr>
                <w:color w:val="auto"/>
                <w:sz w:val="24"/>
                <w:szCs w:val="24"/>
                <w:highlight w:val="none"/>
              </w:rPr>
              <w:t>过程，产生量</w:t>
            </w:r>
            <w:r>
              <w:rPr>
                <w:rFonts w:hint="eastAsia"/>
                <w:color w:val="auto"/>
                <w:sz w:val="24"/>
                <w:szCs w:val="24"/>
                <w:highlight w:val="none"/>
                <w:lang w:val="en-US" w:eastAsia="zh-CN"/>
              </w:rPr>
              <w:t>19.3</w:t>
            </w:r>
            <w:r>
              <w:rPr>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收集</w:t>
            </w:r>
            <w:r>
              <w:rPr>
                <w:color w:val="auto"/>
                <w:sz w:val="24"/>
                <w:szCs w:val="24"/>
                <w:highlight w:val="none"/>
              </w:rPr>
              <w:t>外售。</w:t>
            </w:r>
          </w:p>
          <w:p w14:paraId="618EFC5B">
            <w:pPr>
              <w:spacing w:line="500" w:lineRule="exact"/>
              <w:ind w:firstLine="480" w:firstLineChars="200"/>
              <w:rPr>
                <w:color w:val="auto"/>
                <w:sz w:val="24"/>
                <w:szCs w:val="24"/>
                <w:highlight w:val="none"/>
              </w:rPr>
            </w:pPr>
            <w:r>
              <w:rPr>
                <w:rFonts w:hint="eastAsia"/>
                <w:color w:val="auto"/>
                <w:sz w:val="24"/>
                <w:szCs w:val="24"/>
                <w:highlight w:val="none"/>
                <w:lang w:eastAsia="zh-CN"/>
              </w:rPr>
              <w:t>②</w:t>
            </w:r>
            <w:r>
              <w:rPr>
                <w:rFonts w:hint="eastAsia"/>
                <w:color w:val="auto"/>
                <w:sz w:val="24"/>
                <w:szCs w:val="24"/>
                <w:highlight w:val="none"/>
                <w:lang w:val="en-US" w:eastAsia="zh-CN"/>
              </w:rPr>
              <w:t>废炉衬</w:t>
            </w:r>
          </w:p>
          <w:p w14:paraId="5C515471">
            <w:pPr>
              <w:spacing w:line="500" w:lineRule="exact"/>
              <w:ind w:firstLine="480" w:firstLineChars="200"/>
              <w:rPr>
                <w:color w:val="auto"/>
                <w:sz w:val="24"/>
                <w:szCs w:val="24"/>
                <w:highlight w:val="none"/>
              </w:rPr>
            </w:pPr>
            <w:r>
              <w:rPr>
                <w:rFonts w:hint="eastAsia"/>
                <w:color w:val="auto"/>
                <w:sz w:val="24"/>
                <w:szCs w:val="24"/>
                <w:highlight w:val="none"/>
                <w:lang w:val="en-US" w:eastAsia="zh-CN"/>
              </w:rPr>
              <w:t>产生于</w:t>
            </w:r>
            <w:r>
              <w:rPr>
                <w:color w:val="auto"/>
                <w:sz w:val="24"/>
                <w:szCs w:val="24"/>
                <w:highlight w:val="none"/>
              </w:rPr>
              <w:t>中频炉</w:t>
            </w:r>
            <w:r>
              <w:rPr>
                <w:rFonts w:hint="eastAsia"/>
                <w:color w:val="auto"/>
                <w:sz w:val="24"/>
                <w:szCs w:val="24"/>
                <w:highlight w:val="none"/>
                <w:lang w:val="en-US" w:eastAsia="zh-CN"/>
              </w:rPr>
              <w:t>定期维护</w:t>
            </w:r>
            <w:r>
              <w:rPr>
                <w:color w:val="auto"/>
                <w:sz w:val="24"/>
                <w:szCs w:val="24"/>
                <w:highlight w:val="none"/>
              </w:rPr>
              <w:t>过程，产生量约</w:t>
            </w:r>
            <w:r>
              <w:rPr>
                <w:rFonts w:hint="eastAsia"/>
                <w:color w:val="auto"/>
                <w:sz w:val="24"/>
                <w:szCs w:val="24"/>
                <w:highlight w:val="none"/>
                <w:lang w:val="en-US" w:eastAsia="zh-CN"/>
              </w:rPr>
              <w:t>5.5</w:t>
            </w:r>
            <w:r>
              <w:rPr>
                <w:color w:val="auto"/>
                <w:sz w:val="24"/>
                <w:szCs w:val="24"/>
                <w:highlight w:val="none"/>
              </w:rPr>
              <w:t>t/a</w:t>
            </w:r>
            <w:r>
              <w:rPr>
                <w:rFonts w:hint="eastAsia"/>
                <w:color w:val="auto"/>
                <w:sz w:val="24"/>
                <w:szCs w:val="24"/>
                <w:highlight w:val="none"/>
                <w:lang w:eastAsia="zh-CN"/>
              </w:rPr>
              <w:t>，收集外售</w:t>
            </w:r>
            <w:r>
              <w:rPr>
                <w:color w:val="auto"/>
                <w:sz w:val="24"/>
                <w:szCs w:val="24"/>
                <w:highlight w:val="none"/>
              </w:rPr>
              <w:t>。</w:t>
            </w:r>
          </w:p>
          <w:p w14:paraId="787DDC1F">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szCs w:val="24"/>
                <w:highlight w:val="none"/>
              </w:rPr>
            </w:pPr>
            <w:r>
              <w:rPr>
                <w:rFonts w:hint="eastAsia"/>
                <w:color w:val="auto"/>
                <w:sz w:val="24"/>
                <w:szCs w:val="24"/>
                <w:highlight w:val="none"/>
                <w:lang w:eastAsia="zh-CN"/>
              </w:rPr>
              <w:t>③</w:t>
            </w:r>
            <w:r>
              <w:rPr>
                <w:color w:val="auto"/>
                <w:sz w:val="24"/>
                <w:szCs w:val="24"/>
                <w:highlight w:val="none"/>
              </w:rPr>
              <w:t>除尘灰</w:t>
            </w:r>
          </w:p>
          <w:p w14:paraId="1B78BB91">
            <w:pPr>
              <w:pStyle w:val="2"/>
              <w:keepNext w:val="0"/>
              <w:keepLines w:val="0"/>
              <w:pageBreakBefore w:val="0"/>
              <w:widowControl w:val="0"/>
              <w:kinsoku/>
              <w:wordWrap/>
              <w:overflowPunct/>
              <w:topLinePunct w:val="0"/>
              <w:autoSpaceDE/>
              <w:autoSpaceDN/>
              <w:bidi w:val="0"/>
              <w:adjustRightInd/>
              <w:snapToGrid/>
              <w:spacing w:line="480" w:lineRule="atLeast"/>
              <w:textAlignment w:val="auto"/>
              <w:rPr>
                <w:color w:val="auto"/>
                <w:sz w:val="24"/>
                <w:szCs w:val="24"/>
                <w:highlight w:val="none"/>
              </w:rPr>
            </w:pPr>
            <w:r>
              <w:rPr>
                <w:rFonts w:hint="eastAsia"/>
                <w:color w:val="auto"/>
                <w:sz w:val="24"/>
                <w:szCs w:val="24"/>
                <w:highlight w:val="none"/>
                <w:lang w:val="en-US" w:eastAsia="zh-CN"/>
              </w:rPr>
              <w:t>产生于除尘器工作过程，项目尘灰总</w:t>
            </w:r>
            <w:r>
              <w:rPr>
                <w:color w:val="auto"/>
                <w:sz w:val="24"/>
                <w:szCs w:val="24"/>
                <w:highlight w:val="none"/>
              </w:rPr>
              <w:t>产生量为</w:t>
            </w:r>
            <w:r>
              <w:rPr>
                <w:rFonts w:hint="eastAsia"/>
                <w:color w:val="auto"/>
                <w:sz w:val="24"/>
                <w:szCs w:val="24"/>
                <w:highlight w:val="none"/>
                <w:lang w:val="en-US" w:eastAsia="zh-CN"/>
              </w:rPr>
              <w:t>38.59</w:t>
            </w:r>
            <w:r>
              <w:rPr>
                <w:color w:val="auto"/>
                <w:sz w:val="24"/>
                <w:szCs w:val="24"/>
                <w:highlight w:val="none"/>
              </w:rPr>
              <w:t>t/a，</w:t>
            </w:r>
            <w:r>
              <w:rPr>
                <w:rFonts w:hint="eastAsia"/>
                <w:color w:val="auto"/>
                <w:sz w:val="24"/>
                <w:szCs w:val="24"/>
                <w:highlight w:val="none"/>
                <w:lang w:val="en-US" w:eastAsia="zh-CN"/>
              </w:rPr>
              <w:t>全部</w:t>
            </w:r>
            <w:r>
              <w:rPr>
                <w:color w:val="auto"/>
                <w:sz w:val="24"/>
                <w:szCs w:val="24"/>
                <w:highlight w:val="none"/>
              </w:rPr>
              <w:t>收集外售。</w:t>
            </w:r>
          </w:p>
          <w:p w14:paraId="38C1B8AA">
            <w:pPr>
              <w:spacing w:line="500" w:lineRule="exact"/>
              <w:ind w:firstLine="480" w:firstLineChars="200"/>
              <w:rPr>
                <w:color w:val="auto"/>
                <w:sz w:val="24"/>
                <w:szCs w:val="24"/>
                <w:highlight w:val="none"/>
              </w:rPr>
            </w:pPr>
            <w:r>
              <w:rPr>
                <w:rFonts w:hint="eastAsia"/>
                <w:color w:val="auto"/>
                <w:sz w:val="24"/>
                <w:szCs w:val="24"/>
                <w:highlight w:val="none"/>
                <w:lang w:eastAsia="zh-CN"/>
              </w:rPr>
              <w:t>④</w:t>
            </w:r>
            <w:r>
              <w:rPr>
                <w:color w:val="auto"/>
                <w:sz w:val="24"/>
                <w:szCs w:val="24"/>
                <w:highlight w:val="none"/>
              </w:rPr>
              <w:t>废砂</w:t>
            </w:r>
          </w:p>
          <w:p w14:paraId="462AAC02">
            <w:pPr>
              <w:spacing w:line="500" w:lineRule="exact"/>
              <w:ind w:firstLine="480" w:firstLineChars="200"/>
              <w:rPr>
                <w:color w:val="auto"/>
                <w:sz w:val="24"/>
                <w:szCs w:val="24"/>
                <w:highlight w:val="none"/>
              </w:rPr>
            </w:pPr>
            <w:r>
              <w:rPr>
                <w:rFonts w:hint="eastAsia"/>
                <w:color w:val="auto"/>
                <w:sz w:val="24"/>
                <w:szCs w:val="24"/>
                <w:highlight w:val="none"/>
                <w:lang w:eastAsia="zh-CN"/>
              </w:rPr>
              <w:t>本</w:t>
            </w:r>
            <w:r>
              <w:rPr>
                <w:color w:val="auto"/>
                <w:sz w:val="24"/>
                <w:szCs w:val="24"/>
                <w:highlight w:val="none"/>
              </w:rPr>
              <w:t>项目铸造使用砂量</w:t>
            </w:r>
            <w:r>
              <w:rPr>
                <w:rFonts w:hint="eastAsia"/>
                <w:color w:val="auto"/>
                <w:sz w:val="24"/>
                <w:szCs w:val="24"/>
                <w:highlight w:val="none"/>
                <w:lang w:val="en-US" w:eastAsia="zh-CN"/>
              </w:rPr>
              <w:t>567</w:t>
            </w:r>
            <w:r>
              <w:rPr>
                <w:color w:val="auto"/>
                <w:sz w:val="24"/>
                <w:szCs w:val="24"/>
                <w:highlight w:val="none"/>
              </w:rPr>
              <w:t>t/a</w:t>
            </w:r>
            <w:r>
              <w:rPr>
                <w:rFonts w:hint="eastAsia"/>
                <w:color w:val="auto"/>
                <w:sz w:val="24"/>
                <w:szCs w:val="24"/>
                <w:highlight w:val="none"/>
              </w:rPr>
              <w:t>，</w:t>
            </w:r>
            <w:r>
              <w:rPr>
                <w:color w:val="auto"/>
                <w:sz w:val="24"/>
                <w:szCs w:val="24"/>
                <w:highlight w:val="none"/>
              </w:rPr>
              <w:t>使用过的砂进行再生利用，</w:t>
            </w:r>
            <w:r>
              <w:rPr>
                <w:rFonts w:hint="eastAsia"/>
                <w:color w:val="auto"/>
                <w:sz w:val="24"/>
                <w:szCs w:val="24"/>
                <w:highlight w:val="none"/>
                <w:lang w:val="en-US" w:eastAsia="zh-CN"/>
              </w:rPr>
              <w:t>重复利用率88</w:t>
            </w:r>
            <w:r>
              <w:rPr>
                <w:color w:val="auto"/>
                <w:sz w:val="24"/>
                <w:szCs w:val="24"/>
                <w:highlight w:val="none"/>
              </w:rPr>
              <w:t>%</w:t>
            </w:r>
            <w:r>
              <w:rPr>
                <w:rFonts w:hint="eastAsia"/>
                <w:color w:val="auto"/>
                <w:sz w:val="24"/>
                <w:szCs w:val="24"/>
                <w:highlight w:val="none"/>
                <w:lang w:eastAsia="zh-CN"/>
              </w:rPr>
              <w:t>，</w:t>
            </w:r>
            <w:r>
              <w:rPr>
                <w:color w:val="auto"/>
                <w:sz w:val="24"/>
                <w:szCs w:val="24"/>
                <w:highlight w:val="none"/>
              </w:rPr>
              <w:t>由于在</w:t>
            </w:r>
            <w:r>
              <w:rPr>
                <w:rFonts w:hint="eastAsia"/>
                <w:color w:val="auto"/>
                <w:sz w:val="24"/>
                <w:szCs w:val="24"/>
                <w:highlight w:val="none"/>
                <w:lang w:val="en-US" w:eastAsia="zh-CN"/>
              </w:rPr>
              <w:t>废砂再生</w:t>
            </w:r>
            <w:r>
              <w:rPr>
                <w:color w:val="auto"/>
                <w:sz w:val="24"/>
                <w:szCs w:val="24"/>
                <w:highlight w:val="none"/>
              </w:rPr>
              <w:t>过程中将会</w:t>
            </w:r>
            <w:r>
              <w:rPr>
                <w:rFonts w:hint="eastAsia"/>
                <w:color w:val="auto"/>
                <w:sz w:val="24"/>
                <w:szCs w:val="24"/>
                <w:highlight w:val="none"/>
                <w:lang w:eastAsia="zh-CN"/>
              </w:rPr>
              <w:t>有约</w:t>
            </w:r>
            <w:r>
              <w:rPr>
                <w:rFonts w:hint="eastAsia"/>
                <w:color w:val="auto"/>
                <w:sz w:val="24"/>
                <w:szCs w:val="24"/>
                <w:highlight w:val="none"/>
                <w:lang w:val="en-US" w:eastAsia="zh-CN"/>
              </w:rPr>
              <w:t>6%以颗粒物形式进入除尘系统</w:t>
            </w:r>
            <w:r>
              <w:rPr>
                <w:color w:val="auto"/>
                <w:sz w:val="24"/>
                <w:szCs w:val="24"/>
                <w:highlight w:val="none"/>
              </w:rPr>
              <w:t>，</w:t>
            </w:r>
            <w:r>
              <w:rPr>
                <w:rFonts w:hint="eastAsia"/>
                <w:color w:val="auto"/>
                <w:sz w:val="24"/>
                <w:szCs w:val="24"/>
                <w:highlight w:val="none"/>
                <w:lang w:val="en-US" w:eastAsia="zh-CN"/>
              </w:rPr>
              <w:t>则废砂总产生量</w:t>
            </w:r>
            <w:r>
              <w:rPr>
                <w:color w:val="auto"/>
                <w:sz w:val="24"/>
                <w:szCs w:val="24"/>
                <w:highlight w:val="none"/>
              </w:rPr>
              <w:t>为</w:t>
            </w:r>
            <w:r>
              <w:rPr>
                <w:rFonts w:hint="eastAsia"/>
                <w:color w:val="auto"/>
                <w:sz w:val="24"/>
                <w:szCs w:val="24"/>
                <w:highlight w:val="none"/>
                <w:lang w:val="en-US" w:eastAsia="zh-CN"/>
              </w:rPr>
              <w:t>97.97</w:t>
            </w:r>
            <w:r>
              <w:rPr>
                <w:color w:val="auto"/>
                <w:sz w:val="24"/>
                <w:szCs w:val="24"/>
                <w:highlight w:val="none"/>
              </w:rPr>
              <w:t>t/a。废砂收集外售。</w:t>
            </w:r>
          </w:p>
          <w:p w14:paraId="788EF6D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⑤铁屑、</w:t>
            </w:r>
            <w:r>
              <w:rPr>
                <w:color w:val="auto"/>
                <w:sz w:val="24"/>
                <w:szCs w:val="24"/>
                <w:highlight w:val="none"/>
              </w:rPr>
              <w:t>下脚料</w:t>
            </w:r>
            <w:r>
              <w:rPr>
                <w:rFonts w:hint="eastAsia"/>
                <w:color w:val="auto"/>
                <w:sz w:val="24"/>
                <w:szCs w:val="24"/>
                <w:highlight w:val="none"/>
              </w:rPr>
              <w:t>、</w:t>
            </w:r>
            <w:r>
              <w:rPr>
                <w:rFonts w:hint="eastAsia"/>
                <w:color w:val="auto"/>
                <w:sz w:val="24"/>
                <w:szCs w:val="24"/>
                <w:highlight w:val="none"/>
                <w:lang w:val="en-US" w:eastAsia="zh-CN"/>
              </w:rPr>
              <w:t>不合格产品</w:t>
            </w:r>
          </w:p>
          <w:p w14:paraId="4D1E5DD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eastAsia="zh-CN"/>
              </w:rPr>
            </w:pPr>
            <w:r>
              <w:rPr>
                <w:color w:val="auto"/>
                <w:sz w:val="24"/>
                <w:szCs w:val="24"/>
                <w:highlight w:val="none"/>
              </w:rPr>
              <w:t>项目在</w:t>
            </w:r>
            <w:r>
              <w:rPr>
                <w:rFonts w:hint="eastAsia"/>
                <w:color w:val="auto"/>
                <w:sz w:val="24"/>
                <w:szCs w:val="24"/>
                <w:highlight w:val="none"/>
              </w:rPr>
              <w:t>机加工、</w:t>
            </w:r>
            <w:r>
              <w:rPr>
                <w:color w:val="auto"/>
                <w:sz w:val="24"/>
                <w:szCs w:val="24"/>
                <w:highlight w:val="none"/>
              </w:rPr>
              <w:t>检测铸件时会产生</w:t>
            </w:r>
            <w:r>
              <w:rPr>
                <w:rFonts w:hint="eastAsia"/>
                <w:color w:val="auto"/>
                <w:sz w:val="24"/>
                <w:szCs w:val="24"/>
                <w:highlight w:val="none"/>
                <w:lang w:val="en-US" w:eastAsia="zh-CN"/>
              </w:rPr>
              <w:t>铁屑</w:t>
            </w:r>
            <w:r>
              <w:rPr>
                <w:rFonts w:hint="eastAsia"/>
                <w:color w:val="auto"/>
                <w:sz w:val="24"/>
                <w:szCs w:val="24"/>
                <w:highlight w:val="none"/>
              </w:rPr>
              <w:t>、下脚料</w:t>
            </w:r>
            <w:r>
              <w:rPr>
                <w:color w:val="auto"/>
                <w:sz w:val="24"/>
                <w:szCs w:val="24"/>
                <w:highlight w:val="none"/>
              </w:rPr>
              <w:t>和不合格产品，产生量约为</w:t>
            </w:r>
            <w:r>
              <w:rPr>
                <w:rFonts w:hint="eastAsia"/>
                <w:color w:val="auto"/>
                <w:sz w:val="24"/>
                <w:szCs w:val="24"/>
                <w:highlight w:val="none"/>
                <w:lang w:val="en-US" w:eastAsia="zh-CN"/>
              </w:rPr>
              <w:t>8</w:t>
            </w:r>
            <w:r>
              <w:rPr>
                <w:color w:val="auto"/>
                <w:sz w:val="24"/>
                <w:szCs w:val="24"/>
                <w:highlight w:val="none"/>
              </w:rPr>
              <w:t>t/a，均回收返回电炉熔化</w:t>
            </w:r>
            <w:r>
              <w:rPr>
                <w:rFonts w:hint="eastAsia"/>
                <w:color w:val="auto"/>
                <w:sz w:val="24"/>
                <w:szCs w:val="24"/>
                <w:highlight w:val="none"/>
                <w:lang w:eastAsia="zh-CN"/>
              </w:rPr>
              <w:t>，</w:t>
            </w:r>
            <w:r>
              <w:rPr>
                <w:rFonts w:hint="eastAsia"/>
                <w:color w:val="auto"/>
                <w:sz w:val="24"/>
                <w:szCs w:val="24"/>
                <w:highlight w:val="none"/>
                <w:lang w:val="en-US" w:eastAsia="zh-CN"/>
              </w:rPr>
              <w:t>综合利用</w:t>
            </w:r>
            <w:r>
              <w:rPr>
                <w:rFonts w:hint="eastAsia"/>
                <w:color w:val="auto"/>
                <w:sz w:val="24"/>
                <w:szCs w:val="24"/>
                <w:highlight w:val="none"/>
                <w:lang w:eastAsia="zh-CN"/>
              </w:rPr>
              <w:t>。</w:t>
            </w:r>
          </w:p>
          <w:p w14:paraId="0AFA3F97">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olor w:val="auto"/>
                <w:sz w:val="24"/>
                <w:szCs w:val="24"/>
                <w:highlight w:val="none"/>
                <w:lang w:eastAsia="zh-CN"/>
              </w:rPr>
              <w:t>⑥</w:t>
            </w:r>
            <w:r>
              <w:rPr>
                <w:rFonts w:hint="default" w:ascii="Times New Roman" w:hAnsi="Times New Roman" w:eastAsia="宋体" w:cs="Times New Roman"/>
                <w:b w:val="0"/>
                <w:bCs w:val="0"/>
                <w:color w:val="auto"/>
                <w:sz w:val="24"/>
                <w:szCs w:val="24"/>
                <w:highlight w:val="none"/>
                <w:lang w:val="en-US" w:eastAsia="zh-CN"/>
              </w:rPr>
              <w:t>白模切割边角料</w:t>
            </w:r>
          </w:p>
          <w:p w14:paraId="47D4ECC5">
            <w:pPr>
              <w:pStyle w:val="11"/>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b w:val="0"/>
                <w:bCs/>
                <w:color w:val="auto"/>
                <w:sz w:val="24"/>
                <w:szCs w:val="24"/>
                <w:highlight w:val="none"/>
                <w:lang w:eastAsia="zh-CN"/>
              </w:rPr>
            </w:pPr>
            <w:r>
              <w:rPr>
                <w:rFonts w:hint="eastAsia"/>
                <w:b w:val="0"/>
                <w:bCs/>
                <w:color w:val="auto"/>
                <w:sz w:val="24"/>
                <w:szCs w:val="24"/>
                <w:highlight w:val="none"/>
                <w:lang w:val="en-US" w:eastAsia="zh-CN"/>
              </w:rPr>
              <w:t>白模加工时会产生白模下脚料，</w:t>
            </w:r>
            <w:r>
              <w:rPr>
                <w:b w:val="0"/>
                <w:bCs/>
                <w:color w:val="auto"/>
                <w:sz w:val="24"/>
                <w:szCs w:val="24"/>
                <w:highlight w:val="none"/>
              </w:rPr>
              <w:t>产生量约为</w:t>
            </w:r>
            <w:r>
              <w:rPr>
                <w:rFonts w:hint="eastAsia"/>
                <w:b w:val="0"/>
                <w:bCs/>
                <w:color w:val="auto"/>
                <w:sz w:val="24"/>
                <w:szCs w:val="24"/>
                <w:highlight w:val="none"/>
                <w:lang w:val="en-US" w:eastAsia="zh-CN"/>
              </w:rPr>
              <w:t>1.05</w:t>
            </w:r>
            <w:r>
              <w:rPr>
                <w:b w:val="0"/>
                <w:bCs/>
                <w:color w:val="auto"/>
                <w:sz w:val="24"/>
                <w:szCs w:val="24"/>
                <w:highlight w:val="none"/>
              </w:rPr>
              <w:t>t/a</w:t>
            </w:r>
            <w:r>
              <w:rPr>
                <w:rFonts w:hint="eastAsia"/>
                <w:b w:val="0"/>
                <w:bCs/>
                <w:color w:val="auto"/>
                <w:sz w:val="24"/>
                <w:szCs w:val="24"/>
                <w:highlight w:val="none"/>
                <w:lang w:eastAsia="zh-CN"/>
              </w:rPr>
              <w:t>，</w:t>
            </w:r>
            <w:r>
              <w:rPr>
                <w:rFonts w:hint="eastAsia"/>
                <w:b w:val="0"/>
                <w:bCs/>
                <w:color w:val="auto"/>
                <w:sz w:val="24"/>
                <w:szCs w:val="24"/>
                <w:highlight w:val="none"/>
                <w:lang w:val="en-US" w:eastAsia="zh-CN"/>
              </w:rPr>
              <w:t>收集</w:t>
            </w:r>
            <w:r>
              <w:rPr>
                <w:rFonts w:ascii="Times New Roman" w:hAnsi="Times New Roman" w:eastAsia="宋体" w:cs="Times New Roman"/>
                <w:b w:val="0"/>
                <w:bCs/>
                <w:color w:val="auto"/>
                <w:sz w:val="24"/>
                <w:szCs w:val="24"/>
                <w:highlight w:val="none"/>
              </w:rPr>
              <w:t>由当地环卫部门集中处置</w:t>
            </w:r>
            <w:r>
              <w:rPr>
                <w:rFonts w:hint="eastAsia" w:ascii="Times New Roman" w:hAnsi="Times New Roman" w:eastAsia="宋体" w:cs="Times New Roman"/>
                <w:b w:val="0"/>
                <w:bCs/>
                <w:color w:val="auto"/>
                <w:sz w:val="24"/>
                <w:szCs w:val="24"/>
                <w:highlight w:val="none"/>
                <w:lang w:eastAsia="zh-CN"/>
              </w:rPr>
              <w:t>。</w:t>
            </w:r>
          </w:p>
          <w:p w14:paraId="2474731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highlight w:val="none"/>
              </w:rPr>
            </w:pPr>
            <w:r>
              <w:rPr>
                <w:rFonts w:hint="eastAsia"/>
                <w:color w:val="auto"/>
                <w:sz w:val="24"/>
                <w:szCs w:val="24"/>
                <w:highlight w:val="none"/>
                <w:lang w:eastAsia="zh-CN"/>
              </w:rPr>
              <w:t>⑦</w:t>
            </w:r>
            <w:r>
              <w:rPr>
                <w:color w:val="auto"/>
                <w:sz w:val="24"/>
                <w:szCs w:val="24"/>
                <w:highlight w:val="none"/>
              </w:rPr>
              <w:t>生活垃圾</w:t>
            </w:r>
          </w:p>
          <w:p w14:paraId="2C5EDC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r>
              <w:rPr>
                <w:color w:val="auto"/>
                <w:sz w:val="24"/>
                <w:szCs w:val="24"/>
                <w:highlight w:val="none"/>
              </w:rPr>
              <w:t>项目办公、生产人员</w:t>
            </w:r>
            <w:r>
              <w:rPr>
                <w:rFonts w:hint="eastAsia"/>
                <w:color w:val="auto"/>
                <w:sz w:val="24"/>
                <w:szCs w:val="24"/>
                <w:highlight w:val="none"/>
                <w:lang w:val="en-US" w:eastAsia="zh-CN"/>
              </w:rPr>
              <w:t>12</w:t>
            </w:r>
            <w:r>
              <w:rPr>
                <w:color w:val="auto"/>
                <w:sz w:val="24"/>
                <w:szCs w:val="24"/>
                <w:highlight w:val="none"/>
              </w:rPr>
              <w:t>0人，生活垃圾按每人0.5kg/d计，则产生量约为</w:t>
            </w:r>
            <w:r>
              <w:rPr>
                <w:rFonts w:hint="eastAsia"/>
                <w:color w:val="auto"/>
                <w:sz w:val="24"/>
                <w:szCs w:val="24"/>
                <w:highlight w:val="none"/>
                <w:lang w:val="en-US" w:eastAsia="zh-CN"/>
              </w:rPr>
              <w:t>18</w:t>
            </w:r>
            <w:r>
              <w:rPr>
                <w:color w:val="auto"/>
                <w:sz w:val="24"/>
                <w:szCs w:val="24"/>
                <w:highlight w:val="none"/>
              </w:rPr>
              <w:t>t/a。集中收集，由当地环卫部门集中处置。</w:t>
            </w:r>
          </w:p>
          <w:p w14:paraId="17B95A2D">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4"/>
                <w:highlight w:val="none"/>
              </w:rPr>
            </w:pPr>
            <w:r>
              <w:rPr>
                <w:rFonts w:hint="eastAsia"/>
                <w:color w:val="auto"/>
                <w:sz w:val="24"/>
                <w:szCs w:val="24"/>
                <w:highlight w:val="none"/>
                <w:lang w:val="en-US" w:eastAsia="zh-CN"/>
              </w:rPr>
              <w:t>一般</w:t>
            </w:r>
            <w:r>
              <w:rPr>
                <w:rFonts w:hint="eastAsia"/>
                <w:color w:val="auto"/>
                <w:sz w:val="24"/>
                <w:szCs w:val="24"/>
                <w:highlight w:val="none"/>
              </w:rPr>
              <w:t>固体废物产生及储存情况见表</w:t>
            </w:r>
            <w:r>
              <w:rPr>
                <w:rFonts w:hint="eastAsia"/>
                <w:color w:val="auto"/>
                <w:sz w:val="24"/>
                <w:szCs w:val="24"/>
                <w:highlight w:val="none"/>
                <w:lang w:val="en-US" w:eastAsia="zh-CN"/>
              </w:rPr>
              <w:t>4-15</w:t>
            </w:r>
            <w:r>
              <w:rPr>
                <w:rFonts w:hint="eastAsia"/>
                <w:color w:val="auto"/>
                <w:sz w:val="24"/>
                <w:szCs w:val="24"/>
                <w:highlight w:val="none"/>
              </w:rPr>
              <w:t>。</w:t>
            </w:r>
          </w:p>
          <w:p w14:paraId="36AC484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b w:val="0"/>
                <w:bCs w:val="0"/>
                <w:color w:val="auto"/>
                <w:sz w:val="24"/>
                <w:szCs w:val="24"/>
                <w:highlight w:val="none"/>
              </w:rPr>
            </w:pPr>
            <w:r>
              <w:rPr>
                <w:rFonts w:hint="eastAsia"/>
                <w:b w:val="0"/>
                <w:bCs w:val="0"/>
                <w:color w:val="auto"/>
                <w:sz w:val="24"/>
                <w:szCs w:val="24"/>
                <w:highlight w:val="none"/>
              </w:rPr>
              <w:t>表</w:t>
            </w:r>
            <w:r>
              <w:rPr>
                <w:rFonts w:hint="eastAsia"/>
                <w:b w:val="0"/>
                <w:bCs w:val="0"/>
                <w:color w:val="auto"/>
                <w:sz w:val="24"/>
                <w:szCs w:val="24"/>
                <w:highlight w:val="none"/>
                <w:lang w:val="en-US" w:eastAsia="zh-CN"/>
              </w:rPr>
              <w:t>4-15</w:t>
            </w:r>
            <w:r>
              <w:rPr>
                <w:rFonts w:hint="eastAsia"/>
                <w:b w:val="0"/>
                <w:bCs w:val="0"/>
                <w:color w:val="auto"/>
                <w:sz w:val="24"/>
                <w:szCs w:val="24"/>
                <w:highlight w:val="none"/>
              </w:rPr>
              <w:t xml:space="preserve"> </w:t>
            </w:r>
            <w:r>
              <w:rPr>
                <w:rFonts w:hint="eastAsia"/>
                <w:b w:val="0"/>
                <w:bCs w:val="0"/>
                <w:color w:val="auto"/>
                <w:sz w:val="24"/>
                <w:szCs w:val="24"/>
                <w:highlight w:val="none"/>
                <w:lang w:val="en-US" w:eastAsia="zh-CN"/>
              </w:rPr>
              <w:t>一般</w:t>
            </w:r>
            <w:r>
              <w:rPr>
                <w:rFonts w:hint="eastAsia"/>
                <w:b w:val="0"/>
                <w:bCs w:val="0"/>
                <w:color w:val="auto"/>
                <w:sz w:val="24"/>
                <w:szCs w:val="24"/>
                <w:highlight w:val="none"/>
              </w:rPr>
              <w:t>固体废物产生及储存情况一览表</w:t>
            </w:r>
          </w:p>
          <w:tbl>
            <w:tblPr>
              <w:tblStyle w:val="17"/>
              <w:tblW w:w="82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9"/>
              <w:gridCol w:w="1779"/>
              <w:gridCol w:w="1682"/>
              <w:gridCol w:w="1477"/>
              <w:gridCol w:w="2771"/>
            </w:tblGrid>
            <w:tr w14:paraId="0F44E4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7733444E">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779" w:type="dxa"/>
                  <w:tcBorders>
                    <w:tl2br w:val="nil"/>
                    <w:tr2bl w:val="nil"/>
                  </w:tcBorders>
                  <w:noWrap w:val="0"/>
                  <w:vAlign w:val="center"/>
                </w:tcPr>
                <w:p w14:paraId="63D6C41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682" w:type="dxa"/>
                  <w:tcBorders>
                    <w:tl2br w:val="nil"/>
                    <w:tr2bl w:val="nil"/>
                  </w:tcBorders>
                  <w:noWrap w:val="0"/>
                  <w:vAlign w:val="center"/>
                </w:tcPr>
                <w:p w14:paraId="18883EB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477" w:type="dxa"/>
                  <w:tcBorders>
                    <w:tl2br w:val="nil"/>
                    <w:tr2bl w:val="nil"/>
                  </w:tcBorders>
                  <w:noWrap w:val="0"/>
                  <w:vAlign w:val="center"/>
                </w:tcPr>
                <w:p w14:paraId="0BC6009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2771" w:type="dxa"/>
                  <w:tcBorders>
                    <w:tl2br w:val="nil"/>
                    <w:tr2bl w:val="nil"/>
                  </w:tcBorders>
                  <w:noWrap w:val="0"/>
                  <w:vAlign w:val="center"/>
                </w:tcPr>
                <w:p w14:paraId="30648C9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处置方式</w:t>
                  </w:r>
                </w:p>
              </w:tc>
            </w:tr>
            <w:tr w14:paraId="748626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279290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79" w:type="dxa"/>
                  <w:tcBorders>
                    <w:tl2br w:val="nil"/>
                    <w:tr2bl w:val="nil"/>
                  </w:tcBorders>
                  <w:noWrap w:val="0"/>
                  <w:vAlign w:val="center"/>
                </w:tcPr>
                <w:p w14:paraId="2C4D49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炉渣</w:t>
                  </w:r>
                </w:p>
              </w:tc>
              <w:tc>
                <w:tcPr>
                  <w:tcW w:w="1682" w:type="dxa"/>
                  <w:tcBorders>
                    <w:tl2br w:val="nil"/>
                    <w:tr2bl w:val="nil"/>
                  </w:tcBorders>
                  <w:noWrap w:val="0"/>
                  <w:vAlign w:val="center"/>
                </w:tcPr>
                <w:p w14:paraId="1666CA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w:t>
                  </w:r>
                  <w:r>
                    <w:rPr>
                      <w:rFonts w:hint="default" w:ascii="Times New Roman" w:hAnsi="Times New Roman" w:eastAsia="宋体" w:cs="Times New Roman"/>
                      <w:color w:val="auto"/>
                      <w:sz w:val="21"/>
                      <w:szCs w:val="21"/>
                      <w:highlight w:val="none"/>
                      <w:lang w:val="en-US" w:eastAsia="zh-CN"/>
                    </w:rPr>
                    <w:t>感应电</w:t>
                  </w:r>
                  <w:r>
                    <w:rPr>
                      <w:rFonts w:hint="default" w:ascii="Times New Roman" w:hAnsi="Times New Roman" w:eastAsia="宋体" w:cs="Times New Roman"/>
                      <w:color w:val="auto"/>
                      <w:sz w:val="21"/>
                      <w:szCs w:val="21"/>
                      <w:highlight w:val="none"/>
                    </w:rPr>
                    <w:t>炉</w:t>
                  </w:r>
                </w:p>
              </w:tc>
              <w:tc>
                <w:tcPr>
                  <w:tcW w:w="1477" w:type="dxa"/>
                  <w:tcBorders>
                    <w:tl2br w:val="nil"/>
                    <w:tr2bl w:val="nil"/>
                  </w:tcBorders>
                  <w:noWrap w:val="0"/>
                  <w:vAlign w:val="center"/>
                </w:tcPr>
                <w:p w14:paraId="7A9C9E2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19.03</w:t>
                  </w:r>
                </w:p>
              </w:tc>
              <w:tc>
                <w:tcPr>
                  <w:tcW w:w="2771" w:type="dxa"/>
                  <w:tcBorders>
                    <w:tl2br w:val="nil"/>
                    <w:tr2bl w:val="nil"/>
                  </w:tcBorders>
                  <w:noWrap w:val="0"/>
                  <w:vAlign w:val="center"/>
                </w:tcPr>
                <w:p w14:paraId="6FECA8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11E7E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1DD0716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779" w:type="dxa"/>
                  <w:tcBorders>
                    <w:tl2br w:val="nil"/>
                    <w:tr2bl w:val="nil"/>
                  </w:tcBorders>
                  <w:noWrap w:val="0"/>
                  <w:vAlign w:val="center"/>
                </w:tcPr>
                <w:p w14:paraId="4E2F6E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废炉衬</w:t>
                  </w:r>
                </w:p>
              </w:tc>
              <w:tc>
                <w:tcPr>
                  <w:tcW w:w="1682" w:type="dxa"/>
                  <w:tcBorders>
                    <w:tl2br w:val="nil"/>
                    <w:tr2bl w:val="nil"/>
                  </w:tcBorders>
                  <w:noWrap w:val="0"/>
                  <w:vAlign w:val="center"/>
                </w:tcPr>
                <w:p w14:paraId="7BD9BA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中频</w:t>
                  </w:r>
                  <w:r>
                    <w:rPr>
                      <w:rFonts w:hint="default" w:ascii="Times New Roman" w:hAnsi="Times New Roman" w:eastAsia="宋体" w:cs="Times New Roman"/>
                      <w:color w:val="auto"/>
                      <w:sz w:val="21"/>
                      <w:szCs w:val="21"/>
                      <w:highlight w:val="none"/>
                      <w:lang w:val="en-US" w:eastAsia="zh-CN"/>
                    </w:rPr>
                    <w:t>感应电</w:t>
                  </w:r>
                  <w:r>
                    <w:rPr>
                      <w:rFonts w:hint="default" w:ascii="Times New Roman" w:hAnsi="Times New Roman" w:eastAsia="宋体" w:cs="Times New Roman"/>
                      <w:color w:val="auto"/>
                      <w:sz w:val="21"/>
                      <w:szCs w:val="21"/>
                      <w:highlight w:val="none"/>
                    </w:rPr>
                    <w:t>炉</w:t>
                  </w:r>
                </w:p>
              </w:tc>
              <w:tc>
                <w:tcPr>
                  <w:tcW w:w="1477" w:type="dxa"/>
                  <w:tcBorders>
                    <w:tl2br w:val="nil"/>
                    <w:tr2bl w:val="nil"/>
                  </w:tcBorders>
                  <w:noWrap w:val="0"/>
                  <w:vAlign w:val="center"/>
                </w:tcPr>
                <w:p w14:paraId="26CA08A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2771" w:type="dxa"/>
                  <w:tcBorders>
                    <w:tl2br w:val="nil"/>
                    <w:tr2bl w:val="nil"/>
                  </w:tcBorders>
                  <w:noWrap w:val="0"/>
                  <w:vAlign w:val="center"/>
                </w:tcPr>
                <w:p w14:paraId="14F0BA9A">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外售</w:t>
                  </w:r>
                </w:p>
              </w:tc>
            </w:tr>
            <w:tr w14:paraId="3F7239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2AABF26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779" w:type="dxa"/>
                  <w:tcBorders>
                    <w:tl2br w:val="nil"/>
                    <w:tr2bl w:val="nil"/>
                  </w:tcBorders>
                  <w:noWrap w:val="0"/>
                  <w:vAlign w:val="center"/>
                </w:tcPr>
                <w:p w14:paraId="7123252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除尘器尘灰</w:t>
                  </w:r>
                </w:p>
              </w:tc>
              <w:tc>
                <w:tcPr>
                  <w:tcW w:w="1682" w:type="dxa"/>
                  <w:tcBorders>
                    <w:tl2br w:val="nil"/>
                    <w:tr2bl w:val="nil"/>
                  </w:tcBorders>
                  <w:noWrap w:val="0"/>
                  <w:vAlign w:val="center"/>
                </w:tcPr>
                <w:p w14:paraId="4060252A">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灰尘</w:t>
                  </w:r>
                </w:p>
              </w:tc>
              <w:tc>
                <w:tcPr>
                  <w:tcW w:w="1477" w:type="dxa"/>
                  <w:tcBorders>
                    <w:tl2br w:val="nil"/>
                    <w:tr2bl w:val="nil"/>
                  </w:tcBorders>
                  <w:noWrap w:val="0"/>
                  <w:vAlign w:val="center"/>
                </w:tcPr>
                <w:p w14:paraId="607B4CE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40.6</w:t>
                  </w:r>
                </w:p>
              </w:tc>
              <w:tc>
                <w:tcPr>
                  <w:tcW w:w="2771" w:type="dxa"/>
                  <w:tcBorders>
                    <w:tl2br w:val="nil"/>
                    <w:tr2bl w:val="nil"/>
                  </w:tcBorders>
                  <w:noWrap w:val="0"/>
                  <w:vAlign w:val="center"/>
                </w:tcPr>
                <w:p w14:paraId="074A27F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外售</w:t>
                  </w:r>
                </w:p>
              </w:tc>
            </w:tr>
            <w:tr w14:paraId="28A386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126943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779" w:type="dxa"/>
                  <w:tcBorders>
                    <w:tl2br w:val="nil"/>
                    <w:tr2bl w:val="nil"/>
                  </w:tcBorders>
                  <w:noWrap w:val="0"/>
                  <w:vAlign w:val="center"/>
                </w:tcPr>
                <w:p w14:paraId="39CC4C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废砂</w:t>
                  </w:r>
                </w:p>
              </w:tc>
              <w:tc>
                <w:tcPr>
                  <w:tcW w:w="1682" w:type="dxa"/>
                  <w:tcBorders>
                    <w:tl2br w:val="nil"/>
                    <w:tr2bl w:val="nil"/>
                  </w:tcBorders>
                  <w:noWrap w:val="0"/>
                  <w:vAlign w:val="center"/>
                </w:tcPr>
                <w:p w14:paraId="40D9C1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砂处理</w:t>
                  </w:r>
                </w:p>
              </w:tc>
              <w:tc>
                <w:tcPr>
                  <w:tcW w:w="1477" w:type="dxa"/>
                  <w:tcBorders>
                    <w:tl2br w:val="nil"/>
                    <w:tr2bl w:val="nil"/>
                  </w:tcBorders>
                  <w:noWrap w:val="0"/>
                  <w:vAlign w:val="center"/>
                </w:tcPr>
                <w:p w14:paraId="50A0487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97.97</w:t>
                  </w:r>
                </w:p>
              </w:tc>
              <w:tc>
                <w:tcPr>
                  <w:tcW w:w="2771" w:type="dxa"/>
                  <w:tcBorders>
                    <w:tl2br w:val="nil"/>
                    <w:tr2bl w:val="nil"/>
                  </w:tcBorders>
                  <w:noWrap w:val="0"/>
                  <w:vAlign w:val="center"/>
                </w:tcPr>
                <w:p w14:paraId="099418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外售</w:t>
                  </w:r>
                </w:p>
              </w:tc>
            </w:tr>
            <w:tr w14:paraId="72FC7A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78A7B1C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779" w:type="dxa"/>
                  <w:tcBorders>
                    <w:tl2br w:val="nil"/>
                    <w:tr2bl w:val="nil"/>
                  </w:tcBorders>
                  <w:noWrap w:val="0"/>
                  <w:vAlign w:val="center"/>
                </w:tcPr>
                <w:p w14:paraId="549CC7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铁</w:t>
                  </w:r>
                  <w:r>
                    <w:rPr>
                      <w:rFonts w:hint="default" w:ascii="Times New Roman" w:hAnsi="Times New Roman" w:eastAsia="宋体" w:cs="Times New Roman"/>
                      <w:color w:val="auto"/>
                      <w:sz w:val="21"/>
                      <w:szCs w:val="21"/>
                      <w:highlight w:val="none"/>
                      <w:lang w:val="en-US" w:eastAsia="zh-CN"/>
                    </w:rPr>
                    <w:t>屑</w:t>
                  </w:r>
                  <w:r>
                    <w:rPr>
                      <w:rFonts w:hint="default" w:ascii="Times New Roman" w:hAnsi="Times New Roman" w:eastAsia="宋体" w:cs="Times New Roman"/>
                      <w:color w:val="auto"/>
                      <w:sz w:val="21"/>
                      <w:szCs w:val="21"/>
                      <w:highlight w:val="none"/>
                    </w:rPr>
                    <w:t>、下脚料、</w:t>
                  </w:r>
                  <w:r>
                    <w:rPr>
                      <w:rFonts w:hint="default" w:ascii="Times New Roman" w:hAnsi="Times New Roman" w:eastAsia="宋体" w:cs="Times New Roman"/>
                      <w:color w:val="auto"/>
                      <w:sz w:val="21"/>
                      <w:szCs w:val="21"/>
                      <w:highlight w:val="none"/>
                      <w:lang w:val="en-US" w:eastAsia="zh-CN"/>
                    </w:rPr>
                    <w:t>不合格产品</w:t>
                  </w:r>
                </w:p>
              </w:tc>
              <w:tc>
                <w:tcPr>
                  <w:tcW w:w="1682" w:type="dxa"/>
                  <w:tcBorders>
                    <w:tl2br w:val="nil"/>
                    <w:tr2bl w:val="nil"/>
                  </w:tcBorders>
                  <w:noWrap w:val="0"/>
                  <w:vAlign w:val="center"/>
                </w:tcPr>
                <w:p w14:paraId="67BCA21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机加工、</w:t>
                  </w:r>
                  <w:r>
                    <w:rPr>
                      <w:rFonts w:hint="default" w:ascii="Times New Roman" w:hAnsi="Times New Roman" w:eastAsia="宋体" w:cs="Times New Roman"/>
                      <w:color w:val="auto"/>
                      <w:sz w:val="21"/>
                      <w:szCs w:val="21"/>
                      <w:highlight w:val="none"/>
                      <w:lang w:val="en-US" w:eastAsia="zh-CN"/>
                    </w:rPr>
                    <w:t>检测</w:t>
                  </w:r>
                </w:p>
              </w:tc>
              <w:tc>
                <w:tcPr>
                  <w:tcW w:w="1477" w:type="dxa"/>
                  <w:tcBorders>
                    <w:tl2br w:val="nil"/>
                    <w:tr2bl w:val="nil"/>
                  </w:tcBorders>
                  <w:noWrap w:val="0"/>
                  <w:vAlign w:val="center"/>
                </w:tcPr>
                <w:p w14:paraId="1858A2D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771" w:type="dxa"/>
                  <w:tcBorders>
                    <w:tl2br w:val="nil"/>
                    <w:tr2bl w:val="nil"/>
                  </w:tcBorders>
                  <w:noWrap w:val="0"/>
                  <w:vAlign w:val="center"/>
                </w:tcPr>
                <w:p w14:paraId="1A1F19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返回</w:t>
                  </w:r>
                  <w:r>
                    <w:rPr>
                      <w:rFonts w:hint="default" w:ascii="Times New Roman" w:hAnsi="Times New Roman" w:eastAsia="宋体" w:cs="Times New Roman"/>
                      <w:color w:val="auto"/>
                      <w:sz w:val="21"/>
                      <w:szCs w:val="21"/>
                      <w:highlight w:val="none"/>
                      <w:lang w:eastAsia="zh-CN"/>
                    </w:rPr>
                    <w:t>熔化</w:t>
                  </w:r>
                  <w:r>
                    <w:rPr>
                      <w:rFonts w:hint="default" w:ascii="Times New Roman" w:hAnsi="Times New Roman" w:eastAsia="宋体" w:cs="Times New Roman"/>
                      <w:color w:val="auto"/>
                      <w:sz w:val="21"/>
                      <w:szCs w:val="21"/>
                      <w:highlight w:val="none"/>
                    </w:rPr>
                    <w:t>炉</w:t>
                  </w:r>
                </w:p>
              </w:tc>
            </w:tr>
            <w:tr w14:paraId="337EC2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27F7BB6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79" w:type="dxa"/>
                  <w:tcBorders>
                    <w:tl2br w:val="nil"/>
                    <w:tr2bl w:val="nil"/>
                  </w:tcBorders>
                  <w:noWrap w:val="0"/>
                  <w:vAlign w:val="center"/>
                </w:tcPr>
                <w:p w14:paraId="1BF067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白模切割边角料</w:t>
                  </w:r>
                </w:p>
              </w:tc>
              <w:tc>
                <w:tcPr>
                  <w:tcW w:w="1682" w:type="dxa"/>
                  <w:tcBorders>
                    <w:tl2br w:val="nil"/>
                    <w:tr2bl w:val="nil"/>
                  </w:tcBorders>
                  <w:noWrap w:val="0"/>
                  <w:vAlign w:val="center"/>
                </w:tcPr>
                <w:p w14:paraId="3128E04E">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白膜切割</w:t>
                  </w:r>
                </w:p>
              </w:tc>
              <w:tc>
                <w:tcPr>
                  <w:tcW w:w="1477" w:type="dxa"/>
                  <w:tcBorders>
                    <w:tl2br w:val="nil"/>
                    <w:tr2bl w:val="nil"/>
                  </w:tcBorders>
                  <w:noWrap w:val="0"/>
                  <w:vAlign w:val="center"/>
                </w:tcPr>
                <w:p w14:paraId="2F8C0DA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w:t>
                  </w:r>
                </w:p>
              </w:tc>
              <w:tc>
                <w:tcPr>
                  <w:tcW w:w="2771" w:type="dxa"/>
                  <w:vMerge w:val="restart"/>
                  <w:tcBorders>
                    <w:tl2br w:val="nil"/>
                    <w:tr2bl w:val="nil"/>
                  </w:tcBorders>
                  <w:noWrap w:val="0"/>
                  <w:vAlign w:val="center"/>
                </w:tcPr>
                <w:p w14:paraId="1E77B228">
                  <w:pPr>
                    <w:pStyle w:val="33"/>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经收集后由环卫部门外运处理</w:t>
                  </w:r>
                </w:p>
              </w:tc>
            </w:tr>
            <w:tr w14:paraId="72C1DB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89" w:type="dxa"/>
                  <w:tcBorders>
                    <w:tl2br w:val="nil"/>
                    <w:tr2bl w:val="nil"/>
                  </w:tcBorders>
                  <w:noWrap w:val="0"/>
                  <w:vAlign w:val="center"/>
                </w:tcPr>
                <w:p w14:paraId="1EF6DA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779" w:type="dxa"/>
                  <w:tcBorders>
                    <w:tl2br w:val="nil"/>
                    <w:tr2bl w:val="nil"/>
                  </w:tcBorders>
                  <w:noWrap w:val="0"/>
                  <w:vAlign w:val="center"/>
                </w:tcPr>
                <w:p w14:paraId="090D13B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1682" w:type="dxa"/>
                  <w:tcBorders>
                    <w:tl2br w:val="nil"/>
                    <w:tr2bl w:val="nil"/>
                  </w:tcBorders>
                  <w:noWrap w:val="0"/>
                  <w:vAlign w:val="center"/>
                </w:tcPr>
                <w:p w14:paraId="3A2EF03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职工生活</w:t>
                  </w:r>
                </w:p>
              </w:tc>
              <w:tc>
                <w:tcPr>
                  <w:tcW w:w="1477" w:type="dxa"/>
                  <w:tcBorders>
                    <w:tl2br w:val="nil"/>
                    <w:tr2bl w:val="nil"/>
                  </w:tcBorders>
                  <w:noWrap w:val="0"/>
                  <w:vAlign w:val="center"/>
                </w:tcPr>
                <w:p w14:paraId="1D09096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2771" w:type="dxa"/>
                  <w:vMerge w:val="continue"/>
                  <w:tcBorders>
                    <w:tl2br w:val="nil"/>
                    <w:tr2bl w:val="nil"/>
                  </w:tcBorders>
                  <w:noWrap w:val="0"/>
                  <w:vAlign w:val="center"/>
                </w:tcPr>
                <w:p w14:paraId="3E2D96D6">
                  <w:pPr>
                    <w:pStyle w:val="33"/>
                    <w:jc w:val="center"/>
                    <w:rPr>
                      <w:rFonts w:hint="default" w:ascii="Times New Roman" w:hAnsi="Times New Roman" w:eastAsia="宋体" w:cs="Times New Roman"/>
                      <w:color w:val="auto"/>
                      <w:sz w:val="21"/>
                      <w:szCs w:val="21"/>
                      <w:highlight w:val="none"/>
                      <w:lang w:val="en-US" w:eastAsia="zh-CN" w:bidi="ar-SA"/>
                    </w:rPr>
                  </w:pPr>
                </w:p>
              </w:tc>
            </w:tr>
          </w:tbl>
          <w:p w14:paraId="37CCD427">
            <w:pPr>
              <w:spacing w:line="500" w:lineRule="exact"/>
              <w:rPr>
                <w:b w:val="0"/>
                <w:bCs w:val="0"/>
                <w:color w:val="auto"/>
                <w:sz w:val="24"/>
                <w:szCs w:val="24"/>
                <w:highlight w:val="none"/>
              </w:rPr>
            </w:pPr>
            <w:r>
              <w:rPr>
                <w:b w:val="0"/>
                <w:bCs w:val="0"/>
                <w:color w:val="auto"/>
                <w:sz w:val="24"/>
                <w:szCs w:val="24"/>
                <w:highlight w:val="none"/>
              </w:rPr>
              <w:t>（2）危险废物</w:t>
            </w:r>
          </w:p>
          <w:p w14:paraId="33599C9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val="en-US" w:eastAsia="zh-CN"/>
              </w:rPr>
              <w:t>废润滑油、废润滑油桶、铁质废油桶、废光氧催化光管分类收集暂存于危废间，</w:t>
            </w:r>
            <w:r>
              <w:rPr>
                <w:color w:val="auto"/>
                <w:sz w:val="24"/>
                <w:szCs w:val="24"/>
                <w:highlight w:val="none"/>
              </w:rPr>
              <w:t>危废间进行分区，定期由有资质单位外运处理。</w:t>
            </w:r>
          </w:p>
          <w:p w14:paraId="1DF8325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①</w:t>
            </w:r>
            <w:r>
              <w:rPr>
                <w:color w:val="auto"/>
                <w:sz w:val="24"/>
                <w:szCs w:val="24"/>
                <w:highlight w:val="none"/>
              </w:rPr>
              <w:t>废润滑油</w:t>
            </w:r>
            <w:r>
              <w:rPr>
                <w:rFonts w:hint="eastAsia"/>
                <w:color w:val="auto"/>
                <w:sz w:val="24"/>
                <w:szCs w:val="24"/>
                <w:highlight w:val="none"/>
                <w:lang w:eastAsia="zh-CN"/>
              </w:rPr>
              <w:t>、</w:t>
            </w:r>
            <w:r>
              <w:rPr>
                <w:rFonts w:hint="eastAsia"/>
                <w:color w:val="auto"/>
                <w:sz w:val="24"/>
                <w:szCs w:val="24"/>
                <w:highlight w:val="none"/>
                <w:lang w:val="en-US" w:eastAsia="zh-CN"/>
              </w:rPr>
              <w:t>废润滑油桶、铁质废油桶</w:t>
            </w:r>
          </w:p>
          <w:p w14:paraId="7BD1D3C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项目机械运转均需更换润滑油，项目</w:t>
            </w:r>
            <w:r>
              <w:rPr>
                <w:rFonts w:hint="eastAsia" w:ascii="Times New Roman" w:hAnsi="Times New Roman" w:cs="Times New Roman"/>
                <w:color w:val="auto"/>
                <w:sz w:val="24"/>
                <w:szCs w:val="24"/>
                <w:highlight w:val="none"/>
                <w:lang w:val="en-US" w:eastAsia="zh-CN"/>
              </w:rPr>
              <w:t>每年产生</w:t>
            </w:r>
            <w:r>
              <w:rPr>
                <w:rFonts w:hint="eastAsia"/>
                <w:color w:val="auto"/>
                <w:sz w:val="24"/>
                <w:szCs w:val="24"/>
                <w:highlight w:val="none"/>
                <w:lang w:val="en-US" w:eastAsia="zh-CN"/>
              </w:rPr>
              <w:t>废润滑油约0.5t，</w:t>
            </w:r>
            <w:r>
              <w:rPr>
                <w:rFonts w:hint="eastAsia" w:ascii="Times New Roman" w:hAnsi="Times New Roman" w:cs="Times New Roman"/>
                <w:color w:val="auto"/>
                <w:sz w:val="24"/>
                <w:szCs w:val="24"/>
                <w:highlight w:val="none"/>
                <w:lang w:val="en-US" w:eastAsia="zh-CN"/>
              </w:rPr>
              <w:t>每年产生</w:t>
            </w:r>
            <w:r>
              <w:rPr>
                <w:rFonts w:hint="eastAsia"/>
                <w:color w:val="auto"/>
                <w:sz w:val="24"/>
                <w:szCs w:val="24"/>
                <w:highlight w:val="none"/>
                <w:lang w:val="en-US" w:eastAsia="zh-CN"/>
              </w:rPr>
              <w:t>废润滑油桶0.03t，铁质废油桶0.105t。</w:t>
            </w:r>
          </w:p>
          <w:p w14:paraId="23B147F3">
            <w:pPr>
              <w:pStyle w:val="2"/>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②废光氧催化光管</w:t>
            </w:r>
          </w:p>
          <w:p w14:paraId="5E617408">
            <w:pPr>
              <w:pStyle w:val="11"/>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光氧机光管需定期更换，本项目年均需更换光管5根。</w:t>
            </w:r>
          </w:p>
          <w:p w14:paraId="5156644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sz w:val="24"/>
                <w:szCs w:val="24"/>
                <w:highlight w:val="none"/>
              </w:rPr>
            </w:pPr>
            <w:r>
              <w:rPr>
                <w:color w:val="auto"/>
                <w:sz w:val="24"/>
                <w:szCs w:val="24"/>
                <w:highlight w:val="none"/>
              </w:rPr>
              <w:t>危险废物产生环节及处置措施见表</w:t>
            </w:r>
            <w:r>
              <w:rPr>
                <w:rFonts w:hint="eastAsia"/>
                <w:color w:val="auto"/>
                <w:sz w:val="24"/>
                <w:szCs w:val="24"/>
                <w:highlight w:val="none"/>
                <w:lang w:val="en-US" w:eastAsia="zh-CN"/>
              </w:rPr>
              <w:t>4-16</w:t>
            </w:r>
            <w:r>
              <w:rPr>
                <w:rFonts w:hint="eastAsia"/>
                <w:color w:val="auto"/>
                <w:sz w:val="24"/>
                <w:szCs w:val="24"/>
                <w:highlight w:val="none"/>
              </w:rPr>
              <w:t>。</w:t>
            </w:r>
          </w:p>
          <w:p w14:paraId="163C55C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b w:val="0"/>
                <w:bCs w:val="0"/>
                <w:color w:val="auto"/>
                <w:sz w:val="24"/>
                <w:szCs w:val="24"/>
                <w:highlight w:val="none"/>
              </w:rPr>
            </w:pPr>
            <w:r>
              <w:rPr>
                <w:b w:val="0"/>
                <w:bCs w:val="0"/>
                <w:color w:val="auto"/>
                <w:sz w:val="24"/>
                <w:szCs w:val="24"/>
                <w:highlight w:val="none"/>
              </w:rPr>
              <w:t>表</w:t>
            </w:r>
            <w:r>
              <w:rPr>
                <w:rFonts w:hint="eastAsia"/>
                <w:b w:val="0"/>
                <w:bCs w:val="0"/>
                <w:color w:val="auto"/>
                <w:sz w:val="24"/>
                <w:szCs w:val="24"/>
                <w:highlight w:val="none"/>
                <w:lang w:val="en-US" w:eastAsia="zh-CN"/>
              </w:rPr>
              <w:t>4-16</w:t>
            </w:r>
            <w:r>
              <w:rPr>
                <w:rFonts w:hint="eastAsia"/>
                <w:b w:val="0"/>
                <w:bCs w:val="0"/>
                <w:color w:val="auto"/>
                <w:sz w:val="24"/>
                <w:szCs w:val="24"/>
                <w:highlight w:val="none"/>
              </w:rPr>
              <w:t xml:space="preserve"> 危险废物产生环节及处置措施一览表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427"/>
              <w:gridCol w:w="868"/>
              <w:gridCol w:w="1941"/>
              <w:gridCol w:w="1197"/>
              <w:gridCol w:w="814"/>
              <w:gridCol w:w="1088"/>
              <w:gridCol w:w="492"/>
              <w:gridCol w:w="669"/>
              <w:gridCol w:w="1008"/>
            </w:tblGrid>
            <w:tr w14:paraId="5D861370">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43" w:hRule="atLeast"/>
                <w:jc w:val="center"/>
              </w:trPr>
              <w:tc>
                <w:tcPr>
                  <w:tcW w:w="251" w:type="pct"/>
                  <w:tcBorders>
                    <w:tl2br w:val="nil"/>
                    <w:tr2bl w:val="nil"/>
                  </w:tcBorders>
                  <w:noWrap w:val="0"/>
                  <w:vAlign w:val="center"/>
                </w:tcPr>
                <w:p w14:paraId="0B6ACC17">
                  <w:pPr>
                    <w:jc w:val="center"/>
                    <w:rPr>
                      <w:b/>
                      <w:bCs/>
                      <w:color w:val="auto"/>
                      <w:sz w:val="21"/>
                      <w:szCs w:val="21"/>
                      <w:highlight w:val="none"/>
                    </w:rPr>
                  </w:pPr>
                  <w:r>
                    <w:rPr>
                      <w:rFonts w:hint="eastAsia"/>
                      <w:b/>
                      <w:bCs/>
                      <w:color w:val="auto"/>
                      <w:sz w:val="21"/>
                      <w:szCs w:val="21"/>
                      <w:highlight w:val="none"/>
                    </w:rPr>
                    <w:t>序号</w:t>
                  </w:r>
                </w:p>
              </w:tc>
              <w:tc>
                <w:tcPr>
                  <w:tcW w:w="510" w:type="pct"/>
                  <w:tcBorders>
                    <w:tl2br w:val="nil"/>
                    <w:tr2bl w:val="nil"/>
                  </w:tcBorders>
                  <w:noWrap w:val="0"/>
                  <w:vAlign w:val="center"/>
                </w:tcPr>
                <w:p w14:paraId="7BD6E843">
                  <w:pPr>
                    <w:jc w:val="center"/>
                    <w:rPr>
                      <w:b/>
                      <w:bCs/>
                      <w:color w:val="auto"/>
                      <w:sz w:val="21"/>
                      <w:szCs w:val="21"/>
                      <w:highlight w:val="none"/>
                    </w:rPr>
                  </w:pPr>
                  <w:r>
                    <w:rPr>
                      <w:rFonts w:hint="eastAsia"/>
                      <w:b/>
                      <w:bCs/>
                      <w:color w:val="auto"/>
                      <w:sz w:val="21"/>
                      <w:szCs w:val="21"/>
                      <w:highlight w:val="none"/>
                    </w:rPr>
                    <w:t>危险废物名称</w:t>
                  </w:r>
                </w:p>
              </w:tc>
              <w:tc>
                <w:tcPr>
                  <w:tcW w:w="1140" w:type="pct"/>
                  <w:tcBorders>
                    <w:tl2br w:val="nil"/>
                    <w:tr2bl w:val="nil"/>
                  </w:tcBorders>
                  <w:noWrap w:val="0"/>
                  <w:vAlign w:val="center"/>
                </w:tcPr>
                <w:p w14:paraId="79469C2E">
                  <w:pPr>
                    <w:jc w:val="center"/>
                    <w:rPr>
                      <w:b/>
                      <w:bCs/>
                      <w:color w:val="auto"/>
                      <w:sz w:val="21"/>
                      <w:szCs w:val="21"/>
                      <w:highlight w:val="none"/>
                    </w:rPr>
                  </w:pPr>
                  <w:r>
                    <w:rPr>
                      <w:rFonts w:hint="eastAsia"/>
                      <w:b/>
                      <w:bCs/>
                      <w:color w:val="auto"/>
                      <w:sz w:val="21"/>
                      <w:szCs w:val="21"/>
                      <w:highlight w:val="none"/>
                    </w:rPr>
                    <w:t>危险废物类别</w:t>
                  </w:r>
                </w:p>
              </w:tc>
              <w:tc>
                <w:tcPr>
                  <w:tcW w:w="703" w:type="pct"/>
                  <w:tcBorders>
                    <w:tl2br w:val="nil"/>
                    <w:tr2bl w:val="nil"/>
                  </w:tcBorders>
                  <w:noWrap w:val="0"/>
                  <w:vAlign w:val="center"/>
                </w:tcPr>
                <w:p w14:paraId="5F025C1C">
                  <w:pPr>
                    <w:jc w:val="center"/>
                    <w:rPr>
                      <w:b/>
                      <w:bCs/>
                      <w:color w:val="auto"/>
                      <w:sz w:val="21"/>
                      <w:szCs w:val="21"/>
                      <w:highlight w:val="none"/>
                    </w:rPr>
                  </w:pPr>
                  <w:r>
                    <w:rPr>
                      <w:rFonts w:hint="eastAsia"/>
                      <w:b/>
                      <w:bCs/>
                      <w:color w:val="auto"/>
                      <w:sz w:val="21"/>
                      <w:szCs w:val="21"/>
                      <w:highlight w:val="none"/>
                    </w:rPr>
                    <w:t>危险废物代码</w:t>
                  </w:r>
                </w:p>
              </w:tc>
              <w:tc>
                <w:tcPr>
                  <w:tcW w:w="478" w:type="pct"/>
                  <w:tcBorders>
                    <w:tl2br w:val="nil"/>
                    <w:tr2bl w:val="nil"/>
                  </w:tcBorders>
                  <w:noWrap w:val="0"/>
                  <w:vAlign w:val="center"/>
                </w:tcPr>
                <w:p w14:paraId="36698733">
                  <w:pPr>
                    <w:jc w:val="center"/>
                    <w:rPr>
                      <w:b/>
                      <w:bCs/>
                      <w:color w:val="auto"/>
                      <w:sz w:val="21"/>
                      <w:szCs w:val="21"/>
                      <w:highlight w:val="none"/>
                    </w:rPr>
                  </w:pPr>
                  <w:r>
                    <w:rPr>
                      <w:rFonts w:hint="eastAsia"/>
                      <w:b/>
                      <w:bCs/>
                      <w:color w:val="auto"/>
                      <w:sz w:val="21"/>
                      <w:szCs w:val="21"/>
                      <w:highlight w:val="none"/>
                    </w:rPr>
                    <w:t>产生量（吨/年）</w:t>
                  </w:r>
                </w:p>
              </w:tc>
              <w:tc>
                <w:tcPr>
                  <w:tcW w:w="639" w:type="pct"/>
                  <w:tcBorders>
                    <w:tl2br w:val="nil"/>
                    <w:tr2bl w:val="nil"/>
                  </w:tcBorders>
                  <w:noWrap w:val="0"/>
                  <w:vAlign w:val="center"/>
                </w:tcPr>
                <w:p w14:paraId="388A77D3">
                  <w:pPr>
                    <w:jc w:val="center"/>
                    <w:rPr>
                      <w:b/>
                      <w:bCs/>
                      <w:color w:val="auto"/>
                      <w:sz w:val="21"/>
                      <w:szCs w:val="21"/>
                      <w:highlight w:val="none"/>
                    </w:rPr>
                  </w:pPr>
                  <w:r>
                    <w:rPr>
                      <w:rFonts w:hint="eastAsia"/>
                      <w:b/>
                      <w:bCs/>
                      <w:color w:val="auto"/>
                      <w:sz w:val="21"/>
                      <w:szCs w:val="21"/>
                      <w:highlight w:val="none"/>
                    </w:rPr>
                    <w:t>产生工序及装置</w:t>
                  </w:r>
                </w:p>
              </w:tc>
              <w:tc>
                <w:tcPr>
                  <w:tcW w:w="289" w:type="pct"/>
                  <w:tcBorders>
                    <w:tl2br w:val="nil"/>
                    <w:tr2bl w:val="nil"/>
                  </w:tcBorders>
                  <w:noWrap w:val="0"/>
                  <w:vAlign w:val="center"/>
                </w:tcPr>
                <w:p w14:paraId="153B5C4D">
                  <w:pPr>
                    <w:jc w:val="center"/>
                    <w:rPr>
                      <w:b/>
                      <w:bCs/>
                      <w:color w:val="auto"/>
                      <w:sz w:val="21"/>
                      <w:szCs w:val="21"/>
                      <w:highlight w:val="none"/>
                    </w:rPr>
                  </w:pPr>
                  <w:r>
                    <w:rPr>
                      <w:rFonts w:hint="eastAsia"/>
                      <w:b/>
                      <w:bCs/>
                      <w:color w:val="auto"/>
                      <w:sz w:val="21"/>
                      <w:szCs w:val="21"/>
                      <w:highlight w:val="none"/>
                    </w:rPr>
                    <w:t>形态</w:t>
                  </w:r>
                </w:p>
              </w:tc>
              <w:tc>
                <w:tcPr>
                  <w:tcW w:w="393" w:type="pct"/>
                  <w:tcBorders>
                    <w:tl2br w:val="nil"/>
                    <w:tr2bl w:val="nil"/>
                  </w:tcBorders>
                  <w:noWrap w:val="0"/>
                  <w:vAlign w:val="center"/>
                </w:tcPr>
                <w:p w14:paraId="22B92B48">
                  <w:pPr>
                    <w:jc w:val="center"/>
                    <w:rPr>
                      <w:b/>
                      <w:bCs/>
                      <w:color w:val="auto"/>
                      <w:sz w:val="21"/>
                      <w:szCs w:val="21"/>
                      <w:highlight w:val="none"/>
                    </w:rPr>
                  </w:pPr>
                  <w:r>
                    <w:rPr>
                      <w:rFonts w:hint="eastAsia"/>
                      <w:b/>
                      <w:bCs/>
                      <w:color w:val="auto"/>
                      <w:sz w:val="21"/>
                      <w:szCs w:val="21"/>
                      <w:highlight w:val="none"/>
                    </w:rPr>
                    <w:t>主要成分</w:t>
                  </w:r>
                </w:p>
              </w:tc>
              <w:tc>
                <w:tcPr>
                  <w:tcW w:w="592" w:type="pct"/>
                  <w:tcBorders>
                    <w:tl2br w:val="nil"/>
                    <w:tr2bl w:val="nil"/>
                  </w:tcBorders>
                  <w:noWrap w:val="0"/>
                  <w:vAlign w:val="center"/>
                </w:tcPr>
                <w:p w14:paraId="475DD83E">
                  <w:pPr>
                    <w:jc w:val="center"/>
                    <w:rPr>
                      <w:b/>
                      <w:bCs/>
                      <w:color w:val="auto"/>
                      <w:sz w:val="21"/>
                      <w:szCs w:val="21"/>
                      <w:highlight w:val="none"/>
                    </w:rPr>
                  </w:pPr>
                  <w:r>
                    <w:rPr>
                      <w:rFonts w:hint="eastAsia"/>
                      <w:b/>
                      <w:bCs/>
                      <w:color w:val="auto"/>
                      <w:sz w:val="21"/>
                      <w:szCs w:val="21"/>
                      <w:highlight w:val="none"/>
                    </w:rPr>
                    <w:t>污染防治措施</w:t>
                  </w:r>
                </w:p>
              </w:tc>
            </w:tr>
            <w:tr w14:paraId="04B1A00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36" w:hRule="atLeast"/>
                <w:jc w:val="center"/>
              </w:trPr>
              <w:tc>
                <w:tcPr>
                  <w:tcW w:w="251" w:type="pct"/>
                  <w:tcBorders>
                    <w:tl2br w:val="nil"/>
                    <w:tr2bl w:val="nil"/>
                  </w:tcBorders>
                  <w:noWrap w:val="0"/>
                  <w:vAlign w:val="center"/>
                </w:tcPr>
                <w:p w14:paraId="2F702627">
                  <w:pPr>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510" w:type="pct"/>
                  <w:tcBorders>
                    <w:tl2br w:val="nil"/>
                    <w:tr2bl w:val="nil"/>
                  </w:tcBorders>
                  <w:noWrap w:val="0"/>
                  <w:vAlign w:val="center"/>
                </w:tcPr>
                <w:p w14:paraId="36A17C22">
                  <w:pPr>
                    <w:jc w:val="center"/>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废润滑油</w:t>
                  </w:r>
                </w:p>
              </w:tc>
              <w:tc>
                <w:tcPr>
                  <w:tcW w:w="1140" w:type="pct"/>
                  <w:tcBorders>
                    <w:tl2br w:val="nil"/>
                    <w:tr2bl w:val="nil"/>
                  </w:tcBorders>
                  <w:noWrap w:val="0"/>
                  <w:vAlign w:val="center"/>
                </w:tcPr>
                <w:p w14:paraId="17D70AB4">
                  <w:pP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HW08</w:t>
                  </w:r>
                  <w:r>
                    <w:rPr>
                      <w:rFonts w:hint="eastAsia"/>
                      <w:color w:val="auto"/>
                      <w:sz w:val="21"/>
                      <w:szCs w:val="21"/>
                      <w:highlight w:val="none"/>
                    </w:rPr>
                    <w:t>废矿物油与含矿物油废物</w:t>
                  </w:r>
                </w:p>
              </w:tc>
              <w:tc>
                <w:tcPr>
                  <w:tcW w:w="703" w:type="pct"/>
                  <w:tcBorders>
                    <w:tl2br w:val="nil"/>
                    <w:tr2bl w:val="nil"/>
                  </w:tcBorders>
                  <w:noWrap w:val="0"/>
                  <w:vAlign w:val="center"/>
                </w:tcPr>
                <w:p w14:paraId="65A218B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900-217-08</w:t>
                  </w:r>
                </w:p>
              </w:tc>
              <w:tc>
                <w:tcPr>
                  <w:tcW w:w="478" w:type="pct"/>
                  <w:tcBorders>
                    <w:tl2br w:val="nil"/>
                    <w:tr2bl w:val="nil"/>
                  </w:tcBorders>
                  <w:noWrap w:val="0"/>
                  <w:vAlign w:val="center"/>
                </w:tcPr>
                <w:p w14:paraId="1242D10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639" w:type="pct"/>
                  <w:tcBorders>
                    <w:tl2br w:val="nil"/>
                    <w:tr2bl w:val="nil"/>
                  </w:tcBorders>
                  <w:noWrap w:val="0"/>
                  <w:vAlign w:val="center"/>
                </w:tcPr>
                <w:p w14:paraId="55927052">
                  <w:pP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设备</w:t>
                  </w:r>
                </w:p>
              </w:tc>
              <w:tc>
                <w:tcPr>
                  <w:tcW w:w="289" w:type="pct"/>
                  <w:tcBorders>
                    <w:tl2br w:val="nil"/>
                    <w:tr2bl w:val="nil"/>
                  </w:tcBorders>
                  <w:noWrap w:val="0"/>
                  <w:vAlign w:val="center"/>
                </w:tcPr>
                <w:p w14:paraId="7488BA0C">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液态</w:t>
                  </w:r>
                </w:p>
              </w:tc>
              <w:tc>
                <w:tcPr>
                  <w:tcW w:w="393" w:type="pct"/>
                  <w:tcBorders>
                    <w:tl2br w:val="nil"/>
                    <w:tr2bl w:val="nil"/>
                  </w:tcBorders>
                  <w:noWrap w:val="0"/>
                  <w:vAlign w:val="center"/>
                </w:tcPr>
                <w:p w14:paraId="063F91A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矿物油</w:t>
                  </w:r>
                </w:p>
              </w:tc>
              <w:tc>
                <w:tcPr>
                  <w:tcW w:w="592" w:type="pct"/>
                  <w:vMerge w:val="restart"/>
                  <w:tcBorders>
                    <w:tl2br w:val="nil"/>
                    <w:tr2bl w:val="nil"/>
                  </w:tcBorders>
                  <w:noWrap w:val="0"/>
                  <w:vAlign w:val="center"/>
                </w:tcPr>
                <w:p w14:paraId="47F08FAE">
                  <w:pPr>
                    <w:jc w:val="center"/>
                    <w:rPr>
                      <w:color w:val="auto"/>
                      <w:sz w:val="21"/>
                      <w:szCs w:val="21"/>
                      <w:highlight w:val="none"/>
                    </w:rPr>
                  </w:pPr>
                  <w:r>
                    <w:rPr>
                      <w:rFonts w:hint="eastAsia"/>
                      <w:color w:val="auto"/>
                      <w:sz w:val="21"/>
                      <w:szCs w:val="21"/>
                      <w:highlight w:val="none"/>
                      <w:lang w:eastAsia="zh-CN"/>
                    </w:rPr>
                    <w:t>交由有资质单位统一处置</w:t>
                  </w:r>
                </w:p>
              </w:tc>
            </w:tr>
            <w:tr w14:paraId="22C02E2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015" w:hRule="atLeast"/>
                <w:jc w:val="center"/>
              </w:trPr>
              <w:tc>
                <w:tcPr>
                  <w:tcW w:w="251" w:type="pct"/>
                  <w:tcBorders>
                    <w:tl2br w:val="nil"/>
                    <w:tr2bl w:val="nil"/>
                  </w:tcBorders>
                  <w:noWrap w:val="0"/>
                  <w:vAlign w:val="center"/>
                </w:tcPr>
                <w:p w14:paraId="1F5C51E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510" w:type="pct"/>
                  <w:tcBorders>
                    <w:tl2br w:val="nil"/>
                    <w:tr2bl w:val="nil"/>
                  </w:tcBorders>
                  <w:noWrap w:val="0"/>
                  <w:vAlign w:val="center"/>
                </w:tcPr>
                <w:p w14:paraId="3A19AE44">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rPr>
                    <w:t>废油</w:t>
                  </w:r>
                  <w:r>
                    <w:rPr>
                      <w:rFonts w:hint="eastAsia" w:ascii="Times New Roman" w:hAnsi="Times New Roman" w:cs="Times New Roman"/>
                      <w:color w:val="auto"/>
                      <w:sz w:val="21"/>
                      <w:szCs w:val="21"/>
                      <w:highlight w:val="none"/>
                      <w:lang w:val="en-US" w:eastAsia="zh-CN"/>
                    </w:rPr>
                    <w:t>桶</w:t>
                  </w:r>
                </w:p>
              </w:tc>
              <w:tc>
                <w:tcPr>
                  <w:tcW w:w="1140" w:type="pct"/>
                  <w:tcBorders>
                    <w:tl2br w:val="nil"/>
                    <w:tr2bl w:val="nil"/>
                  </w:tcBorders>
                  <w:noWrap w:val="0"/>
                  <w:vAlign w:val="center"/>
                </w:tcPr>
                <w:p w14:paraId="39227B5D">
                  <w:pPr>
                    <w:jc w:val="center"/>
                    <w:rPr>
                      <w:rFonts w:hint="eastAsia" w:ascii="Times New Roman" w:hAnsi="Times New Roman" w:cs="Times New Roman"/>
                      <w:color w:val="auto"/>
                      <w:sz w:val="21"/>
                      <w:szCs w:val="21"/>
                      <w:highlight w:val="none"/>
                      <w:lang w:val="en-US" w:eastAsia="zh-CN"/>
                    </w:rPr>
                  </w:pPr>
                  <w:r>
                    <w:rPr>
                      <w:color w:val="auto"/>
                      <w:sz w:val="21"/>
                      <w:szCs w:val="21"/>
                      <w:highlight w:val="none"/>
                    </w:rPr>
                    <w:t>HW08</w:t>
                  </w:r>
                  <w:r>
                    <w:rPr>
                      <w:rFonts w:hint="eastAsia"/>
                      <w:color w:val="auto"/>
                      <w:sz w:val="21"/>
                      <w:szCs w:val="21"/>
                      <w:highlight w:val="none"/>
                    </w:rPr>
                    <w:t>废矿物油与含矿物油废物</w:t>
                  </w:r>
                </w:p>
              </w:tc>
              <w:tc>
                <w:tcPr>
                  <w:tcW w:w="703" w:type="pct"/>
                  <w:tcBorders>
                    <w:tl2br w:val="nil"/>
                    <w:tr2bl w:val="nil"/>
                  </w:tcBorders>
                  <w:noWrap w:val="0"/>
                  <w:vAlign w:val="center"/>
                </w:tcPr>
                <w:p w14:paraId="7011B80C">
                  <w:pPr>
                    <w:jc w:val="center"/>
                    <w:rPr>
                      <w:rFonts w:hint="default" w:ascii="Times New Roman" w:hAnsi="Times New Roman" w:eastAsia="宋体" w:cs="Times New Roman"/>
                      <w:color w:val="auto"/>
                      <w:kern w:val="2"/>
                      <w:sz w:val="21"/>
                      <w:szCs w:val="21"/>
                      <w:highlight w:val="none"/>
                      <w:lang w:val="en-US" w:eastAsia="zh-CN" w:bidi="ar-SA"/>
                    </w:rPr>
                  </w:pPr>
                  <w:r>
                    <w:rPr>
                      <w:color w:val="auto"/>
                      <w:sz w:val="20"/>
                      <w:highlight w:val="none"/>
                    </w:rPr>
                    <w:t>900-</w:t>
                  </w:r>
                  <w:r>
                    <w:rPr>
                      <w:rFonts w:hint="eastAsia"/>
                      <w:color w:val="auto"/>
                      <w:sz w:val="20"/>
                      <w:highlight w:val="none"/>
                      <w:lang w:val="en-US" w:eastAsia="zh-CN"/>
                    </w:rPr>
                    <w:t>249</w:t>
                  </w:r>
                  <w:r>
                    <w:rPr>
                      <w:color w:val="auto"/>
                      <w:sz w:val="20"/>
                      <w:highlight w:val="none"/>
                    </w:rPr>
                    <w:t>-</w:t>
                  </w:r>
                  <w:r>
                    <w:rPr>
                      <w:rFonts w:hint="eastAsia"/>
                      <w:color w:val="auto"/>
                      <w:sz w:val="20"/>
                      <w:highlight w:val="none"/>
                      <w:lang w:val="en-US" w:eastAsia="zh-CN"/>
                    </w:rPr>
                    <w:t>08</w:t>
                  </w:r>
                </w:p>
              </w:tc>
              <w:tc>
                <w:tcPr>
                  <w:tcW w:w="478" w:type="pct"/>
                  <w:tcBorders>
                    <w:tl2br w:val="nil"/>
                    <w:tr2bl w:val="nil"/>
                  </w:tcBorders>
                  <w:noWrap w:val="0"/>
                  <w:vAlign w:val="center"/>
                </w:tcPr>
                <w:p w14:paraId="4A57B95F">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0.105</w:t>
                  </w:r>
                </w:p>
              </w:tc>
              <w:tc>
                <w:tcPr>
                  <w:tcW w:w="639" w:type="pct"/>
                  <w:tcBorders>
                    <w:tl2br w:val="nil"/>
                    <w:tr2bl w:val="nil"/>
                  </w:tcBorders>
                  <w:noWrap w:val="0"/>
                  <w:vAlign w:val="center"/>
                </w:tcPr>
                <w:p w14:paraId="556F6738">
                  <w:pPr>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设备</w:t>
                  </w:r>
                </w:p>
              </w:tc>
              <w:tc>
                <w:tcPr>
                  <w:tcW w:w="289" w:type="pct"/>
                  <w:tcBorders>
                    <w:tl2br w:val="nil"/>
                    <w:tr2bl w:val="nil"/>
                  </w:tcBorders>
                  <w:noWrap w:val="0"/>
                  <w:vAlign w:val="center"/>
                </w:tcPr>
                <w:p w14:paraId="6B4DBF2A">
                  <w:pPr>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固态</w:t>
                  </w:r>
                </w:p>
              </w:tc>
              <w:tc>
                <w:tcPr>
                  <w:tcW w:w="393" w:type="pct"/>
                  <w:tcBorders>
                    <w:tl2br w:val="nil"/>
                    <w:tr2bl w:val="nil"/>
                  </w:tcBorders>
                  <w:noWrap w:val="0"/>
                  <w:vAlign w:val="center"/>
                </w:tcPr>
                <w:p w14:paraId="2D050DF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矿物油</w:t>
                  </w:r>
                </w:p>
              </w:tc>
              <w:tc>
                <w:tcPr>
                  <w:tcW w:w="592" w:type="pct"/>
                  <w:vMerge w:val="continue"/>
                  <w:tcBorders>
                    <w:tl2br w:val="nil"/>
                    <w:tr2bl w:val="nil"/>
                  </w:tcBorders>
                  <w:noWrap w:val="0"/>
                  <w:vAlign w:val="center"/>
                </w:tcPr>
                <w:p w14:paraId="7E9EBB55">
                  <w:pPr>
                    <w:jc w:val="center"/>
                    <w:rPr>
                      <w:color w:val="auto"/>
                      <w:sz w:val="21"/>
                      <w:szCs w:val="21"/>
                      <w:highlight w:val="none"/>
                    </w:rPr>
                  </w:pPr>
                </w:p>
              </w:tc>
            </w:tr>
            <w:tr w14:paraId="61CC843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015" w:hRule="atLeast"/>
                <w:jc w:val="center"/>
              </w:trPr>
              <w:tc>
                <w:tcPr>
                  <w:tcW w:w="251" w:type="pct"/>
                  <w:tcBorders>
                    <w:tl2br w:val="nil"/>
                    <w:tr2bl w:val="nil"/>
                  </w:tcBorders>
                  <w:noWrap w:val="0"/>
                  <w:vAlign w:val="center"/>
                </w:tcPr>
                <w:p w14:paraId="7D8E2E1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510" w:type="pct"/>
                  <w:tcBorders>
                    <w:tl2br w:val="nil"/>
                    <w:tr2bl w:val="nil"/>
                  </w:tcBorders>
                  <w:noWrap w:val="0"/>
                  <w:vAlign w:val="center"/>
                </w:tcPr>
                <w:p w14:paraId="672ADFBB">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铁质废油桶</w:t>
                  </w:r>
                </w:p>
              </w:tc>
              <w:tc>
                <w:tcPr>
                  <w:tcW w:w="1140" w:type="pct"/>
                  <w:tcBorders>
                    <w:tl2br w:val="nil"/>
                    <w:tr2bl w:val="nil"/>
                  </w:tcBorders>
                  <w:noWrap w:val="0"/>
                  <w:vAlign w:val="center"/>
                </w:tcPr>
                <w:p w14:paraId="4FAA62D7">
                  <w:pPr>
                    <w:jc w:val="center"/>
                    <w:rPr>
                      <w:color w:val="auto"/>
                      <w:sz w:val="21"/>
                      <w:szCs w:val="21"/>
                      <w:highlight w:val="none"/>
                    </w:rPr>
                  </w:pPr>
                  <w:r>
                    <w:rPr>
                      <w:color w:val="auto"/>
                      <w:sz w:val="21"/>
                      <w:szCs w:val="21"/>
                      <w:highlight w:val="none"/>
                    </w:rPr>
                    <w:t>HW08</w:t>
                  </w:r>
                  <w:r>
                    <w:rPr>
                      <w:rFonts w:hint="eastAsia"/>
                      <w:color w:val="auto"/>
                      <w:sz w:val="21"/>
                      <w:szCs w:val="21"/>
                      <w:highlight w:val="none"/>
                    </w:rPr>
                    <w:t>废矿物油与含矿物油废物</w:t>
                  </w:r>
                </w:p>
              </w:tc>
              <w:tc>
                <w:tcPr>
                  <w:tcW w:w="703" w:type="pct"/>
                  <w:tcBorders>
                    <w:tl2br w:val="nil"/>
                    <w:tr2bl w:val="nil"/>
                  </w:tcBorders>
                  <w:noWrap w:val="0"/>
                  <w:vAlign w:val="center"/>
                </w:tcPr>
                <w:p w14:paraId="3850BC83">
                  <w:pPr>
                    <w:jc w:val="center"/>
                    <w:rPr>
                      <w:color w:val="auto"/>
                      <w:sz w:val="20"/>
                      <w:highlight w:val="none"/>
                    </w:rPr>
                  </w:pPr>
                  <w:r>
                    <w:rPr>
                      <w:color w:val="auto"/>
                      <w:sz w:val="20"/>
                      <w:highlight w:val="none"/>
                    </w:rPr>
                    <w:t>900-</w:t>
                  </w:r>
                  <w:r>
                    <w:rPr>
                      <w:rFonts w:hint="eastAsia"/>
                      <w:color w:val="auto"/>
                      <w:sz w:val="20"/>
                      <w:highlight w:val="none"/>
                      <w:lang w:val="en-US" w:eastAsia="zh-CN"/>
                    </w:rPr>
                    <w:t>249</w:t>
                  </w:r>
                  <w:r>
                    <w:rPr>
                      <w:color w:val="auto"/>
                      <w:sz w:val="20"/>
                      <w:highlight w:val="none"/>
                    </w:rPr>
                    <w:t>-</w:t>
                  </w:r>
                  <w:r>
                    <w:rPr>
                      <w:rFonts w:hint="eastAsia"/>
                      <w:color w:val="auto"/>
                      <w:sz w:val="20"/>
                      <w:highlight w:val="none"/>
                      <w:lang w:val="en-US" w:eastAsia="zh-CN"/>
                    </w:rPr>
                    <w:t>08</w:t>
                  </w:r>
                </w:p>
              </w:tc>
              <w:tc>
                <w:tcPr>
                  <w:tcW w:w="478" w:type="pct"/>
                  <w:tcBorders>
                    <w:tl2br w:val="nil"/>
                    <w:tr2bl w:val="nil"/>
                  </w:tcBorders>
                  <w:noWrap w:val="0"/>
                  <w:vAlign w:val="center"/>
                </w:tcPr>
                <w:p w14:paraId="076C2980">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0.105</w:t>
                  </w:r>
                </w:p>
              </w:tc>
              <w:tc>
                <w:tcPr>
                  <w:tcW w:w="639" w:type="pct"/>
                  <w:tcBorders>
                    <w:tl2br w:val="nil"/>
                    <w:tr2bl w:val="nil"/>
                  </w:tcBorders>
                  <w:noWrap w:val="0"/>
                  <w:vAlign w:val="center"/>
                </w:tcPr>
                <w:p w14:paraId="6047F0CC">
                  <w:pPr>
                    <w:jc w:val="center"/>
                    <w:rPr>
                      <w:color w:val="auto"/>
                      <w:sz w:val="21"/>
                      <w:szCs w:val="21"/>
                      <w:highlight w:val="none"/>
                    </w:rPr>
                  </w:pPr>
                  <w:r>
                    <w:rPr>
                      <w:color w:val="auto"/>
                      <w:sz w:val="21"/>
                      <w:szCs w:val="21"/>
                      <w:highlight w:val="none"/>
                    </w:rPr>
                    <w:t>设备</w:t>
                  </w:r>
                </w:p>
              </w:tc>
              <w:tc>
                <w:tcPr>
                  <w:tcW w:w="289" w:type="pct"/>
                  <w:tcBorders>
                    <w:tl2br w:val="nil"/>
                    <w:tr2bl w:val="nil"/>
                  </w:tcBorders>
                  <w:noWrap w:val="0"/>
                  <w:vAlign w:val="center"/>
                </w:tcPr>
                <w:p w14:paraId="30E46904">
                  <w:pPr>
                    <w:jc w:val="center"/>
                    <w:rPr>
                      <w:rFonts w:hint="eastAsia" w:eastAsia="宋体"/>
                      <w:color w:val="auto"/>
                      <w:sz w:val="21"/>
                      <w:szCs w:val="21"/>
                      <w:highlight w:val="none"/>
                      <w:lang w:eastAsia="zh-CN"/>
                    </w:rPr>
                  </w:pPr>
                  <w:r>
                    <w:rPr>
                      <w:rFonts w:hint="eastAsia"/>
                      <w:color w:val="auto"/>
                      <w:sz w:val="21"/>
                      <w:szCs w:val="21"/>
                      <w:highlight w:val="none"/>
                      <w:lang w:eastAsia="zh-CN"/>
                    </w:rPr>
                    <w:t>固态</w:t>
                  </w:r>
                </w:p>
              </w:tc>
              <w:tc>
                <w:tcPr>
                  <w:tcW w:w="393" w:type="pct"/>
                  <w:tcBorders>
                    <w:tl2br w:val="nil"/>
                    <w:tr2bl w:val="nil"/>
                  </w:tcBorders>
                  <w:noWrap w:val="0"/>
                  <w:vAlign w:val="center"/>
                </w:tcPr>
                <w:p w14:paraId="6723F4EC">
                  <w:pPr>
                    <w:jc w:val="center"/>
                    <w:rPr>
                      <w:rFonts w:hint="eastAsia"/>
                      <w:color w:val="auto"/>
                      <w:sz w:val="21"/>
                      <w:szCs w:val="21"/>
                      <w:highlight w:val="none"/>
                    </w:rPr>
                  </w:pPr>
                  <w:r>
                    <w:rPr>
                      <w:rFonts w:hint="eastAsia"/>
                      <w:color w:val="auto"/>
                      <w:sz w:val="21"/>
                      <w:szCs w:val="21"/>
                      <w:highlight w:val="none"/>
                    </w:rPr>
                    <w:t>矿物油</w:t>
                  </w:r>
                </w:p>
              </w:tc>
              <w:tc>
                <w:tcPr>
                  <w:tcW w:w="592" w:type="pct"/>
                  <w:vMerge w:val="continue"/>
                  <w:tcBorders>
                    <w:tl2br w:val="nil"/>
                    <w:tr2bl w:val="nil"/>
                  </w:tcBorders>
                  <w:noWrap w:val="0"/>
                  <w:vAlign w:val="center"/>
                </w:tcPr>
                <w:p w14:paraId="6DABBEB7">
                  <w:pPr>
                    <w:jc w:val="center"/>
                    <w:rPr>
                      <w:color w:val="auto"/>
                      <w:sz w:val="21"/>
                      <w:szCs w:val="21"/>
                      <w:highlight w:val="none"/>
                    </w:rPr>
                  </w:pPr>
                </w:p>
              </w:tc>
            </w:tr>
            <w:tr w14:paraId="60FEF8E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015" w:hRule="atLeast"/>
                <w:jc w:val="center"/>
              </w:trPr>
              <w:tc>
                <w:tcPr>
                  <w:tcW w:w="251" w:type="pct"/>
                  <w:tcBorders>
                    <w:tl2br w:val="nil"/>
                    <w:tr2bl w:val="nil"/>
                  </w:tcBorders>
                  <w:noWrap w:val="0"/>
                  <w:vAlign w:val="center"/>
                </w:tcPr>
                <w:p w14:paraId="3C53F25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510" w:type="pct"/>
                  <w:tcBorders>
                    <w:tl2br w:val="nil"/>
                    <w:tr2bl w:val="nil"/>
                  </w:tcBorders>
                  <w:noWrap w:val="0"/>
                  <w:vAlign w:val="center"/>
                </w:tcPr>
                <w:p w14:paraId="0B080911">
                  <w:pPr>
                    <w:jc w:val="center"/>
                    <w:rPr>
                      <w:rFonts w:hint="eastAsia" w:ascii="Times New Roman" w:hAnsi="Times New Roman" w:cs="Times New Roman"/>
                      <w:color w:val="auto"/>
                      <w:sz w:val="21"/>
                      <w:szCs w:val="21"/>
                      <w:highlight w:val="none"/>
                    </w:rPr>
                  </w:pPr>
                  <w:r>
                    <w:rPr>
                      <w:rFonts w:hint="eastAsia"/>
                      <w:color w:val="auto"/>
                      <w:sz w:val="21"/>
                      <w:szCs w:val="21"/>
                      <w:highlight w:val="none"/>
                      <w:lang w:val="en-US" w:eastAsia="zh-CN"/>
                    </w:rPr>
                    <w:t>废光氧催化光管</w:t>
                  </w:r>
                </w:p>
              </w:tc>
              <w:tc>
                <w:tcPr>
                  <w:tcW w:w="1140" w:type="pct"/>
                  <w:tcBorders>
                    <w:tl2br w:val="nil"/>
                    <w:tr2bl w:val="nil"/>
                  </w:tcBorders>
                  <w:noWrap w:val="0"/>
                  <w:vAlign w:val="center"/>
                </w:tcPr>
                <w:p w14:paraId="39A06DEA">
                  <w:pPr>
                    <w:pStyle w:val="39"/>
                    <w:spacing w:before="1"/>
                    <w:ind w:left="94" w:right="81"/>
                    <w:jc w:val="center"/>
                    <w:rPr>
                      <w:rFonts w:ascii="Times New Roman"/>
                      <w:color w:val="auto"/>
                      <w:sz w:val="21"/>
                      <w:highlight w:val="none"/>
                    </w:rPr>
                  </w:pPr>
                  <w:r>
                    <w:rPr>
                      <w:rFonts w:ascii="Times New Roman"/>
                      <w:color w:val="auto"/>
                      <w:sz w:val="21"/>
                      <w:highlight w:val="none"/>
                    </w:rPr>
                    <w:t>HW29</w:t>
                  </w:r>
                </w:p>
                <w:p w14:paraId="0ABE23F2">
                  <w:pPr>
                    <w:jc w:val="center"/>
                    <w:rPr>
                      <w:color w:val="auto"/>
                      <w:sz w:val="21"/>
                      <w:szCs w:val="21"/>
                      <w:highlight w:val="none"/>
                    </w:rPr>
                  </w:pPr>
                  <w:r>
                    <w:rPr>
                      <w:color w:val="auto"/>
                      <w:sz w:val="21"/>
                      <w:highlight w:val="none"/>
                    </w:rPr>
                    <w:t>含汞废物</w:t>
                  </w:r>
                </w:p>
              </w:tc>
              <w:tc>
                <w:tcPr>
                  <w:tcW w:w="703" w:type="pct"/>
                  <w:tcBorders>
                    <w:tl2br w:val="nil"/>
                    <w:tr2bl w:val="nil"/>
                  </w:tcBorders>
                  <w:noWrap w:val="0"/>
                  <w:vAlign w:val="center"/>
                </w:tcPr>
                <w:p w14:paraId="4327B8BB">
                  <w:pPr>
                    <w:jc w:val="center"/>
                    <w:rPr>
                      <w:color w:val="auto"/>
                      <w:sz w:val="20"/>
                      <w:highlight w:val="none"/>
                    </w:rPr>
                  </w:pPr>
                  <w:r>
                    <w:rPr>
                      <w:rFonts w:hint="default"/>
                      <w:color w:val="auto"/>
                      <w:sz w:val="18"/>
                      <w:szCs w:val="18"/>
                      <w:highlight w:val="none"/>
                      <w:lang w:val="en-US" w:eastAsia="zh-CN"/>
                    </w:rPr>
                    <w:t>900-039-49</w:t>
                  </w:r>
                </w:p>
              </w:tc>
              <w:tc>
                <w:tcPr>
                  <w:tcW w:w="478" w:type="pct"/>
                  <w:tcBorders>
                    <w:tl2br w:val="nil"/>
                    <w:tr2bl w:val="nil"/>
                  </w:tcBorders>
                  <w:noWrap w:val="0"/>
                  <w:vAlign w:val="center"/>
                </w:tcPr>
                <w:p w14:paraId="52C8EDD1">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w:t>
                  </w:r>
                </w:p>
              </w:tc>
              <w:tc>
                <w:tcPr>
                  <w:tcW w:w="639" w:type="pct"/>
                  <w:tcBorders>
                    <w:tl2br w:val="nil"/>
                    <w:tr2bl w:val="nil"/>
                  </w:tcBorders>
                  <w:noWrap w:val="0"/>
                  <w:vAlign w:val="center"/>
                </w:tcPr>
                <w:p w14:paraId="52C83558">
                  <w:pPr>
                    <w:jc w:val="center"/>
                    <w:rPr>
                      <w:color w:val="auto"/>
                      <w:sz w:val="21"/>
                      <w:szCs w:val="21"/>
                      <w:highlight w:val="none"/>
                    </w:rPr>
                  </w:pPr>
                  <w:r>
                    <w:rPr>
                      <w:color w:val="auto"/>
                      <w:sz w:val="21"/>
                      <w:szCs w:val="21"/>
                      <w:highlight w:val="none"/>
                    </w:rPr>
                    <w:t>设备</w:t>
                  </w:r>
                </w:p>
              </w:tc>
              <w:tc>
                <w:tcPr>
                  <w:tcW w:w="289" w:type="pct"/>
                  <w:tcBorders>
                    <w:tl2br w:val="nil"/>
                    <w:tr2bl w:val="nil"/>
                  </w:tcBorders>
                  <w:noWrap w:val="0"/>
                  <w:vAlign w:val="center"/>
                </w:tcPr>
                <w:p w14:paraId="108EB46D">
                  <w:pPr>
                    <w:jc w:val="center"/>
                    <w:rPr>
                      <w:rFonts w:hint="eastAsia" w:eastAsia="宋体"/>
                      <w:color w:val="auto"/>
                      <w:sz w:val="21"/>
                      <w:szCs w:val="21"/>
                      <w:highlight w:val="none"/>
                      <w:lang w:eastAsia="zh-CN"/>
                    </w:rPr>
                  </w:pPr>
                  <w:r>
                    <w:rPr>
                      <w:rFonts w:hint="eastAsia"/>
                      <w:color w:val="auto"/>
                      <w:sz w:val="21"/>
                      <w:szCs w:val="21"/>
                      <w:highlight w:val="none"/>
                      <w:lang w:eastAsia="zh-CN"/>
                    </w:rPr>
                    <w:t>固态</w:t>
                  </w:r>
                </w:p>
              </w:tc>
              <w:tc>
                <w:tcPr>
                  <w:tcW w:w="393" w:type="pct"/>
                  <w:tcBorders>
                    <w:tl2br w:val="nil"/>
                    <w:tr2bl w:val="nil"/>
                  </w:tcBorders>
                  <w:noWrap w:val="0"/>
                  <w:vAlign w:val="center"/>
                </w:tcPr>
                <w:p w14:paraId="29A95380">
                  <w:pPr>
                    <w:jc w:val="center"/>
                    <w:rPr>
                      <w:rFonts w:hint="eastAsia" w:eastAsia="宋体"/>
                      <w:color w:val="auto"/>
                      <w:sz w:val="21"/>
                      <w:szCs w:val="21"/>
                      <w:highlight w:val="none"/>
                      <w:lang w:eastAsia="zh-CN"/>
                    </w:rPr>
                  </w:pPr>
                  <w:r>
                    <w:rPr>
                      <w:rFonts w:hint="eastAsia"/>
                      <w:color w:val="auto"/>
                      <w:sz w:val="21"/>
                      <w:szCs w:val="21"/>
                      <w:highlight w:val="none"/>
                      <w:lang w:eastAsia="zh-CN"/>
                    </w:rPr>
                    <w:t>汞</w:t>
                  </w:r>
                </w:p>
              </w:tc>
              <w:tc>
                <w:tcPr>
                  <w:tcW w:w="592" w:type="pct"/>
                  <w:vMerge w:val="continue"/>
                  <w:tcBorders>
                    <w:tl2br w:val="nil"/>
                    <w:tr2bl w:val="nil"/>
                  </w:tcBorders>
                  <w:noWrap w:val="0"/>
                  <w:vAlign w:val="center"/>
                </w:tcPr>
                <w:p w14:paraId="403E98B9">
                  <w:pPr>
                    <w:jc w:val="center"/>
                    <w:rPr>
                      <w:color w:val="auto"/>
                      <w:sz w:val="21"/>
                      <w:szCs w:val="21"/>
                      <w:highlight w:val="none"/>
                    </w:rPr>
                  </w:pPr>
                </w:p>
              </w:tc>
            </w:tr>
          </w:tbl>
          <w:p w14:paraId="59621C17">
            <w:pPr>
              <w:pStyle w:val="3"/>
              <w:pageBreakBefore w:val="0"/>
              <w:widowControl w:val="0"/>
              <w:kinsoku/>
              <w:wordWrap/>
              <w:overflowPunct/>
              <w:topLinePunct w:val="0"/>
              <w:bidi w:val="0"/>
              <w:spacing w:before="0" w:after="0" w:line="480" w:lineRule="exact"/>
              <w:ind w:firstLine="480" w:firstLineChars="200"/>
              <w:textAlignment w:val="auto"/>
              <w:rPr>
                <w:rFonts w:ascii="Times New Roman" w:hAnsi="Times New Roman"/>
                <w:b w:val="0"/>
                <w:bCs w:val="0"/>
                <w:color w:val="auto"/>
                <w:sz w:val="24"/>
                <w:szCs w:val="24"/>
                <w:highlight w:val="none"/>
              </w:rPr>
            </w:pPr>
            <w:r>
              <w:rPr>
                <w:rFonts w:ascii="Times New Roman" w:hAnsi="Times New Roman"/>
                <w:b w:val="0"/>
                <w:bCs w:val="0"/>
                <w:color w:val="auto"/>
                <w:sz w:val="24"/>
                <w:szCs w:val="24"/>
                <w:highlight w:val="none"/>
              </w:rPr>
              <w:t>（2）危险废物分析</w:t>
            </w:r>
          </w:p>
          <w:p w14:paraId="1FA13D88">
            <w:pPr>
              <w:pageBreakBefore w:val="0"/>
              <w:widowControl w:val="0"/>
              <w:kinsoku/>
              <w:wordWrap/>
              <w:overflowPunct/>
              <w:topLinePunct w:val="0"/>
              <w:bidi w:val="0"/>
              <w:spacing w:line="480" w:lineRule="exact"/>
              <w:ind w:left="420" w:leftChars="200"/>
              <w:textAlignment w:val="auto"/>
              <w:rPr>
                <w:b w:val="0"/>
                <w:bCs w:val="0"/>
                <w:color w:val="auto"/>
                <w:sz w:val="24"/>
                <w:highlight w:val="none"/>
              </w:rPr>
            </w:pPr>
            <w:r>
              <w:rPr>
                <w:b w:val="0"/>
                <w:bCs w:val="0"/>
                <w:color w:val="auto"/>
                <w:sz w:val="24"/>
                <w:highlight w:val="none"/>
              </w:rPr>
              <w:t>1）危险废物判定及汇总</w:t>
            </w:r>
          </w:p>
          <w:p w14:paraId="7D686F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eastAsia="宋体"/>
                <w:b w:val="0"/>
                <w:bCs w:val="0"/>
                <w:color w:val="auto"/>
                <w:w w:val="100"/>
                <w:sz w:val="24"/>
                <w:szCs w:val="24"/>
                <w:highlight w:val="none"/>
                <w:lang w:val="en-US" w:eastAsia="zh-CN"/>
              </w:rPr>
            </w:pPr>
            <w:r>
              <w:rPr>
                <w:rFonts w:hint="eastAsia"/>
                <w:color w:val="auto"/>
                <w:sz w:val="24"/>
                <w:szCs w:val="24"/>
                <w:highlight w:val="none"/>
                <w:lang w:eastAsia="zh-CN"/>
              </w:rPr>
              <w:t>危险废物贮存间，</w:t>
            </w:r>
            <w:r>
              <w:rPr>
                <w:color w:val="auto"/>
                <w:sz w:val="24"/>
                <w:szCs w:val="24"/>
                <w:highlight w:val="none"/>
              </w:rPr>
              <w:t>单层</w:t>
            </w:r>
            <w:r>
              <w:rPr>
                <w:rFonts w:hint="eastAsia"/>
                <w:color w:val="auto"/>
                <w:sz w:val="24"/>
                <w:szCs w:val="24"/>
                <w:highlight w:val="none"/>
                <w:lang w:eastAsia="zh-CN"/>
              </w:rPr>
              <w:t>建筑，采用钢</w:t>
            </w:r>
            <w:r>
              <w:rPr>
                <w:color w:val="auto"/>
                <w:sz w:val="24"/>
                <w:szCs w:val="24"/>
                <w:highlight w:val="none"/>
              </w:rPr>
              <w:t>结构</w:t>
            </w:r>
            <w:r>
              <w:rPr>
                <w:rFonts w:hint="eastAsia"/>
                <w:color w:val="auto"/>
                <w:sz w:val="24"/>
                <w:szCs w:val="24"/>
                <w:highlight w:val="none"/>
                <w:lang w:eastAsia="zh-CN"/>
              </w:rPr>
              <w:t>，建筑面积</w:t>
            </w:r>
            <w:r>
              <w:rPr>
                <w:rFonts w:hint="eastAsia"/>
                <w:color w:val="auto"/>
                <w:sz w:val="24"/>
                <w:szCs w:val="24"/>
                <w:highlight w:val="none"/>
                <w:lang w:val="en-US" w:eastAsia="zh-CN"/>
              </w:rPr>
              <w:t>15m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，采用分区防渗</w:t>
            </w:r>
            <w:r>
              <w:rPr>
                <w:rFonts w:hint="eastAsia"/>
                <w:color w:val="auto"/>
                <w:sz w:val="24"/>
                <w:szCs w:val="24"/>
                <w:highlight w:val="none"/>
                <w:lang w:eastAsia="zh-CN"/>
              </w:rPr>
              <w:t>，该区域渗透系数≤10</w:t>
            </w:r>
            <w:r>
              <w:rPr>
                <w:rFonts w:hint="eastAsia"/>
                <w:color w:val="auto"/>
                <w:sz w:val="24"/>
                <w:szCs w:val="24"/>
                <w:highlight w:val="none"/>
                <w:vertAlign w:val="superscript"/>
                <w:lang w:eastAsia="zh-CN"/>
              </w:rPr>
              <w:t>-10</w:t>
            </w:r>
            <w:r>
              <w:rPr>
                <w:rFonts w:hint="eastAsia"/>
                <w:color w:val="auto"/>
                <w:sz w:val="24"/>
                <w:szCs w:val="24"/>
                <w:highlight w:val="none"/>
                <w:lang w:eastAsia="zh-CN"/>
              </w:rPr>
              <w:t>cm/s</w:t>
            </w:r>
            <w:r>
              <w:rPr>
                <w:rFonts w:hint="eastAsia"/>
                <w:color w:val="auto"/>
                <w:sz w:val="24"/>
                <w:szCs w:val="24"/>
                <w:highlight w:val="none"/>
                <w:vertAlign w:val="baseline"/>
                <w:lang w:val="en-US" w:eastAsia="zh-CN"/>
              </w:rPr>
              <w:t>。</w:t>
            </w:r>
            <w:r>
              <w:rPr>
                <w:color w:val="auto"/>
                <w:sz w:val="24"/>
                <w:highlight w:val="none"/>
              </w:rPr>
              <w:t>由本项目工艺流程分析可知：在检修设备时，会产生</w:t>
            </w:r>
            <w:r>
              <w:rPr>
                <w:rFonts w:hint="eastAsia"/>
                <w:color w:val="auto"/>
                <w:sz w:val="24"/>
                <w:highlight w:val="none"/>
                <w:lang w:eastAsia="zh-CN"/>
              </w:rPr>
              <w:t>废润滑油、废油桶、铁质废油桶、废光氧催化光管</w:t>
            </w:r>
            <w:r>
              <w:rPr>
                <w:color w:val="auto"/>
                <w:sz w:val="24"/>
                <w:highlight w:val="none"/>
              </w:rPr>
              <w:t>，属于危险废物，处理不当会对周围环境产生影响，</w:t>
            </w:r>
            <w:r>
              <w:rPr>
                <w:rFonts w:hint="eastAsia"/>
                <w:color w:val="auto"/>
                <w:sz w:val="24"/>
                <w:highlight w:val="none"/>
                <w:lang w:eastAsia="zh-CN"/>
              </w:rPr>
              <w:t>废润滑油、废油桶、铁质废油桶、废光氧催化光管</w:t>
            </w:r>
            <w:r>
              <w:rPr>
                <w:color w:val="auto"/>
                <w:sz w:val="24"/>
                <w:highlight w:val="none"/>
              </w:rPr>
              <w:t>集中收集放置于危险废物贮存间内，由有资质的危废单位定期处理，经计算共产生废</w:t>
            </w:r>
            <w:r>
              <w:rPr>
                <w:rFonts w:hint="eastAsia"/>
                <w:color w:val="auto"/>
                <w:sz w:val="24"/>
                <w:highlight w:val="none"/>
                <w:lang w:eastAsia="zh-CN"/>
              </w:rPr>
              <w:t>润滑</w:t>
            </w:r>
            <w:r>
              <w:rPr>
                <w:color w:val="auto"/>
                <w:sz w:val="24"/>
                <w:highlight w:val="none"/>
              </w:rPr>
              <w:t>油0.</w:t>
            </w:r>
            <w:r>
              <w:rPr>
                <w:rFonts w:hint="eastAsia"/>
                <w:color w:val="auto"/>
                <w:sz w:val="24"/>
                <w:highlight w:val="none"/>
                <w:lang w:val="en-US" w:eastAsia="zh-CN"/>
              </w:rPr>
              <w:t>1</w:t>
            </w:r>
            <w:r>
              <w:rPr>
                <w:color w:val="auto"/>
                <w:sz w:val="24"/>
                <w:highlight w:val="none"/>
              </w:rPr>
              <w:t>t/a，废油桶0.0</w:t>
            </w:r>
            <w:r>
              <w:rPr>
                <w:rFonts w:hint="eastAsia"/>
                <w:color w:val="auto"/>
                <w:sz w:val="24"/>
                <w:highlight w:val="none"/>
                <w:lang w:val="en-US" w:eastAsia="zh-CN"/>
              </w:rPr>
              <w:t>01</w:t>
            </w:r>
            <w:r>
              <w:rPr>
                <w:color w:val="auto"/>
                <w:sz w:val="24"/>
                <w:highlight w:val="none"/>
              </w:rPr>
              <w:t>t/a</w:t>
            </w:r>
            <w:r>
              <w:rPr>
                <w:rFonts w:hint="eastAsia"/>
                <w:color w:val="auto"/>
                <w:sz w:val="24"/>
                <w:highlight w:val="none"/>
                <w:lang w:eastAsia="zh-CN"/>
              </w:rPr>
              <w:t>、铁质废油桶</w:t>
            </w:r>
            <w:r>
              <w:rPr>
                <w:rFonts w:hint="eastAsia"/>
                <w:color w:val="auto"/>
                <w:sz w:val="24"/>
                <w:highlight w:val="none"/>
                <w:lang w:val="en-US" w:eastAsia="zh-CN"/>
              </w:rPr>
              <w:t>0.005t/a、废光氧催化光管0.001t/a。</w:t>
            </w:r>
          </w:p>
          <w:p w14:paraId="6AB6B504">
            <w:pPr>
              <w:pStyle w:val="23"/>
              <w:keepNext w:val="0"/>
              <w:keepLines w:val="0"/>
              <w:pageBreakBefore w:val="0"/>
              <w:widowControl w:val="0"/>
              <w:kinsoku/>
              <w:wordWrap/>
              <w:overflowPunct/>
              <w:topLinePunct w:val="0"/>
              <w:autoSpaceDE/>
              <w:autoSpaceDN/>
              <w:bidi w:val="0"/>
              <w:adjustRightInd/>
              <w:snapToGrid/>
              <w:spacing w:line="480" w:lineRule="exact"/>
              <w:ind w:left="420"/>
              <w:textAlignment w:val="auto"/>
              <w:rPr>
                <w:b w:val="0"/>
                <w:bCs w:val="0"/>
                <w:color w:val="auto"/>
                <w:w w:val="100"/>
                <w:sz w:val="24"/>
                <w:szCs w:val="24"/>
                <w:highlight w:val="none"/>
              </w:rPr>
            </w:pPr>
            <w:r>
              <w:rPr>
                <w:rFonts w:hint="default" w:ascii="Times New Roman" w:hAnsi="Times New Roman" w:eastAsia="宋体" w:cs="Times New Roman"/>
                <w:b w:val="0"/>
                <w:bCs w:val="0"/>
                <w:color w:val="auto"/>
                <w:w w:val="100"/>
                <w:sz w:val="24"/>
                <w:szCs w:val="24"/>
                <w:highlight w:val="none"/>
              </w:rPr>
              <w:t>表4-</w:t>
            </w:r>
            <w:r>
              <w:rPr>
                <w:rFonts w:hint="default" w:ascii="Times New Roman" w:hAnsi="Times New Roman" w:eastAsia="宋体" w:cs="Times New Roman"/>
                <w:b w:val="0"/>
                <w:bCs w:val="0"/>
                <w:color w:val="auto"/>
                <w:w w:val="100"/>
                <w:sz w:val="24"/>
                <w:szCs w:val="24"/>
                <w:highlight w:val="none"/>
                <w:lang w:val="en-US" w:eastAsia="zh-CN"/>
              </w:rPr>
              <w:t>17</w:t>
            </w:r>
            <w:r>
              <w:rPr>
                <w:rFonts w:hint="default" w:ascii="Times New Roman" w:hAnsi="Times New Roman" w:eastAsia="宋体" w:cs="Times New Roman"/>
                <w:b w:val="0"/>
                <w:bCs w:val="0"/>
                <w:color w:val="auto"/>
                <w:w w:val="100"/>
                <w:sz w:val="24"/>
                <w:szCs w:val="24"/>
                <w:highlight w:val="none"/>
              </w:rPr>
              <w:t xml:space="preserve"> 危险废物汇总表</w:t>
            </w:r>
          </w:p>
          <w:tbl>
            <w:tblPr>
              <w:tblStyle w:val="41"/>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1"/>
              <w:gridCol w:w="496"/>
              <w:gridCol w:w="1337"/>
              <w:gridCol w:w="745"/>
              <w:gridCol w:w="582"/>
              <w:gridCol w:w="518"/>
              <w:gridCol w:w="544"/>
              <w:gridCol w:w="1087"/>
              <w:gridCol w:w="707"/>
              <w:gridCol w:w="545"/>
              <w:gridCol w:w="504"/>
              <w:gridCol w:w="504"/>
            </w:tblGrid>
            <w:tr w14:paraId="12B5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263" w:type="pct"/>
                  <w:vMerge w:val="restart"/>
                  <w:noWrap w:val="0"/>
                  <w:vAlign w:val="center"/>
                </w:tcPr>
                <w:p w14:paraId="59613625">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序号</w:t>
                  </w:r>
                </w:p>
              </w:tc>
              <w:tc>
                <w:tcPr>
                  <w:tcW w:w="310" w:type="pct"/>
                  <w:vMerge w:val="restart"/>
                  <w:noWrap w:val="0"/>
                  <w:vAlign w:val="center"/>
                </w:tcPr>
                <w:p w14:paraId="727D74B4">
                  <w:pPr>
                    <w:pStyle w:val="40"/>
                    <w:shd w:val="clear" w:color="auto" w:fill="auto"/>
                    <w:spacing w:before="0" w:line="280" w:lineRule="exact"/>
                    <w:ind w:left="0" w:right="13"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贮存场所名</w:t>
                  </w:r>
                  <w:r>
                    <w:rPr>
                      <w:rFonts w:hint="default" w:ascii="Times New Roman" w:hAnsi="Times New Roman" w:eastAsia="宋体" w:cs="Times New Roman"/>
                      <w:color w:val="auto"/>
                      <w:sz w:val="21"/>
                      <w:szCs w:val="21"/>
                      <w:highlight w:val="none"/>
                    </w:rPr>
                    <w:t>称</w:t>
                  </w:r>
                </w:p>
              </w:tc>
              <w:tc>
                <w:tcPr>
                  <w:tcW w:w="836" w:type="pct"/>
                  <w:vMerge w:val="restart"/>
                  <w:noWrap w:val="0"/>
                  <w:vAlign w:val="center"/>
                </w:tcPr>
                <w:p w14:paraId="51A0D2D6">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危废名称</w:t>
                  </w:r>
                </w:p>
              </w:tc>
              <w:tc>
                <w:tcPr>
                  <w:tcW w:w="466" w:type="pct"/>
                  <w:vMerge w:val="restart"/>
                  <w:noWrap w:val="0"/>
                  <w:vAlign w:val="center"/>
                </w:tcPr>
                <w:p w14:paraId="021A204F">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危废</w:t>
                  </w:r>
                </w:p>
                <w:p w14:paraId="3E08BE3A">
                  <w:pPr>
                    <w:pStyle w:val="40"/>
                    <w:shd w:val="clear" w:color="auto" w:fill="auto"/>
                    <w:spacing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类别</w:t>
                  </w:r>
                </w:p>
              </w:tc>
              <w:tc>
                <w:tcPr>
                  <w:tcW w:w="1028" w:type="pct"/>
                  <w:gridSpan w:val="3"/>
                  <w:noWrap w:val="0"/>
                  <w:vAlign w:val="center"/>
                </w:tcPr>
                <w:p w14:paraId="782E64E9">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产生量</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t</w:t>
                  </w:r>
                  <w:r>
                    <w:rPr>
                      <w:rFonts w:hint="default" w:ascii="Times New Roman" w:hAnsi="Times New Roman" w:eastAsia="宋体" w:cs="Times New Roman"/>
                      <w:color w:val="auto"/>
                      <w:spacing w:val="0"/>
                      <w:sz w:val="21"/>
                      <w:szCs w:val="21"/>
                      <w:highlight w:val="none"/>
                      <w:lang w:eastAsia="zh-CN"/>
                    </w:rPr>
                    <w:t>）</w:t>
                  </w:r>
                </w:p>
              </w:tc>
              <w:tc>
                <w:tcPr>
                  <w:tcW w:w="680" w:type="pct"/>
                  <w:vMerge w:val="restart"/>
                  <w:noWrap w:val="0"/>
                  <w:vAlign w:val="center"/>
                </w:tcPr>
                <w:p w14:paraId="5E70D545">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危废代码</w:t>
                  </w:r>
                </w:p>
              </w:tc>
              <w:tc>
                <w:tcPr>
                  <w:tcW w:w="442" w:type="pct"/>
                  <w:vMerge w:val="restart"/>
                  <w:noWrap w:val="0"/>
                  <w:vAlign w:val="center"/>
                </w:tcPr>
                <w:p w14:paraId="061DC306">
                  <w:pPr>
                    <w:pStyle w:val="40"/>
                    <w:shd w:val="clear" w:color="auto" w:fill="auto"/>
                    <w:spacing w:before="0" w:line="280" w:lineRule="exact"/>
                    <w:ind w:left="0" w:right="44"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占地面积（</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2</w:t>
                  </w:r>
                  <w:r>
                    <w:rPr>
                      <w:rFonts w:hint="default" w:ascii="Times New Roman" w:hAnsi="Times New Roman" w:eastAsia="宋体" w:cs="Times New Roman"/>
                      <w:color w:val="auto"/>
                      <w:spacing w:val="0"/>
                      <w:sz w:val="21"/>
                      <w:szCs w:val="21"/>
                      <w:highlight w:val="none"/>
                    </w:rPr>
                    <w:t>）</w:t>
                  </w:r>
                </w:p>
              </w:tc>
              <w:tc>
                <w:tcPr>
                  <w:tcW w:w="341" w:type="pct"/>
                  <w:vMerge w:val="restart"/>
                  <w:noWrap w:val="0"/>
                  <w:vAlign w:val="center"/>
                </w:tcPr>
                <w:p w14:paraId="7D41BACF">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位置</w:t>
                  </w:r>
                </w:p>
              </w:tc>
              <w:tc>
                <w:tcPr>
                  <w:tcW w:w="315" w:type="pct"/>
                  <w:vMerge w:val="restart"/>
                  <w:noWrap w:val="0"/>
                  <w:vAlign w:val="center"/>
                </w:tcPr>
                <w:p w14:paraId="18928215">
                  <w:pPr>
                    <w:pStyle w:val="40"/>
                    <w:shd w:val="clear" w:color="auto" w:fill="auto"/>
                    <w:spacing w:before="0" w:line="280" w:lineRule="exact"/>
                    <w:ind w:left="0" w:right="78"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贮存方</w:t>
                  </w:r>
                  <w:r>
                    <w:rPr>
                      <w:rFonts w:hint="default" w:ascii="Times New Roman" w:hAnsi="Times New Roman" w:eastAsia="宋体" w:cs="Times New Roman"/>
                      <w:color w:val="auto"/>
                      <w:sz w:val="21"/>
                      <w:szCs w:val="21"/>
                      <w:highlight w:val="none"/>
                    </w:rPr>
                    <w:t>式</w:t>
                  </w:r>
                </w:p>
              </w:tc>
              <w:tc>
                <w:tcPr>
                  <w:tcW w:w="315" w:type="pct"/>
                  <w:vMerge w:val="restart"/>
                  <w:noWrap w:val="0"/>
                  <w:vAlign w:val="center"/>
                </w:tcPr>
                <w:p w14:paraId="7FCD25FC">
                  <w:pPr>
                    <w:pStyle w:val="40"/>
                    <w:shd w:val="clear" w:color="auto" w:fill="auto"/>
                    <w:spacing w:before="0" w:line="280" w:lineRule="exact"/>
                    <w:ind w:left="0" w:right="66"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贮存周</w:t>
                  </w:r>
                  <w:r>
                    <w:rPr>
                      <w:rFonts w:hint="default" w:ascii="Times New Roman" w:hAnsi="Times New Roman" w:eastAsia="宋体" w:cs="Times New Roman"/>
                      <w:color w:val="auto"/>
                      <w:sz w:val="21"/>
                      <w:szCs w:val="21"/>
                      <w:highlight w:val="none"/>
                    </w:rPr>
                    <w:t>期</w:t>
                  </w:r>
                </w:p>
              </w:tc>
            </w:tr>
            <w:tr w14:paraId="02C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63" w:type="pct"/>
                  <w:vMerge w:val="continue"/>
                  <w:noWrap w:val="0"/>
                  <w:vAlign w:val="center"/>
                </w:tcPr>
                <w:p w14:paraId="10140430">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10" w:type="pct"/>
                  <w:vMerge w:val="continue"/>
                  <w:noWrap w:val="0"/>
                  <w:vAlign w:val="center"/>
                </w:tcPr>
                <w:p w14:paraId="636F1E68">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836" w:type="pct"/>
                  <w:vMerge w:val="continue"/>
                  <w:noWrap w:val="0"/>
                  <w:vAlign w:val="center"/>
                </w:tcPr>
                <w:p w14:paraId="696D3A27">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466" w:type="pct"/>
                  <w:vMerge w:val="continue"/>
                  <w:noWrap w:val="0"/>
                  <w:vAlign w:val="center"/>
                </w:tcPr>
                <w:p w14:paraId="7B2B4D31">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64" w:type="pct"/>
                  <w:noWrap w:val="0"/>
                  <w:vAlign w:val="center"/>
                </w:tcPr>
                <w:p w14:paraId="5AAACA60">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p>
              </w:tc>
              <w:tc>
                <w:tcPr>
                  <w:tcW w:w="324" w:type="pct"/>
                  <w:noWrap w:val="0"/>
                  <w:vAlign w:val="center"/>
                </w:tcPr>
                <w:p w14:paraId="32177A12">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现有项目</w:t>
                  </w:r>
                </w:p>
              </w:tc>
              <w:tc>
                <w:tcPr>
                  <w:tcW w:w="340" w:type="pct"/>
                  <w:noWrap w:val="0"/>
                  <w:vAlign w:val="center"/>
                </w:tcPr>
                <w:p w14:paraId="3C8A39DA">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全厂</w:t>
                  </w:r>
                </w:p>
              </w:tc>
              <w:tc>
                <w:tcPr>
                  <w:tcW w:w="680" w:type="pct"/>
                  <w:vMerge w:val="continue"/>
                  <w:noWrap w:val="0"/>
                  <w:vAlign w:val="center"/>
                </w:tcPr>
                <w:p w14:paraId="4EFE3553">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442" w:type="pct"/>
                  <w:vMerge w:val="continue"/>
                  <w:noWrap w:val="0"/>
                  <w:vAlign w:val="center"/>
                </w:tcPr>
                <w:p w14:paraId="2F8A2DD7">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41" w:type="pct"/>
                  <w:vMerge w:val="continue"/>
                  <w:noWrap w:val="0"/>
                  <w:vAlign w:val="center"/>
                </w:tcPr>
                <w:p w14:paraId="176464BC">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15" w:type="pct"/>
                  <w:vMerge w:val="continue"/>
                  <w:noWrap w:val="0"/>
                  <w:vAlign w:val="center"/>
                </w:tcPr>
                <w:p w14:paraId="4D6F897E">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15" w:type="pct"/>
                  <w:vMerge w:val="continue"/>
                  <w:noWrap w:val="0"/>
                  <w:vAlign w:val="center"/>
                </w:tcPr>
                <w:p w14:paraId="7A5C99D5">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r>
            <w:tr w14:paraId="63FC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63" w:type="pct"/>
                  <w:noWrap w:val="0"/>
                  <w:vAlign w:val="center"/>
                </w:tcPr>
                <w:p w14:paraId="0FCE5AE5">
                  <w:pPr>
                    <w:pStyle w:val="40"/>
                    <w:shd w:val="clear" w:color="auto" w:fill="auto"/>
                    <w:spacing w:before="0" w:line="280" w:lineRule="exact"/>
                    <w:ind w:lef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310" w:type="pct"/>
                  <w:vMerge w:val="restart"/>
                  <w:noWrap w:val="0"/>
                  <w:vAlign w:val="center"/>
                </w:tcPr>
                <w:p w14:paraId="750E030A">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危废间</w:t>
                  </w:r>
                </w:p>
              </w:tc>
              <w:tc>
                <w:tcPr>
                  <w:tcW w:w="836" w:type="pct"/>
                  <w:noWrap w:val="0"/>
                  <w:vAlign w:val="center"/>
                </w:tcPr>
                <w:p w14:paraId="16AC1857">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eastAsia"/>
                      <w:color w:val="auto"/>
                      <w:sz w:val="21"/>
                      <w:szCs w:val="21"/>
                      <w:highlight w:val="none"/>
                      <w:lang w:eastAsia="zh-CN"/>
                    </w:rPr>
                    <w:t>废吸附活性炭</w:t>
                  </w:r>
                </w:p>
              </w:tc>
              <w:tc>
                <w:tcPr>
                  <w:tcW w:w="466" w:type="pct"/>
                  <w:noWrap w:val="0"/>
                  <w:vAlign w:val="center"/>
                </w:tcPr>
                <w:p w14:paraId="1EDE6832">
                  <w:pPr>
                    <w:pStyle w:val="39"/>
                    <w:ind w:left="94" w:right="81"/>
                    <w:jc w:val="center"/>
                    <w:rPr>
                      <w:rFonts w:hint="default" w:ascii="Times New Roman" w:hAnsi="Times New Roman" w:eastAsia="宋体" w:cs="Times New Roman"/>
                      <w:color w:val="auto"/>
                      <w:spacing w:val="0"/>
                      <w:sz w:val="21"/>
                      <w:szCs w:val="21"/>
                      <w:highlight w:val="none"/>
                    </w:rPr>
                  </w:pPr>
                  <w:r>
                    <w:rPr>
                      <w:rFonts w:ascii="Times New Roman"/>
                      <w:color w:val="auto"/>
                      <w:sz w:val="21"/>
                      <w:highlight w:val="none"/>
                    </w:rPr>
                    <w:t>HW49</w:t>
                  </w:r>
                </w:p>
              </w:tc>
              <w:tc>
                <w:tcPr>
                  <w:tcW w:w="364" w:type="pct"/>
                  <w:noWrap w:val="0"/>
                  <w:vAlign w:val="center"/>
                </w:tcPr>
                <w:p w14:paraId="245C52CC">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0</w:t>
                  </w:r>
                </w:p>
              </w:tc>
              <w:tc>
                <w:tcPr>
                  <w:tcW w:w="324" w:type="pct"/>
                  <w:noWrap w:val="0"/>
                  <w:vAlign w:val="center"/>
                </w:tcPr>
                <w:p w14:paraId="228FFA4C">
                  <w:pPr>
                    <w:pStyle w:val="40"/>
                    <w:shd w:val="clear" w:color="auto" w:fill="auto"/>
                    <w:spacing w:before="0" w:line="280" w:lineRule="exact"/>
                    <w:ind w:left="0" w:leftChars="0" w:firstLine="0" w:firstLineChars="0"/>
                    <w:jc w:val="center"/>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ascii="Times New Roman" w:hAnsi="Times New Roman" w:cs="Times New Roman"/>
                      <w:color w:val="auto"/>
                      <w:kern w:val="2"/>
                      <w:sz w:val="21"/>
                      <w:szCs w:val="21"/>
                      <w:highlight w:val="none"/>
                      <w:u w:val="none"/>
                      <w:shd w:val="clear" w:color="auto" w:fill="auto"/>
                      <w:lang w:val="en-US" w:eastAsia="zh-CN" w:bidi="zh-TW"/>
                    </w:rPr>
                    <w:t>1.44</w:t>
                  </w:r>
                </w:p>
              </w:tc>
              <w:tc>
                <w:tcPr>
                  <w:tcW w:w="340" w:type="pct"/>
                  <w:noWrap w:val="0"/>
                  <w:vAlign w:val="center"/>
                </w:tcPr>
                <w:p w14:paraId="32ADE8AC">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1.44</w:t>
                  </w:r>
                </w:p>
              </w:tc>
              <w:tc>
                <w:tcPr>
                  <w:tcW w:w="680" w:type="pct"/>
                  <w:noWrap w:val="0"/>
                  <w:vAlign w:val="center"/>
                </w:tcPr>
                <w:p w14:paraId="2A22DC42">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eastAsia" w:ascii="Times New Roman"/>
                      <w:color w:val="auto"/>
                      <w:sz w:val="21"/>
                      <w:highlight w:val="none"/>
                    </w:rPr>
                    <w:t>900-041-49</w:t>
                  </w:r>
                </w:p>
              </w:tc>
              <w:tc>
                <w:tcPr>
                  <w:tcW w:w="442" w:type="pct"/>
                  <w:vMerge w:val="restart"/>
                  <w:noWrap w:val="0"/>
                  <w:vAlign w:val="center"/>
                </w:tcPr>
                <w:p w14:paraId="2C881DF0">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341" w:type="pct"/>
                  <w:vMerge w:val="restart"/>
                  <w:noWrap w:val="0"/>
                  <w:vAlign w:val="center"/>
                </w:tcPr>
                <w:p w14:paraId="051ACFB0">
                  <w:pPr>
                    <w:pStyle w:val="40"/>
                    <w:shd w:val="clear" w:color="auto" w:fill="auto"/>
                    <w:spacing w:before="0" w:line="280" w:lineRule="exact"/>
                    <w:ind w:left="0" w:right="68"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铸造车间西侧</w:t>
                  </w:r>
                </w:p>
              </w:tc>
              <w:tc>
                <w:tcPr>
                  <w:tcW w:w="315" w:type="pct"/>
                  <w:vMerge w:val="restart"/>
                  <w:noWrap w:val="0"/>
                  <w:vAlign w:val="center"/>
                </w:tcPr>
                <w:p w14:paraId="5CCD6308">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桶装</w:t>
                  </w:r>
                </w:p>
              </w:tc>
              <w:tc>
                <w:tcPr>
                  <w:tcW w:w="315" w:type="pct"/>
                  <w:vMerge w:val="restart"/>
                  <w:noWrap w:val="0"/>
                  <w:vAlign w:val="center"/>
                </w:tcPr>
                <w:p w14:paraId="046C3A0C">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一年</w:t>
                  </w:r>
                </w:p>
              </w:tc>
            </w:tr>
            <w:tr w14:paraId="362D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63" w:type="pct"/>
                  <w:noWrap w:val="0"/>
                  <w:vAlign w:val="center"/>
                </w:tcPr>
                <w:p w14:paraId="65BD9E0D">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310" w:type="pct"/>
                  <w:vMerge w:val="continue"/>
                  <w:noWrap w:val="0"/>
                  <w:vAlign w:val="center"/>
                </w:tcPr>
                <w:p w14:paraId="19905D67">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p>
              </w:tc>
              <w:tc>
                <w:tcPr>
                  <w:tcW w:w="836" w:type="pct"/>
                  <w:noWrap w:val="0"/>
                  <w:vAlign w:val="center"/>
                </w:tcPr>
                <w:p w14:paraId="1DF2CEC2">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废润滑油</w:t>
                  </w:r>
                </w:p>
              </w:tc>
              <w:tc>
                <w:tcPr>
                  <w:tcW w:w="466" w:type="pct"/>
                  <w:noWrap w:val="0"/>
                  <w:vAlign w:val="center"/>
                </w:tcPr>
                <w:p w14:paraId="338ED729">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HW08</w:t>
                  </w:r>
                </w:p>
              </w:tc>
              <w:tc>
                <w:tcPr>
                  <w:tcW w:w="364" w:type="pct"/>
                  <w:noWrap w:val="0"/>
                  <w:vAlign w:val="center"/>
                </w:tcPr>
                <w:p w14:paraId="53EF1AB4">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p>
              </w:tc>
              <w:tc>
                <w:tcPr>
                  <w:tcW w:w="324" w:type="pct"/>
                  <w:noWrap w:val="0"/>
                  <w:vAlign w:val="center"/>
                </w:tcPr>
                <w:p w14:paraId="7179C357">
                  <w:pPr>
                    <w:pStyle w:val="40"/>
                    <w:shd w:val="clear" w:color="auto" w:fill="auto"/>
                    <w:spacing w:before="0" w:line="280" w:lineRule="exact"/>
                    <w:ind w:left="0" w:leftChars="0" w:firstLine="0" w:firstLineChars="0"/>
                    <w:jc w:val="center"/>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ascii="Times New Roman" w:hAnsi="Times New Roman" w:cs="Times New Roman"/>
                      <w:color w:val="auto"/>
                      <w:kern w:val="2"/>
                      <w:sz w:val="21"/>
                      <w:szCs w:val="21"/>
                      <w:highlight w:val="none"/>
                      <w:u w:val="none"/>
                      <w:shd w:val="clear" w:color="auto" w:fill="auto"/>
                      <w:lang w:val="en-US" w:eastAsia="zh-CN" w:bidi="zh-TW"/>
                    </w:rPr>
                    <w:t>0.5</w:t>
                  </w:r>
                </w:p>
              </w:tc>
              <w:tc>
                <w:tcPr>
                  <w:tcW w:w="340" w:type="pct"/>
                  <w:noWrap w:val="0"/>
                  <w:vAlign w:val="center"/>
                </w:tcPr>
                <w:p w14:paraId="33B01535">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0.6</w:t>
                  </w:r>
                </w:p>
              </w:tc>
              <w:tc>
                <w:tcPr>
                  <w:tcW w:w="680" w:type="pct"/>
                  <w:noWrap w:val="0"/>
                  <w:vAlign w:val="center"/>
                </w:tcPr>
                <w:p w14:paraId="154CFB30">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900-217-08</w:t>
                  </w:r>
                </w:p>
              </w:tc>
              <w:tc>
                <w:tcPr>
                  <w:tcW w:w="442" w:type="pct"/>
                  <w:vMerge w:val="continue"/>
                  <w:noWrap w:val="0"/>
                  <w:vAlign w:val="center"/>
                </w:tcPr>
                <w:p w14:paraId="40B4817C">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p>
              </w:tc>
              <w:tc>
                <w:tcPr>
                  <w:tcW w:w="341" w:type="pct"/>
                  <w:vMerge w:val="continue"/>
                  <w:noWrap w:val="0"/>
                  <w:vAlign w:val="center"/>
                </w:tcPr>
                <w:p w14:paraId="4E1B15B2">
                  <w:pPr>
                    <w:pStyle w:val="40"/>
                    <w:shd w:val="clear" w:color="auto" w:fill="auto"/>
                    <w:spacing w:before="0" w:line="280" w:lineRule="exact"/>
                    <w:ind w:left="0" w:right="68" w:firstLine="0" w:firstLineChars="0"/>
                    <w:jc w:val="center"/>
                    <w:rPr>
                      <w:rFonts w:hint="default" w:ascii="Times New Roman" w:hAnsi="Times New Roman" w:eastAsia="宋体" w:cs="Times New Roman"/>
                      <w:color w:val="auto"/>
                      <w:sz w:val="21"/>
                      <w:szCs w:val="21"/>
                      <w:highlight w:val="none"/>
                    </w:rPr>
                  </w:pPr>
                </w:p>
              </w:tc>
              <w:tc>
                <w:tcPr>
                  <w:tcW w:w="315" w:type="pct"/>
                  <w:vMerge w:val="continue"/>
                  <w:noWrap w:val="0"/>
                  <w:vAlign w:val="center"/>
                </w:tcPr>
                <w:p w14:paraId="2FC54E31">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p>
              </w:tc>
              <w:tc>
                <w:tcPr>
                  <w:tcW w:w="315" w:type="pct"/>
                  <w:vMerge w:val="continue"/>
                  <w:noWrap w:val="0"/>
                  <w:vAlign w:val="center"/>
                </w:tcPr>
                <w:p w14:paraId="03CC784E">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eastAsia="zh-CN"/>
                    </w:rPr>
                  </w:pPr>
                </w:p>
              </w:tc>
            </w:tr>
            <w:tr w14:paraId="2FF2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263" w:type="pct"/>
                  <w:noWrap w:val="0"/>
                  <w:vAlign w:val="center"/>
                </w:tcPr>
                <w:p w14:paraId="5890C17A">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310" w:type="pct"/>
                  <w:vMerge w:val="continue"/>
                  <w:noWrap w:val="0"/>
                  <w:vAlign w:val="center"/>
                </w:tcPr>
                <w:p w14:paraId="5B265751">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836" w:type="pct"/>
                  <w:noWrap w:val="0"/>
                  <w:vAlign w:val="center"/>
                </w:tcPr>
                <w:p w14:paraId="09630DD0">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废油桶</w:t>
                  </w:r>
                </w:p>
              </w:tc>
              <w:tc>
                <w:tcPr>
                  <w:tcW w:w="466" w:type="pct"/>
                  <w:noWrap w:val="0"/>
                  <w:vAlign w:val="center"/>
                </w:tcPr>
                <w:p w14:paraId="4D2692E1">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HW49</w:t>
                  </w:r>
                </w:p>
              </w:tc>
              <w:tc>
                <w:tcPr>
                  <w:tcW w:w="364" w:type="pct"/>
                  <w:noWrap w:val="0"/>
                  <w:vAlign w:val="center"/>
                </w:tcPr>
                <w:p w14:paraId="37E7508A">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324" w:type="pct"/>
                  <w:noWrap w:val="0"/>
                  <w:vAlign w:val="center"/>
                </w:tcPr>
                <w:p w14:paraId="45A2BAD0">
                  <w:pPr>
                    <w:pStyle w:val="40"/>
                    <w:shd w:val="clear" w:color="auto" w:fill="auto"/>
                    <w:spacing w:before="0" w:line="280" w:lineRule="exact"/>
                    <w:ind w:left="0" w:leftChars="0" w:firstLine="0" w:firstLineChars="0"/>
                    <w:jc w:val="center"/>
                    <w:rPr>
                      <w:rFonts w:hint="default" w:ascii="Times New Roman" w:hAnsi="Times New Roman" w:eastAsia="宋体" w:cs="Times New Roman"/>
                      <w:color w:val="auto"/>
                      <w:kern w:val="2"/>
                      <w:sz w:val="21"/>
                      <w:szCs w:val="21"/>
                      <w:highlight w:val="none"/>
                      <w:u w:val="none"/>
                      <w:shd w:val="clear" w:color="auto" w:fill="auto"/>
                      <w:lang w:val="en-US" w:eastAsia="zh-CN" w:bidi="zh-TW"/>
                    </w:rPr>
                  </w:pPr>
                  <w:r>
                    <w:rPr>
                      <w:rFonts w:hint="eastAsia" w:ascii="Times New Roman" w:hAnsi="Times New Roman" w:cs="Times New Roman"/>
                      <w:color w:val="auto"/>
                      <w:kern w:val="2"/>
                      <w:sz w:val="21"/>
                      <w:szCs w:val="21"/>
                      <w:highlight w:val="none"/>
                      <w:u w:val="none"/>
                      <w:shd w:val="clear" w:color="auto" w:fill="auto"/>
                      <w:lang w:val="en-US" w:eastAsia="zh-CN" w:bidi="zh-TW"/>
                    </w:rPr>
                    <w:t>0.03</w:t>
                  </w:r>
                </w:p>
              </w:tc>
              <w:tc>
                <w:tcPr>
                  <w:tcW w:w="340" w:type="pct"/>
                  <w:noWrap w:val="0"/>
                  <w:vAlign w:val="center"/>
                </w:tcPr>
                <w:p w14:paraId="56F53121">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w:t>
                  </w:r>
                  <w:r>
                    <w:rPr>
                      <w:rFonts w:hint="eastAsia" w:ascii="Times New Roman" w:hAnsi="Times New Roman" w:cs="Times New Roman"/>
                      <w:color w:val="auto"/>
                      <w:spacing w:val="0"/>
                      <w:sz w:val="21"/>
                      <w:szCs w:val="21"/>
                      <w:highlight w:val="none"/>
                      <w:lang w:val="en-US" w:eastAsia="zh-CN"/>
                    </w:rPr>
                    <w:t>031</w:t>
                  </w:r>
                </w:p>
              </w:tc>
              <w:tc>
                <w:tcPr>
                  <w:tcW w:w="680" w:type="pct"/>
                  <w:noWrap w:val="0"/>
                  <w:vAlign w:val="center"/>
                </w:tcPr>
                <w:p w14:paraId="321291C6">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900-249-08</w:t>
                  </w:r>
                </w:p>
              </w:tc>
              <w:tc>
                <w:tcPr>
                  <w:tcW w:w="442" w:type="pct"/>
                  <w:vMerge w:val="continue"/>
                  <w:noWrap w:val="0"/>
                  <w:vAlign w:val="center"/>
                </w:tcPr>
                <w:p w14:paraId="5AAC0EC1">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41" w:type="pct"/>
                  <w:vMerge w:val="continue"/>
                  <w:noWrap w:val="0"/>
                  <w:vAlign w:val="center"/>
                </w:tcPr>
                <w:p w14:paraId="37974874">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15" w:type="pct"/>
                  <w:noWrap w:val="0"/>
                  <w:vAlign w:val="center"/>
                </w:tcPr>
                <w:p w14:paraId="252ED599">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5" w:type="pct"/>
                  <w:vMerge w:val="continue"/>
                  <w:noWrap w:val="0"/>
                  <w:vAlign w:val="center"/>
                </w:tcPr>
                <w:p w14:paraId="00EC2D0D">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eastAsia="zh-CN"/>
                    </w:rPr>
                  </w:pPr>
                </w:p>
              </w:tc>
            </w:tr>
            <w:tr w14:paraId="3385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63" w:type="pct"/>
                  <w:noWrap w:val="0"/>
                  <w:vAlign w:val="center"/>
                </w:tcPr>
                <w:p w14:paraId="11742D2A">
                  <w:pPr>
                    <w:pStyle w:val="40"/>
                    <w:shd w:val="clear" w:color="auto" w:fill="auto"/>
                    <w:spacing w:before="0" w:line="280" w:lineRule="exact"/>
                    <w:ind w:lef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310" w:type="pct"/>
                  <w:vMerge w:val="continue"/>
                  <w:noWrap w:val="0"/>
                  <w:vAlign w:val="center"/>
                </w:tcPr>
                <w:p w14:paraId="280914B2">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836" w:type="pct"/>
                  <w:noWrap w:val="0"/>
                  <w:vAlign w:val="center"/>
                </w:tcPr>
                <w:p w14:paraId="6C939392">
                  <w:pPr>
                    <w:pStyle w:val="40"/>
                    <w:shd w:val="clear" w:color="auto" w:fill="auto"/>
                    <w:spacing w:before="0" w:line="280" w:lineRule="exact"/>
                    <w:ind w:left="0" w:firstLine="0" w:firstLineChars="0"/>
                    <w:jc w:val="center"/>
                    <w:rPr>
                      <w:rFonts w:hint="eastAsia" w:ascii="宋体" w:hAnsi="宋体" w:eastAsia="宋体" w:cs="宋体"/>
                      <w:color w:val="auto"/>
                      <w:spacing w:val="0"/>
                      <w:sz w:val="18"/>
                      <w:szCs w:val="18"/>
                      <w:highlight w:val="none"/>
                    </w:rPr>
                  </w:pPr>
                  <w:r>
                    <w:rPr>
                      <w:rFonts w:hint="eastAsia" w:ascii="宋体" w:hAnsi="宋体" w:eastAsia="宋体" w:cs="宋体"/>
                      <w:color w:val="auto"/>
                      <w:sz w:val="21"/>
                      <w:szCs w:val="21"/>
                      <w:highlight w:val="none"/>
                      <w:lang w:val="en-US" w:eastAsia="zh-CN"/>
                    </w:rPr>
                    <w:t>铁质废油桶</w:t>
                  </w:r>
                </w:p>
              </w:tc>
              <w:tc>
                <w:tcPr>
                  <w:tcW w:w="466" w:type="pct"/>
                  <w:noWrap w:val="0"/>
                  <w:vAlign w:val="center"/>
                </w:tcPr>
                <w:p w14:paraId="28E5249D">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HW08</w:t>
                  </w:r>
                </w:p>
              </w:tc>
              <w:tc>
                <w:tcPr>
                  <w:tcW w:w="364" w:type="pct"/>
                  <w:noWrap w:val="0"/>
                  <w:vAlign w:val="center"/>
                </w:tcPr>
                <w:p w14:paraId="3F3B4224">
                  <w:pPr>
                    <w:pStyle w:val="40"/>
                    <w:shd w:val="clear" w:color="auto" w:fill="auto"/>
                    <w:spacing w:before="0" w:line="280" w:lineRule="exact"/>
                    <w:ind w:lef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w:t>
                  </w:r>
                </w:p>
              </w:tc>
              <w:tc>
                <w:tcPr>
                  <w:tcW w:w="324" w:type="pct"/>
                  <w:noWrap w:val="0"/>
                  <w:vAlign w:val="center"/>
                </w:tcPr>
                <w:p w14:paraId="075B6709">
                  <w:pPr>
                    <w:pStyle w:val="40"/>
                    <w:shd w:val="clear" w:color="auto" w:fill="auto"/>
                    <w:spacing w:before="0" w:line="280" w:lineRule="exact"/>
                    <w:ind w:left="0" w:leftChars="0" w:firstLine="0" w:firstLineChars="0"/>
                    <w:jc w:val="center"/>
                    <w:rPr>
                      <w:rFonts w:hint="default" w:ascii="Times New Roman" w:hAnsi="Times New Roman" w:cs="Times New Roman"/>
                      <w:color w:val="auto"/>
                      <w:kern w:val="2"/>
                      <w:sz w:val="21"/>
                      <w:szCs w:val="21"/>
                      <w:highlight w:val="none"/>
                      <w:u w:val="none"/>
                      <w:shd w:val="clear" w:color="auto" w:fill="auto"/>
                      <w:lang w:val="en-US" w:eastAsia="zh-CN" w:bidi="zh-TW"/>
                    </w:rPr>
                  </w:pPr>
                  <w:r>
                    <w:rPr>
                      <w:rFonts w:hint="eastAsia" w:ascii="Times New Roman" w:hAnsi="Times New Roman" w:cs="Times New Roman"/>
                      <w:color w:val="auto"/>
                      <w:kern w:val="2"/>
                      <w:sz w:val="21"/>
                      <w:szCs w:val="21"/>
                      <w:highlight w:val="none"/>
                      <w:u w:val="none"/>
                      <w:shd w:val="clear" w:color="auto" w:fill="auto"/>
                      <w:lang w:val="en-US" w:eastAsia="zh-CN" w:bidi="zh-TW"/>
                    </w:rPr>
                    <w:t>0.105</w:t>
                  </w:r>
                </w:p>
              </w:tc>
              <w:tc>
                <w:tcPr>
                  <w:tcW w:w="340" w:type="pct"/>
                  <w:noWrap w:val="0"/>
                  <w:vAlign w:val="center"/>
                </w:tcPr>
                <w:p w14:paraId="3EC96137">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0.11</w:t>
                  </w:r>
                </w:p>
              </w:tc>
              <w:tc>
                <w:tcPr>
                  <w:tcW w:w="680" w:type="pct"/>
                  <w:noWrap w:val="0"/>
                  <w:vAlign w:val="center"/>
                </w:tcPr>
                <w:p w14:paraId="53E025DD">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default"/>
                      <w:color w:val="auto"/>
                      <w:sz w:val="21"/>
                      <w:szCs w:val="21"/>
                      <w:highlight w:val="none"/>
                      <w:lang w:val="en-US" w:eastAsia="zh-CN"/>
                    </w:rPr>
                    <w:t>900-249-08</w:t>
                  </w:r>
                </w:p>
              </w:tc>
              <w:tc>
                <w:tcPr>
                  <w:tcW w:w="442" w:type="pct"/>
                  <w:vMerge w:val="continue"/>
                  <w:noWrap w:val="0"/>
                  <w:vAlign w:val="center"/>
                </w:tcPr>
                <w:p w14:paraId="17AE4816">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41" w:type="pct"/>
                  <w:vMerge w:val="continue"/>
                  <w:noWrap w:val="0"/>
                  <w:vAlign w:val="center"/>
                </w:tcPr>
                <w:p w14:paraId="1B7CA3CA">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15" w:type="pct"/>
                  <w:noWrap w:val="0"/>
                  <w:vAlign w:val="center"/>
                </w:tcPr>
                <w:p w14:paraId="6A95CCB8">
                  <w:pPr>
                    <w:pStyle w:val="40"/>
                    <w:shd w:val="clear" w:color="auto" w:fill="auto"/>
                    <w:spacing w:before="0" w:line="280" w:lineRule="exact"/>
                    <w:ind w:lef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15" w:type="pct"/>
                  <w:vMerge w:val="continue"/>
                  <w:noWrap w:val="0"/>
                  <w:vAlign w:val="center"/>
                </w:tcPr>
                <w:p w14:paraId="29AE9082">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eastAsia="zh-CN"/>
                    </w:rPr>
                  </w:pPr>
                </w:p>
              </w:tc>
            </w:tr>
            <w:tr w14:paraId="0820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263" w:type="pct"/>
                  <w:noWrap w:val="0"/>
                  <w:vAlign w:val="center"/>
                </w:tcPr>
                <w:p w14:paraId="27004198">
                  <w:pPr>
                    <w:pStyle w:val="40"/>
                    <w:shd w:val="clear" w:color="auto" w:fill="auto"/>
                    <w:spacing w:before="0" w:line="280" w:lineRule="exact"/>
                    <w:ind w:lef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310" w:type="pct"/>
                  <w:vMerge w:val="continue"/>
                  <w:noWrap w:val="0"/>
                  <w:vAlign w:val="center"/>
                </w:tcPr>
                <w:p w14:paraId="5B74A2F3">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836" w:type="pct"/>
                  <w:noWrap w:val="0"/>
                  <w:vAlign w:val="center"/>
                </w:tcPr>
                <w:p w14:paraId="161DFBC3">
                  <w:pPr>
                    <w:pStyle w:val="40"/>
                    <w:shd w:val="clear" w:color="auto" w:fill="auto"/>
                    <w:spacing w:before="0" w:line="280" w:lineRule="exact"/>
                    <w:ind w:left="0" w:firstLine="0" w:firstLineChars="0"/>
                    <w:jc w:val="center"/>
                    <w:rPr>
                      <w:rFonts w:hint="eastAsia" w:ascii="宋体" w:hAnsi="宋体" w:eastAsia="宋体" w:cs="宋体"/>
                      <w:color w:val="auto"/>
                      <w:spacing w:val="0"/>
                      <w:sz w:val="18"/>
                      <w:szCs w:val="18"/>
                      <w:highlight w:val="none"/>
                    </w:rPr>
                  </w:pPr>
                  <w:r>
                    <w:rPr>
                      <w:rFonts w:hint="eastAsia" w:ascii="宋体" w:hAnsi="宋体" w:eastAsia="宋体" w:cs="宋体"/>
                      <w:color w:val="auto"/>
                      <w:sz w:val="18"/>
                      <w:szCs w:val="18"/>
                      <w:highlight w:val="none"/>
                      <w:lang w:val="en-US" w:eastAsia="zh-CN"/>
                    </w:rPr>
                    <w:t>废光氧催化光管</w:t>
                  </w:r>
                </w:p>
              </w:tc>
              <w:tc>
                <w:tcPr>
                  <w:tcW w:w="466" w:type="pct"/>
                  <w:noWrap w:val="0"/>
                  <w:vAlign w:val="center"/>
                </w:tcPr>
                <w:p w14:paraId="1B07A622">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HW08</w:t>
                  </w:r>
                </w:p>
              </w:tc>
              <w:tc>
                <w:tcPr>
                  <w:tcW w:w="364" w:type="pct"/>
                  <w:noWrap w:val="0"/>
                  <w:vAlign w:val="center"/>
                </w:tcPr>
                <w:p w14:paraId="3ED9EED4">
                  <w:pPr>
                    <w:pStyle w:val="40"/>
                    <w:shd w:val="clear" w:color="auto" w:fill="auto"/>
                    <w:spacing w:before="0" w:line="280" w:lineRule="exact"/>
                    <w:ind w:left="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324" w:type="pct"/>
                  <w:noWrap w:val="0"/>
                  <w:vAlign w:val="center"/>
                </w:tcPr>
                <w:p w14:paraId="2D64573A">
                  <w:pPr>
                    <w:pStyle w:val="40"/>
                    <w:shd w:val="clear" w:color="auto" w:fill="auto"/>
                    <w:spacing w:before="0" w:line="280" w:lineRule="exact"/>
                    <w:ind w:left="0" w:leftChars="0" w:firstLine="0" w:firstLineChars="0"/>
                    <w:jc w:val="center"/>
                    <w:rPr>
                      <w:rFonts w:hint="default" w:ascii="Times New Roman" w:hAnsi="Times New Roman" w:cs="Times New Roman"/>
                      <w:color w:val="auto"/>
                      <w:kern w:val="2"/>
                      <w:sz w:val="21"/>
                      <w:szCs w:val="21"/>
                      <w:highlight w:val="none"/>
                      <w:u w:val="none"/>
                      <w:shd w:val="clear" w:color="auto" w:fill="auto"/>
                      <w:lang w:val="en-US" w:eastAsia="zh-CN" w:bidi="zh-TW"/>
                    </w:rPr>
                  </w:pPr>
                  <w:r>
                    <w:rPr>
                      <w:rFonts w:hint="eastAsia" w:ascii="Times New Roman" w:hAnsi="Times New Roman" w:cs="Times New Roman"/>
                      <w:color w:val="auto"/>
                      <w:kern w:val="2"/>
                      <w:sz w:val="21"/>
                      <w:szCs w:val="21"/>
                      <w:highlight w:val="none"/>
                      <w:u w:val="none"/>
                      <w:shd w:val="clear" w:color="auto" w:fill="auto"/>
                      <w:lang w:val="en-US" w:eastAsia="zh-CN" w:bidi="zh-TW"/>
                    </w:rPr>
                    <w:t>0.001</w:t>
                  </w:r>
                </w:p>
              </w:tc>
              <w:tc>
                <w:tcPr>
                  <w:tcW w:w="340" w:type="pct"/>
                  <w:noWrap w:val="0"/>
                  <w:vAlign w:val="center"/>
                </w:tcPr>
                <w:p w14:paraId="442CE970">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0.002</w:t>
                  </w:r>
                </w:p>
              </w:tc>
              <w:tc>
                <w:tcPr>
                  <w:tcW w:w="680" w:type="pct"/>
                  <w:noWrap w:val="0"/>
                  <w:vAlign w:val="center"/>
                </w:tcPr>
                <w:p w14:paraId="446CF8D9">
                  <w:pPr>
                    <w:pStyle w:val="40"/>
                    <w:shd w:val="clear" w:color="auto" w:fill="auto"/>
                    <w:spacing w:before="0" w:line="280" w:lineRule="exact"/>
                    <w:ind w:left="0" w:firstLine="0" w:firstLineChars="0"/>
                    <w:jc w:val="center"/>
                    <w:rPr>
                      <w:rFonts w:hint="default" w:ascii="Times New Roman" w:hAnsi="Times New Roman" w:eastAsia="宋体" w:cs="Times New Roman"/>
                      <w:color w:val="auto"/>
                      <w:spacing w:val="0"/>
                      <w:sz w:val="21"/>
                      <w:szCs w:val="21"/>
                      <w:highlight w:val="none"/>
                    </w:rPr>
                  </w:pPr>
                  <w:r>
                    <w:rPr>
                      <w:rFonts w:hint="default"/>
                      <w:color w:val="auto"/>
                      <w:sz w:val="21"/>
                      <w:szCs w:val="21"/>
                      <w:highlight w:val="none"/>
                      <w:lang w:val="en-US" w:eastAsia="zh-CN"/>
                    </w:rPr>
                    <w:t>900-023-29</w:t>
                  </w:r>
                </w:p>
              </w:tc>
              <w:tc>
                <w:tcPr>
                  <w:tcW w:w="442" w:type="pct"/>
                  <w:vMerge w:val="continue"/>
                  <w:noWrap w:val="0"/>
                  <w:vAlign w:val="center"/>
                </w:tcPr>
                <w:p w14:paraId="473FC751">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41" w:type="pct"/>
                  <w:vMerge w:val="continue"/>
                  <w:noWrap w:val="0"/>
                  <w:vAlign w:val="center"/>
                </w:tcPr>
                <w:p w14:paraId="30FECC12">
                  <w:pPr>
                    <w:pStyle w:val="40"/>
                    <w:shd w:val="clear" w:color="auto" w:fill="auto"/>
                    <w:spacing w:line="280" w:lineRule="exact"/>
                    <w:ind w:firstLine="0" w:firstLineChars="0"/>
                    <w:jc w:val="center"/>
                    <w:rPr>
                      <w:rFonts w:hint="default" w:ascii="Times New Roman" w:hAnsi="Times New Roman" w:eastAsia="宋体" w:cs="Times New Roman"/>
                      <w:color w:val="auto"/>
                      <w:sz w:val="21"/>
                      <w:szCs w:val="21"/>
                      <w:highlight w:val="none"/>
                    </w:rPr>
                  </w:pPr>
                </w:p>
              </w:tc>
              <w:tc>
                <w:tcPr>
                  <w:tcW w:w="315" w:type="pct"/>
                  <w:noWrap w:val="0"/>
                  <w:vAlign w:val="center"/>
                </w:tcPr>
                <w:p w14:paraId="5CF8B5FC">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rPr>
                    <w:t>桶装</w:t>
                  </w:r>
                </w:p>
              </w:tc>
              <w:tc>
                <w:tcPr>
                  <w:tcW w:w="315" w:type="pct"/>
                  <w:vMerge w:val="continue"/>
                  <w:noWrap w:val="0"/>
                  <w:vAlign w:val="center"/>
                </w:tcPr>
                <w:p w14:paraId="059B0ABE">
                  <w:pPr>
                    <w:pStyle w:val="40"/>
                    <w:shd w:val="clear" w:color="auto" w:fill="auto"/>
                    <w:spacing w:before="0" w:line="280" w:lineRule="exact"/>
                    <w:ind w:left="0" w:firstLine="0" w:firstLineChars="0"/>
                    <w:jc w:val="center"/>
                    <w:rPr>
                      <w:rFonts w:hint="default" w:ascii="Times New Roman" w:hAnsi="Times New Roman" w:eastAsia="宋体" w:cs="Times New Roman"/>
                      <w:color w:val="auto"/>
                      <w:sz w:val="21"/>
                      <w:szCs w:val="21"/>
                      <w:highlight w:val="none"/>
                      <w:lang w:eastAsia="zh-CN"/>
                    </w:rPr>
                  </w:pPr>
                </w:p>
              </w:tc>
            </w:tr>
          </w:tbl>
          <w:p w14:paraId="7403E39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b w:val="0"/>
                <w:bCs w:val="0"/>
                <w:color w:val="auto"/>
                <w:sz w:val="24"/>
                <w:highlight w:val="none"/>
              </w:rPr>
            </w:pPr>
            <w:r>
              <w:rPr>
                <w:b w:val="0"/>
                <w:bCs w:val="0"/>
                <w:color w:val="auto"/>
                <w:sz w:val="24"/>
                <w:highlight w:val="none"/>
              </w:rPr>
              <w:t>5.地下水、土壤</w:t>
            </w:r>
          </w:p>
          <w:p w14:paraId="3E90A08A">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olor w:val="auto"/>
                <w:sz w:val="24"/>
                <w:highlight w:val="none"/>
                <w:lang w:eastAsia="zh-CN"/>
              </w:rPr>
            </w:pPr>
            <w:r>
              <w:rPr>
                <w:color w:val="auto"/>
                <w:sz w:val="24"/>
                <w:highlight w:val="none"/>
              </w:rPr>
              <w:t>本项目生产工艺简单，生产过程</w:t>
            </w:r>
            <w:r>
              <w:rPr>
                <w:rFonts w:hint="eastAsia"/>
                <w:color w:val="auto"/>
                <w:sz w:val="24"/>
                <w:highlight w:val="none"/>
                <w:lang w:eastAsia="zh-CN"/>
              </w:rPr>
              <w:t>中废水循环利用，不外排；</w:t>
            </w:r>
            <w:r>
              <w:rPr>
                <w:color w:val="auto"/>
                <w:sz w:val="24"/>
                <w:highlight w:val="none"/>
              </w:rPr>
              <w:t>生活废水用于</w:t>
            </w:r>
            <w:r>
              <w:rPr>
                <w:rFonts w:hint="eastAsia"/>
                <w:color w:val="auto"/>
                <w:sz w:val="24"/>
                <w:highlight w:val="none"/>
                <w:lang w:eastAsia="zh-CN"/>
              </w:rPr>
              <w:t>厂区绿化。危险废物贮存间</w:t>
            </w:r>
            <w:r>
              <w:rPr>
                <w:rFonts w:hint="eastAsia"/>
                <w:color w:val="auto"/>
                <w:sz w:val="24"/>
                <w:highlight w:val="none"/>
              </w:rPr>
              <w:t>按照《危险废物贮存污染控制标准》（GB18597-2023）要求建设防漏、防渗、防腐工程措施，项目正常工况下</w:t>
            </w:r>
            <w:r>
              <w:rPr>
                <w:rFonts w:hint="eastAsia"/>
                <w:color w:val="auto"/>
                <w:sz w:val="24"/>
                <w:highlight w:val="none"/>
                <w:lang w:eastAsia="zh-CN"/>
              </w:rPr>
              <w:t>对</w:t>
            </w:r>
            <w:r>
              <w:rPr>
                <w:rFonts w:hint="eastAsia"/>
                <w:color w:val="auto"/>
                <w:sz w:val="24"/>
                <w:highlight w:val="none"/>
              </w:rPr>
              <w:t>地下水、土壤污染途径</w:t>
            </w:r>
            <w:r>
              <w:rPr>
                <w:rFonts w:hint="eastAsia"/>
                <w:color w:val="auto"/>
                <w:sz w:val="24"/>
                <w:highlight w:val="none"/>
                <w:lang w:eastAsia="zh-CN"/>
              </w:rPr>
              <w:t>较少</w:t>
            </w:r>
            <w:r>
              <w:rPr>
                <w:rFonts w:hint="eastAsia"/>
                <w:color w:val="auto"/>
                <w:sz w:val="24"/>
                <w:highlight w:val="none"/>
              </w:rPr>
              <w:t>。非正常工况时，</w:t>
            </w:r>
            <w:r>
              <w:rPr>
                <w:rFonts w:hint="eastAsia"/>
                <w:color w:val="auto"/>
                <w:sz w:val="24"/>
                <w:highlight w:val="none"/>
                <w:lang w:eastAsia="zh-CN"/>
              </w:rPr>
              <w:t>危险废物贮存间</w:t>
            </w:r>
            <w:r>
              <w:rPr>
                <w:rFonts w:hint="eastAsia"/>
                <w:color w:val="auto"/>
                <w:sz w:val="24"/>
                <w:highlight w:val="none"/>
              </w:rPr>
              <w:t>泄漏可对地下水、土壤造成污染，污染源情况见下表</w:t>
            </w:r>
            <w:r>
              <w:rPr>
                <w:rFonts w:hint="eastAsia"/>
                <w:color w:val="auto"/>
                <w:sz w:val="24"/>
                <w:highlight w:val="none"/>
                <w:lang w:eastAsia="zh-CN"/>
              </w:rPr>
              <w:t>。</w:t>
            </w:r>
          </w:p>
          <w:p w14:paraId="6BC83BAB">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color w:val="auto"/>
                <w:sz w:val="24"/>
                <w:szCs w:val="24"/>
                <w:highlight w:val="none"/>
                <w:lang w:eastAsia="zh-CN"/>
              </w:rPr>
            </w:pPr>
            <w:r>
              <w:rPr>
                <w:rFonts w:hint="eastAsia"/>
                <w:color w:val="auto"/>
                <w:sz w:val="24"/>
                <w:szCs w:val="24"/>
                <w:highlight w:val="none"/>
                <w:lang w:eastAsia="zh-CN"/>
              </w:rPr>
              <w:t>表4-</w:t>
            </w:r>
            <w:r>
              <w:rPr>
                <w:rFonts w:hint="eastAsia"/>
                <w:color w:val="auto"/>
                <w:sz w:val="24"/>
                <w:szCs w:val="24"/>
                <w:highlight w:val="none"/>
                <w:lang w:val="en-US" w:eastAsia="zh-CN"/>
              </w:rPr>
              <w:t>18</w:t>
            </w:r>
            <w:r>
              <w:rPr>
                <w:rFonts w:hint="eastAsia"/>
                <w:color w:val="auto"/>
                <w:sz w:val="24"/>
                <w:szCs w:val="24"/>
                <w:highlight w:val="none"/>
                <w:lang w:eastAsia="zh-CN"/>
              </w:rPr>
              <w:t xml:space="preserve"> 地下水、土壤污染源、污染物类型和污染途径一览表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950"/>
              <w:gridCol w:w="1560"/>
              <w:gridCol w:w="1545"/>
              <w:gridCol w:w="2621"/>
            </w:tblGrid>
            <w:tr w14:paraId="2D3A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noWrap w:val="0"/>
                  <w:vAlign w:val="center"/>
                </w:tcPr>
                <w:p w14:paraId="5FA45C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序号</w:t>
                  </w:r>
                </w:p>
              </w:tc>
              <w:tc>
                <w:tcPr>
                  <w:tcW w:w="1950" w:type="dxa"/>
                  <w:noWrap w:val="0"/>
                  <w:vAlign w:val="center"/>
                </w:tcPr>
                <w:p w14:paraId="6BD94D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地下水、土壤污染源</w:t>
                  </w:r>
                </w:p>
              </w:tc>
              <w:tc>
                <w:tcPr>
                  <w:tcW w:w="1560" w:type="dxa"/>
                  <w:noWrap w:val="0"/>
                  <w:vAlign w:val="center"/>
                </w:tcPr>
                <w:p w14:paraId="07C8CB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污染物类型</w:t>
                  </w:r>
                </w:p>
              </w:tc>
              <w:tc>
                <w:tcPr>
                  <w:tcW w:w="1545" w:type="dxa"/>
                  <w:noWrap w:val="0"/>
                  <w:vAlign w:val="center"/>
                </w:tcPr>
                <w:p w14:paraId="6B400D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污染途径</w:t>
                  </w:r>
                </w:p>
              </w:tc>
              <w:tc>
                <w:tcPr>
                  <w:tcW w:w="2621" w:type="dxa"/>
                  <w:noWrap w:val="0"/>
                  <w:vAlign w:val="center"/>
                </w:tcPr>
                <w:p w14:paraId="52CA4F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分区防控要求</w:t>
                  </w:r>
                </w:p>
              </w:tc>
            </w:tr>
            <w:tr w14:paraId="43B4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noWrap w:val="0"/>
                  <w:vAlign w:val="center"/>
                </w:tcPr>
                <w:p w14:paraId="1F57D9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950" w:type="dxa"/>
                  <w:noWrap w:val="0"/>
                  <w:vAlign w:val="center"/>
                </w:tcPr>
                <w:p w14:paraId="4C2509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危险废物贮存间</w:t>
                  </w:r>
                  <w:r>
                    <w:rPr>
                      <w:rFonts w:hint="default" w:ascii="Times New Roman" w:hAnsi="Times New Roman" w:eastAsia="宋体" w:cs="Times New Roman"/>
                      <w:color w:val="auto"/>
                      <w:sz w:val="21"/>
                      <w:szCs w:val="21"/>
                      <w:highlight w:val="none"/>
                      <w:vertAlign w:val="baseline"/>
                      <w:lang w:eastAsia="zh-CN"/>
                    </w:rPr>
                    <w:t>防渗层破损</w:t>
                  </w:r>
                </w:p>
              </w:tc>
              <w:tc>
                <w:tcPr>
                  <w:tcW w:w="1560" w:type="dxa"/>
                  <w:noWrap w:val="0"/>
                  <w:vAlign w:val="center"/>
                </w:tcPr>
                <w:p w14:paraId="1668BD8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废矿物油</w:t>
                  </w:r>
                </w:p>
              </w:tc>
              <w:tc>
                <w:tcPr>
                  <w:tcW w:w="1545" w:type="dxa"/>
                  <w:noWrap w:val="0"/>
                  <w:vAlign w:val="center"/>
                </w:tcPr>
                <w:p w14:paraId="5E7032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垂直入渗</w:t>
                  </w:r>
                </w:p>
              </w:tc>
              <w:tc>
                <w:tcPr>
                  <w:tcW w:w="2621" w:type="dxa"/>
                  <w:noWrap w:val="0"/>
                  <w:vAlign w:val="center"/>
                </w:tcPr>
                <w:p w14:paraId="6DE45F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重点防渗区</w:t>
                  </w:r>
                </w:p>
                <w:p w14:paraId="66333F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防渗系数≤1.0×10</w:t>
                  </w:r>
                  <w:r>
                    <w:rPr>
                      <w:rFonts w:hint="default" w:ascii="Times New Roman" w:hAnsi="Times New Roman" w:eastAsia="宋体" w:cs="Times New Roman"/>
                      <w:color w:val="auto"/>
                      <w:sz w:val="21"/>
                      <w:szCs w:val="21"/>
                      <w:highlight w:val="none"/>
                      <w:vertAlign w:val="superscript"/>
                      <w:lang w:eastAsia="zh-CN"/>
                    </w:rPr>
                    <w:t>-10</w:t>
                  </w:r>
                  <w:r>
                    <w:rPr>
                      <w:rFonts w:hint="default" w:ascii="Times New Roman" w:hAnsi="Times New Roman" w:eastAsia="宋体" w:cs="Times New Roman"/>
                      <w:color w:val="auto"/>
                      <w:sz w:val="21"/>
                      <w:szCs w:val="21"/>
                      <w:highlight w:val="none"/>
                      <w:vertAlign w:val="baseline"/>
                      <w:lang w:eastAsia="zh-CN"/>
                    </w:rPr>
                    <w:t xml:space="preserve"> cm/s</w:t>
                  </w:r>
                </w:p>
              </w:tc>
            </w:tr>
            <w:tr w14:paraId="15C5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noWrap w:val="0"/>
                  <w:vAlign w:val="center"/>
                </w:tcPr>
                <w:p w14:paraId="0DCA9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950" w:type="dxa"/>
                  <w:noWrap w:val="0"/>
                  <w:vAlign w:val="center"/>
                </w:tcPr>
                <w:p w14:paraId="4BD7BC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铸造车间</w:t>
                  </w:r>
                  <w:r>
                    <w:rPr>
                      <w:rFonts w:hint="default" w:ascii="Times New Roman" w:hAnsi="Times New Roman" w:eastAsia="宋体" w:cs="Times New Roman"/>
                      <w:color w:val="auto"/>
                      <w:sz w:val="21"/>
                      <w:szCs w:val="21"/>
                      <w:highlight w:val="none"/>
                      <w:vertAlign w:val="baseline"/>
                      <w:lang w:eastAsia="zh-CN"/>
                    </w:rPr>
                    <w:t>地面破损</w:t>
                  </w:r>
                </w:p>
              </w:tc>
              <w:tc>
                <w:tcPr>
                  <w:tcW w:w="1560" w:type="dxa"/>
                  <w:noWrap w:val="0"/>
                  <w:vAlign w:val="center"/>
                </w:tcPr>
                <w:p w14:paraId="4B1F87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PH值、</w:t>
                  </w:r>
                </w:p>
                <w:p w14:paraId="5F2929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COD、SS</w:t>
                  </w:r>
                </w:p>
              </w:tc>
              <w:tc>
                <w:tcPr>
                  <w:tcW w:w="1545" w:type="dxa"/>
                  <w:noWrap w:val="0"/>
                  <w:vAlign w:val="center"/>
                </w:tcPr>
                <w:p w14:paraId="30EB6C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垂直入渗</w:t>
                  </w:r>
                </w:p>
              </w:tc>
              <w:tc>
                <w:tcPr>
                  <w:tcW w:w="2621" w:type="dxa"/>
                  <w:noWrap w:val="0"/>
                  <w:vAlign w:val="center"/>
                </w:tcPr>
                <w:p w14:paraId="5E0628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一般防渗区</w:t>
                  </w:r>
                </w:p>
                <w:p w14:paraId="2C81A5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防渗系数≤1.0×10</w:t>
                  </w:r>
                  <w:r>
                    <w:rPr>
                      <w:rFonts w:hint="default" w:ascii="Times New Roman" w:hAnsi="Times New Roman" w:eastAsia="宋体" w:cs="Times New Roman"/>
                      <w:color w:val="auto"/>
                      <w:sz w:val="21"/>
                      <w:szCs w:val="21"/>
                      <w:highlight w:val="none"/>
                      <w:vertAlign w:val="superscript"/>
                      <w:lang w:eastAsia="zh-CN"/>
                    </w:rPr>
                    <w:t>-7</w:t>
                  </w:r>
                  <w:r>
                    <w:rPr>
                      <w:rFonts w:hint="default" w:ascii="Times New Roman" w:hAnsi="Times New Roman" w:eastAsia="宋体" w:cs="Times New Roman"/>
                      <w:color w:val="auto"/>
                      <w:sz w:val="21"/>
                      <w:szCs w:val="21"/>
                      <w:highlight w:val="none"/>
                      <w:vertAlign w:val="baseline"/>
                      <w:lang w:eastAsia="zh-CN"/>
                    </w:rPr>
                    <w:t xml:space="preserve"> cm/s</w:t>
                  </w:r>
                </w:p>
              </w:tc>
            </w:tr>
          </w:tbl>
          <w:p w14:paraId="4B4C83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rPr>
              <w:t>生态</w:t>
            </w:r>
          </w:p>
          <w:p w14:paraId="10F0A15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本项目建设于宽城</w:t>
            </w:r>
            <w:r>
              <w:rPr>
                <w:rFonts w:hint="eastAsia" w:ascii="Times New Roman" w:hAnsi="Times New Roman" w:eastAsia="宋体" w:cs="Times New Roman"/>
                <w:color w:val="auto"/>
                <w:sz w:val="24"/>
                <w:szCs w:val="24"/>
                <w:highlight w:val="none"/>
                <w:lang w:eastAsia="zh-CN"/>
              </w:rPr>
              <w:t>满族自治县松岭镇木匠屯村</w:t>
            </w:r>
            <w:r>
              <w:rPr>
                <w:rFonts w:hint="eastAsia" w:ascii="宋体" w:hAnsi="宋体"/>
                <w:bCs/>
                <w:color w:val="auto"/>
                <w:sz w:val="24"/>
                <w:szCs w:val="24"/>
                <w:highlight w:val="none"/>
              </w:rPr>
              <w:t>宽城双兴矿山设备制造有限公司</w:t>
            </w:r>
            <w:r>
              <w:rPr>
                <w:rFonts w:hint="default" w:ascii="Times New Roman" w:hAnsi="Times New Roman" w:eastAsia="宋体" w:cs="Times New Roman"/>
                <w:color w:val="auto"/>
                <w:sz w:val="24"/>
                <w:szCs w:val="24"/>
                <w:highlight w:val="none"/>
              </w:rPr>
              <w:t>现有厂区内，建设项目不新增用地，占地范围内无生态环境保护目标。</w:t>
            </w:r>
          </w:p>
          <w:p w14:paraId="76D8C748">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b/>
                <w:bCs/>
                <w:color w:val="auto"/>
                <w:highlight w:val="none"/>
                <w:lang w:val="en-US" w:eastAsia="zh-CN"/>
              </w:rPr>
              <w:t>7、</w:t>
            </w:r>
            <w:r>
              <w:rPr>
                <w:rFonts w:hint="default" w:ascii="Times New Roman" w:hAnsi="Times New Roman" w:eastAsia="宋体" w:cs="Times New Roman"/>
                <w:b/>
                <w:bCs/>
                <w:color w:val="auto"/>
                <w:sz w:val="24"/>
                <w:szCs w:val="24"/>
                <w:highlight w:val="none"/>
              </w:rPr>
              <w:t>环境风险</w:t>
            </w:r>
          </w:p>
          <w:p w14:paraId="292D8B55">
            <w:pPr>
              <w:adjustRightInd w:val="0"/>
              <w:snapToGrid w:val="0"/>
              <w:spacing w:line="360" w:lineRule="auto"/>
              <w:jc w:val="left"/>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1</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危险物质和风险源分布情况</w:t>
            </w:r>
          </w:p>
          <w:p w14:paraId="25EBCFB3">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按照《建设项目环境风险评价技术导则》（HJ169-2018）的环境风险评价工作等级划分要求，确定项目的环境风险评价工作等级。</w:t>
            </w:r>
          </w:p>
          <w:p w14:paraId="4D9D8C90">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本项目涉及环境风险的危险物质为废润滑油、废油桶</w:t>
            </w:r>
            <w:r>
              <w:rPr>
                <w:rFonts w:hint="eastAsia" w:ascii="Times New Roman" w:hAnsi="Times New Roman" w:eastAsia="宋体" w:cs="Times New Roman"/>
                <w:bCs/>
                <w:color w:val="auto"/>
                <w:sz w:val="24"/>
                <w:szCs w:val="24"/>
                <w:highlight w:val="none"/>
                <w:lang w:eastAsia="zh-CN"/>
              </w:rPr>
              <w:t>、铁质废油桶、废光氧催化光管</w:t>
            </w:r>
            <w:r>
              <w:rPr>
                <w:rFonts w:hint="default" w:ascii="Times New Roman" w:hAnsi="Times New Roman" w:eastAsia="宋体" w:cs="Times New Roman"/>
                <w:bCs/>
                <w:color w:val="auto"/>
                <w:sz w:val="24"/>
                <w:szCs w:val="24"/>
                <w:highlight w:val="none"/>
              </w:rPr>
              <w:t>。项目涉及的危险物质数量与临界量比值及风险源分布情况见下表。</w:t>
            </w:r>
          </w:p>
          <w:p w14:paraId="7B69A737">
            <w:pPr>
              <w:adjustRightInd w:val="0"/>
              <w:snapToGrid w:val="0"/>
              <w:jc w:val="center"/>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表4</w:t>
            </w:r>
            <w:r>
              <w:rPr>
                <w:rFonts w:hint="eastAsia" w:ascii="Times New Roman" w:hAnsi="Times New Roman" w:eastAsia="宋体" w:cs="Times New Roman"/>
                <w:b w:val="0"/>
                <w:bCs/>
                <w:color w:val="auto"/>
                <w:sz w:val="24"/>
                <w:szCs w:val="24"/>
                <w:highlight w:val="none"/>
                <w:lang w:val="en-US" w:eastAsia="zh-CN"/>
              </w:rPr>
              <w:t xml:space="preserve">-19  </w:t>
            </w:r>
            <w:r>
              <w:rPr>
                <w:rFonts w:hint="default" w:ascii="Times New Roman" w:hAnsi="Times New Roman" w:eastAsia="宋体" w:cs="Times New Roman"/>
                <w:b w:val="0"/>
                <w:bCs/>
                <w:color w:val="auto"/>
                <w:sz w:val="24"/>
                <w:szCs w:val="24"/>
                <w:highlight w:val="none"/>
              </w:rPr>
              <w:t>项目涉及的危险物质数量与临界量比值及风险源分布情况</w:t>
            </w:r>
          </w:p>
          <w:tbl>
            <w:tblPr>
              <w:tblStyle w:val="18"/>
              <w:tblW w:w="814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320"/>
              <w:gridCol w:w="1127"/>
              <w:gridCol w:w="1019"/>
              <w:gridCol w:w="1019"/>
              <w:gridCol w:w="1019"/>
              <w:gridCol w:w="1019"/>
              <w:gridCol w:w="1019"/>
            </w:tblGrid>
            <w:tr w14:paraId="5E727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14:paraId="7BDFBEA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320" w:type="dxa"/>
                  <w:tcBorders>
                    <w:tl2br w:val="nil"/>
                    <w:tr2bl w:val="nil"/>
                  </w:tcBorders>
                  <w:noWrap w:val="0"/>
                  <w:vAlign w:val="center"/>
                </w:tcPr>
                <w:p w14:paraId="3F09C09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危险物质名称</w:t>
                  </w:r>
                </w:p>
              </w:tc>
              <w:tc>
                <w:tcPr>
                  <w:tcW w:w="1127" w:type="dxa"/>
                  <w:tcBorders>
                    <w:tl2br w:val="nil"/>
                    <w:tr2bl w:val="nil"/>
                  </w:tcBorders>
                  <w:noWrap w:val="0"/>
                  <w:vAlign w:val="center"/>
                </w:tcPr>
                <w:p w14:paraId="0D054B81">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生产单元名称</w:t>
                  </w:r>
                </w:p>
              </w:tc>
              <w:tc>
                <w:tcPr>
                  <w:tcW w:w="1019" w:type="dxa"/>
                  <w:tcBorders>
                    <w:tl2br w:val="nil"/>
                    <w:tr2bl w:val="nil"/>
                  </w:tcBorders>
                  <w:noWrap w:val="0"/>
                  <w:vAlign w:val="center"/>
                </w:tcPr>
                <w:p w14:paraId="6F64AD73">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所在位置</w:t>
                  </w:r>
                </w:p>
              </w:tc>
              <w:tc>
                <w:tcPr>
                  <w:tcW w:w="1019" w:type="dxa"/>
                  <w:tcBorders>
                    <w:tl2br w:val="nil"/>
                    <w:tr2bl w:val="nil"/>
                  </w:tcBorders>
                  <w:noWrap w:val="0"/>
                  <w:vAlign w:val="center"/>
                </w:tcPr>
                <w:p w14:paraId="3C8D963A">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CAS号</w:t>
                  </w:r>
                </w:p>
              </w:tc>
              <w:tc>
                <w:tcPr>
                  <w:tcW w:w="1019" w:type="dxa"/>
                  <w:tcBorders>
                    <w:tl2br w:val="nil"/>
                    <w:tr2bl w:val="nil"/>
                  </w:tcBorders>
                  <w:noWrap w:val="0"/>
                  <w:vAlign w:val="center"/>
                </w:tcPr>
                <w:p w14:paraId="2B2FC200">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最大存在总量t</w:t>
                  </w:r>
                </w:p>
              </w:tc>
              <w:tc>
                <w:tcPr>
                  <w:tcW w:w="1019" w:type="dxa"/>
                  <w:tcBorders>
                    <w:tl2br w:val="nil"/>
                    <w:tr2bl w:val="nil"/>
                  </w:tcBorders>
                  <w:noWrap w:val="0"/>
                  <w:vAlign w:val="center"/>
                </w:tcPr>
                <w:p w14:paraId="1FB31DDC">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临界量t</w:t>
                  </w:r>
                </w:p>
              </w:tc>
              <w:tc>
                <w:tcPr>
                  <w:tcW w:w="1019" w:type="dxa"/>
                  <w:tcBorders>
                    <w:tl2br w:val="nil"/>
                    <w:tr2bl w:val="nil"/>
                  </w:tcBorders>
                  <w:noWrap w:val="0"/>
                  <w:vAlign w:val="center"/>
                </w:tcPr>
                <w:p w14:paraId="20DEA70B">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危险物质Q值</w:t>
                  </w:r>
                </w:p>
              </w:tc>
            </w:tr>
            <w:tr w14:paraId="79DD6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14:paraId="5B5F951B">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w:t>
                  </w:r>
                </w:p>
              </w:tc>
              <w:tc>
                <w:tcPr>
                  <w:tcW w:w="1320" w:type="dxa"/>
                  <w:tcBorders>
                    <w:tl2br w:val="nil"/>
                    <w:tr2bl w:val="nil"/>
                  </w:tcBorders>
                  <w:noWrap w:val="0"/>
                  <w:vAlign w:val="center"/>
                </w:tcPr>
                <w:p w14:paraId="08FC78FB">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废润滑油</w:t>
                  </w:r>
                </w:p>
              </w:tc>
              <w:tc>
                <w:tcPr>
                  <w:tcW w:w="1127" w:type="dxa"/>
                  <w:tcBorders>
                    <w:tl2br w:val="nil"/>
                    <w:tr2bl w:val="nil"/>
                  </w:tcBorders>
                  <w:noWrap w:val="0"/>
                  <w:vAlign w:val="center"/>
                </w:tcPr>
                <w:p w14:paraId="5CD7557C">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检修</w:t>
                  </w:r>
                </w:p>
              </w:tc>
              <w:tc>
                <w:tcPr>
                  <w:tcW w:w="1019" w:type="dxa"/>
                  <w:tcBorders>
                    <w:tl2br w:val="nil"/>
                    <w:tr2bl w:val="nil"/>
                  </w:tcBorders>
                  <w:noWrap w:val="0"/>
                  <w:vAlign w:val="center"/>
                </w:tcPr>
                <w:p w14:paraId="24379917">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危废间</w:t>
                  </w:r>
                </w:p>
              </w:tc>
              <w:tc>
                <w:tcPr>
                  <w:tcW w:w="1019" w:type="dxa"/>
                  <w:tcBorders>
                    <w:tl2br w:val="nil"/>
                    <w:tr2bl w:val="nil"/>
                  </w:tcBorders>
                  <w:noWrap w:val="0"/>
                  <w:vAlign w:val="center"/>
                </w:tcPr>
                <w:p w14:paraId="737ECC60">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HW08</w:t>
                  </w:r>
                </w:p>
              </w:tc>
              <w:tc>
                <w:tcPr>
                  <w:tcW w:w="1019" w:type="dxa"/>
                  <w:tcBorders>
                    <w:tl2br w:val="nil"/>
                    <w:tr2bl w:val="nil"/>
                  </w:tcBorders>
                  <w:noWrap w:val="0"/>
                  <w:vAlign w:val="center"/>
                </w:tcPr>
                <w:p w14:paraId="018DEAA5">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w:t>
                  </w:r>
                </w:p>
              </w:tc>
              <w:tc>
                <w:tcPr>
                  <w:tcW w:w="1019" w:type="dxa"/>
                  <w:tcBorders>
                    <w:tl2br w:val="nil"/>
                    <w:tr2bl w:val="nil"/>
                  </w:tcBorders>
                  <w:noWrap w:val="0"/>
                  <w:vAlign w:val="center"/>
                </w:tcPr>
                <w:p w14:paraId="076C3F86">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2500</w:t>
                  </w:r>
                </w:p>
              </w:tc>
              <w:tc>
                <w:tcPr>
                  <w:tcW w:w="1019" w:type="dxa"/>
                  <w:tcBorders>
                    <w:tl2br w:val="nil"/>
                    <w:tr2bl w:val="nil"/>
                  </w:tcBorders>
                  <w:noWrap w:val="0"/>
                  <w:vAlign w:val="center"/>
                </w:tcPr>
                <w:p w14:paraId="0352B2C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0.00024</w:t>
                  </w:r>
                </w:p>
              </w:tc>
            </w:tr>
            <w:tr w14:paraId="3434B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14:paraId="6FDA2C86">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p>
              </w:tc>
              <w:tc>
                <w:tcPr>
                  <w:tcW w:w="1320" w:type="dxa"/>
                  <w:tcBorders>
                    <w:tl2br w:val="nil"/>
                    <w:tr2bl w:val="nil"/>
                  </w:tcBorders>
                  <w:noWrap w:val="0"/>
                  <w:vAlign w:val="center"/>
                </w:tcPr>
                <w:p w14:paraId="0C965022">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废油桶</w:t>
                  </w:r>
                </w:p>
              </w:tc>
              <w:tc>
                <w:tcPr>
                  <w:tcW w:w="1127" w:type="dxa"/>
                  <w:tcBorders>
                    <w:tl2br w:val="nil"/>
                    <w:tr2bl w:val="nil"/>
                  </w:tcBorders>
                  <w:noWrap w:val="0"/>
                  <w:vAlign w:val="center"/>
                </w:tcPr>
                <w:p w14:paraId="08D21BA0">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检修</w:t>
                  </w:r>
                </w:p>
              </w:tc>
              <w:tc>
                <w:tcPr>
                  <w:tcW w:w="1019" w:type="dxa"/>
                  <w:tcBorders>
                    <w:tl2br w:val="nil"/>
                    <w:tr2bl w:val="nil"/>
                  </w:tcBorders>
                  <w:noWrap w:val="0"/>
                  <w:vAlign w:val="center"/>
                </w:tcPr>
                <w:p w14:paraId="156D2247">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危废间</w:t>
                  </w:r>
                </w:p>
              </w:tc>
              <w:tc>
                <w:tcPr>
                  <w:tcW w:w="1019" w:type="dxa"/>
                  <w:tcBorders>
                    <w:tl2br w:val="nil"/>
                    <w:tr2bl w:val="nil"/>
                  </w:tcBorders>
                  <w:noWrap w:val="0"/>
                  <w:vAlign w:val="center"/>
                </w:tcPr>
                <w:p w14:paraId="1FDD876A">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HW49</w:t>
                  </w:r>
                </w:p>
              </w:tc>
              <w:tc>
                <w:tcPr>
                  <w:tcW w:w="1019" w:type="dxa"/>
                  <w:tcBorders>
                    <w:tl2br w:val="nil"/>
                    <w:tr2bl w:val="nil"/>
                  </w:tcBorders>
                  <w:noWrap w:val="0"/>
                  <w:vAlign w:val="center"/>
                </w:tcPr>
                <w:p w14:paraId="2EC4CA9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0.031</w:t>
                  </w:r>
                </w:p>
              </w:tc>
              <w:tc>
                <w:tcPr>
                  <w:tcW w:w="1019" w:type="dxa"/>
                  <w:tcBorders>
                    <w:tl2br w:val="nil"/>
                    <w:tr2bl w:val="nil"/>
                  </w:tcBorders>
                  <w:noWrap w:val="0"/>
                  <w:vAlign w:val="center"/>
                </w:tcPr>
                <w:p w14:paraId="4F655D99">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2500</w:t>
                  </w:r>
                </w:p>
              </w:tc>
              <w:tc>
                <w:tcPr>
                  <w:tcW w:w="1019" w:type="dxa"/>
                  <w:tcBorders>
                    <w:tl2br w:val="nil"/>
                    <w:tr2bl w:val="nil"/>
                  </w:tcBorders>
                  <w:noWrap w:val="0"/>
                  <w:vAlign w:val="center"/>
                </w:tcPr>
                <w:p w14:paraId="07D5F5B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0.00012</w:t>
                  </w:r>
                </w:p>
              </w:tc>
            </w:tr>
            <w:tr w14:paraId="27A83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14:paraId="030E116C">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w:t>
                  </w:r>
                </w:p>
              </w:tc>
              <w:tc>
                <w:tcPr>
                  <w:tcW w:w="1320" w:type="dxa"/>
                  <w:tcBorders>
                    <w:tl2br w:val="nil"/>
                    <w:tr2bl w:val="nil"/>
                  </w:tcBorders>
                  <w:noWrap w:val="0"/>
                  <w:vAlign w:val="center"/>
                </w:tcPr>
                <w:p w14:paraId="399AFAB6">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铁质废油桶</w:t>
                  </w:r>
                </w:p>
              </w:tc>
              <w:tc>
                <w:tcPr>
                  <w:tcW w:w="1127" w:type="dxa"/>
                  <w:tcBorders>
                    <w:tl2br w:val="nil"/>
                    <w:tr2bl w:val="nil"/>
                  </w:tcBorders>
                  <w:noWrap w:val="0"/>
                  <w:vAlign w:val="center"/>
                </w:tcPr>
                <w:p w14:paraId="38CB19C2">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检修</w:t>
                  </w:r>
                </w:p>
              </w:tc>
              <w:tc>
                <w:tcPr>
                  <w:tcW w:w="1019" w:type="dxa"/>
                  <w:tcBorders>
                    <w:tl2br w:val="nil"/>
                    <w:tr2bl w:val="nil"/>
                  </w:tcBorders>
                  <w:noWrap w:val="0"/>
                  <w:vAlign w:val="center"/>
                </w:tcPr>
                <w:p w14:paraId="43E0B1E6">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危废间</w:t>
                  </w:r>
                </w:p>
              </w:tc>
              <w:tc>
                <w:tcPr>
                  <w:tcW w:w="1019" w:type="dxa"/>
                  <w:tcBorders>
                    <w:tl2br w:val="nil"/>
                    <w:tr2bl w:val="nil"/>
                  </w:tcBorders>
                  <w:noWrap w:val="0"/>
                  <w:vAlign w:val="center"/>
                </w:tcPr>
                <w:p w14:paraId="1788EE84">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HW08</w:t>
                  </w:r>
                </w:p>
              </w:tc>
              <w:tc>
                <w:tcPr>
                  <w:tcW w:w="1019" w:type="dxa"/>
                  <w:tcBorders>
                    <w:tl2br w:val="nil"/>
                    <w:tr2bl w:val="nil"/>
                  </w:tcBorders>
                  <w:noWrap w:val="0"/>
                  <w:vAlign w:val="center"/>
                </w:tcPr>
                <w:p w14:paraId="36E6B4B8">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0.11</w:t>
                  </w:r>
                </w:p>
              </w:tc>
              <w:tc>
                <w:tcPr>
                  <w:tcW w:w="1019" w:type="dxa"/>
                  <w:tcBorders>
                    <w:tl2br w:val="nil"/>
                    <w:tr2bl w:val="nil"/>
                  </w:tcBorders>
                  <w:noWrap w:val="0"/>
                  <w:vAlign w:val="center"/>
                </w:tcPr>
                <w:p w14:paraId="02C2B3AA">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2500</w:t>
                  </w:r>
                </w:p>
              </w:tc>
              <w:tc>
                <w:tcPr>
                  <w:tcW w:w="1019" w:type="dxa"/>
                  <w:tcBorders>
                    <w:tl2br w:val="nil"/>
                    <w:tr2bl w:val="nil"/>
                  </w:tcBorders>
                  <w:noWrap w:val="0"/>
                  <w:vAlign w:val="center"/>
                </w:tcPr>
                <w:p w14:paraId="5F15E164">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0.00004</w:t>
                  </w:r>
                </w:p>
              </w:tc>
            </w:tr>
            <w:tr w14:paraId="37BF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14:paraId="0F648C5E">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w:t>
                  </w:r>
                </w:p>
              </w:tc>
              <w:tc>
                <w:tcPr>
                  <w:tcW w:w="1320" w:type="dxa"/>
                  <w:tcBorders>
                    <w:tl2br w:val="nil"/>
                    <w:tr2bl w:val="nil"/>
                  </w:tcBorders>
                  <w:noWrap w:val="0"/>
                  <w:vAlign w:val="center"/>
                </w:tcPr>
                <w:p w14:paraId="4C3607C0">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废光氧催化光管</w:t>
                  </w:r>
                </w:p>
              </w:tc>
              <w:tc>
                <w:tcPr>
                  <w:tcW w:w="1127" w:type="dxa"/>
                  <w:tcBorders>
                    <w:tl2br w:val="nil"/>
                    <w:tr2bl w:val="nil"/>
                  </w:tcBorders>
                  <w:noWrap w:val="0"/>
                  <w:vAlign w:val="center"/>
                </w:tcPr>
                <w:p w14:paraId="78990DEA">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检修</w:t>
                  </w:r>
                </w:p>
              </w:tc>
              <w:tc>
                <w:tcPr>
                  <w:tcW w:w="1019" w:type="dxa"/>
                  <w:tcBorders>
                    <w:tl2br w:val="nil"/>
                    <w:tr2bl w:val="nil"/>
                  </w:tcBorders>
                  <w:noWrap w:val="0"/>
                  <w:vAlign w:val="center"/>
                </w:tcPr>
                <w:p w14:paraId="64AB8C8F">
                  <w:pPr>
                    <w:adjustRightInd w:val="0"/>
                    <w:snapToGri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危废间</w:t>
                  </w:r>
                </w:p>
              </w:tc>
              <w:tc>
                <w:tcPr>
                  <w:tcW w:w="1019" w:type="dxa"/>
                  <w:tcBorders>
                    <w:tl2br w:val="nil"/>
                    <w:tr2bl w:val="nil"/>
                  </w:tcBorders>
                  <w:noWrap w:val="0"/>
                  <w:vAlign w:val="center"/>
                </w:tcPr>
                <w:p w14:paraId="036BB453">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HW08</w:t>
                  </w:r>
                </w:p>
              </w:tc>
              <w:tc>
                <w:tcPr>
                  <w:tcW w:w="1019" w:type="dxa"/>
                  <w:tcBorders>
                    <w:tl2br w:val="nil"/>
                    <w:tr2bl w:val="nil"/>
                  </w:tcBorders>
                  <w:noWrap w:val="0"/>
                  <w:vAlign w:val="center"/>
                </w:tcPr>
                <w:p w14:paraId="7EB953B5">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0.002</w:t>
                  </w:r>
                </w:p>
              </w:tc>
              <w:tc>
                <w:tcPr>
                  <w:tcW w:w="1019" w:type="dxa"/>
                  <w:tcBorders>
                    <w:tl2br w:val="nil"/>
                    <w:tr2bl w:val="nil"/>
                  </w:tcBorders>
                  <w:noWrap w:val="0"/>
                  <w:vAlign w:val="center"/>
                </w:tcPr>
                <w:p w14:paraId="468ACFE2">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1019" w:type="dxa"/>
                  <w:tcBorders>
                    <w:tl2br w:val="nil"/>
                    <w:tr2bl w:val="nil"/>
                  </w:tcBorders>
                  <w:noWrap w:val="0"/>
                  <w:vAlign w:val="center"/>
                </w:tcPr>
                <w:p w14:paraId="06C3F37B">
                  <w:pPr>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r>
          </w:tbl>
          <w:p w14:paraId="7551309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经计算，危险物质数量与临界量的比值Q=0.000</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，Q＜1，则根据导则附录C的规定，当Q＜1时，项目的环境风险潜势为Ⅰ。</w:t>
            </w:r>
          </w:p>
          <w:p w14:paraId="4596E21A">
            <w:pPr>
              <w:pStyle w:val="42"/>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auto"/>
                <w:w w:val="100"/>
                <w:kern w:val="2"/>
                <w:sz w:val="24"/>
                <w:szCs w:val="24"/>
                <w:highlight w:val="none"/>
                <w:lang w:val="en-US" w:bidi="ar"/>
              </w:rPr>
            </w:pPr>
            <w:r>
              <w:rPr>
                <w:rFonts w:hint="default" w:ascii="Times New Roman" w:hAnsi="Times New Roman" w:eastAsia="宋体" w:cs="Times New Roman"/>
                <w:color w:val="auto"/>
                <w:w w:val="100"/>
                <w:kern w:val="2"/>
                <w:sz w:val="24"/>
                <w:szCs w:val="24"/>
                <w:highlight w:val="none"/>
                <w:lang w:val="en-US" w:bidi="ar"/>
              </w:rPr>
              <w:t>根据《建设项目环境风险评价技术导则》（HJ169-2018），环境风险评价工作等级划分依据列表如下：</w:t>
            </w:r>
          </w:p>
          <w:p w14:paraId="0DB321A9">
            <w:pPr>
              <w:pStyle w:val="42"/>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val="0"/>
                <w:bCs w:val="0"/>
                <w:color w:val="auto"/>
                <w:w w:val="100"/>
                <w:kern w:val="2"/>
                <w:sz w:val="24"/>
                <w:szCs w:val="24"/>
                <w:highlight w:val="none"/>
                <w:lang w:val="en-US" w:bidi="ar"/>
              </w:rPr>
            </w:pPr>
            <w:r>
              <w:rPr>
                <w:rFonts w:hint="default" w:ascii="Times New Roman" w:hAnsi="Times New Roman" w:eastAsia="宋体" w:cs="Times New Roman"/>
                <w:b w:val="0"/>
                <w:bCs w:val="0"/>
                <w:color w:val="auto"/>
                <w:w w:val="100"/>
                <w:kern w:val="2"/>
                <w:sz w:val="24"/>
                <w:szCs w:val="24"/>
                <w:highlight w:val="none"/>
                <w:lang w:val="en-US" w:bidi="ar"/>
              </w:rPr>
              <w:t>表</w:t>
            </w:r>
            <w:r>
              <w:rPr>
                <w:rFonts w:hint="eastAsia" w:ascii="Times New Roman" w:hAnsi="Times New Roman" w:cs="Times New Roman"/>
                <w:b w:val="0"/>
                <w:bCs w:val="0"/>
                <w:color w:val="auto"/>
                <w:w w:val="100"/>
                <w:kern w:val="2"/>
                <w:sz w:val="24"/>
                <w:szCs w:val="24"/>
                <w:highlight w:val="none"/>
                <w:lang w:val="en-US" w:eastAsia="zh-CN" w:bidi="ar"/>
              </w:rPr>
              <w:t>4</w:t>
            </w:r>
            <w:r>
              <w:rPr>
                <w:rFonts w:hint="default" w:ascii="Times New Roman" w:hAnsi="Times New Roman" w:eastAsia="宋体" w:cs="Times New Roman"/>
                <w:b w:val="0"/>
                <w:bCs w:val="0"/>
                <w:color w:val="auto"/>
                <w:w w:val="100"/>
                <w:kern w:val="2"/>
                <w:sz w:val="24"/>
                <w:szCs w:val="24"/>
                <w:highlight w:val="none"/>
                <w:lang w:val="en-US" w:bidi="ar"/>
              </w:rPr>
              <w:t>-2</w:t>
            </w:r>
            <w:r>
              <w:rPr>
                <w:rFonts w:hint="eastAsia" w:ascii="Times New Roman" w:hAnsi="Times New Roman" w:cs="Times New Roman"/>
                <w:b w:val="0"/>
                <w:bCs w:val="0"/>
                <w:color w:val="auto"/>
                <w:w w:val="100"/>
                <w:kern w:val="2"/>
                <w:sz w:val="24"/>
                <w:szCs w:val="24"/>
                <w:highlight w:val="none"/>
                <w:lang w:val="en-US" w:eastAsia="zh-CN" w:bidi="ar"/>
              </w:rPr>
              <w:t xml:space="preserve">0  </w:t>
            </w:r>
            <w:r>
              <w:rPr>
                <w:rFonts w:hint="default" w:ascii="Times New Roman" w:hAnsi="Times New Roman" w:eastAsia="宋体" w:cs="Times New Roman"/>
                <w:b w:val="0"/>
                <w:bCs w:val="0"/>
                <w:color w:val="auto"/>
                <w:w w:val="100"/>
                <w:kern w:val="2"/>
                <w:sz w:val="24"/>
                <w:szCs w:val="24"/>
                <w:highlight w:val="none"/>
                <w:lang w:val="en-US" w:bidi="ar"/>
              </w:rPr>
              <w:t>评价工作级别划分</w:t>
            </w:r>
          </w:p>
          <w:tbl>
            <w:tblPr>
              <w:tblStyle w:val="30"/>
              <w:tblW w:w="83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66"/>
              <w:gridCol w:w="1634"/>
              <w:gridCol w:w="1771"/>
              <w:gridCol w:w="1831"/>
              <w:gridCol w:w="1676"/>
            </w:tblGrid>
            <w:tr w14:paraId="6D949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1466" w:type="dxa"/>
                  <w:tcBorders>
                    <w:tl2br w:val="nil"/>
                    <w:tr2bl w:val="nil"/>
                  </w:tcBorders>
                  <w:noWrap w:val="0"/>
                  <w:vAlign w:val="center"/>
                </w:tcPr>
                <w:p w14:paraId="7770118D">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环境风险潜势</w:t>
                  </w:r>
                </w:p>
              </w:tc>
              <w:tc>
                <w:tcPr>
                  <w:tcW w:w="1634" w:type="dxa"/>
                  <w:tcBorders>
                    <w:tl2br w:val="nil"/>
                    <w:tr2bl w:val="nil"/>
                  </w:tcBorders>
                  <w:noWrap w:val="0"/>
                  <w:vAlign w:val="center"/>
                </w:tcPr>
                <w:p w14:paraId="1B63775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IV、IV</w:t>
                  </w:r>
                  <w:r>
                    <w:rPr>
                      <w:rFonts w:hint="default" w:ascii="Times New Roman" w:hAnsi="Times New Roman" w:eastAsia="宋体" w:cs="Times New Roman"/>
                      <w:b/>
                      <w:color w:val="auto"/>
                      <w:sz w:val="21"/>
                      <w:szCs w:val="21"/>
                      <w:highlight w:val="none"/>
                      <w:vertAlign w:val="superscript"/>
                    </w:rPr>
                    <w:t>+</w:t>
                  </w:r>
                </w:p>
              </w:tc>
              <w:tc>
                <w:tcPr>
                  <w:tcW w:w="1771" w:type="dxa"/>
                  <w:tcBorders>
                    <w:tl2br w:val="nil"/>
                    <w:tr2bl w:val="nil"/>
                  </w:tcBorders>
                  <w:noWrap w:val="0"/>
                  <w:vAlign w:val="center"/>
                </w:tcPr>
                <w:p w14:paraId="1AEC77C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w:t>
                  </w:r>
                </w:p>
              </w:tc>
              <w:tc>
                <w:tcPr>
                  <w:tcW w:w="1831" w:type="dxa"/>
                  <w:tcBorders>
                    <w:tl2br w:val="nil"/>
                    <w:tr2bl w:val="nil"/>
                  </w:tcBorders>
                  <w:noWrap w:val="0"/>
                  <w:vAlign w:val="center"/>
                </w:tcPr>
                <w:p w14:paraId="4A7E7D16">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Ⅱ</w:t>
                  </w:r>
                </w:p>
              </w:tc>
              <w:tc>
                <w:tcPr>
                  <w:tcW w:w="1676" w:type="dxa"/>
                  <w:tcBorders>
                    <w:tl2br w:val="nil"/>
                    <w:tr2bl w:val="nil"/>
                  </w:tcBorders>
                  <w:noWrap w:val="0"/>
                  <w:vAlign w:val="center"/>
                </w:tcPr>
                <w:p w14:paraId="2A6B09F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I</w:t>
                  </w:r>
                </w:p>
              </w:tc>
            </w:tr>
            <w:tr w14:paraId="58EC85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1466" w:type="dxa"/>
                  <w:tcBorders>
                    <w:tl2br w:val="nil"/>
                    <w:tr2bl w:val="nil"/>
                  </w:tcBorders>
                  <w:noWrap w:val="0"/>
                  <w:vAlign w:val="center"/>
                </w:tcPr>
                <w:p w14:paraId="23ABC112">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评价工作等级</w:t>
                  </w:r>
                </w:p>
              </w:tc>
              <w:tc>
                <w:tcPr>
                  <w:tcW w:w="1634" w:type="dxa"/>
                  <w:tcBorders>
                    <w:tl2br w:val="nil"/>
                    <w:tr2bl w:val="nil"/>
                  </w:tcBorders>
                  <w:noWrap w:val="0"/>
                  <w:vAlign w:val="center"/>
                </w:tcPr>
                <w:p w14:paraId="4CE992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771" w:type="dxa"/>
                  <w:tcBorders>
                    <w:tl2br w:val="nil"/>
                    <w:tr2bl w:val="nil"/>
                  </w:tcBorders>
                  <w:noWrap w:val="0"/>
                  <w:vAlign w:val="center"/>
                </w:tcPr>
                <w:p w14:paraId="560193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831" w:type="dxa"/>
                  <w:tcBorders>
                    <w:tl2br w:val="nil"/>
                    <w:tr2bl w:val="nil"/>
                  </w:tcBorders>
                  <w:noWrap w:val="0"/>
                  <w:vAlign w:val="center"/>
                </w:tcPr>
                <w:p w14:paraId="61F1E3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676" w:type="dxa"/>
                  <w:tcBorders>
                    <w:tl2br w:val="nil"/>
                    <w:tr2bl w:val="nil"/>
                  </w:tcBorders>
                  <w:noWrap w:val="0"/>
                  <w:vAlign w:val="center"/>
                </w:tcPr>
                <w:p w14:paraId="30B8ED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14:paraId="4AE33E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8378" w:type="dxa"/>
                  <w:gridSpan w:val="5"/>
                  <w:tcBorders>
                    <w:tl2br w:val="nil"/>
                    <w:tr2bl w:val="nil"/>
                  </w:tcBorders>
                  <w:noWrap w:val="0"/>
                  <w:vAlign w:val="top"/>
                </w:tcPr>
                <w:p w14:paraId="6E85C0D1">
                  <w:pPr>
                    <w:autoSpaceDE w:val="0"/>
                    <w:autoSpaceDN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superscript"/>
                    </w:rPr>
                    <w:t>a</w:t>
                  </w:r>
                  <w:r>
                    <w:rPr>
                      <w:rFonts w:hint="default" w:ascii="Times New Roman" w:hAnsi="Times New Roman" w:eastAsia="宋体" w:cs="Times New Roman"/>
                      <w:color w:val="auto"/>
                      <w:kern w:val="0"/>
                      <w:sz w:val="21"/>
                      <w:szCs w:val="21"/>
                      <w:highlight w:val="none"/>
                    </w:rPr>
                    <w:t>是相对于详细评价工作内容而言，在描述危险物质、环境影响途径、环境危害后果、风险防范措施等方面给出定性的说明。见附录A。</w:t>
                  </w:r>
                </w:p>
              </w:tc>
            </w:tr>
          </w:tbl>
          <w:p w14:paraId="196B2CE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w w:val="100"/>
                <w:kern w:val="2"/>
                <w:sz w:val="24"/>
                <w:szCs w:val="24"/>
                <w:highlight w:val="none"/>
                <w:lang w:val="en-US" w:eastAsia="zh-CN" w:bidi="ar"/>
              </w:rPr>
            </w:pPr>
            <w:r>
              <w:rPr>
                <w:rFonts w:hint="default" w:ascii="Times New Roman" w:hAnsi="Times New Roman" w:eastAsia="宋体" w:cs="Times New Roman"/>
                <w:color w:val="auto"/>
                <w:w w:val="100"/>
                <w:kern w:val="2"/>
                <w:sz w:val="24"/>
                <w:szCs w:val="24"/>
                <w:highlight w:val="none"/>
                <w:lang w:val="en-US" w:bidi="ar"/>
              </w:rPr>
              <w:t>根据上表的等级划分，确定项目的环境风险评价工作等级为简单分析</w:t>
            </w:r>
            <w:r>
              <w:rPr>
                <w:rFonts w:hint="default" w:ascii="Times New Roman" w:hAnsi="Times New Roman" w:eastAsia="宋体" w:cs="Times New Roman"/>
                <w:color w:val="auto"/>
                <w:w w:val="100"/>
                <w:kern w:val="2"/>
                <w:sz w:val="24"/>
                <w:szCs w:val="24"/>
                <w:highlight w:val="none"/>
                <w:lang w:val="en-US" w:eastAsia="zh-CN" w:bidi="ar"/>
              </w:rPr>
              <w:t>。</w:t>
            </w:r>
          </w:p>
          <w:p w14:paraId="68256E86">
            <w:pPr>
              <w:pStyle w:val="2"/>
              <w:keepNext w:val="0"/>
              <w:keepLines w:val="0"/>
              <w:pageBreakBefore w:val="0"/>
              <w:widowControl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综上所述，本项目无重大风险源。在加强厂区风险管理、制定事故应急预案的基础上，事故发生概率较低。基于完善风险防范措施和应急预案的前提下，本项目环境风险可防控</w:t>
            </w:r>
            <w:r>
              <w:rPr>
                <w:rFonts w:hint="eastAsia" w:ascii="Times New Roman" w:hAnsi="Times New Roman" w:eastAsia="宋体" w:cs="Times New Roman"/>
                <w:color w:val="auto"/>
                <w:sz w:val="24"/>
                <w:szCs w:val="24"/>
                <w:highlight w:val="none"/>
                <w:lang w:val="en-US" w:eastAsia="zh-CN"/>
              </w:rPr>
              <w:t>。</w:t>
            </w:r>
          </w:p>
          <w:p w14:paraId="33E81130">
            <w:pPr>
              <w:ind w:firstLine="420" w:firstLineChars="200"/>
              <w:rPr>
                <w:rFonts w:hint="default"/>
                <w:color w:val="auto"/>
                <w:highlight w:val="none"/>
                <w:lang w:val="en-US" w:eastAsia="zh-CN"/>
              </w:rPr>
            </w:pPr>
          </w:p>
        </w:tc>
      </w:tr>
    </w:tbl>
    <w:p w14:paraId="131D41E0">
      <w:pPr>
        <w:adjustRightInd w:val="0"/>
        <w:snapToGrid w:val="0"/>
        <w:spacing w:line="360" w:lineRule="auto"/>
        <w:rPr>
          <w:rFonts w:hint="eastAsia" w:ascii="宋体" w:cs="宋体"/>
          <w:b/>
          <w:color w:val="auto"/>
          <w:kern w:val="0"/>
          <w:sz w:val="28"/>
          <w:szCs w:val="28"/>
          <w:highlight w:val="none"/>
        </w:rPr>
        <w:sectPr>
          <w:pgSz w:w="11907" w:h="16840"/>
          <w:pgMar w:top="1701" w:right="1531" w:bottom="2127" w:left="1531" w:header="851" w:footer="851" w:gutter="0"/>
          <w:cols w:space="720" w:num="1"/>
          <w:docGrid w:linePitch="312" w:charSpace="0"/>
        </w:sectPr>
      </w:pPr>
    </w:p>
    <w:p w14:paraId="58D8D78A">
      <w:pPr>
        <w:pStyle w:val="14"/>
        <w:numPr>
          <w:ilvl w:val="0"/>
          <w:numId w:val="8"/>
        </w:numPr>
        <w:jc w:val="center"/>
        <w:outlineLvl w:val="0"/>
        <w:rPr>
          <w:rFonts w:hint="eastAsia" w:ascii="黑体" w:hAnsi="黑体" w:eastAsia="黑体"/>
          <w:snapToGrid w:val="0"/>
          <w:color w:val="auto"/>
          <w:sz w:val="30"/>
          <w:szCs w:val="30"/>
          <w:highlight w:val="none"/>
        </w:rPr>
      </w:pPr>
      <w:bookmarkStart w:id="5" w:name="_Hlk54167917"/>
      <w:r>
        <w:rPr>
          <w:rFonts w:hint="eastAsia" w:ascii="黑体" w:hAnsi="黑体" w:eastAsia="黑体"/>
          <w:snapToGrid w:val="0"/>
          <w:color w:val="auto"/>
          <w:sz w:val="30"/>
          <w:szCs w:val="30"/>
          <w:highlight w:val="none"/>
        </w:rPr>
        <w:t>环境保护措施监督检查清单</w:t>
      </w:r>
      <w:bookmarkEnd w:id="5"/>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675"/>
        <w:gridCol w:w="675"/>
        <w:gridCol w:w="1365"/>
        <w:gridCol w:w="1845"/>
        <w:gridCol w:w="2757"/>
      </w:tblGrid>
      <w:tr w14:paraId="04400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83" w:type="dxa"/>
            <w:tcBorders>
              <w:tl2br w:val="single" w:color="auto" w:sz="4" w:space="0"/>
            </w:tcBorders>
            <w:noWrap w:val="0"/>
            <w:vAlign w:val="top"/>
          </w:tcPr>
          <w:p w14:paraId="696F9C4E">
            <w:pPr>
              <w:adjustRightInd w:val="0"/>
              <w:snapToGrid w:val="0"/>
              <w:ind w:firstLine="84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59796EF3">
            <w:pPr>
              <w:adjustRightInd w:val="0"/>
              <w:snapToGrid w:val="0"/>
              <w:rPr>
                <w:rFonts w:hint="default" w:ascii="Times New Roman" w:hAnsi="Times New Roman" w:eastAsia="宋体" w:cs="Times New Roman"/>
                <w:b/>
                <w:bCs/>
                <w:color w:val="auto"/>
                <w:sz w:val="21"/>
                <w:szCs w:val="21"/>
                <w:highlight w:val="none"/>
              </w:rPr>
            </w:pPr>
          </w:p>
          <w:p w14:paraId="5A796AD3">
            <w:pPr>
              <w:adjustRightInd w:val="0"/>
              <w:snapToGrid w:val="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350" w:type="dxa"/>
            <w:gridSpan w:val="2"/>
            <w:noWrap w:val="0"/>
            <w:vAlign w:val="center"/>
          </w:tcPr>
          <w:p w14:paraId="5B9D9531">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排放口(编号、名称)/污染源</w:t>
            </w:r>
          </w:p>
        </w:tc>
        <w:tc>
          <w:tcPr>
            <w:tcW w:w="1365" w:type="dxa"/>
            <w:noWrap w:val="0"/>
            <w:vAlign w:val="center"/>
          </w:tcPr>
          <w:p w14:paraId="5944788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14:paraId="57F386B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845" w:type="dxa"/>
            <w:noWrap w:val="0"/>
            <w:vAlign w:val="center"/>
          </w:tcPr>
          <w:p w14:paraId="00BF2D0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757" w:type="dxa"/>
            <w:noWrap w:val="0"/>
            <w:vAlign w:val="center"/>
          </w:tcPr>
          <w:p w14:paraId="754BC9B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6075E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5" w:hRule="atLeast"/>
          <w:jc w:val="center"/>
        </w:trPr>
        <w:tc>
          <w:tcPr>
            <w:tcW w:w="1483" w:type="dxa"/>
            <w:vMerge w:val="restart"/>
            <w:noWrap w:val="0"/>
            <w:vAlign w:val="center"/>
          </w:tcPr>
          <w:p w14:paraId="58C27DE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1350" w:type="dxa"/>
            <w:gridSpan w:val="2"/>
            <w:noWrap w:val="0"/>
            <w:vAlign w:val="center"/>
          </w:tcPr>
          <w:p w14:paraId="338D779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J1</w:t>
            </w:r>
          </w:p>
          <w:p w14:paraId="5B6EA24D">
            <w:pPr>
              <w:pStyle w:val="13"/>
              <w:ind w:left="0" w:lef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熔化</w:t>
            </w:r>
          </w:p>
        </w:tc>
        <w:tc>
          <w:tcPr>
            <w:tcW w:w="1365" w:type="dxa"/>
            <w:noWrap w:val="0"/>
            <w:vAlign w:val="center"/>
          </w:tcPr>
          <w:p w14:paraId="38D8CB19">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1845" w:type="dxa"/>
            <w:vMerge w:val="restart"/>
            <w:noWrap w:val="0"/>
            <w:vAlign w:val="center"/>
          </w:tcPr>
          <w:p w14:paraId="1DB2782B">
            <w:pPr>
              <w:adjustRightInd w:val="0"/>
              <w:snapToGrid w:val="0"/>
              <w:jc w:val="center"/>
              <w:rPr>
                <w:rFonts w:hint="default" w:ascii="Times New Roman" w:hAnsi="Times New Roman" w:eastAsia="宋体" w:cs="Times New Roman"/>
                <w:bCs/>
                <w:color w:val="auto"/>
                <w:spacing w:val="-10"/>
                <w:sz w:val="21"/>
                <w:szCs w:val="21"/>
                <w:highlight w:val="none"/>
              </w:rPr>
            </w:pP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米高排气筒排放</w:t>
            </w:r>
          </w:p>
        </w:tc>
        <w:tc>
          <w:tcPr>
            <w:tcW w:w="2757" w:type="dxa"/>
            <w:tcBorders>
              <w:bottom w:val="single" w:color="000000" w:sz="6" w:space="0"/>
            </w:tcBorders>
            <w:noWrap w:val="0"/>
            <w:vAlign w:val="center"/>
          </w:tcPr>
          <w:p w14:paraId="1DA2A30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《铸造工业大气污染物排放标准》（GB39726-2020）表1中排放浓度限值同时满足关于印发《承德市工业炉窑综合治理实施方案》的通知（承环办〔2020〕72号）中相关排放标准要求</w:t>
            </w:r>
          </w:p>
        </w:tc>
      </w:tr>
      <w:tr w14:paraId="790C0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483" w:type="dxa"/>
            <w:vMerge w:val="continue"/>
            <w:noWrap w:val="0"/>
            <w:vAlign w:val="center"/>
          </w:tcPr>
          <w:p w14:paraId="0AEAF558">
            <w:pPr>
              <w:adjustRightInd w:val="0"/>
              <w:snapToGrid w:val="0"/>
              <w:jc w:val="center"/>
              <w:rPr>
                <w:color w:val="auto"/>
                <w:highlight w:val="none"/>
              </w:rPr>
            </w:pPr>
          </w:p>
        </w:tc>
        <w:tc>
          <w:tcPr>
            <w:tcW w:w="675" w:type="dxa"/>
            <w:vMerge w:val="restart"/>
            <w:noWrap w:val="0"/>
            <w:vAlign w:val="center"/>
          </w:tcPr>
          <w:p w14:paraId="1A0C3CC3">
            <w:pPr>
              <w:pStyle w:val="13"/>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J2</w:t>
            </w:r>
          </w:p>
        </w:tc>
        <w:tc>
          <w:tcPr>
            <w:tcW w:w="675" w:type="dxa"/>
            <w:vMerge w:val="restart"/>
            <w:noWrap w:val="0"/>
            <w:vAlign w:val="center"/>
          </w:tcPr>
          <w:p w14:paraId="22222901">
            <w:pPr>
              <w:pStyle w:val="13"/>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浇注废气</w:t>
            </w:r>
          </w:p>
        </w:tc>
        <w:tc>
          <w:tcPr>
            <w:tcW w:w="1365" w:type="dxa"/>
            <w:noWrap w:val="0"/>
            <w:vAlign w:val="center"/>
          </w:tcPr>
          <w:p w14:paraId="0507AA84">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颗粒物</w:t>
            </w:r>
          </w:p>
        </w:tc>
        <w:tc>
          <w:tcPr>
            <w:tcW w:w="1845" w:type="dxa"/>
            <w:vMerge w:val="restart"/>
            <w:noWrap w:val="0"/>
            <w:vAlign w:val="center"/>
          </w:tcPr>
          <w:p w14:paraId="4C8FF9B2">
            <w:pPr>
              <w:adjustRightInd w:val="0"/>
              <w:snapToGrid w:val="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光氧管</w:t>
            </w:r>
            <w:r>
              <w:rPr>
                <w:rFonts w:hint="default" w:ascii="Times New Roman" w:hAnsi="Times New Roman" w:eastAsia="宋体" w:cs="Times New Roman"/>
                <w:color w:val="auto"/>
                <w:sz w:val="21"/>
                <w:szCs w:val="21"/>
                <w:highlight w:val="none"/>
              </w:rPr>
              <w:t>装置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米高排气筒排放</w:t>
            </w:r>
          </w:p>
        </w:tc>
        <w:tc>
          <w:tcPr>
            <w:tcW w:w="2757" w:type="dxa"/>
            <w:noWrap w:val="0"/>
            <w:vAlign w:val="center"/>
          </w:tcPr>
          <w:p w14:paraId="01E246F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《铸造工业大气污染物排放标准》（GB39726-2020）表1中排放浓度限值同时满足关于印发《承德市工业炉窑综合治理实施方案》的通知（承环办〔2020〕72号）中相关排放标准要求</w:t>
            </w:r>
          </w:p>
        </w:tc>
      </w:tr>
      <w:tr w14:paraId="63A9F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483" w:type="dxa"/>
            <w:vMerge w:val="continue"/>
            <w:noWrap w:val="0"/>
            <w:vAlign w:val="center"/>
          </w:tcPr>
          <w:p w14:paraId="7C6F58F9">
            <w:pPr>
              <w:adjustRightInd w:val="0"/>
              <w:snapToGrid w:val="0"/>
              <w:jc w:val="center"/>
              <w:rPr>
                <w:color w:val="auto"/>
                <w:highlight w:val="none"/>
              </w:rPr>
            </w:pPr>
          </w:p>
        </w:tc>
        <w:tc>
          <w:tcPr>
            <w:tcW w:w="675" w:type="dxa"/>
            <w:vMerge w:val="continue"/>
            <w:noWrap w:val="0"/>
            <w:vAlign w:val="center"/>
          </w:tcPr>
          <w:p w14:paraId="31996F7F">
            <w:pPr>
              <w:adjustRightInd w:val="0"/>
              <w:snapToGrid w:val="0"/>
              <w:jc w:val="center"/>
              <w:rPr>
                <w:color w:val="auto"/>
                <w:highlight w:val="none"/>
              </w:rPr>
            </w:pPr>
          </w:p>
        </w:tc>
        <w:tc>
          <w:tcPr>
            <w:tcW w:w="675" w:type="dxa"/>
            <w:vMerge w:val="continue"/>
            <w:noWrap w:val="0"/>
            <w:vAlign w:val="center"/>
          </w:tcPr>
          <w:p w14:paraId="7C399261">
            <w:pPr>
              <w:adjustRightInd w:val="0"/>
              <w:snapToGrid w:val="0"/>
              <w:jc w:val="center"/>
              <w:rPr>
                <w:color w:val="auto"/>
                <w:highlight w:val="none"/>
              </w:rPr>
            </w:pPr>
          </w:p>
        </w:tc>
        <w:tc>
          <w:tcPr>
            <w:tcW w:w="1365" w:type="dxa"/>
            <w:noWrap w:val="0"/>
            <w:vAlign w:val="center"/>
          </w:tcPr>
          <w:p w14:paraId="21014C7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非甲烷总烃</w:t>
            </w:r>
          </w:p>
        </w:tc>
        <w:tc>
          <w:tcPr>
            <w:tcW w:w="1845" w:type="dxa"/>
            <w:vMerge w:val="continue"/>
            <w:noWrap w:val="0"/>
            <w:vAlign w:val="center"/>
          </w:tcPr>
          <w:p w14:paraId="0BCBD71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p>
        </w:tc>
        <w:tc>
          <w:tcPr>
            <w:tcW w:w="2757" w:type="dxa"/>
            <w:tcBorders>
              <w:bottom w:val="single" w:color="000000" w:sz="6" w:space="0"/>
            </w:tcBorders>
            <w:noWrap w:val="0"/>
            <w:vAlign w:val="center"/>
          </w:tcPr>
          <w:p w14:paraId="6399FABA">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《工业企业挥发性有机物排放控制标准》（DB13/2322-2016）表1其他行业最高允许排放浓度限值</w:t>
            </w:r>
          </w:p>
        </w:tc>
      </w:tr>
      <w:tr w14:paraId="673D8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483" w:type="dxa"/>
            <w:vMerge w:val="continue"/>
            <w:noWrap w:val="0"/>
            <w:vAlign w:val="center"/>
          </w:tcPr>
          <w:p w14:paraId="5E08D472">
            <w:pPr>
              <w:adjustRightInd w:val="0"/>
              <w:snapToGrid w:val="0"/>
              <w:jc w:val="center"/>
              <w:rPr>
                <w:color w:val="auto"/>
                <w:highlight w:val="none"/>
              </w:rPr>
            </w:pPr>
          </w:p>
        </w:tc>
        <w:tc>
          <w:tcPr>
            <w:tcW w:w="675" w:type="dxa"/>
            <w:vMerge w:val="continue"/>
            <w:noWrap w:val="0"/>
            <w:vAlign w:val="center"/>
          </w:tcPr>
          <w:p w14:paraId="61D35630">
            <w:pPr>
              <w:pStyle w:val="13"/>
              <w:ind w:left="0" w:leftChars="0"/>
              <w:jc w:val="center"/>
              <w:rPr>
                <w:rFonts w:hint="default" w:ascii="Times New Roman" w:hAnsi="Times New Roman" w:eastAsia="宋体" w:cs="Times New Roman"/>
                <w:color w:val="auto"/>
                <w:sz w:val="21"/>
                <w:szCs w:val="21"/>
                <w:highlight w:val="none"/>
              </w:rPr>
            </w:pPr>
          </w:p>
        </w:tc>
        <w:tc>
          <w:tcPr>
            <w:tcW w:w="675" w:type="dxa"/>
            <w:noWrap w:val="0"/>
            <w:vAlign w:val="center"/>
          </w:tcPr>
          <w:p w14:paraId="78160FCA">
            <w:pPr>
              <w:pStyle w:val="13"/>
              <w:ind w:left="0" w:lef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砂处理</w:t>
            </w:r>
            <w:r>
              <w:rPr>
                <w:rFonts w:hint="default" w:ascii="Times New Roman" w:hAnsi="Times New Roman" w:eastAsia="宋体" w:cs="Times New Roman"/>
                <w:color w:val="auto"/>
                <w:sz w:val="21"/>
                <w:szCs w:val="21"/>
                <w:highlight w:val="none"/>
              </w:rPr>
              <w:t>废气</w:t>
            </w:r>
            <w:r>
              <w:rPr>
                <w:rFonts w:hint="eastAsia"/>
                <w:color w:val="auto"/>
                <w:highlight w:val="none"/>
                <w:lang w:val="en-US" w:eastAsia="zh-CN"/>
              </w:rPr>
              <w:t>、混砂废气</w:t>
            </w:r>
          </w:p>
        </w:tc>
        <w:tc>
          <w:tcPr>
            <w:tcW w:w="1365" w:type="dxa"/>
            <w:noWrap w:val="0"/>
            <w:vAlign w:val="center"/>
          </w:tcPr>
          <w:p w14:paraId="347EB714">
            <w:pPr>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颗粒物</w:t>
            </w:r>
          </w:p>
        </w:tc>
        <w:tc>
          <w:tcPr>
            <w:tcW w:w="1845" w:type="dxa"/>
            <w:noWrap w:val="0"/>
            <w:vAlign w:val="center"/>
          </w:tcPr>
          <w:p w14:paraId="4F732AD5">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脉冲布袋除尘器</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米高排气筒排放</w:t>
            </w:r>
          </w:p>
        </w:tc>
        <w:tc>
          <w:tcPr>
            <w:tcW w:w="2757" w:type="dxa"/>
            <w:tcBorders>
              <w:bottom w:val="single" w:color="000000" w:sz="6" w:space="0"/>
            </w:tcBorders>
            <w:noWrap w:val="0"/>
            <w:vAlign w:val="center"/>
          </w:tcPr>
          <w:p w14:paraId="5BEF65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《铸造工业大气污染物排放标准》（GB39726-2020）表1中排放浓度限值同时满足关于印发《承德市工业炉窑综合治理实施方案》的通知（承环办〔2020〕72号）中相关排放标准要求</w:t>
            </w:r>
          </w:p>
        </w:tc>
      </w:tr>
      <w:tr w14:paraId="428DC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483" w:type="dxa"/>
            <w:vMerge w:val="continue"/>
            <w:noWrap w:val="0"/>
            <w:vAlign w:val="center"/>
          </w:tcPr>
          <w:p w14:paraId="517F2F52">
            <w:pPr>
              <w:adjustRightInd w:val="0"/>
              <w:snapToGrid w:val="0"/>
              <w:jc w:val="center"/>
              <w:rPr>
                <w:color w:val="auto"/>
                <w:highlight w:val="none"/>
              </w:rPr>
            </w:pPr>
          </w:p>
        </w:tc>
        <w:tc>
          <w:tcPr>
            <w:tcW w:w="1350" w:type="dxa"/>
            <w:gridSpan w:val="2"/>
            <w:noWrap w:val="0"/>
            <w:vAlign w:val="center"/>
          </w:tcPr>
          <w:p w14:paraId="72AE9563">
            <w:pPr>
              <w:adjustRightInd w:val="0"/>
              <w:snapToGrid w:val="0"/>
              <w:jc w:val="center"/>
              <w:rPr>
                <w:rFonts w:hint="default"/>
                <w:color w:val="auto"/>
                <w:highlight w:val="none"/>
                <w:lang w:val="en-US" w:eastAsia="zh-CN"/>
              </w:rPr>
            </w:pPr>
            <w:r>
              <w:rPr>
                <w:rFonts w:hint="eastAsia"/>
                <w:color w:val="auto"/>
                <w:highlight w:val="none"/>
                <w:lang w:val="en-US" w:eastAsia="zh-CN"/>
              </w:rPr>
              <w:t>P8</w:t>
            </w:r>
          </w:p>
          <w:p w14:paraId="40E29B80">
            <w:pPr>
              <w:adjustRightInd w:val="0"/>
              <w:snapToGrid w:val="0"/>
              <w:jc w:val="center"/>
              <w:rPr>
                <w:rFonts w:hint="default"/>
                <w:color w:val="auto"/>
                <w:highlight w:val="none"/>
                <w:lang w:val="en-US" w:eastAsia="zh-CN"/>
              </w:rPr>
            </w:pPr>
            <w:r>
              <w:rPr>
                <w:rFonts w:hint="eastAsia"/>
                <w:color w:val="auto"/>
                <w:highlight w:val="none"/>
                <w:lang w:val="en-US" w:eastAsia="zh-CN"/>
              </w:rPr>
              <w:t>抛丸废气</w:t>
            </w:r>
          </w:p>
        </w:tc>
        <w:tc>
          <w:tcPr>
            <w:tcW w:w="1365" w:type="dxa"/>
            <w:noWrap w:val="0"/>
            <w:vAlign w:val="center"/>
          </w:tcPr>
          <w:p w14:paraId="5022E606">
            <w:pPr>
              <w:adjustRightInd w:val="0"/>
              <w:snapToGrid w:val="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颗粒物</w:t>
            </w:r>
          </w:p>
        </w:tc>
        <w:tc>
          <w:tcPr>
            <w:tcW w:w="1845" w:type="dxa"/>
            <w:noWrap w:val="0"/>
            <w:vAlign w:val="center"/>
          </w:tcPr>
          <w:p w14:paraId="3B85C7B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米高排气筒排</w:t>
            </w:r>
            <w:r>
              <w:rPr>
                <w:rFonts w:hint="eastAsia" w:ascii="Times New Roman" w:hAnsi="Times New Roman" w:eastAsia="宋体" w:cs="Times New Roman"/>
                <w:color w:val="auto"/>
                <w:sz w:val="21"/>
                <w:szCs w:val="21"/>
                <w:highlight w:val="none"/>
                <w:lang w:eastAsia="zh-CN"/>
              </w:rPr>
              <w:t>放</w:t>
            </w:r>
          </w:p>
        </w:tc>
        <w:tc>
          <w:tcPr>
            <w:tcW w:w="2757" w:type="dxa"/>
            <w:tcBorders>
              <w:bottom w:val="single" w:color="000000" w:sz="6" w:space="0"/>
            </w:tcBorders>
            <w:noWrap w:val="0"/>
            <w:vAlign w:val="center"/>
          </w:tcPr>
          <w:p w14:paraId="5C54F265">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《铸造工业大气污染物排放</w:t>
            </w:r>
          </w:p>
          <w:p w14:paraId="4189BA1F">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标准》（GB39726-2020）表</w:t>
            </w:r>
          </w:p>
          <w:p w14:paraId="7A388955">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 中排放浓度限值同时满足</w:t>
            </w:r>
          </w:p>
          <w:p w14:paraId="09980104">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关于印发《承德市工业炉窑</w:t>
            </w:r>
          </w:p>
          <w:p w14:paraId="26F22259">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综合治理实施方案》的通知</w:t>
            </w:r>
          </w:p>
          <w:p w14:paraId="6CCA458B">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（承环办〔2020〕72号）中</w:t>
            </w:r>
          </w:p>
          <w:p w14:paraId="55A5D946">
            <w:pPr>
              <w:wordWrap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相关排放标准要求</w:t>
            </w:r>
          </w:p>
        </w:tc>
      </w:tr>
      <w:tr w14:paraId="7C4C1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83" w:type="dxa"/>
            <w:vMerge w:val="restart"/>
            <w:noWrap w:val="0"/>
            <w:vAlign w:val="center"/>
          </w:tcPr>
          <w:p w14:paraId="5B23421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350" w:type="dxa"/>
            <w:gridSpan w:val="2"/>
            <w:noWrap w:val="0"/>
            <w:vAlign w:val="center"/>
          </w:tcPr>
          <w:p w14:paraId="0243312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电炉冷却用水</w:t>
            </w:r>
          </w:p>
        </w:tc>
        <w:tc>
          <w:tcPr>
            <w:tcW w:w="1365" w:type="dxa"/>
            <w:noWrap w:val="0"/>
            <w:vAlign w:val="center"/>
          </w:tcPr>
          <w:p w14:paraId="2FCE766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845" w:type="dxa"/>
            <w:tcBorders>
              <w:bottom w:val="single" w:color="000000" w:sz="6" w:space="0"/>
            </w:tcBorders>
            <w:noWrap w:val="0"/>
            <w:vAlign w:val="center"/>
          </w:tcPr>
          <w:p w14:paraId="730F658A">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电炉冷却用水</w:t>
            </w:r>
            <w:r>
              <w:rPr>
                <w:rFonts w:hint="eastAsia" w:cs="Times New Roman"/>
                <w:color w:val="auto"/>
                <w:sz w:val="21"/>
                <w:szCs w:val="21"/>
                <w:highlight w:val="none"/>
                <w:lang w:eastAsia="zh-CN"/>
              </w:rPr>
              <w:t>部分蒸发，剩余</w:t>
            </w:r>
            <w:r>
              <w:rPr>
                <w:rFonts w:hint="default" w:ascii="Times New Roman" w:hAnsi="Times New Roman" w:eastAsia="宋体" w:cs="Times New Roman"/>
                <w:color w:val="auto"/>
                <w:sz w:val="21"/>
                <w:szCs w:val="21"/>
                <w:highlight w:val="none"/>
              </w:rPr>
              <w:t>循环利用；</w:t>
            </w:r>
          </w:p>
        </w:tc>
        <w:tc>
          <w:tcPr>
            <w:tcW w:w="2757" w:type="dxa"/>
            <w:tcBorders>
              <w:bottom w:val="single" w:color="000000" w:sz="6" w:space="0"/>
            </w:tcBorders>
            <w:noWrap w:val="0"/>
            <w:vAlign w:val="center"/>
          </w:tcPr>
          <w:p w14:paraId="1BD6432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w:t>
            </w:r>
          </w:p>
        </w:tc>
      </w:tr>
      <w:tr w14:paraId="36B90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83" w:type="dxa"/>
            <w:vMerge w:val="continue"/>
            <w:noWrap w:val="0"/>
            <w:vAlign w:val="center"/>
          </w:tcPr>
          <w:p w14:paraId="7B8457D3">
            <w:pPr>
              <w:adjustRightInd w:val="0"/>
              <w:snapToGrid w:val="0"/>
              <w:jc w:val="center"/>
              <w:rPr>
                <w:rFonts w:hint="default" w:ascii="Times New Roman" w:hAnsi="Times New Roman" w:eastAsia="宋体" w:cs="Times New Roman"/>
                <w:color w:val="auto"/>
                <w:sz w:val="21"/>
                <w:szCs w:val="21"/>
                <w:highlight w:val="none"/>
              </w:rPr>
            </w:pPr>
          </w:p>
        </w:tc>
        <w:tc>
          <w:tcPr>
            <w:tcW w:w="1350" w:type="dxa"/>
            <w:gridSpan w:val="2"/>
            <w:noWrap w:val="0"/>
            <w:vAlign w:val="center"/>
          </w:tcPr>
          <w:p w14:paraId="3EAB8999">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淬火池用水</w:t>
            </w:r>
          </w:p>
        </w:tc>
        <w:tc>
          <w:tcPr>
            <w:tcW w:w="1365" w:type="dxa"/>
            <w:noWrap w:val="0"/>
            <w:vAlign w:val="center"/>
          </w:tcPr>
          <w:p w14:paraId="126580A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1845" w:type="dxa"/>
            <w:tcBorders>
              <w:bottom w:val="single" w:color="000000" w:sz="6" w:space="0"/>
            </w:tcBorders>
            <w:noWrap w:val="0"/>
            <w:vAlign w:val="center"/>
          </w:tcPr>
          <w:p w14:paraId="0DA31DFB">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蒸发损耗</w:t>
            </w:r>
          </w:p>
        </w:tc>
        <w:tc>
          <w:tcPr>
            <w:tcW w:w="2757" w:type="dxa"/>
            <w:tcBorders>
              <w:bottom w:val="single" w:color="000000" w:sz="6" w:space="0"/>
            </w:tcBorders>
            <w:noWrap w:val="0"/>
            <w:vAlign w:val="center"/>
          </w:tcPr>
          <w:p w14:paraId="3B974A5A">
            <w:pPr>
              <w:adjustRightInd w:val="0"/>
              <w:snapToGrid w:val="0"/>
              <w:jc w:val="center"/>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r>
      <w:tr w14:paraId="70139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83" w:type="dxa"/>
            <w:vMerge w:val="continue"/>
            <w:noWrap w:val="0"/>
            <w:vAlign w:val="center"/>
          </w:tcPr>
          <w:p w14:paraId="3A833EB7">
            <w:pPr>
              <w:adjustRightInd w:val="0"/>
              <w:snapToGrid w:val="0"/>
              <w:jc w:val="center"/>
              <w:rPr>
                <w:rFonts w:hint="default" w:ascii="Times New Roman" w:hAnsi="Times New Roman" w:eastAsia="宋体" w:cs="Times New Roman"/>
                <w:color w:val="auto"/>
                <w:sz w:val="21"/>
                <w:szCs w:val="21"/>
                <w:highlight w:val="none"/>
              </w:rPr>
            </w:pPr>
          </w:p>
        </w:tc>
        <w:tc>
          <w:tcPr>
            <w:tcW w:w="1350" w:type="dxa"/>
            <w:gridSpan w:val="2"/>
            <w:noWrap w:val="0"/>
            <w:vAlign w:val="center"/>
          </w:tcPr>
          <w:p w14:paraId="584EF629">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生活污水</w:t>
            </w:r>
          </w:p>
        </w:tc>
        <w:tc>
          <w:tcPr>
            <w:tcW w:w="1365" w:type="dxa"/>
            <w:noWrap w:val="0"/>
            <w:vAlign w:val="center"/>
          </w:tcPr>
          <w:p w14:paraId="4134B7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COD、SS、氨氮</w:t>
            </w:r>
          </w:p>
        </w:tc>
        <w:tc>
          <w:tcPr>
            <w:tcW w:w="1845" w:type="dxa"/>
            <w:tcBorders>
              <w:bottom w:val="single" w:color="000000" w:sz="6" w:space="0"/>
            </w:tcBorders>
            <w:noWrap w:val="0"/>
            <w:vAlign w:val="center"/>
          </w:tcPr>
          <w:p w14:paraId="42807B37">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经</w:t>
            </w:r>
            <w:r>
              <w:rPr>
                <w:rFonts w:hint="eastAsia" w:ascii="Times New Roman" w:hAnsi="Times New Roman" w:eastAsia="宋体" w:cs="Times New Roman"/>
                <w:color w:val="auto"/>
                <w:sz w:val="21"/>
                <w:szCs w:val="21"/>
                <w:highlight w:val="none"/>
                <w:lang w:val="en-US" w:eastAsia="zh-CN"/>
              </w:rPr>
              <w:t>厂区化粪池预处理后，定期由环卫部门抽取</w:t>
            </w:r>
          </w:p>
        </w:tc>
        <w:tc>
          <w:tcPr>
            <w:tcW w:w="2757" w:type="dxa"/>
            <w:tcBorders>
              <w:bottom w:val="single" w:color="000000" w:sz="6" w:space="0"/>
            </w:tcBorders>
            <w:noWrap w:val="0"/>
            <w:vAlign w:val="center"/>
          </w:tcPr>
          <w:p w14:paraId="59BD70EC">
            <w:pPr>
              <w:adjustRightInd w:val="0"/>
              <w:snapToGrid w:val="0"/>
              <w:jc w:val="center"/>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r>
      <w:tr w14:paraId="2B780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483" w:type="dxa"/>
            <w:noWrap w:val="0"/>
            <w:vAlign w:val="center"/>
          </w:tcPr>
          <w:p w14:paraId="671D68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350" w:type="dxa"/>
            <w:gridSpan w:val="2"/>
            <w:noWrap w:val="0"/>
            <w:vAlign w:val="center"/>
          </w:tcPr>
          <w:p w14:paraId="0E83B19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w:t>
            </w:r>
          </w:p>
        </w:tc>
        <w:tc>
          <w:tcPr>
            <w:tcW w:w="1365" w:type="dxa"/>
            <w:noWrap w:val="0"/>
            <w:vAlign w:val="center"/>
          </w:tcPr>
          <w:p w14:paraId="5B180EC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845" w:type="dxa"/>
            <w:noWrap w:val="0"/>
            <w:vAlign w:val="center"/>
          </w:tcPr>
          <w:p w14:paraId="123A391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车间封闭、基础减震等</w:t>
            </w:r>
          </w:p>
        </w:tc>
        <w:tc>
          <w:tcPr>
            <w:tcW w:w="2757" w:type="dxa"/>
            <w:noWrap w:val="0"/>
            <w:vAlign w:val="center"/>
          </w:tcPr>
          <w:p w14:paraId="5465C9E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r>
              <w:rPr>
                <w:rFonts w:hint="eastAsia" w:cs="Times New Roman"/>
                <w:color w:val="auto"/>
                <w:sz w:val="21"/>
                <w:szCs w:val="21"/>
                <w:highlight w:val="none"/>
                <w:lang w:eastAsia="zh-CN"/>
              </w:rPr>
              <w:t>和</w:t>
            </w:r>
            <w:r>
              <w:rPr>
                <w:rFonts w:hint="eastAsia" w:cs="Times New Roman"/>
                <w:color w:val="auto"/>
                <w:sz w:val="21"/>
                <w:szCs w:val="21"/>
                <w:highlight w:val="none"/>
                <w:lang w:val="en-US" w:eastAsia="zh-CN"/>
              </w:rPr>
              <w:t>4类</w:t>
            </w:r>
            <w:r>
              <w:rPr>
                <w:rFonts w:hint="default" w:ascii="Times New Roman" w:hAnsi="Times New Roman" w:eastAsia="宋体" w:cs="Times New Roman"/>
                <w:color w:val="auto"/>
                <w:sz w:val="21"/>
                <w:szCs w:val="21"/>
                <w:highlight w:val="none"/>
              </w:rPr>
              <w:t>标准要求；</w:t>
            </w:r>
          </w:p>
        </w:tc>
      </w:tr>
      <w:tr w14:paraId="1CB32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1483" w:type="dxa"/>
            <w:noWrap w:val="0"/>
            <w:vAlign w:val="center"/>
          </w:tcPr>
          <w:p w14:paraId="20C5AE3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317" w:type="dxa"/>
            <w:gridSpan w:val="5"/>
            <w:noWrap w:val="0"/>
            <w:vAlign w:val="center"/>
          </w:tcPr>
          <w:p w14:paraId="41A39DC3">
            <w:pPr>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废包装袋</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napToGrid w:val="0"/>
                <w:color w:val="auto"/>
                <w:kern w:val="21"/>
                <w:sz w:val="21"/>
                <w:szCs w:val="21"/>
                <w:highlight w:val="none"/>
                <w:lang w:eastAsia="zh-CN"/>
              </w:rPr>
              <w:t>白膜切割边角料</w:t>
            </w:r>
            <w:r>
              <w:rPr>
                <w:rFonts w:hint="default" w:ascii="Times New Roman" w:hAnsi="Times New Roman" w:eastAsia="宋体" w:cs="Times New Roman"/>
                <w:color w:val="auto"/>
                <w:sz w:val="21"/>
                <w:szCs w:val="21"/>
                <w:highlight w:val="none"/>
              </w:rPr>
              <w:t>交由环卫部门统一处理处置；废砂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炉渣</w:t>
            </w:r>
            <w:r>
              <w:rPr>
                <w:rFonts w:hint="eastAsia" w:ascii="Times New Roman" w:hAnsi="Times New Roman" w:eastAsia="宋体" w:cs="Times New Roman"/>
                <w:color w:val="auto"/>
                <w:sz w:val="21"/>
                <w:szCs w:val="21"/>
                <w:highlight w:val="none"/>
                <w:lang w:eastAsia="zh-CN"/>
              </w:rPr>
              <w:t>、除尘灰</w:t>
            </w:r>
            <w:r>
              <w:rPr>
                <w:rFonts w:hint="default" w:ascii="Times New Roman" w:hAnsi="Times New Roman" w:eastAsia="宋体" w:cs="Times New Roman"/>
                <w:color w:val="auto"/>
                <w:sz w:val="21"/>
                <w:szCs w:val="21"/>
                <w:highlight w:val="none"/>
              </w:rPr>
              <w:t>集中收集、废炉衬，</w:t>
            </w:r>
            <w:r>
              <w:rPr>
                <w:rFonts w:hint="default" w:ascii="Times New Roman" w:hAnsi="Times New Roman" w:eastAsia="宋体" w:cs="Times New Roman"/>
                <w:color w:val="auto"/>
                <w:sz w:val="21"/>
                <w:szCs w:val="21"/>
                <w:highlight w:val="none"/>
                <w:lang w:eastAsia="zh-CN"/>
              </w:rPr>
              <w:t>进行外售</w:t>
            </w:r>
            <w:r>
              <w:rPr>
                <w:rFonts w:hint="default" w:ascii="Times New Roman" w:hAnsi="Times New Roman" w:eastAsia="宋体" w:cs="Times New Roman"/>
                <w:color w:val="auto"/>
                <w:sz w:val="21"/>
                <w:szCs w:val="21"/>
                <w:highlight w:val="none"/>
              </w:rPr>
              <w:t>处理；铁屑、</w:t>
            </w:r>
            <w:r>
              <w:rPr>
                <w:rFonts w:hint="eastAsia" w:ascii="Times New Roman" w:hAnsi="Times New Roman" w:eastAsia="宋体" w:cs="Times New Roman"/>
                <w:color w:val="auto"/>
                <w:sz w:val="21"/>
                <w:szCs w:val="21"/>
                <w:highlight w:val="none"/>
                <w:lang w:eastAsia="zh-CN"/>
              </w:rPr>
              <w:t>下脚料、</w:t>
            </w:r>
            <w:r>
              <w:rPr>
                <w:rFonts w:hint="default" w:ascii="Times New Roman" w:hAnsi="Times New Roman" w:eastAsia="宋体" w:cs="Times New Roman"/>
                <w:color w:val="auto"/>
                <w:sz w:val="21"/>
                <w:szCs w:val="21"/>
                <w:highlight w:val="none"/>
              </w:rPr>
              <w:t>不合格产品返回中频电炉回用生产；企业新建危废间，建筑面积1</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，废润滑油、废油桶</w:t>
            </w:r>
            <w:r>
              <w:rPr>
                <w:rFonts w:hint="eastAsia" w:ascii="Times New Roman" w:hAnsi="Times New Roman" w:eastAsia="宋体" w:cs="Times New Roman"/>
                <w:color w:val="auto"/>
                <w:sz w:val="21"/>
                <w:szCs w:val="21"/>
                <w:highlight w:val="none"/>
                <w:lang w:eastAsia="zh-CN"/>
              </w:rPr>
              <w:t>、铁质废油桶、废光氧催化光管</w:t>
            </w:r>
            <w:r>
              <w:rPr>
                <w:rFonts w:hint="default" w:ascii="Times New Roman" w:hAnsi="Times New Roman" w:eastAsia="宋体" w:cs="Times New Roman"/>
                <w:color w:val="auto"/>
                <w:sz w:val="21"/>
                <w:szCs w:val="21"/>
                <w:highlight w:val="none"/>
              </w:rPr>
              <w:t>暂存于危废间，定期委托承德</w:t>
            </w:r>
            <w:r>
              <w:rPr>
                <w:rFonts w:hint="eastAsia" w:ascii="Times New Roman" w:hAnsi="Times New Roman" w:eastAsia="宋体" w:cs="Times New Roman"/>
                <w:color w:val="auto"/>
                <w:sz w:val="21"/>
                <w:szCs w:val="21"/>
                <w:highlight w:val="none"/>
                <w:lang w:eastAsia="zh-CN"/>
              </w:rPr>
              <w:t>双然</w:t>
            </w:r>
            <w:r>
              <w:rPr>
                <w:rFonts w:hint="default" w:ascii="Times New Roman" w:hAnsi="Times New Roman" w:eastAsia="宋体" w:cs="Times New Roman"/>
                <w:color w:val="auto"/>
                <w:sz w:val="21"/>
                <w:szCs w:val="21"/>
                <w:highlight w:val="none"/>
              </w:rPr>
              <w:t>环保科技公司转运、处置。</w:t>
            </w:r>
          </w:p>
        </w:tc>
      </w:tr>
      <w:tr w14:paraId="61628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1483" w:type="dxa"/>
            <w:noWrap w:val="0"/>
            <w:vAlign w:val="center"/>
          </w:tcPr>
          <w:p w14:paraId="7E4F8BB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w:t>
            </w:r>
          </w:p>
          <w:p w14:paraId="799F2CC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污染防治措施</w:t>
            </w:r>
          </w:p>
        </w:tc>
        <w:tc>
          <w:tcPr>
            <w:tcW w:w="7317" w:type="dxa"/>
            <w:gridSpan w:val="5"/>
            <w:noWrap w:val="0"/>
            <w:vAlign w:val="center"/>
          </w:tcPr>
          <w:p w14:paraId="45E3818C">
            <w:pPr>
              <w:adjustRightInd w:val="0"/>
              <w:snapToGrid w:val="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项目运行过程中无生产废水外排；生活污水</w:t>
            </w:r>
            <w:r>
              <w:rPr>
                <w:rFonts w:hint="default" w:ascii="Times New Roman" w:hAnsi="Times New Roman" w:eastAsia="宋体" w:cs="Times New Roman"/>
                <w:color w:val="auto"/>
                <w:sz w:val="21"/>
                <w:szCs w:val="21"/>
                <w:highlight w:val="none"/>
              </w:rPr>
              <w:t>生活污水</w:t>
            </w:r>
            <w:r>
              <w:rPr>
                <w:rFonts w:hint="eastAsia" w:ascii="Times New Roman" w:hAnsi="Times New Roman" w:eastAsia="宋体" w:cs="Times New Roman"/>
                <w:color w:val="auto"/>
                <w:sz w:val="21"/>
                <w:szCs w:val="21"/>
                <w:highlight w:val="none"/>
                <w:lang w:eastAsia="zh-CN"/>
              </w:rPr>
              <w:t>经</w:t>
            </w:r>
            <w:r>
              <w:rPr>
                <w:rFonts w:hint="eastAsia" w:ascii="Times New Roman" w:hAnsi="Times New Roman" w:eastAsia="宋体" w:cs="Times New Roman"/>
                <w:color w:val="auto"/>
                <w:sz w:val="21"/>
                <w:szCs w:val="21"/>
                <w:highlight w:val="none"/>
                <w:lang w:val="en-US" w:eastAsia="zh-CN"/>
              </w:rPr>
              <w:t>厂区化粪池预处理后，定期由环卫部门抽取</w:t>
            </w:r>
            <w:r>
              <w:rPr>
                <w:rFonts w:hint="default" w:ascii="Times New Roman" w:hAnsi="Times New Roman" w:eastAsia="宋体" w:cs="Times New Roman"/>
                <w:bCs/>
                <w:color w:val="auto"/>
                <w:sz w:val="21"/>
                <w:szCs w:val="21"/>
                <w:highlight w:val="none"/>
              </w:rPr>
              <w:t>。为进一步保护区域地下水和土壤，建设单位采取分区防渗措施，危险废物贮存间为重点防渗区，渗透系数≤10</w:t>
            </w:r>
            <w:r>
              <w:rPr>
                <w:rFonts w:hint="default" w:ascii="Times New Roman" w:hAnsi="Times New Roman" w:eastAsia="宋体" w:cs="Times New Roman"/>
                <w:bCs/>
                <w:color w:val="auto"/>
                <w:sz w:val="21"/>
                <w:szCs w:val="21"/>
                <w:highlight w:val="none"/>
                <w:vertAlign w:val="superscript"/>
              </w:rPr>
              <w:t>-10</w:t>
            </w:r>
            <w:r>
              <w:rPr>
                <w:rFonts w:hint="default" w:ascii="Times New Roman" w:hAnsi="Times New Roman" w:eastAsia="宋体" w:cs="Times New Roman"/>
                <w:bCs/>
                <w:color w:val="auto"/>
                <w:sz w:val="21"/>
                <w:szCs w:val="21"/>
                <w:highlight w:val="none"/>
              </w:rPr>
              <w:t xml:space="preserve"> cm/s；</w:t>
            </w:r>
            <w:r>
              <w:rPr>
                <w:rFonts w:hint="eastAsia" w:ascii="Times New Roman" w:hAnsi="Times New Roman" w:eastAsia="宋体" w:cs="Times New Roman"/>
                <w:bCs/>
                <w:color w:val="auto"/>
                <w:sz w:val="21"/>
                <w:szCs w:val="21"/>
                <w:highlight w:val="none"/>
                <w:lang w:eastAsia="zh-CN"/>
              </w:rPr>
              <w:t>铸造车间</w:t>
            </w:r>
            <w:r>
              <w:rPr>
                <w:rFonts w:hint="default" w:ascii="Times New Roman" w:hAnsi="Times New Roman" w:eastAsia="宋体" w:cs="Times New Roman"/>
                <w:bCs/>
                <w:color w:val="auto"/>
                <w:sz w:val="21"/>
                <w:szCs w:val="21"/>
                <w:highlight w:val="none"/>
              </w:rPr>
              <w:t>为一般防渗区，渗透系数≤10</w:t>
            </w:r>
            <w:r>
              <w:rPr>
                <w:rFonts w:hint="default" w:ascii="Times New Roman" w:hAnsi="Times New Roman" w:eastAsia="宋体" w:cs="Times New Roman"/>
                <w:bCs/>
                <w:color w:val="auto"/>
                <w:sz w:val="21"/>
                <w:szCs w:val="21"/>
                <w:highlight w:val="none"/>
                <w:vertAlign w:val="superscript"/>
              </w:rPr>
              <w:t>-7</w:t>
            </w:r>
            <w:r>
              <w:rPr>
                <w:rFonts w:hint="default" w:ascii="Times New Roman" w:hAnsi="Times New Roman" w:eastAsia="宋体" w:cs="Times New Roman"/>
                <w:bCs/>
                <w:color w:val="auto"/>
                <w:sz w:val="21"/>
                <w:szCs w:val="21"/>
                <w:highlight w:val="none"/>
              </w:rPr>
              <w:t>cm/s 在采取完善的防渗措施后，本项目的建设不会对区域地下水、土壤产生明显影响</w:t>
            </w:r>
            <w:r>
              <w:rPr>
                <w:rFonts w:hint="eastAsia" w:ascii="Times New Roman" w:hAnsi="Times New Roman" w:eastAsia="宋体" w:cs="Times New Roman"/>
                <w:bCs/>
                <w:color w:val="auto"/>
                <w:sz w:val="21"/>
                <w:szCs w:val="21"/>
                <w:highlight w:val="none"/>
                <w:lang w:eastAsia="zh-CN"/>
              </w:rPr>
              <w:t>。</w:t>
            </w:r>
          </w:p>
        </w:tc>
      </w:tr>
      <w:tr w14:paraId="7E389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83" w:type="dxa"/>
            <w:noWrap w:val="0"/>
            <w:vAlign w:val="center"/>
          </w:tcPr>
          <w:p w14:paraId="4704848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317" w:type="dxa"/>
            <w:gridSpan w:val="5"/>
            <w:noWrap w:val="0"/>
            <w:vAlign w:val="center"/>
          </w:tcPr>
          <w:p w14:paraId="296CB1F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A018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1483" w:type="dxa"/>
            <w:noWrap w:val="0"/>
            <w:vAlign w:val="center"/>
          </w:tcPr>
          <w:p w14:paraId="05F4ED58">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14:paraId="6AF878D0">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317" w:type="dxa"/>
            <w:gridSpan w:val="5"/>
            <w:noWrap w:val="0"/>
            <w:vAlign w:val="center"/>
          </w:tcPr>
          <w:p w14:paraId="32BB99A1">
            <w:pPr>
              <w:adjustRightInd w:val="0"/>
              <w:snapToGrid w:val="0"/>
              <w:ind w:firstLine="420" w:firstLineChars="2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加强对操作工人的培训，培养员工的安全和环境意识，提高操作工人的技术水平和责任感，降低操作失误而造成的事故。危险废物贮存间应按照《危险废物贮存污染控制标准》（GB18597-20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）要求进行建设。设立应急事故专门记录，建立档案和报告制度，由专门部门或人员负责管理。编制企业突发环境事件应急预案。</w:t>
            </w:r>
          </w:p>
        </w:tc>
      </w:tr>
      <w:tr w14:paraId="6FC31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483" w:type="dxa"/>
            <w:noWrap w:val="0"/>
            <w:vAlign w:val="center"/>
          </w:tcPr>
          <w:p w14:paraId="2BAAC3A7">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69C5B35A">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317" w:type="dxa"/>
            <w:gridSpan w:val="5"/>
            <w:noWrap w:val="0"/>
            <w:vAlign w:val="center"/>
          </w:tcPr>
          <w:p w14:paraId="2747F8AB">
            <w:pPr>
              <w:pStyle w:val="43"/>
              <w:adjustRightInd w:val="0"/>
              <w:snapToGrid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根据《固定污染源排污许可分类管理名录》（2019版），本项目属于“二十八、金属制品业33”中“铸造和其他金属制品铸造”，本项目属简化管理。项目建成后取得排污许可证，方可生产。</w:t>
            </w:r>
          </w:p>
        </w:tc>
      </w:tr>
    </w:tbl>
    <w:p w14:paraId="41BFDAA8">
      <w:pPr>
        <w:pStyle w:val="14"/>
        <w:numPr>
          <w:ilvl w:val="0"/>
          <w:numId w:val="0"/>
        </w:numPr>
        <w:jc w:val="both"/>
        <w:outlineLvl w:val="9"/>
        <w:rPr>
          <w:rFonts w:hint="eastAsia" w:ascii="黑体" w:hAnsi="黑体" w:eastAsia="黑体"/>
          <w:snapToGrid w:val="0"/>
          <w:color w:val="auto"/>
          <w:sz w:val="30"/>
          <w:szCs w:val="30"/>
          <w:highlight w:val="none"/>
        </w:rPr>
      </w:pPr>
    </w:p>
    <w:p w14:paraId="43109B09">
      <w:pPr>
        <w:pStyle w:val="14"/>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733E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3CA86EF">
            <w:pPr>
              <w:keepNext w:val="0"/>
              <w:keepLines w:val="0"/>
              <w:pageBreakBefore w:val="0"/>
              <w:widowControl w:val="0"/>
              <w:tabs>
                <w:tab w:val="left" w:pos="3284"/>
              </w:tabs>
              <w:kinsoku/>
              <w:wordWrap/>
              <w:overflowPunct/>
              <w:topLinePunct w:val="0"/>
              <w:autoSpaceDE/>
              <w:autoSpaceDN/>
              <w:bidi w:val="0"/>
              <w:adjustRightInd/>
              <w:snapToGrid/>
              <w:spacing w:line="480" w:lineRule="exact"/>
              <w:ind w:firstLine="480" w:firstLineChars="200"/>
              <w:textAlignment w:val="auto"/>
              <w:rPr>
                <w:rFonts w:hint="eastAsia" w:ascii="宋体" w:eastAsia="宋体" w:cs="宋体"/>
                <w:color w:val="auto"/>
                <w:sz w:val="24"/>
                <w:highlight w:val="none"/>
                <w:lang w:eastAsia="zh-CN"/>
              </w:rPr>
            </w:pPr>
            <w:r>
              <w:rPr>
                <w:rFonts w:hint="eastAsia" w:ascii="宋体" w:cs="宋体"/>
                <w:color w:val="auto"/>
                <w:sz w:val="24"/>
                <w:highlight w:val="none"/>
                <w:lang w:eastAsia="zh-CN"/>
              </w:rPr>
              <w:t>本项目在确保落实好各项环保措施并保证其正常运行的前提下，从环保角度分析，可有效的减少污染物的排放，对周围环境不会造成较大的影响。因此建设项目环境影响是可行的。</w:t>
            </w:r>
          </w:p>
        </w:tc>
      </w:tr>
    </w:tbl>
    <w:p w14:paraId="7F9BFEE5">
      <w:pPr>
        <w:rPr>
          <w:rFonts w:ascii="宋体"/>
          <w:color w:val="auto"/>
          <w:highlight w:val="none"/>
        </w:rPr>
        <w:sectPr>
          <w:pgSz w:w="11906" w:h="16838"/>
          <w:pgMar w:top="1701" w:right="1531" w:bottom="1701" w:left="1531" w:header="851" w:footer="851" w:gutter="0"/>
          <w:cols w:space="720" w:num="1"/>
          <w:docGrid w:linePitch="312" w:charSpace="0"/>
        </w:sectPr>
      </w:pPr>
    </w:p>
    <w:p w14:paraId="011F0174">
      <w:pPr>
        <w:pStyle w:val="14"/>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77CBC73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17"/>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738"/>
        <w:gridCol w:w="1625"/>
        <w:gridCol w:w="1206"/>
        <w:gridCol w:w="1328"/>
        <w:gridCol w:w="1690"/>
        <w:gridCol w:w="1333"/>
        <w:gridCol w:w="1916"/>
        <w:gridCol w:w="1534"/>
      </w:tblGrid>
      <w:tr w14:paraId="67FD6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14" w:type="pct"/>
            <w:tcBorders>
              <w:tl2br w:val="single" w:color="auto" w:sz="4" w:space="0"/>
            </w:tcBorders>
            <w:noWrap w:val="0"/>
            <w:tcMar>
              <w:left w:w="28" w:type="dxa"/>
              <w:right w:w="28" w:type="dxa"/>
            </w:tcMar>
            <w:vAlign w:val="center"/>
          </w:tcPr>
          <w:p w14:paraId="61BECAC2">
            <w:pPr>
              <w:pStyle w:val="44"/>
              <w:spacing w:beforeLines="0" w:afterLines="0" w:line="240" w:lineRule="auto"/>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041C8C67">
            <w:pPr>
              <w:pStyle w:val="44"/>
              <w:spacing w:beforeLines="0" w:afterLines="0" w:line="240" w:lineRule="auto"/>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644" w:type="pct"/>
            <w:noWrap w:val="0"/>
            <w:tcMar>
              <w:left w:w="28" w:type="dxa"/>
              <w:right w:w="28" w:type="dxa"/>
            </w:tcMar>
            <w:vAlign w:val="center"/>
          </w:tcPr>
          <w:p w14:paraId="32341A65">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602" w:type="pct"/>
            <w:noWrap w:val="0"/>
            <w:tcMar>
              <w:left w:w="28" w:type="dxa"/>
              <w:right w:w="28" w:type="dxa"/>
            </w:tcMar>
            <w:vAlign w:val="center"/>
          </w:tcPr>
          <w:p w14:paraId="54A9FC5B">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6D9E7667">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447" w:type="pct"/>
            <w:noWrap w:val="0"/>
            <w:tcMar>
              <w:left w:w="28" w:type="dxa"/>
              <w:right w:w="28" w:type="dxa"/>
            </w:tcMar>
            <w:vAlign w:val="center"/>
          </w:tcPr>
          <w:p w14:paraId="082C7AF8">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0865F1D0">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6AD5D81F">
            <w:pPr>
              <w:pStyle w:val="44"/>
              <w:spacing w:beforeLines="0" w:afterLines="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492" w:type="pct"/>
            <w:noWrap w:val="0"/>
            <w:tcMar>
              <w:left w:w="28" w:type="dxa"/>
              <w:right w:w="28" w:type="dxa"/>
            </w:tcMar>
            <w:vAlign w:val="center"/>
          </w:tcPr>
          <w:p w14:paraId="5B1CB48E">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38118095">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626" w:type="pct"/>
            <w:noWrap w:val="0"/>
            <w:tcMar>
              <w:left w:w="28" w:type="dxa"/>
              <w:right w:w="28" w:type="dxa"/>
            </w:tcMar>
            <w:vAlign w:val="center"/>
          </w:tcPr>
          <w:p w14:paraId="53B2F93E">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134E6B35">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494" w:type="pct"/>
            <w:noWrap w:val="0"/>
            <w:tcMar>
              <w:left w:w="28" w:type="dxa"/>
              <w:right w:w="28" w:type="dxa"/>
            </w:tcMar>
            <w:vAlign w:val="center"/>
          </w:tcPr>
          <w:p w14:paraId="645515D2">
            <w:pPr>
              <w:pStyle w:val="44"/>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14:paraId="555CD5B0">
            <w:pPr>
              <w:pStyle w:val="44"/>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710" w:type="pct"/>
            <w:noWrap w:val="0"/>
            <w:tcMar>
              <w:left w:w="28" w:type="dxa"/>
              <w:right w:w="28" w:type="dxa"/>
            </w:tcMar>
            <w:vAlign w:val="center"/>
          </w:tcPr>
          <w:p w14:paraId="08CBEE91">
            <w:pPr>
              <w:pStyle w:val="44"/>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14:paraId="31CC957E">
            <w:pPr>
              <w:pStyle w:val="44"/>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568" w:type="pct"/>
            <w:noWrap w:val="0"/>
            <w:tcMar>
              <w:left w:w="28" w:type="dxa"/>
              <w:right w:w="28" w:type="dxa"/>
            </w:tcMar>
            <w:vAlign w:val="center"/>
          </w:tcPr>
          <w:p w14:paraId="4A6EE331">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15DFA7AE">
            <w:pPr>
              <w:pStyle w:val="44"/>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27675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restart"/>
            <w:noWrap w:val="0"/>
            <w:vAlign w:val="center"/>
          </w:tcPr>
          <w:p w14:paraId="6DDBB71C">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644" w:type="pct"/>
            <w:noWrap w:val="0"/>
            <w:vAlign w:val="center"/>
          </w:tcPr>
          <w:p w14:paraId="22E9E31C">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颗粒物</w:t>
            </w:r>
          </w:p>
        </w:tc>
        <w:tc>
          <w:tcPr>
            <w:tcW w:w="602" w:type="pct"/>
            <w:noWrap w:val="0"/>
            <w:vAlign w:val="center"/>
          </w:tcPr>
          <w:p w14:paraId="7D9595D4">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3.030t/a</w:t>
            </w:r>
          </w:p>
        </w:tc>
        <w:tc>
          <w:tcPr>
            <w:tcW w:w="447" w:type="pct"/>
            <w:noWrap w:val="0"/>
            <w:vAlign w:val="center"/>
          </w:tcPr>
          <w:p w14:paraId="62799A5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2794347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5729235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0.5086t/a</w:t>
            </w:r>
          </w:p>
        </w:tc>
        <w:tc>
          <w:tcPr>
            <w:tcW w:w="494" w:type="pct"/>
            <w:noWrap w:val="0"/>
            <w:vAlign w:val="center"/>
          </w:tcPr>
          <w:p w14:paraId="2E63589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66E88B1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3.5386t/a</w:t>
            </w:r>
          </w:p>
        </w:tc>
        <w:tc>
          <w:tcPr>
            <w:tcW w:w="568" w:type="pct"/>
            <w:noWrap w:val="0"/>
            <w:vAlign w:val="center"/>
          </w:tcPr>
          <w:p w14:paraId="5A67B94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+0.5086t/a</w:t>
            </w:r>
          </w:p>
        </w:tc>
      </w:tr>
      <w:tr w14:paraId="71F4E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7A172CF6">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0B88FFE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非甲烷总烃</w:t>
            </w:r>
          </w:p>
        </w:tc>
        <w:tc>
          <w:tcPr>
            <w:tcW w:w="602" w:type="pct"/>
            <w:noWrap w:val="0"/>
            <w:vAlign w:val="center"/>
          </w:tcPr>
          <w:p w14:paraId="6B16A195">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8.296t/a</w:t>
            </w:r>
          </w:p>
        </w:tc>
        <w:tc>
          <w:tcPr>
            <w:tcW w:w="447" w:type="pct"/>
            <w:noWrap w:val="0"/>
            <w:vAlign w:val="center"/>
          </w:tcPr>
          <w:p w14:paraId="2C21111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0D764A4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77F635F5">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0.055t/a</w:t>
            </w:r>
          </w:p>
        </w:tc>
        <w:tc>
          <w:tcPr>
            <w:tcW w:w="494" w:type="pct"/>
            <w:noWrap w:val="0"/>
            <w:vAlign w:val="center"/>
          </w:tcPr>
          <w:p w14:paraId="545EA5B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33087D1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8.351t/a</w:t>
            </w:r>
          </w:p>
        </w:tc>
        <w:tc>
          <w:tcPr>
            <w:tcW w:w="568" w:type="pct"/>
            <w:noWrap w:val="0"/>
            <w:vAlign w:val="center"/>
          </w:tcPr>
          <w:p w14:paraId="58E02F9B">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+0.055t/a</w:t>
            </w:r>
          </w:p>
        </w:tc>
      </w:tr>
      <w:tr w14:paraId="087C4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noWrap w:val="0"/>
            <w:vAlign w:val="center"/>
          </w:tcPr>
          <w:p w14:paraId="74AFF510">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644" w:type="pct"/>
            <w:noWrap w:val="0"/>
            <w:vAlign w:val="center"/>
          </w:tcPr>
          <w:p w14:paraId="7F65D51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02" w:type="pct"/>
            <w:noWrap w:val="0"/>
            <w:vAlign w:val="center"/>
          </w:tcPr>
          <w:p w14:paraId="35558F44">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47" w:type="pct"/>
            <w:noWrap w:val="0"/>
            <w:vAlign w:val="center"/>
          </w:tcPr>
          <w:p w14:paraId="5BDE42FF">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56AA07C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1A6F502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4" w:type="pct"/>
            <w:noWrap w:val="0"/>
            <w:vAlign w:val="center"/>
          </w:tcPr>
          <w:p w14:paraId="73CCF8B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4C12C6D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68" w:type="pct"/>
            <w:noWrap w:val="0"/>
            <w:vAlign w:val="center"/>
          </w:tcPr>
          <w:p w14:paraId="318EA011">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172DC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restart"/>
            <w:noWrap w:val="0"/>
            <w:vAlign w:val="center"/>
          </w:tcPr>
          <w:p w14:paraId="1EE5675E">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14:paraId="0F0453FC">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644" w:type="pct"/>
            <w:noWrap w:val="0"/>
            <w:vAlign w:val="center"/>
          </w:tcPr>
          <w:p w14:paraId="1B7E5AF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炉渣</w:t>
            </w:r>
          </w:p>
        </w:tc>
        <w:tc>
          <w:tcPr>
            <w:tcW w:w="602" w:type="pct"/>
            <w:noWrap w:val="0"/>
            <w:vAlign w:val="center"/>
          </w:tcPr>
          <w:p w14:paraId="7E01E0D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1500t/a</w:t>
            </w:r>
          </w:p>
        </w:tc>
        <w:tc>
          <w:tcPr>
            <w:tcW w:w="447" w:type="pct"/>
            <w:noWrap w:val="0"/>
            <w:vAlign w:val="center"/>
          </w:tcPr>
          <w:p w14:paraId="0BCA6D3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7EE3534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09A4D06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19.03t/a</w:t>
            </w:r>
          </w:p>
        </w:tc>
        <w:tc>
          <w:tcPr>
            <w:tcW w:w="494" w:type="pct"/>
            <w:noWrap w:val="0"/>
            <w:vAlign w:val="center"/>
          </w:tcPr>
          <w:p w14:paraId="61533544">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5224C2B1">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1519.03t/a</w:t>
            </w:r>
          </w:p>
        </w:tc>
        <w:tc>
          <w:tcPr>
            <w:tcW w:w="568" w:type="pct"/>
            <w:noWrap w:val="0"/>
            <w:vAlign w:val="center"/>
          </w:tcPr>
          <w:p w14:paraId="214D6A2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+19.03t/a</w:t>
            </w:r>
          </w:p>
        </w:tc>
      </w:tr>
      <w:tr w14:paraId="62E11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0B251C21">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0747F5B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废炉衬</w:t>
            </w:r>
          </w:p>
        </w:tc>
        <w:tc>
          <w:tcPr>
            <w:tcW w:w="602" w:type="pct"/>
            <w:noWrap w:val="0"/>
            <w:vAlign w:val="center"/>
          </w:tcPr>
          <w:p w14:paraId="1AC8A04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75t/a</w:t>
            </w:r>
          </w:p>
        </w:tc>
        <w:tc>
          <w:tcPr>
            <w:tcW w:w="447" w:type="pct"/>
            <w:noWrap w:val="0"/>
            <w:vAlign w:val="center"/>
          </w:tcPr>
          <w:p w14:paraId="32802B8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0D0029D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2C8CB544">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5.5t/a</w:t>
            </w:r>
          </w:p>
        </w:tc>
        <w:tc>
          <w:tcPr>
            <w:tcW w:w="494" w:type="pct"/>
            <w:noWrap w:val="0"/>
            <w:vAlign w:val="center"/>
          </w:tcPr>
          <w:p w14:paraId="32A7FFAE">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6C20727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80.5t/a</w:t>
            </w:r>
          </w:p>
        </w:tc>
        <w:tc>
          <w:tcPr>
            <w:tcW w:w="568" w:type="pct"/>
            <w:noWrap w:val="0"/>
            <w:vAlign w:val="center"/>
          </w:tcPr>
          <w:p w14:paraId="2EB6B7FB">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+5.5t/a</w:t>
            </w:r>
          </w:p>
        </w:tc>
      </w:tr>
      <w:tr w14:paraId="3727D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2C6E2F0B">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1A25A61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除尘器灰尘</w:t>
            </w:r>
          </w:p>
        </w:tc>
        <w:tc>
          <w:tcPr>
            <w:tcW w:w="602" w:type="pct"/>
            <w:noWrap w:val="0"/>
            <w:vAlign w:val="center"/>
          </w:tcPr>
          <w:p w14:paraId="4AF8A12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289.93t/a</w:t>
            </w:r>
          </w:p>
        </w:tc>
        <w:tc>
          <w:tcPr>
            <w:tcW w:w="447" w:type="pct"/>
            <w:noWrap w:val="0"/>
            <w:vAlign w:val="center"/>
          </w:tcPr>
          <w:p w14:paraId="5B9517AC">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0B2666DF">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20393CA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38.59</w:t>
            </w:r>
            <w:r>
              <w:rPr>
                <w:rFonts w:hint="default" w:ascii="Times New Roman" w:hAnsi="Times New Roman" w:eastAsia="宋体" w:cs="Times New Roman"/>
                <w:snapToGrid w:val="0"/>
                <w:color w:val="auto"/>
                <w:kern w:val="21"/>
                <w:sz w:val="21"/>
                <w:szCs w:val="21"/>
                <w:highlight w:val="none"/>
                <w:lang w:val="en-US" w:eastAsia="zh-CN"/>
              </w:rPr>
              <w:t>t/a</w:t>
            </w:r>
          </w:p>
        </w:tc>
        <w:tc>
          <w:tcPr>
            <w:tcW w:w="494" w:type="pct"/>
            <w:noWrap w:val="0"/>
            <w:vAlign w:val="center"/>
          </w:tcPr>
          <w:p w14:paraId="2742BEB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2EE4D67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330.53t/a</w:t>
            </w:r>
          </w:p>
        </w:tc>
        <w:tc>
          <w:tcPr>
            <w:tcW w:w="568" w:type="pct"/>
            <w:noWrap w:val="0"/>
            <w:vAlign w:val="center"/>
          </w:tcPr>
          <w:p w14:paraId="02977A0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r>
              <w:rPr>
                <w:rFonts w:hint="eastAsia" w:ascii="Times New Roman" w:hAnsi="Times New Roman" w:eastAsia="宋体" w:cs="Times New Roman"/>
                <w:snapToGrid w:val="0"/>
                <w:color w:val="auto"/>
                <w:kern w:val="21"/>
                <w:sz w:val="21"/>
                <w:szCs w:val="21"/>
                <w:highlight w:val="none"/>
                <w:lang w:val="en-US" w:eastAsia="zh-CN"/>
              </w:rPr>
              <w:t>38.59</w:t>
            </w:r>
            <w:r>
              <w:rPr>
                <w:rFonts w:hint="default" w:ascii="Times New Roman" w:hAnsi="Times New Roman" w:eastAsia="宋体" w:cs="Times New Roman"/>
                <w:snapToGrid w:val="0"/>
                <w:color w:val="auto"/>
                <w:kern w:val="21"/>
                <w:sz w:val="21"/>
                <w:szCs w:val="21"/>
                <w:highlight w:val="none"/>
                <w:lang w:val="en-US" w:eastAsia="zh-CN"/>
              </w:rPr>
              <w:t>t/a</w:t>
            </w:r>
          </w:p>
        </w:tc>
      </w:tr>
      <w:tr w14:paraId="392F0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5A78375F">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7FD1672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废砂</w:t>
            </w:r>
          </w:p>
        </w:tc>
        <w:tc>
          <w:tcPr>
            <w:tcW w:w="602" w:type="pct"/>
            <w:noWrap w:val="0"/>
            <w:vAlign w:val="center"/>
          </w:tcPr>
          <w:p w14:paraId="00994C4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2975t/a</w:t>
            </w:r>
          </w:p>
        </w:tc>
        <w:tc>
          <w:tcPr>
            <w:tcW w:w="447" w:type="pct"/>
            <w:noWrap w:val="0"/>
            <w:vAlign w:val="center"/>
          </w:tcPr>
          <w:p w14:paraId="5B28667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4B6C314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660D70E1">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97.97t/a</w:t>
            </w:r>
          </w:p>
        </w:tc>
        <w:tc>
          <w:tcPr>
            <w:tcW w:w="494" w:type="pct"/>
            <w:noWrap w:val="0"/>
            <w:vAlign w:val="center"/>
          </w:tcPr>
          <w:p w14:paraId="111B845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03CE0D30">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3072.97t/a</w:t>
            </w:r>
          </w:p>
        </w:tc>
        <w:tc>
          <w:tcPr>
            <w:tcW w:w="568" w:type="pct"/>
            <w:noWrap w:val="0"/>
            <w:vAlign w:val="center"/>
          </w:tcPr>
          <w:p w14:paraId="3E60B85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+97.97t/a</w:t>
            </w:r>
          </w:p>
        </w:tc>
      </w:tr>
      <w:tr w14:paraId="27C7E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79237B9B">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3CEC5E1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铁屑、下脚料、不合格品</w:t>
            </w:r>
          </w:p>
        </w:tc>
        <w:tc>
          <w:tcPr>
            <w:tcW w:w="602" w:type="pct"/>
            <w:noWrap w:val="0"/>
            <w:vAlign w:val="center"/>
          </w:tcPr>
          <w:p w14:paraId="5C614B5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90t/a</w:t>
            </w:r>
          </w:p>
        </w:tc>
        <w:tc>
          <w:tcPr>
            <w:tcW w:w="447" w:type="pct"/>
            <w:noWrap w:val="0"/>
            <w:vAlign w:val="center"/>
          </w:tcPr>
          <w:p w14:paraId="3005A21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216893D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342F1280">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8t/a</w:t>
            </w:r>
          </w:p>
        </w:tc>
        <w:tc>
          <w:tcPr>
            <w:tcW w:w="494" w:type="pct"/>
            <w:noWrap w:val="0"/>
            <w:vAlign w:val="center"/>
          </w:tcPr>
          <w:p w14:paraId="6BBFF430">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4184483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98t/a</w:t>
            </w:r>
          </w:p>
        </w:tc>
        <w:tc>
          <w:tcPr>
            <w:tcW w:w="568" w:type="pct"/>
            <w:noWrap w:val="0"/>
            <w:vAlign w:val="center"/>
          </w:tcPr>
          <w:p w14:paraId="360B361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+8t/a</w:t>
            </w:r>
          </w:p>
        </w:tc>
      </w:tr>
      <w:tr w14:paraId="207A1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17CCD0FC">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3321083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白膜切割边角料</w:t>
            </w:r>
          </w:p>
        </w:tc>
        <w:tc>
          <w:tcPr>
            <w:tcW w:w="602" w:type="pct"/>
            <w:noWrap w:val="0"/>
            <w:vAlign w:val="center"/>
          </w:tcPr>
          <w:p w14:paraId="3EAB041E">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8.359t/a</w:t>
            </w:r>
          </w:p>
        </w:tc>
        <w:tc>
          <w:tcPr>
            <w:tcW w:w="447" w:type="pct"/>
            <w:noWrap w:val="0"/>
            <w:vAlign w:val="center"/>
          </w:tcPr>
          <w:p w14:paraId="0494E51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6B98E6BE">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4ABC91FE">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1.05t/a</w:t>
            </w:r>
          </w:p>
        </w:tc>
        <w:tc>
          <w:tcPr>
            <w:tcW w:w="494" w:type="pct"/>
            <w:noWrap w:val="0"/>
            <w:vAlign w:val="center"/>
          </w:tcPr>
          <w:p w14:paraId="4337DC8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602A7CB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9.409t/a</w:t>
            </w:r>
          </w:p>
        </w:tc>
        <w:tc>
          <w:tcPr>
            <w:tcW w:w="568" w:type="pct"/>
            <w:noWrap w:val="0"/>
            <w:vAlign w:val="center"/>
          </w:tcPr>
          <w:p w14:paraId="04724096">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+1.05t/a</w:t>
            </w:r>
          </w:p>
        </w:tc>
      </w:tr>
      <w:tr w14:paraId="6BBEE4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651F92ED">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39E90C1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生活垃圾</w:t>
            </w:r>
          </w:p>
        </w:tc>
        <w:tc>
          <w:tcPr>
            <w:tcW w:w="602" w:type="pct"/>
            <w:noWrap w:val="0"/>
            <w:vAlign w:val="center"/>
          </w:tcPr>
          <w:p w14:paraId="7C05ADE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18t/a</w:t>
            </w:r>
          </w:p>
        </w:tc>
        <w:tc>
          <w:tcPr>
            <w:tcW w:w="447" w:type="pct"/>
            <w:noWrap w:val="0"/>
            <w:vAlign w:val="center"/>
          </w:tcPr>
          <w:p w14:paraId="1EA2FEE5">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92" w:type="pct"/>
            <w:noWrap w:val="0"/>
            <w:vAlign w:val="center"/>
          </w:tcPr>
          <w:p w14:paraId="737A388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26" w:type="pct"/>
            <w:noWrap w:val="0"/>
            <w:vAlign w:val="center"/>
          </w:tcPr>
          <w:p w14:paraId="25D008A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0t/a</w:t>
            </w:r>
          </w:p>
        </w:tc>
        <w:tc>
          <w:tcPr>
            <w:tcW w:w="494" w:type="pct"/>
            <w:noWrap w:val="0"/>
            <w:vAlign w:val="center"/>
          </w:tcPr>
          <w:p w14:paraId="2D4A7F9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75C2C5C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18t/a</w:t>
            </w:r>
          </w:p>
        </w:tc>
        <w:tc>
          <w:tcPr>
            <w:tcW w:w="568" w:type="pct"/>
            <w:noWrap w:val="0"/>
            <w:vAlign w:val="center"/>
          </w:tcPr>
          <w:p w14:paraId="0C1BC07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0t/a</w:t>
            </w:r>
          </w:p>
        </w:tc>
      </w:tr>
      <w:tr w14:paraId="348A4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restart"/>
            <w:noWrap w:val="0"/>
            <w:vAlign w:val="center"/>
          </w:tcPr>
          <w:p w14:paraId="46E86446">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644" w:type="pct"/>
            <w:noWrap w:val="0"/>
            <w:vAlign w:val="center"/>
          </w:tcPr>
          <w:p w14:paraId="12D11E9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eastAsia" w:ascii="Times New Roman" w:hAnsi="Times New Roman" w:eastAsia="宋体" w:cs="Times New Roman"/>
                <w:snapToGrid w:val="0"/>
                <w:color w:val="auto"/>
                <w:kern w:val="21"/>
                <w:sz w:val="21"/>
                <w:szCs w:val="21"/>
                <w:highlight w:val="none"/>
                <w:lang w:eastAsia="zh-CN"/>
              </w:rPr>
              <w:t>废吸附活性炭</w:t>
            </w:r>
          </w:p>
        </w:tc>
        <w:tc>
          <w:tcPr>
            <w:tcW w:w="602" w:type="pct"/>
            <w:noWrap w:val="0"/>
            <w:vAlign w:val="center"/>
          </w:tcPr>
          <w:p w14:paraId="7613832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1.44t/a</w:t>
            </w:r>
          </w:p>
        </w:tc>
        <w:tc>
          <w:tcPr>
            <w:tcW w:w="447" w:type="pct"/>
            <w:noWrap w:val="0"/>
            <w:vAlign w:val="center"/>
          </w:tcPr>
          <w:p w14:paraId="31CB5CF7">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492" w:type="pct"/>
            <w:noWrap w:val="0"/>
            <w:vAlign w:val="center"/>
          </w:tcPr>
          <w:p w14:paraId="5A41803C">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26" w:type="pct"/>
            <w:noWrap w:val="0"/>
            <w:vAlign w:val="center"/>
          </w:tcPr>
          <w:p w14:paraId="2805904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0t/a</w:t>
            </w:r>
          </w:p>
        </w:tc>
        <w:tc>
          <w:tcPr>
            <w:tcW w:w="494" w:type="pct"/>
            <w:noWrap w:val="0"/>
            <w:vAlign w:val="center"/>
          </w:tcPr>
          <w:p w14:paraId="2B81978F">
            <w:pPr>
              <w:pStyle w:val="44"/>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191F70F9">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1.42</w:t>
            </w:r>
            <w:r>
              <w:rPr>
                <w:rFonts w:hint="default" w:ascii="Times New Roman" w:hAnsi="Times New Roman" w:eastAsia="宋体" w:cs="Times New Roman"/>
                <w:snapToGrid w:val="0"/>
                <w:color w:val="auto"/>
                <w:kern w:val="21"/>
                <w:sz w:val="21"/>
                <w:szCs w:val="21"/>
                <w:highlight w:val="none"/>
                <w:lang w:val="en-US" w:eastAsia="zh-CN"/>
              </w:rPr>
              <w:t>t/a</w:t>
            </w:r>
          </w:p>
        </w:tc>
        <w:tc>
          <w:tcPr>
            <w:tcW w:w="568" w:type="pct"/>
            <w:noWrap w:val="0"/>
            <w:vAlign w:val="center"/>
          </w:tcPr>
          <w:p w14:paraId="12A6F7E3">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r>
              <w:rPr>
                <w:rFonts w:hint="default" w:ascii="Times New Roman" w:hAnsi="Times New Roman" w:eastAsia="宋体" w:cs="Times New Roman"/>
                <w:snapToGrid w:val="0"/>
                <w:color w:val="auto"/>
                <w:kern w:val="21"/>
                <w:sz w:val="21"/>
                <w:szCs w:val="21"/>
                <w:highlight w:val="none"/>
                <w:lang w:val="en-US" w:eastAsia="zh-CN"/>
              </w:rPr>
              <w:t>t/a</w:t>
            </w:r>
          </w:p>
        </w:tc>
      </w:tr>
      <w:tr w14:paraId="3B830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3F1BA917">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149C056B">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废润滑油</w:t>
            </w:r>
          </w:p>
        </w:tc>
        <w:tc>
          <w:tcPr>
            <w:tcW w:w="602" w:type="pct"/>
            <w:noWrap w:val="0"/>
            <w:vAlign w:val="center"/>
          </w:tcPr>
          <w:p w14:paraId="624FB8D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0.5</w:t>
            </w:r>
            <w:r>
              <w:rPr>
                <w:rFonts w:hint="default" w:ascii="Times New Roman" w:hAnsi="Times New Roman" w:eastAsia="宋体" w:cs="Times New Roman"/>
                <w:snapToGrid w:val="0"/>
                <w:color w:val="auto"/>
                <w:kern w:val="21"/>
                <w:sz w:val="21"/>
                <w:szCs w:val="21"/>
                <w:highlight w:val="none"/>
                <w:lang w:val="en-US" w:eastAsia="zh-CN"/>
              </w:rPr>
              <w:t>t/a</w:t>
            </w:r>
          </w:p>
        </w:tc>
        <w:tc>
          <w:tcPr>
            <w:tcW w:w="447" w:type="pct"/>
            <w:noWrap w:val="0"/>
            <w:vAlign w:val="center"/>
          </w:tcPr>
          <w:p w14:paraId="390FD17B">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492" w:type="pct"/>
            <w:noWrap w:val="0"/>
            <w:vAlign w:val="center"/>
          </w:tcPr>
          <w:p w14:paraId="51630785">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26" w:type="pct"/>
            <w:noWrap w:val="0"/>
            <w:vAlign w:val="center"/>
          </w:tcPr>
          <w:p w14:paraId="1973AE5F">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0.1t/a</w:t>
            </w:r>
          </w:p>
        </w:tc>
        <w:tc>
          <w:tcPr>
            <w:tcW w:w="494" w:type="pct"/>
            <w:noWrap w:val="0"/>
            <w:vAlign w:val="center"/>
          </w:tcPr>
          <w:p w14:paraId="0708F115">
            <w:pPr>
              <w:pStyle w:val="44"/>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40C2258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0.6</w:t>
            </w:r>
            <w:r>
              <w:rPr>
                <w:rFonts w:hint="default" w:ascii="Times New Roman" w:hAnsi="Times New Roman" w:eastAsia="宋体" w:cs="Times New Roman"/>
                <w:snapToGrid w:val="0"/>
                <w:color w:val="auto"/>
                <w:kern w:val="21"/>
                <w:sz w:val="21"/>
                <w:szCs w:val="21"/>
                <w:highlight w:val="none"/>
                <w:lang w:val="en-US" w:eastAsia="zh-CN"/>
              </w:rPr>
              <w:t>t/a</w:t>
            </w:r>
          </w:p>
        </w:tc>
        <w:tc>
          <w:tcPr>
            <w:tcW w:w="568" w:type="pct"/>
            <w:noWrap w:val="0"/>
            <w:vAlign w:val="center"/>
          </w:tcPr>
          <w:p w14:paraId="6E50F3CD">
            <w:pPr>
              <w:jc w:val="center"/>
              <w:rPr>
                <w:rFonts w:hint="default" w:eastAsia="宋体"/>
                <w:color w:val="auto"/>
                <w:highlight w:val="none"/>
                <w:lang w:val="en-US" w:eastAsia="zh-CN"/>
              </w:rPr>
            </w:pPr>
            <w:r>
              <w:rPr>
                <w:rFonts w:hint="eastAsia" w:eastAsia="宋体"/>
                <w:color w:val="auto"/>
                <w:highlight w:val="none"/>
                <w:lang w:val="en-US" w:eastAsia="zh-CN"/>
              </w:rPr>
              <w:t>+0.1</w:t>
            </w:r>
            <w:r>
              <w:rPr>
                <w:rFonts w:hint="default" w:ascii="Times New Roman" w:hAnsi="Times New Roman" w:eastAsia="宋体" w:cs="Times New Roman"/>
                <w:snapToGrid w:val="0"/>
                <w:color w:val="auto"/>
                <w:kern w:val="21"/>
                <w:sz w:val="21"/>
                <w:szCs w:val="21"/>
                <w:highlight w:val="none"/>
                <w:lang w:val="en-US" w:eastAsia="zh-CN"/>
              </w:rPr>
              <w:t>t/a</w:t>
            </w:r>
          </w:p>
        </w:tc>
      </w:tr>
      <w:tr w14:paraId="310AD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61727FEE">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7E299BC0">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废油桶</w:t>
            </w:r>
          </w:p>
        </w:tc>
        <w:tc>
          <w:tcPr>
            <w:tcW w:w="602" w:type="pct"/>
            <w:noWrap w:val="0"/>
            <w:vAlign w:val="center"/>
          </w:tcPr>
          <w:p w14:paraId="22F94AC1">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w:t>
            </w:r>
            <w:r>
              <w:rPr>
                <w:rFonts w:hint="eastAsia" w:ascii="Times New Roman" w:hAnsi="Times New Roman" w:eastAsia="宋体" w:cs="Times New Roman"/>
                <w:snapToGrid w:val="0"/>
                <w:color w:val="auto"/>
                <w:kern w:val="21"/>
                <w:sz w:val="21"/>
                <w:szCs w:val="21"/>
                <w:highlight w:val="none"/>
                <w:lang w:val="en-US" w:eastAsia="zh-CN"/>
              </w:rPr>
              <w:t>3</w:t>
            </w:r>
            <w:r>
              <w:rPr>
                <w:rFonts w:hint="default" w:ascii="Times New Roman" w:hAnsi="Times New Roman" w:eastAsia="宋体" w:cs="Times New Roman"/>
                <w:snapToGrid w:val="0"/>
                <w:color w:val="auto"/>
                <w:kern w:val="21"/>
                <w:sz w:val="21"/>
                <w:szCs w:val="21"/>
                <w:highlight w:val="none"/>
                <w:lang w:val="en-US" w:eastAsia="zh-CN"/>
              </w:rPr>
              <w:t>t/a</w:t>
            </w:r>
          </w:p>
        </w:tc>
        <w:tc>
          <w:tcPr>
            <w:tcW w:w="447" w:type="pct"/>
            <w:noWrap w:val="0"/>
            <w:vAlign w:val="center"/>
          </w:tcPr>
          <w:p w14:paraId="139A1275">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492" w:type="pct"/>
            <w:noWrap w:val="0"/>
            <w:vAlign w:val="center"/>
          </w:tcPr>
          <w:p w14:paraId="39222F4F">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26" w:type="pct"/>
            <w:noWrap w:val="0"/>
            <w:vAlign w:val="center"/>
          </w:tcPr>
          <w:p w14:paraId="142E88DD">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0.01t/a</w:t>
            </w:r>
          </w:p>
        </w:tc>
        <w:tc>
          <w:tcPr>
            <w:tcW w:w="494" w:type="pct"/>
            <w:noWrap w:val="0"/>
            <w:vAlign w:val="center"/>
          </w:tcPr>
          <w:p w14:paraId="31A5C98F">
            <w:pPr>
              <w:pStyle w:val="44"/>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4D432DA2">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0.031</w:t>
            </w:r>
            <w:r>
              <w:rPr>
                <w:rFonts w:hint="default" w:ascii="Times New Roman" w:hAnsi="Times New Roman" w:eastAsia="宋体" w:cs="Times New Roman"/>
                <w:snapToGrid w:val="0"/>
                <w:color w:val="auto"/>
                <w:kern w:val="21"/>
                <w:sz w:val="21"/>
                <w:szCs w:val="21"/>
                <w:highlight w:val="none"/>
                <w:lang w:val="en-US" w:eastAsia="zh-CN"/>
              </w:rPr>
              <w:t>t/a</w:t>
            </w:r>
          </w:p>
        </w:tc>
        <w:tc>
          <w:tcPr>
            <w:tcW w:w="568" w:type="pct"/>
            <w:noWrap w:val="0"/>
            <w:vAlign w:val="center"/>
          </w:tcPr>
          <w:p w14:paraId="37C0A5D7">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+0.01</w:t>
            </w:r>
            <w:r>
              <w:rPr>
                <w:rFonts w:hint="default" w:ascii="Times New Roman" w:hAnsi="Times New Roman" w:eastAsia="宋体" w:cs="Times New Roman"/>
                <w:snapToGrid w:val="0"/>
                <w:color w:val="auto"/>
                <w:kern w:val="21"/>
                <w:sz w:val="21"/>
                <w:szCs w:val="21"/>
                <w:highlight w:val="none"/>
                <w:lang w:val="en-US" w:eastAsia="zh-CN"/>
              </w:rPr>
              <w:t>t/a</w:t>
            </w:r>
          </w:p>
        </w:tc>
      </w:tr>
      <w:tr w14:paraId="3013B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6499C3BD">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5C4AA67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eastAsia" w:ascii="Times New Roman" w:hAnsi="Times New Roman" w:eastAsia="宋体" w:cs="Times New Roman"/>
                <w:snapToGrid w:val="0"/>
                <w:color w:val="auto"/>
                <w:kern w:val="21"/>
                <w:sz w:val="21"/>
                <w:szCs w:val="21"/>
                <w:highlight w:val="none"/>
                <w:lang w:eastAsia="zh-CN"/>
              </w:rPr>
              <w:t>铁质废油桶</w:t>
            </w:r>
          </w:p>
        </w:tc>
        <w:tc>
          <w:tcPr>
            <w:tcW w:w="602" w:type="pct"/>
            <w:noWrap w:val="0"/>
            <w:vAlign w:val="center"/>
          </w:tcPr>
          <w:p w14:paraId="165B15B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0.105</w:t>
            </w:r>
            <w:r>
              <w:rPr>
                <w:rFonts w:hint="default" w:ascii="Times New Roman" w:hAnsi="Times New Roman" w:eastAsia="宋体" w:cs="Times New Roman"/>
                <w:snapToGrid w:val="0"/>
                <w:color w:val="auto"/>
                <w:kern w:val="21"/>
                <w:sz w:val="21"/>
                <w:szCs w:val="21"/>
                <w:highlight w:val="none"/>
                <w:lang w:val="en-US" w:eastAsia="zh-CN"/>
              </w:rPr>
              <w:t>t/a</w:t>
            </w:r>
          </w:p>
        </w:tc>
        <w:tc>
          <w:tcPr>
            <w:tcW w:w="447" w:type="pct"/>
            <w:noWrap w:val="0"/>
            <w:vAlign w:val="center"/>
          </w:tcPr>
          <w:p w14:paraId="381F6A95">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492" w:type="pct"/>
            <w:noWrap w:val="0"/>
            <w:vAlign w:val="center"/>
          </w:tcPr>
          <w:p w14:paraId="1C12E5F8">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26" w:type="pct"/>
            <w:noWrap w:val="0"/>
            <w:vAlign w:val="center"/>
          </w:tcPr>
          <w:p w14:paraId="60FF66C1">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0.005</w:t>
            </w:r>
            <w:r>
              <w:rPr>
                <w:rFonts w:hint="default" w:ascii="Times New Roman" w:hAnsi="Times New Roman" w:eastAsia="宋体" w:cs="Times New Roman"/>
                <w:snapToGrid w:val="0"/>
                <w:color w:val="auto"/>
                <w:kern w:val="21"/>
                <w:sz w:val="21"/>
                <w:szCs w:val="21"/>
                <w:highlight w:val="none"/>
                <w:lang w:val="en-US" w:eastAsia="zh-CN"/>
              </w:rPr>
              <w:t>t/a</w:t>
            </w:r>
          </w:p>
        </w:tc>
        <w:tc>
          <w:tcPr>
            <w:tcW w:w="494" w:type="pct"/>
            <w:noWrap w:val="0"/>
            <w:vAlign w:val="center"/>
          </w:tcPr>
          <w:p w14:paraId="1933A344">
            <w:pPr>
              <w:pStyle w:val="44"/>
              <w:spacing w:beforeLines="0" w:afterLines="0" w:line="240" w:lineRule="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w:t>
            </w:r>
          </w:p>
        </w:tc>
        <w:tc>
          <w:tcPr>
            <w:tcW w:w="710" w:type="pct"/>
            <w:noWrap w:val="0"/>
            <w:vAlign w:val="center"/>
          </w:tcPr>
          <w:p w14:paraId="7E359BB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0.11</w:t>
            </w:r>
            <w:r>
              <w:rPr>
                <w:rFonts w:hint="default" w:ascii="Times New Roman" w:hAnsi="Times New Roman" w:eastAsia="宋体" w:cs="Times New Roman"/>
                <w:snapToGrid w:val="0"/>
                <w:color w:val="auto"/>
                <w:kern w:val="21"/>
                <w:sz w:val="21"/>
                <w:szCs w:val="21"/>
                <w:highlight w:val="none"/>
                <w:lang w:val="en-US" w:eastAsia="zh-CN"/>
              </w:rPr>
              <w:t>t/a</w:t>
            </w:r>
          </w:p>
        </w:tc>
        <w:tc>
          <w:tcPr>
            <w:tcW w:w="568" w:type="pct"/>
            <w:noWrap w:val="0"/>
            <w:vAlign w:val="center"/>
          </w:tcPr>
          <w:p w14:paraId="368C19E5">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+0.05</w:t>
            </w:r>
            <w:r>
              <w:rPr>
                <w:rFonts w:hint="default" w:ascii="Times New Roman" w:hAnsi="Times New Roman" w:eastAsia="宋体" w:cs="Times New Roman"/>
                <w:snapToGrid w:val="0"/>
                <w:color w:val="auto"/>
                <w:kern w:val="21"/>
                <w:sz w:val="21"/>
                <w:szCs w:val="21"/>
                <w:highlight w:val="none"/>
                <w:lang w:val="en-US" w:eastAsia="zh-CN"/>
              </w:rPr>
              <w:t>t/a</w:t>
            </w:r>
          </w:p>
        </w:tc>
      </w:tr>
      <w:tr w14:paraId="60FF6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4" w:type="pct"/>
            <w:vMerge w:val="continue"/>
            <w:noWrap w:val="0"/>
            <w:vAlign w:val="center"/>
          </w:tcPr>
          <w:p w14:paraId="2922ECA5">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44" w:type="pct"/>
            <w:noWrap w:val="0"/>
            <w:vAlign w:val="center"/>
          </w:tcPr>
          <w:p w14:paraId="2D8B173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eastAsia="zh-CN"/>
              </w:rPr>
            </w:pPr>
            <w:r>
              <w:rPr>
                <w:rFonts w:hint="eastAsia" w:ascii="Times New Roman" w:hAnsi="Times New Roman" w:eastAsia="宋体" w:cs="Times New Roman"/>
                <w:snapToGrid w:val="0"/>
                <w:color w:val="auto"/>
                <w:kern w:val="21"/>
                <w:sz w:val="21"/>
                <w:szCs w:val="21"/>
                <w:highlight w:val="none"/>
                <w:lang w:eastAsia="zh-CN"/>
              </w:rPr>
              <w:t>废光氧催化光管</w:t>
            </w:r>
          </w:p>
        </w:tc>
        <w:tc>
          <w:tcPr>
            <w:tcW w:w="602" w:type="pct"/>
            <w:noWrap w:val="0"/>
            <w:vAlign w:val="center"/>
          </w:tcPr>
          <w:p w14:paraId="3EDE6ECA">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0.001</w:t>
            </w:r>
            <w:r>
              <w:rPr>
                <w:rFonts w:hint="default" w:ascii="Times New Roman" w:hAnsi="Times New Roman" w:eastAsia="宋体" w:cs="Times New Roman"/>
                <w:snapToGrid w:val="0"/>
                <w:color w:val="auto"/>
                <w:kern w:val="21"/>
                <w:sz w:val="21"/>
                <w:szCs w:val="21"/>
                <w:highlight w:val="none"/>
                <w:lang w:val="en-US" w:eastAsia="zh-CN"/>
              </w:rPr>
              <w:t>t/a</w:t>
            </w:r>
          </w:p>
        </w:tc>
        <w:tc>
          <w:tcPr>
            <w:tcW w:w="447" w:type="pct"/>
            <w:noWrap w:val="0"/>
            <w:vAlign w:val="center"/>
          </w:tcPr>
          <w:p w14:paraId="6FE41053">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492" w:type="pct"/>
            <w:noWrap w:val="0"/>
            <w:vAlign w:val="center"/>
          </w:tcPr>
          <w:p w14:paraId="7C4FA909">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626" w:type="pct"/>
            <w:noWrap w:val="0"/>
            <w:vAlign w:val="center"/>
          </w:tcPr>
          <w:p w14:paraId="5243A41E">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0.001</w:t>
            </w:r>
            <w:r>
              <w:rPr>
                <w:rFonts w:hint="default" w:ascii="Times New Roman" w:hAnsi="Times New Roman" w:eastAsia="宋体" w:cs="Times New Roman"/>
                <w:snapToGrid w:val="0"/>
                <w:color w:val="auto"/>
                <w:kern w:val="21"/>
                <w:sz w:val="21"/>
                <w:szCs w:val="21"/>
                <w:highlight w:val="none"/>
                <w:lang w:val="en-US" w:eastAsia="zh-CN"/>
              </w:rPr>
              <w:t>t/a</w:t>
            </w:r>
          </w:p>
        </w:tc>
        <w:tc>
          <w:tcPr>
            <w:tcW w:w="494" w:type="pct"/>
            <w:noWrap w:val="0"/>
            <w:vAlign w:val="center"/>
          </w:tcPr>
          <w:p w14:paraId="7D9CDA6F">
            <w:pPr>
              <w:pStyle w:val="44"/>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710" w:type="pct"/>
            <w:noWrap w:val="0"/>
            <w:vAlign w:val="center"/>
          </w:tcPr>
          <w:p w14:paraId="5D50BDF8">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0.002</w:t>
            </w:r>
            <w:r>
              <w:rPr>
                <w:rFonts w:hint="default" w:ascii="Times New Roman" w:hAnsi="Times New Roman" w:eastAsia="宋体" w:cs="Times New Roman"/>
                <w:snapToGrid w:val="0"/>
                <w:color w:val="auto"/>
                <w:kern w:val="21"/>
                <w:sz w:val="21"/>
                <w:szCs w:val="21"/>
                <w:highlight w:val="none"/>
                <w:lang w:val="en-US" w:eastAsia="zh-CN"/>
              </w:rPr>
              <w:t>t/a</w:t>
            </w:r>
          </w:p>
        </w:tc>
        <w:tc>
          <w:tcPr>
            <w:tcW w:w="568" w:type="pct"/>
            <w:noWrap w:val="0"/>
            <w:vAlign w:val="center"/>
          </w:tcPr>
          <w:p w14:paraId="485D5F8B">
            <w:pPr>
              <w:pStyle w:val="44"/>
              <w:spacing w:beforeLines="0" w:afterLines="0" w:line="240" w:lineRule="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+0.001</w:t>
            </w:r>
            <w:r>
              <w:rPr>
                <w:rFonts w:hint="default" w:ascii="Times New Roman" w:hAnsi="Times New Roman" w:eastAsia="宋体" w:cs="Times New Roman"/>
                <w:snapToGrid w:val="0"/>
                <w:color w:val="auto"/>
                <w:kern w:val="21"/>
                <w:sz w:val="21"/>
                <w:szCs w:val="21"/>
                <w:highlight w:val="none"/>
                <w:lang w:val="en-US" w:eastAsia="zh-CN"/>
              </w:rPr>
              <w:t>t/a</w:t>
            </w:r>
          </w:p>
        </w:tc>
      </w:tr>
    </w:tbl>
    <w:p w14:paraId="762B7BDA">
      <w:pPr>
        <w:pStyle w:val="44"/>
        <w:spacing w:before="192" w:beforeLines="80" w:after="24"/>
        <w:jc w:val="left"/>
        <w:rPr>
          <w:rFonts w:hint="eastAsia"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7CBF5ABF">
      <w:pPr>
        <w:rPr>
          <w:rFonts w:hint="eastAsia"/>
          <w:color w:val="auto"/>
          <w:highlight w:val="none"/>
        </w:rPr>
      </w:pPr>
    </w:p>
    <w:p w14:paraId="5173B8DF">
      <w:pPr>
        <w:rPr>
          <w:color w:val="auto"/>
          <w:highlight w:val="none"/>
        </w:rPr>
      </w:pPr>
    </w:p>
    <w:sectPr>
      <w:footerReference r:id="rId5"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6AB6B">
    <w:pPr>
      <w:pStyle w:val="9"/>
      <w:framePr w:wrap="around" w:vAnchor="text" w:hAnchor="margin" w:xAlign="center" w:y="1"/>
      <w:rPr>
        <w:rStyle w:val="21"/>
      </w:rPr>
    </w:pPr>
    <w:r>
      <w:fldChar w:fldCharType="begin"/>
    </w:r>
    <w:r>
      <w:rPr>
        <w:rStyle w:val="21"/>
      </w:rPr>
      <w:instrText xml:space="preserve">PAGE  </w:instrText>
    </w:r>
    <w:r>
      <w:fldChar w:fldCharType="end"/>
    </w:r>
  </w:p>
  <w:p w14:paraId="580F2A88">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44378">
    <w:pPr>
      <w:pStyle w:val="9"/>
      <w:framePr w:wrap="around" w:vAnchor="text" w:hAnchor="margin" w:xAlign="outside" w:y="1"/>
      <w:rPr>
        <w:rStyle w:val="21"/>
        <w:rFonts w:ascii="宋体" w:hAnsi="宋体"/>
        <w:sz w:val="21"/>
        <w:szCs w:val="21"/>
      </w:rPr>
    </w:pPr>
    <w:r>
      <w:rPr>
        <w:rStyle w:val="21"/>
        <w:rFonts w:hint="eastAsia" w:ascii="宋体" w:hAnsi="宋体"/>
        <w:sz w:val="21"/>
        <w:szCs w:val="21"/>
      </w:rPr>
      <w:t xml:space="preserve">—  </w:t>
    </w:r>
    <w:r>
      <w:rPr>
        <w:rFonts w:ascii="宋体" w:hAnsi="宋体"/>
        <w:sz w:val="21"/>
        <w:szCs w:val="21"/>
      </w:rPr>
      <w:fldChar w:fldCharType="begin"/>
    </w:r>
    <w:r>
      <w:rPr>
        <w:rStyle w:val="21"/>
        <w:rFonts w:ascii="宋体" w:hAnsi="宋体"/>
        <w:sz w:val="21"/>
        <w:szCs w:val="21"/>
      </w:rPr>
      <w:instrText xml:space="preserve">PAGE  </w:instrText>
    </w:r>
    <w:r>
      <w:rPr>
        <w:rFonts w:ascii="宋体" w:hAnsi="宋体"/>
        <w:sz w:val="21"/>
        <w:szCs w:val="21"/>
      </w:rPr>
      <w:fldChar w:fldCharType="separate"/>
    </w:r>
    <w:r>
      <w:rPr>
        <w:rStyle w:val="21"/>
        <w:rFonts w:ascii="宋体" w:hAnsi="宋体"/>
        <w:sz w:val="21"/>
        <w:szCs w:val="21"/>
      </w:rPr>
      <w:t>9</w:t>
    </w:r>
    <w:r>
      <w:rPr>
        <w:rFonts w:ascii="宋体" w:hAnsi="宋体"/>
        <w:sz w:val="21"/>
        <w:szCs w:val="21"/>
      </w:rPr>
      <w:fldChar w:fldCharType="end"/>
    </w:r>
    <w:r>
      <w:rPr>
        <w:rStyle w:val="21"/>
        <w:rFonts w:hint="eastAsia" w:ascii="宋体" w:hAnsi="宋体"/>
        <w:sz w:val="21"/>
        <w:szCs w:val="21"/>
      </w:rPr>
      <w:t xml:space="preserve">  —</w:t>
    </w:r>
  </w:p>
  <w:p w14:paraId="6E7675F6">
    <w:pPr>
      <w:pStyle w:val="9"/>
      <w:ind w:right="360" w:firstLine="36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D74C6">
    <w:pPr>
      <w:pStyle w:val="9"/>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11</w:t>
    </w:r>
    <w:r>
      <w:rPr>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5814DEA2">
    <w:pPr>
      <w:pStyle w:val="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B471D"/>
    <w:multiLevelType w:val="singleLevel"/>
    <w:tmpl w:val="827B471D"/>
    <w:lvl w:ilvl="0" w:tentative="0">
      <w:start w:val="4"/>
      <w:numFmt w:val="chineseCounting"/>
      <w:suff w:val="nothing"/>
      <w:lvlText w:val="（%1）"/>
      <w:lvlJc w:val="left"/>
      <w:rPr>
        <w:rFonts w:hint="eastAsia"/>
        <w:highlight w:val="none"/>
      </w:rPr>
    </w:lvl>
  </w:abstractNum>
  <w:abstractNum w:abstractNumId="1">
    <w:nsid w:val="A1531500"/>
    <w:multiLevelType w:val="singleLevel"/>
    <w:tmpl w:val="A1531500"/>
    <w:lvl w:ilvl="0" w:tentative="0">
      <w:start w:val="1"/>
      <w:numFmt w:val="decimal"/>
      <w:suff w:val="nothing"/>
      <w:lvlText w:val="%1、"/>
      <w:lvlJc w:val="left"/>
    </w:lvl>
  </w:abstractNum>
  <w:abstractNum w:abstractNumId="2">
    <w:nsid w:val="4F54DCEC"/>
    <w:multiLevelType w:val="singleLevel"/>
    <w:tmpl w:val="4F54DCEC"/>
    <w:lvl w:ilvl="0" w:tentative="0">
      <w:start w:val="1"/>
      <w:numFmt w:val="decimal"/>
      <w:suff w:val="nothing"/>
      <w:lvlText w:val="%1）"/>
      <w:lvlJc w:val="left"/>
      <w:pPr>
        <w:ind w:left="-60"/>
      </w:pPr>
    </w:lvl>
  </w:abstractNum>
  <w:abstractNum w:abstractNumId="3">
    <w:nsid w:val="5698891F"/>
    <w:multiLevelType w:val="singleLevel"/>
    <w:tmpl w:val="5698891F"/>
    <w:lvl w:ilvl="0" w:tentative="0">
      <w:start w:val="1"/>
      <w:numFmt w:val="decimal"/>
      <w:suff w:val="nothing"/>
      <w:lvlText w:val="（%1）"/>
      <w:lvlJc w:val="left"/>
    </w:lvl>
  </w:abstractNum>
  <w:abstractNum w:abstractNumId="4">
    <w:nsid w:val="5BF45B3C"/>
    <w:multiLevelType w:val="singleLevel"/>
    <w:tmpl w:val="5BF45B3C"/>
    <w:lvl w:ilvl="0" w:tentative="0">
      <w:start w:val="3"/>
      <w:numFmt w:val="decimal"/>
      <w:suff w:val="nothing"/>
      <w:lvlText w:val="%1、"/>
      <w:lvlJc w:val="left"/>
    </w:lvl>
  </w:abstractNum>
  <w:abstractNum w:abstractNumId="5">
    <w:nsid w:val="5EAB4625"/>
    <w:multiLevelType w:val="singleLevel"/>
    <w:tmpl w:val="5EAB4625"/>
    <w:lvl w:ilvl="0" w:tentative="0">
      <w:start w:val="1"/>
      <w:numFmt w:val="decimal"/>
      <w:suff w:val="nothing"/>
      <w:lvlText w:val="（%1）"/>
      <w:lvlJc w:val="left"/>
    </w:lvl>
  </w:abstractNum>
  <w:abstractNum w:abstractNumId="6">
    <w:nsid w:val="6588CE87"/>
    <w:multiLevelType w:val="singleLevel"/>
    <w:tmpl w:val="6588CE87"/>
    <w:lvl w:ilvl="0" w:tentative="0">
      <w:start w:val="5"/>
      <w:numFmt w:val="chineseCounting"/>
      <w:suff w:val="nothing"/>
      <w:lvlText w:val="%1、"/>
      <w:lvlJc w:val="left"/>
      <w:rPr>
        <w:rFonts w:hint="eastAsia"/>
      </w:rPr>
    </w:lvl>
  </w:abstractNum>
  <w:abstractNum w:abstractNumId="7">
    <w:nsid w:val="7AD9320B"/>
    <w:multiLevelType w:val="singleLevel"/>
    <w:tmpl w:val="7AD9320B"/>
    <w:lvl w:ilvl="0" w:tentative="0">
      <w:start w:val="1"/>
      <w:numFmt w:val="decimal"/>
      <w:suff w:val="nothing"/>
      <w:lvlText w:val="%1）"/>
      <w:lvlJc w:val="left"/>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ZmY2MTAyNmNiODNiMzE2ZThiMGY0NTRiYzE2ODIifQ=="/>
  </w:docVars>
  <w:rsids>
    <w:rsidRoot w:val="0ECD1048"/>
    <w:rsid w:val="010517B0"/>
    <w:rsid w:val="067C07EC"/>
    <w:rsid w:val="0ECD1048"/>
    <w:rsid w:val="1A311D6D"/>
    <w:rsid w:val="1CCE262F"/>
    <w:rsid w:val="289B709C"/>
    <w:rsid w:val="2EFF2BA5"/>
    <w:rsid w:val="349E6E12"/>
    <w:rsid w:val="48087ABB"/>
    <w:rsid w:val="59685A58"/>
    <w:rsid w:val="77DA498B"/>
    <w:rsid w:val="799030D0"/>
    <w:rsid w:val="79C60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4">
    <w:name w:val="annotation text"/>
    <w:basedOn w:val="1"/>
    <w:semiHidden/>
    <w:qFormat/>
    <w:uiPriority w:val="0"/>
    <w:pPr>
      <w:jc w:val="left"/>
    </w:pPr>
    <w:rPr>
      <w:kern w:val="0"/>
      <w:sz w:val="24"/>
      <w:szCs w:val="20"/>
    </w:rPr>
  </w:style>
  <w:style w:type="paragraph" w:styleId="5">
    <w:name w:val="Body Text"/>
    <w:basedOn w:val="1"/>
    <w:next w:val="1"/>
    <w:qFormat/>
    <w:uiPriority w:val="0"/>
    <w:pPr>
      <w:widowControl/>
      <w:snapToGrid w:val="0"/>
      <w:spacing w:before="60" w:after="160" w:line="259" w:lineRule="auto"/>
      <w:ind w:right="113"/>
    </w:pPr>
    <w:rPr>
      <w:kern w:val="0"/>
      <w:sz w:val="18"/>
      <w:szCs w:val="20"/>
    </w:rPr>
  </w:style>
  <w:style w:type="paragraph" w:styleId="6">
    <w:name w:val="Body Text Indent"/>
    <w:basedOn w:val="1"/>
    <w:qFormat/>
    <w:uiPriority w:val="0"/>
    <w:pPr>
      <w:spacing w:after="120"/>
      <w:ind w:left="420" w:leftChars="200"/>
    </w:pPr>
    <w:rPr>
      <w:kern w:val="0"/>
      <w:sz w:val="24"/>
      <w:szCs w:val="20"/>
    </w:rPr>
  </w:style>
  <w:style w:type="paragraph" w:styleId="7">
    <w:name w:val="Block Text"/>
    <w:basedOn w:val="1"/>
    <w:qFormat/>
    <w:uiPriority w:val="0"/>
    <w:pPr>
      <w:ind w:left="113" w:right="113" w:firstLine="595"/>
      <w:jc w:val="left"/>
    </w:pPr>
    <w:rPr>
      <w:sz w:val="28"/>
    </w:rPr>
  </w:style>
  <w:style w:type="paragraph" w:styleId="8">
    <w:name w:val="Body Text Indent 2"/>
    <w:basedOn w:val="1"/>
    <w:qFormat/>
    <w:uiPriority w:val="99"/>
    <w:pPr>
      <w:ind w:firstLine="539" w:firstLineChars="200"/>
    </w:pPr>
    <w:rPr>
      <w:spacing w:val="8"/>
    </w:rPr>
  </w:style>
  <w:style w:type="paragraph" w:styleId="9">
    <w:name w:val="footer"/>
    <w:basedOn w:val="1"/>
    <w:next w:val="1"/>
    <w:qFormat/>
    <w:uiPriority w:val="99"/>
    <w:pPr>
      <w:tabs>
        <w:tab w:val="center" w:pos="4153"/>
        <w:tab w:val="right" w:pos="8306"/>
      </w:tabs>
      <w:snapToGrid w:val="0"/>
      <w:jc w:val="left"/>
    </w:pPr>
    <w:rPr>
      <w:kern w:val="0"/>
      <w:sz w:val="18"/>
      <w:szCs w:val="20"/>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semiHidden/>
    <w:qFormat/>
    <w:uiPriority w:val="0"/>
    <w:pPr>
      <w:tabs>
        <w:tab w:val="right" w:leader="dot" w:pos="8296"/>
      </w:tabs>
      <w:jc w:val="center"/>
    </w:pPr>
    <w:rPr>
      <w:b/>
      <w:szCs w:val="30"/>
    </w:rPr>
  </w:style>
  <w:style w:type="paragraph" w:styleId="12">
    <w:name w:val="List"/>
    <w:basedOn w:val="1"/>
    <w:qFormat/>
    <w:uiPriority w:val="0"/>
    <w:pPr>
      <w:ind w:left="200" w:hanging="200" w:hangingChars="200"/>
      <w:contextualSpacing/>
    </w:pPr>
    <w:rPr>
      <w:kern w:val="0"/>
    </w:r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5"/>
    <w:next w:val="1"/>
    <w:qFormat/>
    <w:uiPriority w:val="0"/>
    <w:pPr>
      <w:spacing w:after="120" w:line="240" w:lineRule="auto"/>
      <w:ind w:firstLine="420" w:firstLineChars="100"/>
    </w:pPr>
    <w:rPr>
      <w:szCs w:val="24"/>
    </w:rPr>
  </w:style>
  <w:style w:type="paragraph" w:styleId="16">
    <w:name w:val="Body Text First Indent 2"/>
    <w:basedOn w:val="6"/>
    <w:qFormat/>
    <w:uiPriority w:val="0"/>
    <w:pPr>
      <w:spacing w:after="120"/>
      <w:ind w:left="420" w:leftChars="200" w:firstLine="420" w:firstLineChars="200"/>
    </w:pPr>
    <w:rPr>
      <w:rFonts w:eastAsia="宋体"/>
      <w:sz w:val="24"/>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table" w:customStyle="1" w:styleId="22">
    <w:name w:val="网格型14"/>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样式 样式 样式 四号 左侧:  1.53 厘米 + 首行缩进:  2 字符 + 居中 左侧:  2 字符 首行缩进:  2..."/>
    <w:basedOn w:val="24"/>
    <w:qFormat/>
    <w:uiPriority w:val="0"/>
    <w:pPr>
      <w:adjustRightInd/>
      <w:snapToGrid/>
      <w:ind w:left="200" w:leftChars="200" w:firstLine="0" w:firstLineChars="0"/>
      <w:jc w:val="center"/>
    </w:pPr>
    <w:rPr>
      <w:w w:val="90"/>
      <w:sz w:val="28"/>
      <w:szCs w:val="20"/>
    </w:rPr>
  </w:style>
  <w:style w:type="paragraph" w:customStyle="1" w:styleId="24">
    <w:name w:val="样式 样式 四号 左侧:  1.53 厘米 + 首行缩进:  2 字符"/>
    <w:basedOn w:val="25"/>
    <w:qFormat/>
    <w:uiPriority w:val="0"/>
    <w:pPr>
      <w:ind w:left="200" w:leftChars="200"/>
    </w:pPr>
    <w:rPr>
      <w:szCs w:val="20"/>
    </w:rPr>
  </w:style>
  <w:style w:type="paragraph" w:customStyle="1" w:styleId="25">
    <w:name w:val="样式 四号 左侧:  1.53 厘米"/>
    <w:basedOn w:val="1"/>
    <w:qFormat/>
    <w:uiPriority w:val="0"/>
    <w:pPr>
      <w:adjustRightInd w:val="0"/>
    </w:pPr>
    <w:rPr>
      <w:w w:val="90"/>
      <w:sz w:val="28"/>
      <w:szCs w:val="28"/>
    </w:rPr>
  </w:style>
  <w:style w:type="paragraph" w:customStyle="1" w:styleId="26">
    <w:name w:val="表格内容"/>
    <w:basedOn w:val="27"/>
    <w:next w:val="1"/>
    <w:qFormat/>
    <w:uiPriority w:val="0"/>
  </w:style>
  <w:style w:type="paragraph" w:customStyle="1" w:styleId="27">
    <w:name w:val="表格文字"/>
    <w:basedOn w:val="1"/>
    <w:qFormat/>
    <w:uiPriority w:val="0"/>
    <w:pPr>
      <w:jc w:val="center"/>
    </w:pPr>
    <w:rPr>
      <w:rFonts w:ascii="仿宋_GB2312" w:hAnsi="Arial Black" w:eastAsia="仿宋_GB2312"/>
      <w:kern w:val="44"/>
    </w:rPr>
  </w:style>
  <w:style w:type="paragraph" w:customStyle="1" w:styleId="28">
    <w:name w:val="表头"/>
    <w:basedOn w:val="29"/>
    <w:next w:val="1"/>
    <w:qFormat/>
    <w:uiPriority w:val="0"/>
    <w:pPr>
      <w:tabs>
        <w:tab w:val="center" w:pos="4153"/>
        <w:tab w:val="right" w:pos="8306"/>
      </w:tabs>
      <w:spacing w:line="360" w:lineRule="auto"/>
      <w:jc w:val="center"/>
    </w:pPr>
    <w:rPr>
      <w:rFonts w:ascii="黑体" w:eastAsia="黑体"/>
      <w:sz w:val="24"/>
    </w:rPr>
  </w:style>
  <w:style w:type="paragraph" w:customStyle="1" w:styleId="29">
    <w:name w:val="正文1"/>
    <w:basedOn w:val="9"/>
    <w:next w:val="1"/>
    <w:qFormat/>
    <w:uiPriority w:val="0"/>
    <w:pPr>
      <w:adjustRightInd w:val="0"/>
      <w:snapToGrid w:val="0"/>
      <w:spacing w:line="500" w:lineRule="atLeast"/>
      <w:ind w:firstLine="567"/>
    </w:pPr>
  </w:style>
  <w:style w:type="table" w:customStyle="1" w:styleId="30">
    <w:name w:val="Grid Table Light"/>
    <w:basedOn w:val="17"/>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style>
  <w:style w:type="paragraph" w:customStyle="1" w:styleId="31">
    <w:name w:val="000表格正文"/>
    <w:basedOn w:val="1"/>
    <w:next w:val="1"/>
    <w:qFormat/>
    <w:uiPriority w:val="0"/>
    <w:pPr>
      <w:pBdr>
        <w:top w:val="none" w:color="auto" w:sz="0" w:space="1"/>
        <w:left w:val="none" w:color="auto" w:sz="0" w:space="4"/>
        <w:bottom w:val="none" w:color="auto" w:sz="0" w:space="1"/>
        <w:right w:val="none" w:color="auto" w:sz="0" w:space="4"/>
      </w:pBdr>
      <w:jc w:val="center"/>
    </w:pPr>
  </w:style>
  <w:style w:type="paragraph" w:customStyle="1" w:styleId="32">
    <w:name w:val="书表格内"/>
    <w:basedOn w:val="1"/>
    <w:qFormat/>
    <w:uiPriority w:val="0"/>
    <w:pPr>
      <w:spacing w:line="0" w:lineRule="atLeast"/>
      <w:jc w:val="center"/>
    </w:pPr>
  </w:style>
  <w:style w:type="paragraph" w:customStyle="1" w:styleId="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样式 小四 红色 居中 行距: 固定值 16 磅"/>
    <w:basedOn w:val="1"/>
    <w:qFormat/>
    <w:uiPriority w:val="0"/>
    <w:pPr>
      <w:spacing w:line="360" w:lineRule="exact"/>
      <w:jc w:val="center"/>
    </w:pPr>
    <w:rPr>
      <w:rFonts w:cs="宋体"/>
      <w:color w:val="000000"/>
    </w:rPr>
  </w:style>
  <w:style w:type="paragraph" w:customStyle="1" w:styleId="35">
    <w:name w:val="图表11111"/>
    <w:basedOn w:val="36"/>
    <w:qFormat/>
    <w:uiPriority w:val="0"/>
  </w:style>
  <w:style w:type="paragraph" w:customStyle="1" w:styleId="36">
    <w:name w:val="图表"/>
    <w:basedOn w:val="1"/>
    <w:qFormat/>
    <w:uiPriority w:val="0"/>
    <w:pPr>
      <w:spacing w:line="360" w:lineRule="auto"/>
      <w:jc w:val="center"/>
    </w:pPr>
    <w:rPr>
      <w:rFonts w:eastAsia="黑体"/>
      <w:color w:val="000000"/>
      <w:sz w:val="24"/>
    </w:rPr>
  </w:style>
  <w:style w:type="paragraph" w:customStyle="1" w:styleId="37">
    <w:name w:val="正文 首行缩进:  2 字符"/>
    <w:basedOn w:val="1"/>
    <w:qFormat/>
    <w:uiPriority w:val="0"/>
    <w:pPr>
      <w:ind w:firstLine="480" w:firstLineChars="200"/>
    </w:pPr>
    <w:rPr>
      <w:rFonts w:cs="宋体"/>
      <w:sz w:val="24"/>
      <w:szCs w:val="20"/>
    </w:rPr>
  </w:style>
  <w:style w:type="paragraph" w:customStyle="1" w:styleId="38">
    <w:name w:val="中文报告书样式"/>
    <w:basedOn w:val="1"/>
    <w:qFormat/>
    <w:uiPriority w:val="0"/>
    <w:pPr>
      <w:adjustRightInd w:val="0"/>
      <w:spacing w:line="420" w:lineRule="atLeast"/>
      <w:textAlignment w:val="baseline"/>
    </w:pPr>
    <w:rPr>
      <w:kern w:val="24"/>
    </w:rPr>
  </w:style>
  <w:style w:type="paragraph" w:customStyle="1" w:styleId="39">
    <w:name w:val="Table Paragraph"/>
    <w:basedOn w:val="1"/>
    <w:qFormat/>
    <w:uiPriority w:val="1"/>
    <w:rPr>
      <w:rFonts w:ascii="宋体" w:hAnsi="宋体" w:cs="宋体"/>
    </w:rPr>
  </w:style>
  <w:style w:type="paragraph" w:customStyle="1" w:styleId="40">
    <w:name w:val="Other|1"/>
    <w:basedOn w:val="1"/>
    <w:qFormat/>
    <w:uiPriority w:val="0"/>
    <w:pPr>
      <w:widowControl w:val="0"/>
      <w:shd w:val="clear" w:color="auto" w:fill="auto"/>
      <w:spacing w:line="449" w:lineRule="auto"/>
      <w:ind w:firstLine="400"/>
    </w:pPr>
    <w:rPr>
      <w:rFonts w:ascii="宋体" w:hAnsi="宋体" w:eastAsia="宋体" w:cs="宋体"/>
      <w:color w:val="7C7C7C"/>
      <w:sz w:val="22"/>
      <w:szCs w:val="22"/>
      <w:u w:val="none"/>
      <w:shd w:val="clear" w:color="auto" w:fill="auto"/>
      <w:lang w:val="zh-TW" w:eastAsia="zh-TW" w:bidi="zh-TW"/>
    </w:rPr>
  </w:style>
  <w:style w:type="table" w:customStyle="1" w:styleId="41">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42">
    <w:name w:val="样式 正文文本 + 首行缩进:  2 字符"/>
    <w:qFormat/>
    <w:uiPriority w:val="0"/>
    <w:pPr>
      <w:widowControl w:val="0"/>
      <w:spacing w:line="288" w:lineRule="auto"/>
      <w:ind w:firstLine="504" w:firstLineChars="200"/>
      <w:jc w:val="both"/>
    </w:pPr>
    <w:rPr>
      <w:rFonts w:ascii="宋体" w:hAnsi="宋体" w:eastAsia="宋体" w:cs="宋体"/>
      <w:color w:val="0000FF"/>
      <w:w w:val="101"/>
      <w:sz w:val="25"/>
      <w:szCs w:val="24"/>
      <w:lang w:val="zh-CN" w:eastAsia="zh-CN" w:bidi="zh-CN"/>
    </w:rPr>
  </w:style>
  <w:style w:type="paragraph" w:customStyle="1" w:styleId="43">
    <w:name w:val="+正文"/>
    <w:basedOn w:val="1"/>
    <w:qFormat/>
    <w:uiPriority w:val="0"/>
    <w:pPr>
      <w:spacing w:line="360" w:lineRule="auto"/>
    </w:pPr>
    <w:rPr>
      <w:sz w:val="28"/>
      <w:szCs w:val="28"/>
    </w:rPr>
  </w:style>
  <w:style w:type="paragraph" w:customStyle="1" w:styleId="44">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10788</Words>
  <Characters>11528</Characters>
  <Lines>0</Lines>
  <Paragraphs>0</Paragraphs>
  <TotalTime>66</TotalTime>
  <ScaleCrop>false</ScaleCrop>
  <LinksUpToDate>false</LinksUpToDate>
  <CharactersWithSpaces>11601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2024-11-01T05:27:00Z</dcterms:created>
  <dc:creator>刘佳豪</dc:creator>
  <cp:lastModifiedBy>王亚洁</cp:lastModifiedBy>
  <cp:lastPrinted>2024-11-05T07:25:48Z</cp:lastPrinted>
  <dcterms:modified xsi:type="dcterms:W3CDTF">2024-11-05T07:32:03Z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1991545A0D4A4C43A3FADBDEE98A4FD7_11</vt:lpwstr>
  </property>
</Properties>
</file>